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hyperlink w:anchor="toc_page">
        <w:bookmarkStart w:id="0" w:name="bkh-20230331.htm"/>
        <w:bookmarkStart w:id="1" w:name="ksbkh20230331"/>
        <w:bookmarkEnd w:id="0"/>
        <w:bookmarkEnd w:id="1"/>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UNITED STATES</w:t>
      </w:r>
    </w:p>
    <w:p>
      <w:pPr>
        <w:pStyle w:val="TextBody"/>
        <w:spacing w:before="0" w:after="0"/>
        <w:jc w:val="center"/>
        <w:rPr>
          <w:rFonts w:ascii="Arial;sans-serif" w:hAnsi="Arial;sans-serif"/>
          <w:b/>
          <w:sz w:val="18"/>
        </w:rPr>
      </w:pPr>
      <w:r>
        <w:rPr>
          <w:rFonts w:ascii="Arial;sans-serif" w:hAnsi="Arial;sans-serif"/>
          <w:b/>
          <w:sz w:val="18"/>
        </w:rPr>
        <w:t>SECURITIES AND EXCHANGE COMMISSION</w:t>
      </w:r>
    </w:p>
    <w:p>
      <w:pPr>
        <w:pStyle w:val="TextBody"/>
        <w:spacing w:before="0" w:after="0"/>
        <w:jc w:val="center"/>
        <w:rPr>
          <w:rFonts w:ascii="Arial;sans-serif" w:hAnsi="Arial;sans-serif"/>
          <w:b/>
          <w:sz w:val="18"/>
        </w:rPr>
      </w:pPr>
      <w:r>
        <w:rPr>
          <w:rFonts w:ascii="Arial;sans-serif" w:hAnsi="Arial;sans-serif"/>
          <w:b/>
          <w:sz w:val="18"/>
        </w:rPr>
        <w:t>Washington, D.C. 20549</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Form 10-Q</w:t>
      </w:r>
    </w:p>
    <w:p>
      <w:pPr>
        <w:pStyle w:val="TextBody"/>
        <w:spacing w:before="0" w:after="0"/>
        <w:jc w:val="center"/>
        <w:rPr/>
      </w:pPr>
      <w:r>
        <w:rPr/>
        <w:t> </w:t>
      </w:r>
    </w:p>
    <w:p>
      <w:pPr>
        <w:pStyle w:val="TextBody"/>
        <w:spacing w:before="0" w:after="0"/>
        <w:jc w:val="center"/>
        <w:rPr/>
      </w:pPr>
      <w:r>
        <w:rPr/>
        <w:t xml:space="preserve">☒ </w:t>
      </w:r>
      <w:r>
        <w:rPr>
          <w:rFonts w:ascii="Arial;sans-serif" w:hAnsi="Arial;sans-serif"/>
          <w:b w:val="false"/>
          <w:sz w:val="18"/>
        </w:rPr>
        <w:t>QUARTERLY REPORT PURSUANT TO SECTION 13 OR 15(d) OF THE SECURITIES EXCHANGE ACT OF 1934</w:t>
      </w:r>
    </w:p>
    <w:p>
      <w:pPr>
        <w:pStyle w:val="TextBody"/>
        <w:spacing w:before="0" w:after="0"/>
        <w:jc w:val="center"/>
        <w:rPr>
          <w:rFonts w:ascii="Arial;sans-serif" w:hAnsi="Arial;sans-serif"/>
          <w:b w:val="false"/>
          <w:sz w:val="18"/>
        </w:rPr>
      </w:pPr>
      <w:r>
        <w:rPr>
          <w:rFonts w:ascii="Arial;sans-serif" w:hAnsi="Arial;sans-serif"/>
          <w:b w:val="false"/>
          <w:sz w:val="18"/>
        </w:rPr>
        <w:t>For the quarterly period ended March 31, 2023</w:t>
      </w:r>
    </w:p>
    <w:p>
      <w:pPr>
        <w:pStyle w:val="TextBody"/>
        <w:spacing w:before="0" w:after="0"/>
        <w:jc w:val="center"/>
        <w:rPr>
          <w:rFonts w:ascii="Arial;sans-serif" w:hAnsi="Arial;sans-serif"/>
          <w:b w:val="false"/>
          <w:sz w:val="18"/>
        </w:rPr>
      </w:pPr>
      <w:r>
        <w:rPr>
          <w:rFonts w:ascii="Arial;sans-serif" w:hAnsi="Arial;sans-serif"/>
          <w:b w:val="false"/>
          <w:sz w:val="18"/>
        </w:rPr>
        <w:t>OR</w:t>
      </w:r>
    </w:p>
    <w:p>
      <w:pPr>
        <w:pStyle w:val="TextBody"/>
        <w:spacing w:before="0" w:after="0"/>
        <w:jc w:val="center"/>
        <w:rPr/>
      </w:pPr>
      <w:r>
        <w:rPr/>
        <w:t xml:space="preserve">☐ </w:t>
      </w:r>
      <w:r>
        <w:rPr>
          <w:rFonts w:ascii="Arial;sans-serif" w:hAnsi="Arial;sans-serif"/>
          <w:b w:val="false"/>
          <w:sz w:val="18"/>
        </w:rPr>
        <w:t>TRANSITION REPORT PURSUANT TO SECTION 13 OR 15(d) OF THE SECURITIES EXCHANGE ACT OF 1934</w:t>
      </w:r>
    </w:p>
    <w:p>
      <w:pPr>
        <w:pStyle w:val="TextBody"/>
        <w:spacing w:before="0" w:after="0"/>
        <w:jc w:val="center"/>
        <w:rPr>
          <w:rFonts w:ascii="Arial;sans-serif" w:hAnsi="Arial;sans-serif"/>
          <w:b w:val="false"/>
          <w:sz w:val="18"/>
        </w:rPr>
      </w:pPr>
      <w:r>
        <w:rPr>
          <w:rFonts w:ascii="Arial;sans-serif" w:hAnsi="Arial;sans-serif"/>
          <w:b w:val="false"/>
          <w:sz w:val="18"/>
        </w:rPr>
        <w:t>For the transition period from __________ to __________</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Commission File Number 001-31303</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Incorporated in South Dakota IRS Identification Number 46-0458824</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7001 Mount Rushmore Road</w:t>
      </w:r>
    </w:p>
    <w:p>
      <w:pPr>
        <w:pStyle w:val="TextBody"/>
        <w:spacing w:before="0" w:after="0"/>
        <w:jc w:val="center"/>
        <w:rPr>
          <w:rFonts w:ascii="Times New Roman" w:hAnsi="Times New Roman"/>
          <w:sz w:val="20"/>
        </w:rPr>
      </w:pPr>
      <w:r>
        <w:rPr>
          <w:rFonts w:ascii="Arial;sans-serif" w:hAnsi="Arial;sans-serif"/>
          <w:b w:val="false"/>
          <w:sz w:val="18"/>
        </w:rPr>
        <w:t>Rapid City, South Dakota</w:t>
      </w:r>
      <w:r>
        <w:rPr>
          <w:rFonts w:ascii="Times New Roman" w:hAnsi="Times New Roman"/>
          <w:sz w:val="20"/>
        </w:rPr>
        <w:t xml:space="preserve"> </w:t>
      </w:r>
      <w:r>
        <w:rPr>
          <w:rFonts w:ascii="Arial;sans-serif" w:hAnsi="Arial;sans-serif"/>
          <w:b w:val="false"/>
          <w:sz w:val="18"/>
        </w:rPr>
        <w:t>57702</w:t>
      </w:r>
    </w:p>
    <w:p>
      <w:pPr>
        <w:pStyle w:val="TextBody"/>
        <w:spacing w:before="0" w:after="0"/>
        <w:jc w:val="center"/>
        <w:rPr>
          <w:rFonts w:ascii="Arial;sans-serif" w:hAnsi="Arial;sans-serif"/>
          <w:b w:val="false"/>
          <w:sz w:val="18"/>
        </w:rPr>
      </w:pPr>
      <w:r>
        <w:rPr>
          <w:rFonts w:ascii="Arial;sans-serif" w:hAnsi="Arial;sans-serif"/>
          <w:b w:val="false"/>
          <w:sz w:val="18"/>
        </w:rPr>
        <w:t>Registrant’s telephone number (605) 721-1700</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Former name, former address, and former fiscal year if changed since last report</w:t>
      </w:r>
    </w:p>
    <w:p>
      <w:pPr>
        <w:pStyle w:val="TextBody"/>
        <w:spacing w:before="0" w:after="0"/>
        <w:jc w:val="center"/>
        <w:rPr>
          <w:rFonts w:ascii="Arial;sans-serif" w:hAnsi="Arial;sans-serif"/>
          <w:b w:val="false"/>
          <w:sz w:val="18"/>
        </w:rPr>
      </w:pPr>
      <w:r>
        <w:rPr>
          <w:rFonts w:ascii="Arial;sans-serif" w:hAnsi="Arial;sans-serif"/>
          <w:b w:val="false"/>
          <w:sz w:val="18"/>
        </w:rPr>
        <w:t>NONE</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0"/>
        </w:rPr>
        <w:t xml:space="preserve">☒ </w:t>
      </w:r>
      <w:r>
        <w:rPr>
          <w:rFonts w:ascii="Arial;sans-serif" w:hAnsi="Arial;sans-serif"/>
          <w:b w:val="false"/>
          <w:sz w:val="18"/>
        </w:rPr>
        <w:t>No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Times New Roman" w:hAnsi="Times New Roman"/>
          <w:sz w:val="20"/>
        </w:rPr>
        <w:t xml:space="preserve">☒ </w:t>
      </w:r>
      <w:r>
        <w:rPr>
          <w:rFonts w:ascii="Arial;sans-serif" w:hAnsi="Arial;sans-serif"/>
          <w:b w:val="false"/>
          <w:sz w:val="18"/>
        </w:rPr>
        <w:t>No ☐</w:t>
      </w:r>
    </w:p>
    <w:p>
      <w:pPr>
        <w:pStyle w:val="TextBody"/>
        <w:spacing w:before="0" w:after="0"/>
        <w:jc w:val="left"/>
        <w:rPr/>
      </w:pPr>
      <w:r>
        <w:rPr/>
        <w:t> </w:t>
      </w:r>
    </w:p>
    <w:p>
      <w:pPr>
        <w:pStyle w:val="TextBody"/>
        <w:spacing w:before="0" w:after="100"/>
        <w:jc w:val="left"/>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572" w:type="dxa"/>
        <w:jc w:val="left"/>
        <w:tblInd w:w="0" w:type="dxa"/>
        <w:tblCellMar>
          <w:top w:w="28" w:type="dxa"/>
          <w:left w:w="28" w:type="dxa"/>
          <w:bottom w:w="28" w:type="dxa"/>
          <w:right w:w="28" w:type="dxa"/>
        </w:tblCellMar>
      </w:tblPr>
      <w:tblGrid>
        <w:gridCol w:w="161"/>
        <w:gridCol w:w="2011"/>
        <w:gridCol w:w="316"/>
        <w:gridCol w:w="146"/>
        <w:gridCol w:w="2431"/>
        <w:gridCol w:w="31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Large Accelerated Filer</w:t>
            </w:r>
          </w:p>
        </w:tc>
        <w:tc>
          <w:tcPr>
            <w:tcW w:w="316"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Wingdings;serif" w:hAnsi="Wingdings;serif"/>
                <w:b w:val="false"/>
                <w:sz w:val="18"/>
              </w:rPr>
            </w:pPr>
            <w:r>
              <w:rPr>
                <w:rFonts w:ascii="Wingdings;serif" w:hAnsi="Wingdings;serif"/>
                <w:b w:val="false"/>
                <w:sz w:val="18"/>
              </w:rPr>
              <w:t>x</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Non-accelerated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Smaller Reporting Company</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Emerging Growth Company</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sz w:val="20"/>
        </w:rPr>
        <w:t xml:space="preserve"> </w:t>
      </w:r>
      <w:r>
        <w:rPr>
          <w:rFonts w:ascii="Wingdings;serif" w:hAnsi="Wingdings;serif"/>
          <w:b w:val="false"/>
          <w:sz w:val="18"/>
        </w:rPr>
        <w:t>o</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Act).Yes ☐ No </w:t>
      </w:r>
      <w:r>
        <w:rPr>
          <w:rFonts w:ascii="Times New Roman" w:hAnsi="Times New Roman"/>
          <w:sz w:val="20"/>
        </w:rPr>
        <w:t xml:space="preserve">☒ </w:t>
      </w:r>
    </w:p>
    <w:p>
      <w:pPr>
        <w:pStyle w:val="TextBody"/>
        <w:spacing w:before="0" w:after="0"/>
        <w:jc w:val="center"/>
        <w:rPr/>
      </w:pPr>
      <w:r>
        <w:rPr/>
        <w:t> </w:t>
      </w:r>
    </w:p>
    <w:tbl>
      <w:tblPr>
        <w:tblW w:w="8837" w:type="dxa"/>
        <w:jc w:val="left"/>
        <w:tblInd w:w="0" w:type="dxa"/>
        <w:tblCellMar>
          <w:top w:w="28" w:type="dxa"/>
          <w:left w:w="28" w:type="dxa"/>
          <w:bottom w:w="28" w:type="dxa"/>
          <w:right w:w="28" w:type="dxa"/>
        </w:tblCellMar>
      </w:tblPr>
      <w:tblGrid>
        <w:gridCol w:w="161"/>
        <w:gridCol w:w="2836"/>
        <w:gridCol w:w="146"/>
        <w:gridCol w:w="1606"/>
        <w:gridCol w:w="146"/>
        <w:gridCol w:w="3751"/>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5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837" w:type="dxa"/>
            <w:gridSpan w:val="7"/>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Securities registered pursuant to Section 12(b) of the Act:</w:t>
            </w:r>
          </w:p>
        </w:tc>
      </w:tr>
      <w:tr>
        <w:trPr/>
        <w:tc>
          <w:tcPr>
            <w:tcW w:w="161" w:type="dxa"/>
            <w:tcBorders/>
            <w:shd w:fill="auto" w:val="clear"/>
            <w:vAlign w:val="center"/>
          </w:tcPr>
          <w:p>
            <w:pPr>
              <w:pStyle w:val="TableContents"/>
              <w:spacing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Title of each class</w:t>
            </w:r>
          </w:p>
        </w:tc>
        <w:tc>
          <w:tcPr>
            <w:tcW w:w="146" w:type="dxa"/>
            <w:tcBorders/>
            <w:shd w:fill="auto" w:val="clear"/>
            <w:vAlign w:val="center"/>
          </w:tcPr>
          <w:p>
            <w:pPr>
              <w:pStyle w:val="TableContents"/>
              <w:spacing w:before="0" w:after="0"/>
              <w:ind w:left="0" w:right="0" w:hanging="0"/>
              <w:jc w:val="left"/>
              <w:rPr/>
            </w:pPr>
            <w:r>
              <w:rPr/>
              <w:t> </w:t>
            </w:r>
          </w:p>
        </w:tc>
        <w:tc>
          <w:tcPr>
            <w:tcW w:w="160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Trading Symbol(s)</w:t>
            </w:r>
          </w:p>
        </w:tc>
        <w:tc>
          <w:tcPr>
            <w:tcW w:w="146" w:type="dxa"/>
            <w:tcBorders/>
            <w:shd w:fill="auto" w:val="clear"/>
            <w:vAlign w:val="center"/>
          </w:tcPr>
          <w:p>
            <w:pPr>
              <w:pStyle w:val="TableContents"/>
              <w:spacing w:before="0" w:after="0"/>
              <w:ind w:left="0" w:right="0" w:hanging="0"/>
              <w:jc w:val="left"/>
              <w:rPr/>
            </w:pPr>
            <w:r>
              <w:rPr/>
              <w:t> </w:t>
            </w:r>
          </w:p>
        </w:tc>
        <w:tc>
          <w:tcPr>
            <w:tcW w:w="3751"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Name of each exchange on which registered</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Common stock of $1.00 par value</w:t>
            </w:r>
          </w:p>
        </w:tc>
        <w:tc>
          <w:tcPr>
            <w:tcW w:w="146" w:type="dxa"/>
            <w:tcBorders/>
            <w:shd w:fill="auto" w:val="clear"/>
            <w:vAlign w:val="center"/>
          </w:tcPr>
          <w:p>
            <w:pPr>
              <w:pStyle w:val="TableContents"/>
              <w:spacing w:before="0" w:after="0"/>
              <w:ind w:left="0" w:right="0" w:hanging="0"/>
              <w:jc w:val="left"/>
              <w:rPr/>
            </w:pPr>
            <w:r>
              <w:rPr/>
              <w:t> </w:t>
            </w:r>
          </w:p>
        </w:tc>
        <w:tc>
          <w:tcPr>
            <w:tcW w:w="160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BKH</w:t>
            </w:r>
          </w:p>
        </w:tc>
        <w:tc>
          <w:tcPr>
            <w:tcW w:w="146" w:type="dxa"/>
            <w:tcBorders/>
            <w:shd w:fill="auto" w:val="clear"/>
            <w:vAlign w:val="center"/>
          </w:tcPr>
          <w:p>
            <w:pPr>
              <w:pStyle w:val="TableContents"/>
              <w:spacing w:before="0" w:after="0"/>
              <w:ind w:left="0" w:right="0" w:hanging="0"/>
              <w:jc w:val="left"/>
              <w:rPr/>
            </w:pPr>
            <w:r>
              <w:rPr/>
              <w:t> </w:t>
            </w:r>
          </w:p>
        </w:tc>
        <w:tc>
          <w:tcPr>
            <w:tcW w:w="3751"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New York Stock Exchange</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Indicate the number of shares outstanding of each of the issuer’s classes of common stock as of the latest practicable date.</w:t>
      </w:r>
    </w:p>
    <w:tbl>
      <w:tblPr>
        <w:tblW w:w="5513" w:type="dxa"/>
        <w:jc w:val="left"/>
        <w:tblInd w:w="0" w:type="dxa"/>
        <w:tblCellMar>
          <w:top w:w="28" w:type="dxa"/>
          <w:left w:w="28" w:type="dxa"/>
          <w:bottom w:w="28" w:type="dxa"/>
          <w:right w:w="28" w:type="dxa"/>
        </w:tblCellMar>
      </w:tblPr>
      <w:tblGrid>
        <w:gridCol w:w="161"/>
        <w:gridCol w:w="2686"/>
        <w:gridCol w:w="1511"/>
        <w:gridCol w:w="964"/>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68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Class</w:t>
            </w:r>
          </w:p>
        </w:tc>
        <w:tc>
          <w:tcPr>
            <w:tcW w:w="2475" w:type="dxa"/>
            <w:gridSpan w:val="2"/>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Outstanding at April 28, 2023</w:t>
            </w:r>
          </w:p>
        </w:tc>
        <w:tc>
          <w:tcPr>
            <w:tcW w:w="191" w:type="dxa"/>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53" w:after="30"/>
              <w:ind w:left="0" w:right="0" w:hanging="0"/>
              <w:jc w:val="right"/>
              <w:rPr/>
            </w:pPr>
            <w:r>
              <w:rPr/>
              <w:t> </w:t>
            </w:r>
          </w:p>
        </w:tc>
        <w:tc>
          <w:tcPr>
            <w:tcW w:w="2686" w:type="dxa"/>
            <w:tcBorders/>
            <w:shd w:fill="auto" w:val="clear"/>
            <w:tcMar>
              <w:top w:w="0" w:type="dxa"/>
              <w:left w:w="0" w:type="dxa"/>
              <w:bottom w:w="0" w:type="dxa"/>
              <w:right w:w="0" w:type="dxa"/>
            </w:tcMar>
            <w:vAlign w:val="center"/>
          </w:tcPr>
          <w:p>
            <w:pPr>
              <w:pStyle w:val="TableContents"/>
              <w:spacing w:before="53" w:after="30"/>
              <w:ind w:left="0" w:right="0" w:hanging="0"/>
              <w:jc w:val="center"/>
              <w:rPr>
                <w:rFonts w:ascii="Arial;sans-serif" w:hAnsi="Arial;sans-serif"/>
                <w:b w:val="false"/>
                <w:sz w:val="18"/>
              </w:rPr>
            </w:pPr>
            <w:r>
              <w:rPr>
                <w:rFonts w:ascii="Arial;sans-serif" w:hAnsi="Arial;sans-serif"/>
                <w:b w:val="false"/>
                <w:sz w:val="18"/>
              </w:rPr>
              <w:t>Common stock, $1.00 par value</w:t>
            </w:r>
          </w:p>
        </w:tc>
        <w:tc>
          <w:tcPr>
            <w:tcW w:w="1511" w:type="dxa"/>
            <w:tcBorders/>
            <w:shd w:fill="auto" w:val="clear"/>
            <w:tcMar>
              <w:top w:w="0" w:type="dxa"/>
              <w:left w:w="0" w:type="dxa"/>
              <w:bottom w:w="0" w:type="dxa"/>
              <w:right w:w="0" w:type="dxa"/>
            </w:tcMar>
            <w:vAlign w:val="center"/>
          </w:tcPr>
          <w:p>
            <w:pPr>
              <w:pStyle w:val="TableContents"/>
              <w:spacing w:before="53" w:after="30"/>
              <w:ind w:left="0" w:right="0" w:hanging="0"/>
              <w:jc w:val="right"/>
              <w:rPr>
                <w:rFonts w:ascii="Arial;sans-serif" w:hAnsi="Arial;sans-serif"/>
                <w:b w:val="false"/>
                <w:sz w:val="18"/>
              </w:rPr>
            </w:pPr>
            <w:r>
              <w:rPr>
                <w:rFonts w:ascii="Arial;sans-serif" w:hAnsi="Arial;sans-serif"/>
                <w:b w:val="false"/>
                <w:sz w:val="18"/>
              </w:rPr>
              <w:t>66,660,004</w:t>
            </w:r>
          </w:p>
        </w:tc>
        <w:tc>
          <w:tcPr>
            <w:tcW w:w="96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shares</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Arial;sans-serif" w:hAnsi="Arial;sans-serif"/>
          <w:b/>
          <w:sz w:val="18"/>
        </w:rPr>
      </w:pPr>
      <w:bookmarkStart w:id="2" w:name="toc_page"/>
      <w:bookmarkEnd w:id="2"/>
      <w:r>
        <w:rPr>
          <w:rFonts w:ascii="Arial;sans-serif" w:hAnsi="Arial;sans-serif"/>
          <w:b/>
          <w:sz w:val="18"/>
        </w:rPr>
        <w:t>TABLE OF CONTENTS</w:t>
      </w:r>
    </w:p>
    <w:p>
      <w:pPr>
        <w:pStyle w:val="TextBody"/>
        <w:spacing w:before="0" w:after="0"/>
        <w:jc w:val="left"/>
        <w:rPr/>
      </w:pPr>
      <w:r>
        <w:rPr/>
        <w:t> </w:t>
      </w:r>
    </w:p>
    <w:tbl>
      <w:tblPr>
        <w:tblW w:w="9168" w:type="dxa"/>
        <w:jc w:val="left"/>
        <w:tblInd w:w="0" w:type="dxa"/>
        <w:tblCellMar>
          <w:top w:w="28" w:type="dxa"/>
          <w:left w:w="28" w:type="dxa"/>
          <w:bottom w:w="28" w:type="dxa"/>
          <w:right w:w="28" w:type="dxa"/>
        </w:tblCellMar>
      </w:tblPr>
      <w:tblGrid>
        <w:gridCol w:w="1231"/>
        <w:gridCol w:w="7351"/>
        <w:gridCol w:w="586"/>
      </w:tblGrid>
      <w:tr>
        <w:trPr/>
        <w:tc>
          <w:tcPr>
            <w:tcW w:w="1231"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586" w:type="dxa"/>
            <w:tcBorders/>
            <w:shd w:fill="auto" w:val="clear"/>
            <w:tcMar>
              <w:top w:w="0" w:type="dxa"/>
              <w:left w:w="0" w:type="dxa"/>
              <w:bottom w:w="0" w:type="dxa"/>
              <w:right w:w="0" w:type="dxa"/>
            </w:tcMar>
            <w:vAlign w:val="center"/>
          </w:tcPr>
          <w:p>
            <w:pPr>
              <w:pStyle w:val="TableContents"/>
              <w:pBdr>
                <w:bottom w:val="single" w:sz="6" w:space="1" w:color="000000"/>
              </w:pBdr>
              <w:spacing w:before="0" w:after="0"/>
              <w:ind w:left="0" w:right="0" w:hanging="0"/>
              <w:jc w:val="center"/>
              <w:rPr>
                <w:rFonts w:ascii="Arial;sans-serif" w:hAnsi="Arial;sans-serif"/>
                <w:b w:val="false"/>
                <w:sz w:val="18"/>
              </w:rPr>
            </w:pPr>
            <w:r>
              <w:rPr>
                <w:rFonts w:ascii="Arial;sans-serif" w:hAnsi="Arial;sans-serif"/>
                <w:b w:val="false"/>
                <w:sz w:val="18"/>
              </w:rPr>
              <w:t>Page</w:t>
            </w:r>
          </w:p>
        </w:tc>
      </w:tr>
      <w:tr>
        <w:trPr/>
        <w:tc>
          <w:tcPr>
            <w:tcW w:w="858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glossary">
              <w:r>
                <w:rPr>
                  <w:rStyle w:val="InternetLink"/>
                  <w:rFonts w:ascii="Arial;sans-serif" w:hAnsi="Arial;sans-serif"/>
                  <w:b w:val="false"/>
                  <w:sz w:val="18"/>
                  <w:u w:val="single"/>
                </w:rPr>
                <w:t>Glossary of Terms and Abbreviations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firstLine="15"/>
              <w:jc w:val="center"/>
              <w:rPr>
                <w:rFonts w:ascii="Arial;sans-serif" w:hAnsi="Arial;sans-serif"/>
                <w:b w:val="false"/>
                <w:sz w:val="18"/>
              </w:rPr>
            </w:pPr>
            <w:r>
              <w:rPr>
                <w:rFonts w:ascii="Arial;sans-serif" w:hAnsi="Arial;sans-serif"/>
                <w:b w:val="false"/>
                <w:sz w:val="18"/>
              </w:rPr>
              <w:t>3</w:t>
            </w:r>
          </w:p>
        </w:tc>
      </w:tr>
      <w:tr>
        <w:trPr/>
        <w:tc>
          <w:tcPr>
            <w:tcW w:w="8582" w:type="dxa"/>
            <w:gridSpan w:val="2"/>
            <w:tcBorders/>
            <w:shd w:fill="auto" w:val="clear"/>
            <w:tcMar>
              <w:top w:w="0" w:type="dxa"/>
              <w:left w:w="0" w:type="dxa"/>
              <w:bottom w:w="0" w:type="dxa"/>
              <w:right w:w="0" w:type="dxa"/>
            </w:tcMar>
            <w:vAlign w:val="center"/>
          </w:tcPr>
          <w:p>
            <w:pPr>
              <w:pStyle w:val="TableContents"/>
              <w:spacing w:before="0" w:after="0"/>
              <w:ind w:left="15" w:right="0" w:hanging="0"/>
              <w:jc w:val="left"/>
              <w:rPr/>
            </w:pPr>
            <w:hyperlink w:anchor="forward_looking_info">
              <w:r>
                <w:rPr>
                  <w:rStyle w:val="InternetLink"/>
                  <w:rFonts w:ascii="Arial;sans-serif" w:hAnsi="Arial;sans-serif"/>
                  <w:b w:val="false"/>
                  <w:sz w:val="18"/>
                  <w:u w:val="single"/>
                </w:rPr>
                <w:t>Forward-Looking Information</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858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1_fin_info">
              <w:r>
                <w:rPr>
                  <w:rStyle w:val="InternetLink"/>
                  <w:rFonts w:ascii="Arial;sans-serif" w:hAnsi="Arial;sans-serif"/>
                  <w:b w:val="false"/>
                  <w:sz w:val="18"/>
                  <w:u w:val="single"/>
                </w:rPr>
                <w:t>PART I. FINANCIAL INFORMATION</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_fin_stmts">
              <w:r>
                <w:rPr>
                  <w:rStyle w:val="InternetLink"/>
                  <w:rFonts w:ascii="Arial;sans-serif" w:hAnsi="Arial;sans-serif"/>
                  <w:b w:val="false"/>
                  <w:sz w:val="18"/>
                  <w:u w:val="single"/>
                </w:rPr>
                <w:t>Financial Statements - unaudited</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stmt_of_income">
              <w:r>
                <w:rPr>
                  <w:rStyle w:val="InternetLink"/>
                  <w:rFonts w:ascii="Arial;sans-serif" w:hAnsi="Arial;sans-serif"/>
                  <w:b w:val="false"/>
                  <w:sz w:val="18"/>
                  <w:u w:val="single"/>
                </w:rPr>
                <w:t>Consolidated Statements of Income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stmt_comp_income">
              <w:r>
                <w:rPr>
                  <w:rStyle w:val="InternetLink"/>
                  <w:rFonts w:ascii="Arial;sans-serif" w:hAnsi="Arial;sans-serif"/>
                  <w:b w:val="false"/>
                  <w:sz w:val="18"/>
                  <w:u w:val="single"/>
                </w:rPr>
                <w:t>Consolidated Statements of Comprehensive Income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bal_sheet">
              <w:r>
                <w:rPr>
                  <w:rStyle w:val="InternetLink"/>
                  <w:rFonts w:ascii="Arial;sans-serif" w:hAnsi="Arial;sans-serif"/>
                  <w:b w:val="false"/>
                  <w:sz w:val="18"/>
                  <w:u w:val="single"/>
                </w:rPr>
                <w:t>Consolidated Balance Sheets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stmt_cash_flows">
              <w:r>
                <w:rPr>
                  <w:rStyle w:val="InternetLink"/>
                  <w:rFonts w:ascii="Arial;sans-serif" w:hAnsi="Arial;sans-serif"/>
                  <w:b w:val="false"/>
                  <w:sz w:val="18"/>
                  <w:u w:val="single"/>
                </w:rPr>
                <w:t>Consolidated Statements of Cash Flows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stmt_of_equity">
              <w:r>
                <w:rPr>
                  <w:rStyle w:val="InternetLink"/>
                  <w:rFonts w:ascii="Arial;sans-serif" w:hAnsi="Arial;sans-serif"/>
                  <w:b w:val="false"/>
                  <w:sz w:val="18"/>
                  <w:u w:val="single"/>
                </w:rPr>
                <w:t>Consolidated Statements of Equity</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12</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notes_to_fin_stmts">
              <w:r>
                <w:rPr>
                  <w:rStyle w:val="InternetLink"/>
                  <w:rFonts w:ascii="Arial;sans-serif" w:hAnsi="Arial;sans-serif"/>
                  <w:b w:val="false"/>
                  <w:sz w:val="18"/>
                  <w:u w:val="single"/>
                </w:rPr>
                <w:t>Condensed Notes to Consolidated Financial Statements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_mgmt_stmt">
              <w:r>
                <w:rPr>
                  <w:rStyle w:val="InternetLink"/>
                  <w:rFonts w:ascii="Arial;sans-serif" w:hAnsi="Arial;sans-serif"/>
                  <w:b w:val="false"/>
                  <w:sz w:val="18"/>
                  <w:u w:val="single"/>
                </w:rPr>
                <w:t>Note 1. Management’s Statement</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2_regulatory_matters">
              <w:r>
                <w:rPr>
                  <w:rStyle w:val="InternetLink"/>
                  <w:rFonts w:ascii="Arial;sans-serif" w:hAnsi="Arial;sans-serif"/>
                  <w:b w:val="false"/>
                  <w:sz w:val="18"/>
                  <w:u w:val="single"/>
                </w:rPr>
                <w:t>Note 2. Regulatory Matters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14</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3_commit_conting_guaran">
              <w:r>
                <w:rPr>
                  <w:rStyle w:val="InternetLink"/>
                  <w:rFonts w:ascii="Arial;sans-serif" w:hAnsi="Arial;sans-serif"/>
                  <w:b w:val="false"/>
                  <w:sz w:val="18"/>
                  <w:u w:val="single"/>
                </w:rPr>
                <w:t>Note 3. Commitments, Contingencies and Guarantees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4_revenue">
              <w:r>
                <w:rPr>
                  <w:rStyle w:val="InternetLink"/>
                  <w:rFonts w:ascii="Arial;sans-serif" w:hAnsi="Arial;sans-serif"/>
                  <w:b w:val="false"/>
                  <w:sz w:val="18"/>
                  <w:u w:val="single"/>
                </w:rPr>
                <w:t>Note 4. Revenue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5_financing">
              <w:r>
                <w:rPr>
                  <w:rStyle w:val="InternetLink"/>
                  <w:rFonts w:ascii="Arial;sans-serif" w:hAnsi="Arial;sans-serif"/>
                  <w:b w:val="false"/>
                  <w:sz w:val="18"/>
                  <w:u w:val="single"/>
                </w:rPr>
                <w:t>Note 5. Financing</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6_earnings_per_share">
              <w:r>
                <w:rPr>
                  <w:rStyle w:val="InternetLink"/>
                  <w:rFonts w:ascii="Arial;sans-serif" w:hAnsi="Arial;sans-serif"/>
                  <w:b w:val="false"/>
                  <w:sz w:val="18"/>
                  <w:u w:val="single"/>
                </w:rPr>
                <w:t>Note 6. Earnings Per Share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7_risk_mgmt_deriv">
              <w:r>
                <w:rPr>
                  <w:rStyle w:val="InternetLink"/>
                  <w:rFonts w:ascii="Arial;sans-serif" w:hAnsi="Arial;sans-serif"/>
                  <w:b w:val="false"/>
                  <w:sz w:val="18"/>
                  <w:u w:val="single"/>
                </w:rPr>
                <w:t>Note 7. Risk Management and Derivatives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8_fair_value_measur">
              <w:r>
                <w:rPr>
                  <w:rStyle w:val="InternetLink"/>
                  <w:rFonts w:ascii="Arial;sans-serif" w:hAnsi="Arial;sans-serif"/>
                  <w:b w:val="false"/>
                  <w:sz w:val="18"/>
                  <w:u w:val="single"/>
                </w:rPr>
                <w:t>Note 8. Fair Value Measurements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9_other_comp_inc">
              <w:r>
                <w:rPr>
                  <w:rStyle w:val="InternetLink"/>
                  <w:rFonts w:ascii="Arial;sans-serif" w:hAnsi="Arial;sans-serif"/>
                  <w:b w:val="false"/>
                  <w:sz w:val="18"/>
                  <w:u w:val="single"/>
                </w:rPr>
                <w:t>Note 9. Other Comprehensive Income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22</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0_employee_benefit_plans">
              <w:r>
                <w:rPr>
                  <w:rStyle w:val="InternetLink"/>
                  <w:rFonts w:ascii="Arial;sans-serif" w:hAnsi="Arial;sans-serif"/>
                  <w:b w:val="false"/>
                  <w:sz w:val="18"/>
                  <w:u w:val="single"/>
                </w:rPr>
                <w:t>Note 10. Employee Benefit Plans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1_income_taxes">
              <w:r>
                <w:rPr>
                  <w:rStyle w:val="InternetLink"/>
                  <w:rFonts w:ascii="Arial;sans-serif" w:hAnsi="Arial;sans-serif"/>
                  <w:b w:val="false"/>
                  <w:sz w:val="18"/>
                  <w:u w:val="single"/>
                </w:rPr>
                <w:t>Note 11. Income Taxes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2_business_segment_info">
              <w:r>
                <w:rPr>
                  <w:rStyle w:val="InternetLink"/>
                  <w:rFonts w:ascii="Arial;sans-serif" w:hAnsi="Arial;sans-serif"/>
                  <w:b w:val="false"/>
                  <w:sz w:val="18"/>
                  <w:u w:val="single"/>
                </w:rPr>
                <w:t>Note 12. Business Segment Information</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24</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3_sel_bal_sheet_info">
              <w:r>
                <w:rPr>
                  <w:rStyle w:val="InternetLink"/>
                  <w:rFonts w:ascii="Arial;sans-serif" w:hAnsi="Arial;sans-serif"/>
                  <w:b w:val="false"/>
                  <w:sz w:val="18"/>
                  <w:u w:val="single"/>
                </w:rPr>
                <w:t>Note 13. Selected Balance Sheet Information</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hyperlink w:anchor="fn14_subsequent_events">
              <w:r>
                <w:rPr>
                  <w:rStyle w:val="InternetLink"/>
                  <w:rFonts w:ascii="Arial;sans-serif" w:hAnsi="Arial;sans-serif"/>
                  <w:b w:val="false"/>
                  <w:sz w:val="18"/>
                  <w:u w:val="single"/>
                </w:rPr>
                <w:t>Note 14. Subsequent Events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_mda">
              <w:r>
                <w:rPr>
                  <w:rStyle w:val="InternetLink"/>
                  <w:rFonts w:ascii="Arial;sans-serif" w:hAnsi="Arial;sans-serif"/>
                  <w:b w:val="false"/>
                  <w:sz w:val="18"/>
                  <w:u w:val="single"/>
                </w:rPr>
                <w:t>Management’s Discussion and Analysis of Financial Condition and Results of Operations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exec_summary">
              <w:r>
                <w:rPr>
                  <w:rStyle w:val="InternetLink"/>
                  <w:rFonts w:ascii="Arial;sans-serif" w:hAnsi="Arial;sans-serif"/>
                  <w:b w:val="false"/>
                  <w:sz w:val="18"/>
                  <w:u w:val="single"/>
                </w:rPr>
                <w:t>Executive Summary</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recent_developments">
              <w:r>
                <w:rPr>
                  <w:rStyle w:val="InternetLink"/>
                  <w:rFonts w:ascii="Arial;sans-serif" w:hAnsi="Arial;sans-serif"/>
                  <w:b w:val="false"/>
                  <w:sz w:val="18"/>
                  <w:u w:val="single"/>
                </w:rPr>
                <w:t>Recent Developments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results_of_ops">
              <w:r>
                <w:rPr>
                  <w:rStyle w:val="InternetLink"/>
                  <w:rFonts w:ascii="Arial;sans-serif" w:hAnsi="Arial;sans-serif"/>
                  <w:b w:val="false"/>
                  <w:sz w:val="18"/>
                  <w:u w:val="single"/>
                </w:rPr>
                <w:t>Results of Operations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7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75" w:right="0" w:hanging="0"/>
              <w:jc w:val="left"/>
              <w:rPr/>
            </w:pPr>
            <w:hyperlink w:anchor="mda_consol_summary">
              <w:r>
                <w:rPr>
                  <w:rStyle w:val="InternetLink"/>
                  <w:rFonts w:ascii="Arial;sans-serif" w:hAnsi="Arial;sans-serif"/>
                  <w:b w:val="false"/>
                  <w:sz w:val="18"/>
                  <w:u w:val="single"/>
                </w:rPr>
                <w:t>Consolidated Summary and Overview</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7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75" w:right="0" w:hanging="0"/>
              <w:jc w:val="left"/>
              <w:rPr/>
            </w:pPr>
            <w:hyperlink w:anchor="mda_non_gaap_fin_measures">
              <w:r>
                <w:rPr>
                  <w:rStyle w:val="InternetLink"/>
                  <w:rFonts w:ascii="Arial;sans-serif" w:hAnsi="Arial;sans-serif"/>
                  <w:b w:val="false"/>
                  <w:sz w:val="18"/>
                  <w:u w:val="single"/>
                </w:rPr>
                <w:t>Non-GAAP Financial Measure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electric">
              <w:r>
                <w:rPr>
                  <w:rStyle w:val="InternetLink"/>
                  <w:rFonts w:ascii="Arial;sans-serif" w:hAnsi="Arial;sans-serif"/>
                  <w:b w:val="false"/>
                  <w:sz w:val="18"/>
                  <w:u w:val="single"/>
                </w:rPr>
                <w:t>Electric Utilities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28</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gas">
              <w:r>
                <w:rPr>
                  <w:rStyle w:val="InternetLink"/>
                  <w:rFonts w:ascii="Arial;sans-serif" w:hAnsi="Arial;sans-serif"/>
                  <w:b w:val="false"/>
                  <w:sz w:val="18"/>
                  <w:u w:val="single"/>
                </w:rPr>
                <w:t>Gas Utilities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corp_other">
              <w:r>
                <w:rPr>
                  <w:rStyle w:val="InternetLink"/>
                  <w:rFonts w:ascii="Arial;sans-serif" w:hAnsi="Arial;sans-serif"/>
                  <w:b w:val="false"/>
                  <w:sz w:val="18"/>
                  <w:u w:val="single"/>
                </w:rPr>
                <w:t>Corporate and Other</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below_the_line_exp">
              <w:r>
                <w:rPr>
                  <w:rStyle w:val="InternetLink"/>
                  <w:rFonts w:ascii="Arial;sans-serif" w:hAnsi="Arial;sans-serif"/>
                  <w:b w:val="false"/>
                  <w:sz w:val="18"/>
                  <w:u w:val="single"/>
                </w:rPr>
                <w:t>Consolidated Interest Expense, Other Income and Income Tax Expense</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32</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liquidity">
              <w:r>
                <w:rPr>
                  <w:rStyle w:val="InternetLink"/>
                  <w:rFonts w:ascii="Arial;sans-serif" w:hAnsi="Arial;sans-serif"/>
                  <w:b w:val="false"/>
                  <w:sz w:val="18"/>
                  <w:u w:val="single"/>
                </w:rPr>
                <w:t>Liquidity and Capital Resources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liq_cashflow_act">
              <w:r>
                <w:rPr>
                  <w:rStyle w:val="InternetLink"/>
                  <w:rFonts w:ascii="Arial;sans-serif" w:hAnsi="Arial;sans-serif"/>
                  <w:b w:val="false"/>
                  <w:sz w:val="18"/>
                  <w:u w:val="single"/>
                </w:rPr>
                <w:t>Cash Flow Activities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33</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liq_cap_resources">
              <w:r>
                <w:rPr>
                  <w:rStyle w:val="InternetLink"/>
                  <w:rFonts w:ascii="Arial;sans-serif" w:hAnsi="Arial;sans-serif"/>
                  <w:b w:val="false"/>
                  <w:sz w:val="18"/>
                  <w:u w:val="single"/>
                </w:rPr>
                <w:t>Capital Resources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34</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liq_credit_ratings">
              <w:r>
                <w:rPr>
                  <w:rStyle w:val="InternetLink"/>
                  <w:rFonts w:ascii="Arial;sans-serif" w:hAnsi="Arial;sans-serif"/>
                  <w:b w:val="false"/>
                  <w:sz w:val="18"/>
                  <w:u w:val="single"/>
                </w:rPr>
                <w:t>Credit Ratings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36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360" w:right="0" w:hanging="0"/>
              <w:jc w:val="left"/>
              <w:rPr/>
            </w:pPr>
            <w:hyperlink w:anchor="mda_liq_cap_require">
              <w:r>
                <w:rPr>
                  <w:rStyle w:val="InternetLink"/>
                  <w:rFonts w:ascii="Arial;sans-serif" w:hAnsi="Arial;sans-serif"/>
                  <w:b w:val="false"/>
                  <w:sz w:val="18"/>
                  <w:u w:val="single"/>
                </w:rPr>
                <w:t>Capital Requirements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critical_acct_est">
              <w:r>
                <w:rPr>
                  <w:rStyle w:val="InternetLink"/>
                  <w:rFonts w:ascii="Arial;sans-serif" w:hAnsi="Arial;sans-serif"/>
                  <w:b w:val="false"/>
                  <w:sz w:val="18"/>
                  <w:u w:val="single"/>
                </w:rPr>
                <w:t>Critical Accounting Estimates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13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135" w:right="0" w:hanging="0"/>
              <w:jc w:val="left"/>
              <w:rPr/>
            </w:pPr>
            <w:hyperlink w:anchor="mda_new_acctg_pronounce">
              <w:r>
                <w:rPr>
                  <w:rStyle w:val="InternetLink"/>
                  <w:rFonts w:ascii="Arial;sans-serif" w:hAnsi="Arial;sans-serif"/>
                  <w:b w:val="false"/>
                  <w:sz w:val="18"/>
                  <w:u w:val="single"/>
                </w:rPr>
                <w:t>New Accounting Pronouncements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3.</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quan_qual_discl">
              <w:r>
                <w:rPr>
                  <w:rStyle w:val="InternetLink"/>
                  <w:rFonts w:ascii="Arial;sans-serif" w:hAnsi="Arial;sans-serif"/>
                  <w:b w:val="false"/>
                  <w:sz w:val="18"/>
                  <w:u w:val="single"/>
                </w:rPr>
                <w:t>Quantitative and Qualitative Disclosures About Market Risk</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controls_procedures">
              <w:r>
                <w:rPr>
                  <w:rStyle w:val="InternetLink"/>
                  <w:rFonts w:ascii="Arial;sans-serif" w:hAnsi="Arial;sans-serif"/>
                  <w:b w:val="false"/>
                  <w:sz w:val="18"/>
                  <w:u w:val="single"/>
                </w:rPr>
                <w:t>Controls and Procedures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916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PART II. OTHER INFORMATION</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item1_legal_proceed">
              <w:r>
                <w:rPr>
                  <w:rStyle w:val="InternetLink"/>
                  <w:rFonts w:ascii="Arial;sans-serif" w:hAnsi="Arial;sans-serif"/>
                  <w:b w:val="false"/>
                  <w:sz w:val="18"/>
                  <w:u w:val="single"/>
                </w:rPr>
                <w:t>Legal Proceedings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1A.</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item1a_risk_factors">
              <w:r>
                <w:rPr>
                  <w:rStyle w:val="InternetLink"/>
                  <w:rFonts w:ascii="Arial;sans-serif" w:hAnsi="Arial;sans-serif"/>
                  <w:b w:val="false"/>
                  <w:sz w:val="18"/>
                  <w:u w:val="single"/>
                </w:rPr>
                <w:t>Risk Factors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item2_unreg_sales">
              <w:r>
                <w:rPr>
                  <w:rStyle w:val="InternetLink"/>
                  <w:rFonts w:ascii="Arial;sans-serif" w:hAnsi="Arial;sans-serif"/>
                  <w:b w:val="false"/>
                  <w:sz w:val="18"/>
                  <w:u w:val="single"/>
                </w:rPr>
                <w:t>Unregistered Sales of Equity Securities and Use of Proceeds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item4_mine_safety">
              <w:r>
                <w:rPr>
                  <w:rStyle w:val="InternetLink"/>
                  <w:rFonts w:ascii="Arial;sans-serif" w:hAnsi="Arial;sans-serif"/>
                  <w:b w:val="false"/>
                  <w:sz w:val="18"/>
                  <w:u w:val="single"/>
                </w:rPr>
                <w:t>Mine Safety Disclosures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Item 6.</w:t>
            </w:r>
          </w:p>
        </w:tc>
        <w:tc>
          <w:tcPr>
            <w:tcW w:w="73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ii_item6_exhibits">
              <w:r>
                <w:rPr>
                  <w:rStyle w:val="InternetLink"/>
                  <w:rFonts w:ascii="Arial;sans-serif" w:hAnsi="Arial;sans-serif"/>
                  <w:b w:val="false"/>
                  <w:sz w:val="18"/>
                  <w:u w:val="single"/>
                </w:rPr>
                <w:t>Exhibits</w:t>
              </w:r>
            </w:hyperlink>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37</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r>
              <w:rPr/>
              <w:t> </w:t>
            </w:r>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firstLine="225"/>
              <w:jc w:val="left"/>
              <w:rPr/>
            </w:pPr>
            <w:hyperlink w:anchor="signatures">
              <w:r>
                <w:rPr>
                  <w:rStyle w:val="InternetLink"/>
                  <w:rFonts w:ascii="Arial;sans-serif" w:hAnsi="Arial;sans-serif"/>
                  <w:b w:val="false"/>
                  <w:sz w:val="18"/>
                  <w:u w:val="single"/>
                </w:rPr>
                <w:t>Signatures</w:t>
              </w:r>
            </w:hyperlink>
          </w:p>
        </w:tc>
        <w:tc>
          <w:tcPr>
            <w:tcW w:w="7351" w:type="dxa"/>
            <w:tcBorders/>
            <w:shd w:fill="auto" w:val="clear"/>
            <w:tcMar>
              <w:top w:w="0" w:type="dxa"/>
              <w:left w:w="0" w:type="dxa"/>
              <w:bottom w:w="0" w:type="dxa"/>
              <w:right w:w="0" w:type="dxa"/>
            </w:tcMar>
            <w:vAlign w:val="center"/>
          </w:tcPr>
          <w:p>
            <w:pPr>
              <w:pStyle w:val="TableContents"/>
              <w:spacing w:before="0" w:after="0"/>
              <w:ind w:left="225" w:right="0" w:hanging="0"/>
              <w:jc w:val="left"/>
              <w:rPr/>
            </w:pPr>
            <w:r>
              <w:rPr/>
              <w:t> </w:t>
            </w:r>
          </w:p>
        </w:tc>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38</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bookmarkStart w:id="3" w:name="glossary"/>
      <w:bookmarkEnd w:id="3"/>
      <w:r>
        <w:rPr>
          <w:rFonts w:ascii="Arial;sans-serif" w:hAnsi="Arial;sans-serif"/>
          <w:b/>
          <w:sz w:val="18"/>
        </w:rPr>
        <w:t>GLOSSARY OF TERMS AND ABBREVIATIONS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terms and abbreviations appear in the text of this report and have the definitions described below:</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92"/>
        <w:gridCol w:w="8513"/>
      </w:tblGrid>
      <w:tr>
        <w:trPr/>
        <w:tc>
          <w:tcPr>
            <w:tcW w:w="1692" w:type="dxa"/>
            <w:tcBorders/>
            <w:shd w:fill="auto" w:val="clear"/>
            <w:vAlign w:val="center"/>
          </w:tcPr>
          <w:p>
            <w:pPr>
              <w:pStyle w:val="TableContents"/>
              <w:spacing w:before="0" w:after="283"/>
              <w:rPr>
                <w:sz w:val="4"/>
                <w:szCs w:val="4"/>
              </w:rPr>
            </w:pPr>
            <w:r>
              <w:rPr>
                <w:sz w:val="4"/>
                <w:szCs w:val="4"/>
              </w:rPr>
            </w:r>
          </w:p>
        </w:tc>
        <w:tc>
          <w:tcPr>
            <w:tcW w:w="8513" w:type="dxa"/>
            <w:tcBorders/>
            <w:shd w:fill="auto" w:val="clear"/>
            <w:vAlign w:val="center"/>
          </w:tcPr>
          <w:p>
            <w:pPr>
              <w:pStyle w:val="TableContents"/>
              <w:spacing w:before="0" w:after="283"/>
              <w:rPr>
                <w:sz w:val="4"/>
                <w:szCs w:val="4"/>
              </w:rPr>
            </w:pPr>
            <w:r>
              <w:rPr>
                <w:sz w:val="4"/>
                <w:szCs w:val="4"/>
              </w:rPr>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AFUDC</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Allowance for Funds Used During Construction</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AOCI</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Accumulated Other Comprehensive Income (Loss)</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Arkansas Gas</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Energy Arkansas, Inc., an indirect, wholly-owned subsidiary of Black Hills Utility Holdings, providing natural gas services to customers in Arkansas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ASU</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Accounting Standards Update issued by the FASB</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ATM</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At-the-market equity offering program</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Availability</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availability factor of a power plant is the percentage of the time that it is available to provide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BHC</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Corporation; the Company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Colorado IPP</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Colorado IPP, LLC a 50.1% owned subsidiary of Black Hills Electric Generation</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Electric Generation</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Electric Generation, LLC, a direct, wholly-owned subsidiary of Black Hills Non-regulated Holdings, providing wholesale electric capacity and energy primarily to our affiliate utilities.</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Energy</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name used to conduct the business of our utility companies.</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Energy Services</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Energy Services Company, an indirect, wholly-owned subsidiary of Black Hills Utility Holdings, providing natural gas commodity supply for the Choice Gas Programs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Non-regulated Holdings</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Non-regulated Holdings, LLC, a direct, wholly-owned subsidiary of Black Hills Corporation</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Utility Holdings</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Utility Holdings, Inc., a direct, wholly-owned subsidiary of Black Hills Corporation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Wyoming</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Wyoming, LLC, a direct, wholly-owned subsidiary of Black Hills Electric Generation</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Blockchain Interruptible Service (BCIS) tariff</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BCIS tariff was proposed by Wyoming Electric and approved by the WPSC in 2019. The tariff was developed to attract new large electric loads related to blockchain and other industry growth with high energy demand.</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Cheyenne Light</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Cheyenne Light, Fuel and Power Company, a direct, wholly-owned subsidiary of Black Hills Corporation, providing electric service in the Cheyenne, Wyoming area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Choice Gas Program</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Regulator-approved programs in Wyoming and Nebraska that allow certain utility customers to select their natural gas commodity supplier, providing for the unbundling of the commodity service from the distribution delivery service.</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Clean Energy Plan</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2030 Ready Plan that establishes a roadmap and preferred resource portfolio for Colorado Electric to cost-effectively achieve the State of Colorado's requirement calling upon electric utilities to reduce GHG emissions by a minimum of 80% by 2030. The preferred resource portfolio calls for the addition of 149 MW of wind, 258 MW of solar and 50 MW of battery storage to Colorado Electric's system. The final mix of resources will be determined by the results of a competitive solicitation starting in 2023. Colorado legislation allows electric utilities to own up to 50% of the renewable generation assets added to comply with the Clean Energy Plan.</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Electric</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Colorado Electric, LLC, a direct, wholly-owned subsidiary of Black Hills Utility Holdings, providing natural gas services to customers in Colorado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Gas</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Colorado Gas, Inc., an indirect, wholly-owned subsidiary of Black Hills Utility Holdings, providing natural gas services to customers in Colorado (doing business as Black Hills Energy).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Common Use System</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Common Use System is a jointly operated transmission system we participated in with Basin Electric Power Cooperative and Powder River Energy Corporation. The Common Use System provides transmission service over these utilities' combined 230-kilovolt (kV) and limited 69-kV transmission facilities within areas of southwestern South Dakota and northeastern Wyoming.</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Consolidated Indebtedness to Capitalization Ratio</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Any indebtedness outstanding at such time, divided by capital at such time. Capital being consolidated net worth (excluding non-controlling interest) plus consolidated indebtedness (including letters of credit and certain guarantees issued) as defined within the current Revolving Credit Facility.</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Cooling Degree Day</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 cooling degree day is equivalent to each degree that the average of the high and low temperatures for a day is above 65 degrees. The warmer the climate, the greater the number of cooling degree days. Cooling degree days are used in the utility industry to measure the relative warmth and to compare relative temperatures between one geographic area and another. Normal degree days are based on the National Weather Service data for selected locations.</w:t>
            </w:r>
          </w:p>
        </w:tc>
      </w:tr>
      <w:tr>
        <w:trPr/>
        <w:tc>
          <w:tcPr>
            <w:tcW w:w="169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CP Program</w:t>
            </w:r>
          </w:p>
        </w:tc>
        <w:tc>
          <w:tcPr>
            <w:tcW w:w="851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Commercial Paper Program</w:t>
            </w:r>
          </w:p>
        </w:tc>
      </w:tr>
    </w:tbl>
    <w:p>
      <w:pPr>
        <w:pStyle w:val="TextBody"/>
        <w:spacing w:before="0" w:after="0"/>
        <w:jc w:val="center"/>
        <w:rPr>
          <w:rFonts w:ascii="Arial;sans-serif" w:hAnsi="Arial;sans-serif"/>
          <w:b w:val="false"/>
          <w:sz w:val="18"/>
        </w:rPr>
      </w:pPr>
      <w:r>
        <w:rPr>
          <w:rFonts w:ascii="Arial;sans-serif" w:hAnsi="Arial;sans-serif"/>
          <w:b w:val="false"/>
          <w:sz w:val="18"/>
        </w:rPr>
        <w:t>3</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358"/>
        <w:gridCol w:w="8847"/>
      </w:tblGrid>
      <w:tr>
        <w:trPr/>
        <w:tc>
          <w:tcPr>
            <w:tcW w:w="1358" w:type="dxa"/>
            <w:tcBorders/>
            <w:shd w:fill="auto" w:val="clear"/>
            <w:vAlign w:val="center"/>
          </w:tcPr>
          <w:p>
            <w:pPr>
              <w:pStyle w:val="TableContents"/>
              <w:spacing w:before="0" w:after="283"/>
              <w:rPr>
                <w:sz w:val="4"/>
                <w:szCs w:val="4"/>
              </w:rPr>
            </w:pPr>
            <w:r>
              <w:rPr>
                <w:sz w:val="4"/>
                <w:szCs w:val="4"/>
              </w:rPr>
            </w:r>
          </w:p>
        </w:tc>
        <w:tc>
          <w:tcPr>
            <w:tcW w:w="8847" w:type="dxa"/>
            <w:tcBorders/>
            <w:shd w:fill="auto" w:val="clear"/>
            <w:vAlign w:val="center"/>
          </w:tcPr>
          <w:p>
            <w:pPr>
              <w:pStyle w:val="TableContents"/>
              <w:spacing w:before="0" w:after="283"/>
              <w:rPr>
                <w:sz w:val="4"/>
                <w:szCs w:val="4"/>
              </w:rPr>
            </w:pPr>
            <w:r>
              <w:rPr>
                <w:sz w:val="4"/>
                <w:szCs w:val="4"/>
              </w:rPr>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CPUC</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Public Utilities Commission</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Dth</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Dekatherm. A unit of energy equal to 10 therms or approximately one million British thermal units (MMBtu)</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FASB</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Financial Accounting Standards Board</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Fitch</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Fitch Ratings Inc.</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GAAP</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Accounting principles generally accepted in the United States of America</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Heating Degree Day</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 heating degree day is equivalent to each degree that the average of the high and the low temperatures for a day is below 65 degrees. The colder the climate, the greater the number of heating degree days. Heating degree days are used in the utility industry to measure the relative coldness and to compare relative temperatures between one geographic area and another. Normal degree days are based on the National Weather Service data for selected locations.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HomeServe</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 offer HomeServe products to our natural gas residential customers interested in purchasing additional home repair service plans.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Integrated Generation</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Non-regulated power generation and mining businesses that are vertically integrated within our Electric Utilities segment.</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Iowa Gas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Iowa Gas Utility Company, LLC, a direct, wholly-owned subsidiary of Black Hills Utility Holdings, providing natural gas services to customers in Iowa (doing business as Black Hills Energy).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IPP</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Independent Power Producer</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IRS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United States Internal Revenue Service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Kansas Gas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Kansas Gas Utility Company, LLC, a direct, wholly-owned subsidiary of Black Hills Utility Holdings, providing natural gas services to customers in Kansas (doing business as Black Hills Energy).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kV</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Kilovolt</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LIBOR</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London Interbank Offered Rate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MEAN</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Municipal Energy Agency of Nebraska</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MMBtu</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Million British thermal units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Moody's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Moody's Investors Service, Inc.</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MW</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Megawatts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MWh</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Megawatt-hours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Not applicable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Nebraska Gas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Nebraska Gas, LLC, an indirect, wholly-owned subsidiary of Black Hills Utility Holdings, providing natural gas services to customers in Nebraska (doing business as Black Hills Energy).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NO</w:t>
            </w:r>
            <w:r>
              <w:rPr>
                <w:rFonts w:ascii="Arial;sans-serif" w:hAnsi="Arial;sans-serif"/>
                <w:b w:val="false"/>
                <w:sz w:val="12"/>
              </w:rPr>
              <w:t>x</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Nitrogen oxide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Northern Iowa Windpower</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Northern Iowa Windpower, LLC, a 87.1 MW wind farm located near Joice, Iowa, previously owned by Black Hills Electric Generation. In March 2023, Black Hills Electric Generation completed the sale of Northern Iowa Windpower assets to a third-party.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OCI</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PPA</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Power Purchase Agreement</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Pueblo Airport Generation</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420 MW combined cycle gas-fired power generation plants jointly owned by Colorado Electric (220 MW) and Black Hills Colorado IPP (200 MW). Black Hills Colorado IPP operates this facility. The plants commenced operation on January 1, 2012.</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Revolving Credit Facility</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Our $750 million credit facility used to fund working capital needs, letters of credit and other corporate purposes, which was amended and restated on July 19, 2021, and now terminates on July 19, 2026.</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RMNG</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Rocky Mountain Natural Gas LLC, an indirect, wholly-owned subsidiary of Black Hills Utility Holdings, providing natural gas transmission and wholesale services in western Colorado (doing business as Black Hills Energy).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SEC</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United States Securities and Exchange Commission</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Service Guard Comfort Plan</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Appliance protection plan that provides home appliance repair services through on-going monthly service agreements to residential utility customers.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S&amp;P</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S&amp;P Global Ratings, a division of S&amp;P Global Inc.</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SOFR</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Secured Overnight Financing Rate</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South Dakota Electric</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Power, Inc., a direct, wholly-owned subsidiary of Black Hills Corporation, providing electric service to customers in Montana, South Dakota and Wyoming (doing business as Black Hills Energy).</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SSIR</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System Safety and Integrity Rider</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Tech Services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Non-regulated product lines delivered by our Utilities that 1) provide electrical system construction services to large industrial customers of our electric utilities, and 2) serve gas transportation customers throughout its service territory by constructing and maintaining customer-owned gas infrastructure facilities, typically through one-time contracts.</w:t>
            </w:r>
          </w:p>
        </w:tc>
      </w:tr>
      <w:tr>
        <w:trPr/>
        <w:tc>
          <w:tcPr>
            <w:tcW w:w="135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Utilities</w:t>
            </w:r>
          </w:p>
        </w:tc>
        <w:tc>
          <w:tcPr>
            <w:tcW w:w="884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Electric and Gas Utilities</w:t>
            </w:r>
          </w:p>
        </w:tc>
      </w:tr>
    </w:tbl>
    <w:p>
      <w:pPr>
        <w:pStyle w:val="TextBody"/>
        <w:spacing w:before="0" w:after="0"/>
        <w:jc w:val="center"/>
        <w:rPr>
          <w:rFonts w:ascii="Arial;sans-serif" w:hAnsi="Arial;sans-serif"/>
          <w:b w:val="false"/>
          <w:sz w:val="18"/>
        </w:rPr>
      </w:pPr>
      <w:r>
        <w:rPr>
          <w:rFonts w:ascii="Arial;sans-serif" w:hAnsi="Arial;sans-serif"/>
          <w:b w:val="false"/>
          <w:sz w:val="18"/>
        </w:rPr>
        <w:t>4</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242"/>
        <w:gridCol w:w="8963"/>
      </w:tblGrid>
      <w:tr>
        <w:trPr/>
        <w:tc>
          <w:tcPr>
            <w:tcW w:w="1242" w:type="dxa"/>
            <w:tcBorders/>
            <w:shd w:fill="auto" w:val="clear"/>
            <w:vAlign w:val="center"/>
          </w:tcPr>
          <w:p>
            <w:pPr>
              <w:pStyle w:val="TableContents"/>
              <w:spacing w:before="0" w:after="283"/>
              <w:rPr>
                <w:sz w:val="4"/>
                <w:szCs w:val="4"/>
              </w:rPr>
            </w:pPr>
            <w:r>
              <w:rPr>
                <w:sz w:val="4"/>
                <w:szCs w:val="4"/>
              </w:rPr>
            </w:r>
          </w:p>
        </w:tc>
        <w:tc>
          <w:tcPr>
            <w:tcW w:w="8963" w:type="dxa"/>
            <w:tcBorders/>
            <w:shd w:fill="auto" w:val="clear"/>
            <w:vAlign w:val="center"/>
          </w:tcPr>
          <w:p>
            <w:pPr>
              <w:pStyle w:val="TableContents"/>
              <w:spacing w:before="0" w:after="283"/>
              <w:rPr>
                <w:sz w:val="4"/>
                <w:szCs w:val="4"/>
              </w:rPr>
            </w:pPr>
            <w:r>
              <w:rPr>
                <w:sz w:val="4"/>
                <w:szCs w:val="4"/>
              </w:rPr>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Wind Capacity Factor</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Measures the amount of electricity a wind turbine produces in a given time period relative to its maximum potential.</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Winter Storm Uri</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February 2021 winter weather event that caused extreme cold temperatures in the central United States and led to unprecedented fluctuations in customer demand and market pricing for natural gas and energy.</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WPSC</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Public Service Commission</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Wygen I</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 mine-mouth, coal-fired power plant with a total capacity of 90 MW located at our Gillette, Wyoming energy complex. Black Hills Wyoming owns a 76.5% of the facility and Municipal Energy Agency of Nebraska (MEAN) owns the remaining 23.5%.</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Wygen II</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 mine-mouth, coal-fired power plant owned by Wyoming Electric with a total capacity of 95 MW located at our Gillette, Wyoming energy complex.</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Wygen III</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 mine-mouth, coal-fired power plant operated by South Dakota Electric with a total capacity of 110 MW located at our Gillette, Wyoming energy complex. South Dakota Electric owns 52% of the power plant, MDU owns 25% and the City of Gillette owns the remaining 23%.</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Wyodak Plant</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The 362 MW mine-mouth, coal-fired generating facility near Gillette, Wyoming, jointly owned by PacifiCorp (80%) and South Dakota Electric (20%). Our WRDC mine supplies all of the fuel for the facility.</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Electric</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Cheyenne Light, Fuel and Power Company, a direct, wholly-owned subsidiary of Black Hills Corporation, providing electric service to customers in the Cheyenne, Wyoming area (doing business as Black Hills Energy).</w:t>
            </w:r>
          </w:p>
        </w:tc>
      </w:tr>
      <w:tr>
        <w:trPr/>
        <w:tc>
          <w:tcPr>
            <w:tcW w:w="12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Gas</w:t>
            </w:r>
          </w:p>
        </w:tc>
        <w:tc>
          <w:tcPr>
            <w:tcW w:w="896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Black Hills Wyoming Gas, LLC, an indirect and wholly-owned subsidiary of Black Hills Utility Holdings, providing natural gas services to customers in Wyoming (doing business as Black Hills Energy).</w:t>
            </w:r>
          </w:p>
        </w:tc>
      </w:tr>
    </w:tbl>
    <w:p>
      <w:pPr>
        <w:pStyle w:val="TextBody"/>
        <w:spacing w:before="0" w:after="0"/>
        <w:jc w:val="center"/>
        <w:rPr>
          <w:rFonts w:ascii="Arial;sans-serif" w:hAnsi="Arial;sans-serif"/>
          <w:b w:val="false"/>
          <w:sz w:val="18"/>
        </w:rPr>
      </w:pPr>
      <w:r>
        <w:rPr>
          <w:rFonts w:ascii="Arial;sans-serif" w:hAnsi="Arial;sans-serif"/>
          <w:b w:val="false"/>
          <w:sz w:val="18"/>
        </w:rPr>
        <w:t>5</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bookmarkStart w:id="4" w:name="forward_looking_info"/>
      <w:bookmarkEnd w:id="4"/>
      <w:r>
        <w:rPr>
          <w:rFonts w:ascii="Arial;sans-serif" w:hAnsi="Arial;sans-serif"/>
          <w:b/>
          <w:sz w:val="18"/>
        </w:rPr>
        <w:t>FORWARD-LOOKING INFORMATION</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2022 Annual Report on Form 10-K, Part II, </w:t>
      </w:r>
      <w:hyperlink w:anchor="partii_item1a_risk_factors">
        <w:r>
          <w:rPr>
            <w:rStyle w:val="InternetLink"/>
            <w:rFonts w:ascii="Arial;sans-serif" w:hAnsi="Arial;sans-serif"/>
            <w:b w:val="false"/>
            <w:sz w:val="18"/>
            <w:u w:val="single"/>
          </w:rPr>
          <w:t>Item 1A</w:t>
        </w:r>
      </w:hyperlink>
      <w:r>
        <w:rPr>
          <w:rFonts w:ascii="Times New Roman" w:hAnsi="Times New Roman"/>
          <w:sz w:val="20"/>
        </w:rPr>
        <w:t xml:space="preserve"> </w:t>
      </w:r>
      <w:r>
        <w:rPr>
          <w:rFonts w:ascii="Arial;sans-serif" w:hAnsi="Arial;sans-serif"/>
          <w:b w:val="false"/>
          <w:sz w:val="18"/>
        </w:rPr>
        <w:t>of this Quarterly Report on Form 10-Q and other reports that we file with the SEC from time to time, and the following:</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complete our capital program in a cost-effective and timely manner;</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execute on our strategy;</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successfully execute our financing plans;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The effects of changing interest rates;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achieve our greenhouse gas emissions intensity reduction goals;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Board of Directors’ approval of any future quarterly dividends;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The impact of future governmental regulation;</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Our ability to overcome the impacts of supply chain disruptions on availability and cost of materials;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The effects of inflation and volatile energy prices; 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Other factors discussed from time to time in our filings with the SEC.</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pStyle w:val="TextBody"/>
        <w:spacing w:before="0" w:after="0"/>
        <w:jc w:val="center"/>
        <w:rPr>
          <w:rFonts w:ascii="Arial;sans-serif" w:hAnsi="Arial;sans-serif"/>
          <w:b w:val="false"/>
          <w:sz w:val="18"/>
        </w:rPr>
      </w:pPr>
      <w:r>
        <w:rPr>
          <w:rFonts w:ascii="Arial;sans-serif" w:hAnsi="Arial;sans-serif"/>
          <w:b w:val="false"/>
          <w:sz w:val="18"/>
        </w:rPr>
        <w:t>6</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5" w:name="part1_fin_info"/>
      <w:bookmarkEnd w:id="5"/>
      <w:r>
        <w:rPr>
          <w:rFonts w:ascii="Arial;sans-serif" w:hAnsi="Arial;sans-serif"/>
          <w:b/>
          <w:sz w:val="18"/>
        </w:rPr>
        <w:t>PART I. FINANCIAL INFORMATION</w:t>
      </w:r>
    </w:p>
    <w:p>
      <w:pPr>
        <w:pStyle w:val="TextBody"/>
        <w:spacing w:before="0" w:after="0"/>
        <w:jc w:val="left"/>
        <w:rPr/>
      </w:pPr>
      <w:r>
        <w:rPr/>
        <w:t> </w:t>
      </w:r>
    </w:p>
    <w:p>
      <w:pPr>
        <w:pStyle w:val="TextBody"/>
        <w:spacing w:before="0" w:after="0"/>
        <w:jc w:val="left"/>
        <w:rPr>
          <w:rFonts w:ascii="Arial;sans-serif" w:hAnsi="Arial;sans-serif"/>
          <w:b/>
          <w:sz w:val="18"/>
        </w:rPr>
      </w:pPr>
      <w:bookmarkStart w:id="6" w:name="item1_fin_stmts"/>
      <w:bookmarkEnd w:id="6"/>
      <w:r>
        <w:rPr>
          <w:rFonts w:ascii="Arial;sans-serif" w:hAnsi="Arial;sans-serif"/>
          <w:b/>
          <w:sz w:val="18"/>
        </w:rPr>
        <w:t>ITEM 1. FINANCIAL STATEMENTS</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bookmarkStart w:id="7" w:name="stmt_of_income"/>
      <w:bookmarkEnd w:id="7"/>
      <w:r>
        <w:rPr>
          <w:rFonts w:ascii="Arial;sans-serif" w:hAnsi="Arial;sans-serif"/>
          <w:b/>
          <w:sz w:val="18"/>
        </w:rPr>
        <w:t>CONSOLIDATED STATEMENTS OF INCOME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45"/>
        <w:gridCol w:w="291"/>
        <w:gridCol w:w="1078"/>
        <w:gridCol w:w="228"/>
        <w:gridCol w:w="291"/>
        <w:gridCol w:w="1078"/>
        <w:gridCol w:w="394"/>
      </w:tblGrid>
      <w:tr>
        <w:trPr/>
        <w:tc>
          <w:tcPr>
            <w:tcW w:w="684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(unaudited)</w:t>
            </w:r>
          </w:p>
        </w:tc>
        <w:tc>
          <w:tcPr>
            <w:tcW w:w="2966"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w:t>
              <w:br/>
              <w:t>March 31,</w:t>
            </w:r>
          </w:p>
        </w:tc>
        <w:tc>
          <w:tcPr>
            <w:tcW w:w="394" w:type="dxa"/>
            <w:tcBorders/>
            <w:shd w:fill="auto" w:val="clear"/>
            <w:vAlign w:val="center"/>
          </w:tcPr>
          <w:p>
            <w:pPr>
              <w:pStyle w:val="TableContents"/>
              <w:spacing w:before="0" w:after="0"/>
              <w:ind w:left="0" w:right="0" w:hanging="0"/>
              <w:jc w:val="center"/>
              <w:rPr/>
            </w:pPr>
            <w:r>
              <w:rPr/>
              <w:t> </w:t>
            </w:r>
          </w:p>
        </w:tc>
      </w:tr>
      <w:tr>
        <w:trPr/>
        <w:tc>
          <w:tcPr>
            <w:tcW w:w="6845" w:type="dxa"/>
            <w:tcBorders/>
            <w:shd w:fill="auto" w:val="clear"/>
            <w:vAlign w:val="center"/>
          </w:tcPr>
          <w:p>
            <w:pPr>
              <w:pStyle w:val="TableContents"/>
              <w:spacing w:before="0" w:after="0"/>
              <w:ind w:left="0" w:right="0" w:hanging="0"/>
              <w:jc w:val="left"/>
              <w:rPr/>
            </w:pPr>
            <w:r>
              <w:rPr/>
              <w:t> </w:t>
            </w:r>
          </w:p>
        </w:tc>
        <w:tc>
          <w:tcPr>
            <w:tcW w:w="13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45" w:type="dxa"/>
            <w:tcBorders/>
            <w:shd w:fill="auto" w:val="clear"/>
            <w:vAlign w:val="center"/>
          </w:tcPr>
          <w:p>
            <w:pPr>
              <w:pStyle w:val="TableContents"/>
              <w:spacing w:before="0" w:after="0"/>
              <w:ind w:left="0" w:right="0" w:hanging="0"/>
              <w:jc w:val="left"/>
              <w:rPr/>
            </w:pPr>
            <w:r>
              <w:rPr/>
              <w:t> </w:t>
            </w:r>
          </w:p>
        </w:tc>
        <w:tc>
          <w:tcPr>
            <w:tcW w:w="2966"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 except per share amounts)</w:t>
            </w:r>
          </w:p>
        </w:tc>
        <w:tc>
          <w:tcPr>
            <w:tcW w:w="394" w:type="dxa"/>
            <w:tcBorders/>
            <w:shd w:fill="auto" w:val="clear"/>
            <w:vAlign w:val="center"/>
          </w:tcPr>
          <w:p>
            <w:pPr>
              <w:pStyle w:val="TableContents"/>
              <w:spacing w:before="0" w:after="0"/>
              <w:ind w:left="0" w:right="0" w:hanging="0"/>
              <w:jc w:val="center"/>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921,159</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823,570</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expenses:</w:t>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Fuel, purchased power and cost of natural gas sold</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526,267</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436,926</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Operations and maintenance</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140,988</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136,132</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Depreciation, depletion and amortization</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61,643</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60,463</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Taxes - property and production</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17,378</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16,696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845"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operating expenses</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746,276</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650,217</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174,883</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173,353</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(expense):</w:t>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 incurred net of amounts capitalized (including amortization of debt issuance costs, premiums and discounts)</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(44,065</w:t>
            </w:r>
          </w:p>
        </w:tc>
        <w:tc>
          <w:tcPr>
            <w:tcW w:w="22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(38,821</w:t>
            </w:r>
          </w:p>
        </w:tc>
        <w:tc>
          <w:tcPr>
            <w:tcW w:w="39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276</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net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704</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845"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other income (expense)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(42,830</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(37,841</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before income taxes</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132,053</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135,512</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(14,673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(14,488</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Arial;sans-serif" w:hAnsi="Arial;sans-serif"/>
                <w:b w:val="false"/>
                <w:sz w:val="18"/>
              </w:rPr>
            </w:pPr>
            <w:r>
              <w:rPr>
                <w:rFonts w:ascii="Arial;sans-serif" w:hAnsi="Arial;sans-serif"/>
                <w:b w:val="false"/>
                <w:sz w:val="18"/>
              </w:rPr>
              <w:t>)</w:t>
            </w:r>
          </w:p>
        </w:tc>
      </w:tr>
      <w:tr>
        <w:trPr/>
        <w:tc>
          <w:tcPr>
            <w:tcW w:w="684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Net income</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117,380</w:t>
            </w:r>
          </w:p>
        </w:tc>
        <w:tc>
          <w:tcPr>
            <w:tcW w:w="228"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121,024</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attributable to non-controlling interest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(3,296</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(3,498</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available for common stock</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114,084</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117,526</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Earnings per share of common stock:</w:t>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firstLine="100"/>
              <w:jc w:val="left"/>
              <w:rPr/>
            </w:pPr>
            <w:r>
              <w:rPr/>
              <w:t> </w:t>
            </w:r>
          </w:p>
        </w:tc>
      </w:tr>
      <w:tr>
        <w:trPr/>
        <w:tc>
          <w:tcPr>
            <w:tcW w:w="684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Earnings per share, Basic</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84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Earnings per share, Diluted</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283"/>
              <w:ind w:left="0" w:right="0" w:hanging="0"/>
              <w:rPr>
                <w:sz w:val="4"/>
                <w:szCs w:val="4"/>
              </w:rPr>
            </w:pPr>
            <w:r>
              <w:rPr>
                <w:sz w:val="4"/>
                <w:szCs w:val="4"/>
              </w:rPr>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hanging="0"/>
              <w:jc w:val="left"/>
              <w:rPr/>
            </w:pPr>
            <w:r>
              <w:rPr/>
              <w:t> </w:t>
            </w:r>
          </w:p>
        </w:tc>
      </w:tr>
      <w:tr>
        <w:trPr/>
        <w:tc>
          <w:tcPr>
            <w:tcW w:w="68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Weighed average common shares outstanding:</w:t>
            </w:r>
          </w:p>
        </w:tc>
        <w:tc>
          <w:tcPr>
            <w:tcW w:w="1369" w:type="dxa"/>
            <w:gridSpan w:val="2"/>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69" w:type="dxa"/>
            <w:gridSpan w:val="2"/>
            <w:tcBorders/>
            <w:shd w:fill="auto" w:val="clear"/>
            <w:vAlign w:val="center"/>
          </w:tcPr>
          <w:p>
            <w:pPr>
              <w:pStyle w:val="TableContents"/>
              <w:spacing w:before="0" w:after="0"/>
              <w:ind w:left="0" w:right="0" w:hanging="0"/>
              <w:jc w:val="left"/>
              <w:rPr/>
            </w:pPr>
            <w:r>
              <w:rPr/>
              <w:t> </w:t>
            </w:r>
          </w:p>
        </w:tc>
        <w:tc>
          <w:tcPr>
            <w:tcW w:w="394" w:type="dxa"/>
            <w:tcBorders/>
            <w:shd w:fill="auto" w:val="clear"/>
            <w:vAlign w:val="center"/>
          </w:tcPr>
          <w:p>
            <w:pPr>
              <w:pStyle w:val="TableContents"/>
              <w:spacing w:before="0" w:after="0"/>
              <w:ind w:left="0" w:right="0" w:firstLine="100"/>
              <w:jc w:val="left"/>
              <w:rPr/>
            </w:pPr>
            <w:r>
              <w:rPr/>
              <w:t> </w:t>
            </w:r>
          </w:p>
        </w:tc>
      </w:tr>
      <w:tr>
        <w:trPr/>
        <w:tc>
          <w:tcPr>
            <w:tcW w:w="684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Basic</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66,036</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64,565</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684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Diluted</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66,132</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64,721</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The accompanying </w:t>
      </w:r>
      <w:hyperlink w:anchor="notes_to_fin_stmts">
        <w:r>
          <w:rPr>
            <w:rStyle w:val="InternetLink"/>
            <w:rFonts w:ascii="Arial;sans-serif" w:hAnsi="Arial;sans-serif"/>
            <w:b w:val="false"/>
            <w:sz w:val="18"/>
            <w:u w:val="single"/>
          </w:rPr>
          <w:t>Condensed Notes to Consolidated Financial Statements</w:t>
        </w:r>
      </w:hyperlink>
      <w:r>
        <w:rPr>
          <w:rFonts w:ascii="Times New Roman" w:hAnsi="Times New Roman"/>
          <w:sz w:val="20"/>
        </w:rPr>
        <w:t xml:space="preserve"> </w:t>
      </w:r>
      <w:r>
        <w:rPr>
          <w:rFonts w:ascii="Arial;sans-serif" w:hAnsi="Arial;sans-serif"/>
          <w:b w:val="false"/>
          <w:sz w:val="18"/>
        </w:rPr>
        <w:t>are an integral part of these Consolidated Financial Statements.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7</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bookmarkStart w:id="8" w:name="stmt_comp_income"/>
      <w:bookmarkEnd w:id="8"/>
      <w:r>
        <w:rPr>
          <w:rFonts w:ascii="Arial;sans-serif" w:hAnsi="Arial;sans-serif"/>
          <w:b/>
          <w:sz w:val="18"/>
        </w:rPr>
        <w:t>CONSOLIDATED STATEMENTS OF COMPREHENSIVE INCOME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44"/>
        <w:gridCol w:w="211"/>
        <w:gridCol w:w="781"/>
        <w:gridCol w:w="166"/>
        <w:gridCol w:w="211"/>
        <w:gridCol w:w="781"/>
        <w:gridCol w:w="611"/>
      </w:tblGrid>
      <w:tr>
        <w:trPr/>
        <w:tc>
          <w:tcPr>
            <w:tcW w:w="7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(unaudited)</w:t>
            </w:r>
          </w:p>
        </w:tc>
        <w:tc>
          <w:tcPr>
            <w:tcW w:w="2150"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w:t>
              <w:br/>
              <w:t>March 31,</w:t>
            </w:r>
          </w:p>
        </w:tc>
        <w:tc>
          <w:tcPr>
            <w:tcW w:w="611" w:type="dxa"/>
            <w:tcBorders/>
            <w:shd w:fill="auto" w:val="clear"/>
            <w:vAlign w:val="center"/>
          </w:tcPr>
          <w:p>
            <w:pPr>
              <w:pStyle w:val="TableContents"/>
              <w:spacing w:before="0" w:after="0"/>
              <w:ind w:left="0" w:right="0" w:hanging="0"/>
              <w:jc w:val="center"/>
              <w:rPr/>
            </w:pPr>
            <w:r>
              <w:rPr/>
              <w:t> </w:t>
            </w:r>
          </w:p>
        </w:tc>
      </w:tr>
      <w:tr>
        <w:trPr/>
        <w:tc>
          <w:tcPr>
            <w:tcW w:w="7444"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444" w:type="dxa"/>
            <w:tcBorders/>
            <w:shd w:fill="auto" w:val="clear"/>
            <w:vAlign w:val="center"/>
          </w:tcPr>
          <w:p>
            <w:pPr>
              <w:pStyle w:val="TableContents"/>
              <w:spacing w:before="0" w:after="0"/>
              <w:ind w:left="0" w:right="0" w:hanging="0"/>
              <w:jc w:val="left"/>
              <w:rPr/>
            </w:pPr>
            <w:r>
              <w:rPr/>
              <w:t> </w:t>
            </w:r>
          </w:p>
        </w:tc>
        <w:tc>
          <w:tcPr>
            <w:tcW w:w="2150"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611" w:type="dxa"/>
            <w:tcBorders/>
            <w:shd w:fill="auto" w:val="clear"/>
            <w:vAlign w:val="center"/>
          </w:tcPr>
          <w:p>
            <w:pPr>
              <w:pStyle w:val="TableContents"/>
              <w:spacing w:before="0" w:after="0"/>
              <w:ind w:left="0" w:right="0" w:hanging="0"/>
              <w:jc w:val="center"/>
              <w:rPr/>
            </w:pPr>
            <w:r>
              <w:rPr/>
              <w:t> </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121,024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44"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 (loss), net of tax;</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400"/>
              <w:jc w:val="left"/>
              <w:rPr/>
            </w:pPr>
            <w:r>
              <w:rPr/>
              <w:t> </w:t>
            </w:r>
          </w:p>
        </w:tc>
      </w:tr>
      <w:tr>
        <w:trPr/>
        <w:tc>
          <w:tcPr>
            <w:tcW w:w="7444" w:type="dxa"/>
            <w:tcBorders/>
            <w:shd w:fill="auto" w:val="clear"/>
            <w:vAlign w:val="center"/>
          </w:tcPr>
          <w:p>
            <w:pPr>
              <w:pStyle w:val="TableContents"/>
              <w:spacing w:before="0" w:after="0"/>
              <w:ind w:left="400" w:right="0" w:hanging="0"/>
              <w:jc w:val="left"/>
              <w:rPr>
                <w:rFonts w:ascii="Times New Roman" w:hAnsi="Times New Roman"/>
                <w:sz w:val="20"/>
              </w:rPr>
            </w:pPr>
            <w:r>
              <w:rPr>
                <w:rFonts w:ascii="Arial;sans-serif" w:hAnsi="Arial;sans-serif"/>
                <w:b w:val="false"/>
                <w:sz w:val="18"/>
              </w:rPr>
              <w:t>Reclassification adjustments of benefit plan liability - prior service cost (net of tax of $0</w:t>
            </w:r>
            <w:r>
              <w:rPr>
                <w:rFonts w:ascii="Times New Roman" w:hAnsi="Times New Roman"/>
                <w:sz w:val="20"/>
              </w:rPr>
              <w:t> </w:t>
            </w:r>
            <w:r>
              <w:rPr>
                <w:rFonts w:ascii="Arial;sans-serif" w:hAnsi="Arial;sans-serif"/>
                <w:b w:val="false"/>
                <w:sz w:val="18"/>
              </w:rPr>
              <w:t>and $6, respectively)</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w:t>
            </w:r>
          </w:p>
        </w:tc>
        <w:tc>
          <w:tcPr>
            <w:tcW w:w="611" w:type="dxa"/>
            <w:tcBorders/>
            <w:shd w:fill="auto" w:val="cle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744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 xml:space="preserve">Reclassification adjustments of benefit plan liability - net loss </w:t>
              <w:br/>
              <w:t>(net of tax of $(16) and $(45), respectively)</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w:t>
            </w:r>
          </w:p>
        </w:tc>
        <w:tc>
          <w:tcPr>
            <w:tcW w:w="611" w:type="dxa"/>
            <w:tcBorders/>
            <w:shd w:fill="auto" w:val="clear"/>
            <w:vAlign w:val="center"/>
          </w:tcPr>
          <w:p>
            <w:pPr>
              <w:pStyle w:val="TableContents"/>
              <w:spacing w:before="0" w:after="0"/>
              <w:ind w:left="0" w:right="0" w:firstLine="200"/>
              <w:jc w:val="left"/>
              <w:rPr/>
            </w:pPr>
            <w:r>
              <w:rPr/>
              <w:t> </w:t>
            </w:r>
          </w:p>
        </w:tc>
      </w:tr>
      <w:tr>
        <w:trPr/>
        <w:tc>
          <w:tcPr>
            <w:tcW w:w="744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Derivative instruments designated as cash flow hedges:</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400"/>
              <w:jc w:val="left"/>
              <w:rPr/>
            </w:pPr>
            <w:r>
              <w:rPr/>
              <w:t> </w:t>
            </w:r>
          </w:p>
        </w:tc>
      </w:tr>
      <w:tr>
        <w:trPr/>
        <w:tc>
          <w:tcPr>
            <w:tcW w:w="744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Reclassification of net realized (gains) losses on settled/amortized interest rate swaps (net of tax of $(150) and $(177), respectively)</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536</w:t>
            </w:r>
          </w:p>
        </w:tc>
        <w:tc>
          <w:tcPr>
            <w:tcW w:w="611" w:type="dxa"/>
            <w:tcBorders/>
            <w:shd w:fill="auto" w:val="clear"/>
            <w:vAlign w:val="center"/>
          </w:tcPr>
          <w:p>
            <w:pPr>
              <w:pStyle w:val="TableContents"/>
              <w:spacing w:before="0" w:after="0"/>
              <w:ind w:left="0" w:right="0" w:firstLine="400"/>
              <w:jc w:val="left"/>
              <w:rPr/>
            </w:pPr>
            <w:r>
              <w:rPr/>
              <w:t> </w:t>
            </w:r>
          </w:p>
        </w:tc>
      </w:tr>
      <w:tr>
        <w:trPr/>
        <w:tc>
          <w:tcPr>
            <w:tcW w:w="7444" w:type="dxa"/>
            <w:tcBorders/>
            <w:shd w:fill="auto" w:val="clear"/>
            <w:vAlign w:val="center"/>
          </w:tcPr>
          <w:p>
            <w:pPr>
              <w:pStyle w:val="TableContents"/>
              <w:spacing w:before="0" w:after="0"/>
              <w:ind w:left="400" w:right="0" w:hanging="0"/>
              <w:jc w:val="left"/>
              <w:rPr>
                <w:rFonts w:ascii="Times New Roman" w:hAnsi="Times New Roman"/>
                <w:sz w:val="20"/>
              </w:rPr>
            </w:pPr>
            <w:r>
              <w:rPr>
                <w:rFonts w:ascii="Arial;sans-serif" w:hAnsi="Arial;sans-serif"/>
                <w:b w:val="false"/>
                <w:sz w:val="18"/>
              </w:rPr>
              <w:t xml:space="preserve">Net unrealized gains (losses) on commodity derivatives </w:t>
              <w:br/>
              <w:t>(net of tax of $268</w:t>
            </w:r>
            <w:r>
              <w:rPr>
                <w:rFonts w:ascii="Times New Roman" w:hAnsi="Times New Roman"/>
                <w:sz w:val="20"/>
              </w:rPr>
              <w:t> </w:t>
            </w:r>
            <w:r>
              <w:rPr>
                <w:rFonts w:ascii="Arial;sans-serif" w:hAnsi="Arial;sans-serif"/>
                <w:b w:val="false"/>
                <w:sz w:val="18"/>
              </w:rPr>
              <w:t>and $(340), respectively)</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1,047</w:t>
            </w:r>
          </w:p>
        </w:tc>
        <w:tc>
          <w:tcPr>
            <w:tcW w:w="611" w:type="dxa"/>
            <w:tcBorders/>
            <w:shd w:fill="auto" w:val="clear"/>
            <w:vAlign w:val="center"/>
          </w:tcPr>
          <w:p>
            <w:pPr>
              <w:pStyle w:val="TableContents"/>
              <w:spacing w:before="0" w:after="0"/>
              <w:ind w:left="0" w:right="0" w:firstLine="400"/>
              <w:jc w:val="left"/>
              <w:rPr/>
            </w:pPr>
            <w:r>
              <w:rPr/>
              <w:t> </w:t>
            </w:r>
          </w:p>
        </w:tc>
      </w:tr>
      <w:tr>
        <w:trPr/>
        <w:tc>
          <w:tcPr>
            <w:tcW w:w="744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Reclassification of net realized (gains) losses on settled commodity derivatives (net of $(466) and $552, respectively)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 net of tax</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44"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Comprehensive income</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118,600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121,030</w:t>
            </w:r>
          </w:p>
        </w:tc>
        <w:tc>
          <w:tcPr>
            <w:tcW w:w="611" w:type="dxa"/>
            <w:tcBorders/>
            <w:shd w:fill="auto" w:val="clear"/>
            <w:vAlign w:val="center"/>
          </w:tcPr>
          <w:p>
            <w:pPr>
              <w:pStyle w:val="TableContents"/>
              <w:spacing w:before="0" w:after="0"/>
              <w:ind w:left="0" w:right="0" w:hanging="0"/>
              <w:jc w:val="left"/>
              <w:rPr/>
            </w:pPr>
            <w:r>
              <w:rPr/>
              <w:t> </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Less: comprehensive income attributable to non-controlling interest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74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Comprehensive income available for common stock</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115,304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117,532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See </w:t>
      </w:r>
      <w:hyperlink w:anchor="fn9_other_comp_inc">
        <w:r>
          <w:rPr>
            <w:rStyle w:val="InternetLink"/>
            <w:rFonts w:ascii="Arial;sans-serif" w:hAnsi="Arial;sans-serif"/>
            <w:b w:val="false"/>
            <w:sz w:val="18"/>
            <w:u w:val="single"/>
          </w:rPr>
          <w:t>Note 9</w:t>
        </w:r>
      </w:hyperlink>
      <w:r>
        <w:rPr>
          <w:rFonts w:ascii="Times New Roman" w:hAnsi="Times New Roman"/>
          <w:sz w:val="20"/>
        </w:rPr>
        <w:t xml:space="preserve"> </w:t>
      </w:r>
      <w:r>
        <w:rPr>
          <w:rFonts w:ascii="Arial;sans-serif" w:hAnsi="Arial;sans-serif"/>
          <w:b w:val="false"/>
          <w:sz w:val="18"/>
        </w:rPr>
        <w:t>for additional disclosures.</w:t>
      </w:r>
    </w:p>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The accompanying </w:t>
      </w:r>
      <w:hyperlink w:anchor="notes_to_fin_stmts">
        <w:r>
          <w:rPr>
            <w:rStyle w:val="InternetLink"/>
            <w:rFonts w:ascii="Arial;sans-serif" w:hAnsi="Arial;sans-serif"/>
            <w:b w:val="false"/>
            <w:sz w:val="18"/>
            <w:u w:val="single"/>
          </w:rPr>
          <w:t>Condensed Notes to Consolidated Financial Statements</w:t>
        </w:r>
      </w:hyperlink>
      <w:r>
        <w:rPr>
          <w:rFonts w:ascii="Times New Roman" w:hAnsi="Times New Roman"/>
          <w:sz w:val="20"/>
        </w:rPr>
        <w:t xml:space="preserve"> </w:t>
      </w:r>
      <w:r>
        <w:rPr>
          <w:rFonts w:ascii="Arial;sans-serif" w:hAnsi="Arial;sans-serif"/>
          <w:b w:val="false"/>
          <w:sz w:val="18"/>
        </w:rPr>
        <w:t>are an integral part of these Consolidated Financial Statements.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8</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bookmarkStart w:id="9" w:name="bal_sheet"/>
      <w:bookmarkEnd w:id="9"/>
      <w:r>
        <w:rPr>
          <w:rFonts w:ascii="Arial;sans-serif" w:hAnsi="Arial;sans-serif"/>
          <w:b/>
          <w:sz w:val="18"/>
        </w:rPr>
        <w:t>CONSOLIDATED BALANCE SHEETS</w:t>
      </w:r>
    </w:p>
    <w:p>
      <w:pPr>
        <w:pStyle w:val="TextBody"/>
        <w:spacing w:before="0" w:after="0"/>
        <w:jc w:val="center"/>
        <w:rPr/>
      </w:pPr>
      <w:r>
        <w:rPr/>
        <w:t> </w:t>
      </w:r>
    </w:p>
    <w:tbl>
      <w:tblPr>
        <w:tblW w:w="7768" w:type="dxa"/>
        <w:jc w:val="left"/>
        <w:tblInd w:w="0" w:type="dxa"/>
        <w:tblCellMar>
          <w:top w:w="28" w:type="dxa"/>
          <w:left w:w="28" w:type="dxa"/>
          <w:bottom w:w="28" w:type="dxa"/>
          <w:right w:w="28" w:type="dxa"/>
        </w:tblCellMar>
      </w:tblPr>
      <w:tblGrid>
        <w:gridCol w:w="3886"/>
        <w:gridCol w:w="242"/>
        <w:gridCol w:w="1138"/>
        <w:gridCol w:w="166"/>
        <w:gridCol w:w="302"/>
        <w:gridCol w:w="1423"/>
        <w:gridCol w:w="611"/>
      </w:tblGrid>
      <w:tr>
        <w:trPr/>
        <w:tc>
          <w:tcPr>
            <w:tcW w:w="388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(unaudited)</w:t>
            </w:r>
          </w:p>
        </w:tc>
        <w:tc>
          <w:tcPr>
            <w:tcW w:w="3271"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w:t>
            </w:r>
          </w:p>
        </w:tc>
        <w:tc>
          <w:tcPr>
            <w:tcW w:w="611" w:type="dxa"/>
            <w:tcBorders/>
            <w:shd w:fill="auto" w:val="cle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pPr>
            <w:r>
              <w:rPr/>
              <w:t> </w:t>
            </w:r>
          </w:p>
        </w:tc>
        <w:tc>
          <w:tcPr>
            <w:tcW w:w="3271"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611" w:type="dxa"/>
            <w:tcBorders/>
            <w:shd w:fill="auto" w:val="cle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ASSETS</w:t>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Current assets:</w:t>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Cash and cash equivalents</w:t>
            </w:r>
          </w:p>
        </w:tc>
        <w:tc>
          <w:tcPr>
            <w:tcW w:w="24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39,365</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21,430</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Restricted cash and equivalents</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5,765</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5,555</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receivable, net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477,089</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508,192</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Materials, supplies and fuel</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129,960</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207,421</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Derivative assets, current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153</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582</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Income tax receivable, net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17,772</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17,637</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Regulatory assets, current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214,838</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260,312</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Other current assets</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33,376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50,579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88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current assets</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918,318</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1,071,708</w:t>
            </w:r>
          </w:p>
        </w:tc>
        <w:tc>
          <w:tcPr>
            <w:tcW w:w="6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283"/>
              <w:ind w:left="0" w:right="0" w:hanging="0"/>
              <w:rPr>
                <w:sz w:val="4"/>
                <w:szCs w:val="4"/>
              </w:rPr>
            </w:pPr>
            <w:r>
              <w:rPr>
                <w:sz w:val="4"/>
                <w:szCs w:val="4"/>
              </w:rPr>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Property, plant and equipment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8,466,173</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8,374,790</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Less: accumulated depreciation and depletion</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(1,628,772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(1,576,842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388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property, plant and equipment, net</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6,837,401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6,797,948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283"/>
              <w:ind w:left="0" w:right="0" w:hanging="0"/>
              <w:rPr>
                <w:sz w:val="4"/>
                <w:szCs w:val="4"/>
              </w:rPr>
            </w:pPr>
            <w:r>
              <w:rPr>
                <w:sz w:val="4"/>
                <w:szCs w:val="4"/>
              </w:rPr>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assets:</w:t>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Goodwill</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1,299,454</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1,299,454</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Intangible assets, net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9,296</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9,589</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Regulatory assets, non-current</w:t>
            </w:r>
          </w:p>
        </w:tc>
        <w:tc>
          <w:tcPr>
            <w:tcW w:w="242" w:type="dxa"/>
            <w:tcBorders/>
            <w:shd w:fill="auto" w:val="clear"/>
            <w:vAlign w:val="center"/>
          </w:tcPr>
          <w:p>
            <w:pPr>
              <w:pStyle w:val="TableContents"/>
              <w:spacing w:before="0" w:after="0"/>
              <w:ind w:left="0" w:right="0" w:hanging="0"/>
              <w:jc w:val="left"/>
              <w:rPr/>
            </w:pPr>
            <w:r>
              <w:rPr/>
              <w:t> </w:t>
            </w:r>
          </w:p>
        </w:tc>
        <w:tc>
          <w:tcPr>
            <w:tcW w:w="11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347,031</w:t>
            </w:r>
          </w:p>
        </w:tc>
        <w:tc>
          <w:tcPr>
            <w:tcW w:w="16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142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392,669</w:t>
            </w:r>
          </w:p>
        </w:tc>
        <w:tc>
          <w:tcPr>
            <w:tcW w:w="611" w:type="dxa"/>
            <w:tcBorders/>
            <w:shd w:fill="auto" w:val="clear"/>
            <w:vAlign w:val="center"/>
          </w:tcPr>
          <w:p>
            <w:pPr>
              <w:pStyle w:val="TableContents"/>
              <w:spacing w:before="0" w:after="0"/>
              <w:ind w:left="0" w:right="0" w:firstLine="200"/>
              <w:jc w:val="left"/>
              <w:rPr/>
            </w:pPr>
            <w:r>
              <w:rPr/>
              <w:t> </w:t>
            </w:r>
          </w:p>
        </w:tc>
      </w:tr>
      <w:tr>
        <w:trPr/>
        <w:tc>
          <w:tcPr>
            <w:tcW w:w="388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Other assets, non-current</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48,636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46,862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886"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other assets, non-current</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1,704,417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1,748,574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283"/>
              <w:ind w:left="0" w:right="0" w:hanging="0"/>
              <w:rPr>
                <w:sz w:val="4"/>
                <w:szCs w:val="4"/>
              </w:rPr>
            </w:pPr>
            <w:r>
              <w:rPr>
                <w:sz w:val="4"/>
                <w:szCs w:val="4"/>
              </w:rPr>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r>
        <w:trPr/>
        <w:tc>
          <w:tcPr>
            <w:tcW w:w="388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ASSETS</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9,460,136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9,618,230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The accompanying </w:t>
      </w:r>
      <w:hyperlink w:anchor="notes_to_fin_stmts">
        <w:r>
          <w:rPr>
            <w:rStyle w:val="InternetLink"/>
            <w:rFonts w:ascii="Arial;sans-serif" w:hAnsi="Arial;sans-serif"/>
            <w:b w:val="false"/>
            <w:sz w:val="18"/>
            <w:u w:val="single"/>
          </w:rPr>
          <w:t>Condensed Notes to Consolidated Financial Statements</w:t>
        </w:r>
      </w:hyperlink>
      <w:r>
        <w:rPr>
          <w:rFonts w:ascii="Times New Roman" w:hAnsi="Times New Roman"/>
          <w:sz w:val="20"/>
        </w:rPr>
        <w:t xml:space="preserve"> </w:t>
      </w:r>
      <w:r>
        <w:rPr>
          <w:rFonts w:ascii="Arial;sans-serif" w:hAnsi="Arial;sans-serif"/>
          <w:b w:val="false"/>
          <w:sz w:val="18"/>
        </w:rPr>
        <w:t>are an integral part of these Consolidated Financial Statements.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9</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r>
        <w:rPr>
          <w:rFonts w:ascii="Arial;sans-serif" w:hAnsi="Arial;sans-serif"/>
          <w:b/>
          <w:sz w:val="18"/>
        </w:rPr>
        <w:t>CONSOLIDATED BALANCE SHEETS</w:t>
      </w:r>
    </w:p>
    <w:p>
      <w:pPr>
        <w:pStyle w:val="TextBody"/>
        <w:spacing w:before="0" w:after="0"/>
        <w:jc w:val="center"/>
        <w:rPr>
          <w:rFonts w:ascii="Arial;sans-serif" w:hAnsi="Arial;sans-serif"/>
          <w:b/>
          <w:sz w:val="18"/>
        </w:rPr>
      </w:pPr>
      <w:r>
        <w:rPr>
          <w:rFonts w:ascii="Arial;sans-serif" w:hAnsi="Arial;sans-serif"/>
          <w:b/>
          <w:sz w:val="18"/>
        </w:rPr>
        <w:t>(Continued)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634"/>
        <w:gridCol w:w="238"/>
        <w:gridCol w:w="1051"/>
        <w:gridCol w:w="166"/>
        <w:gridCol w:w="277"/>
        <w:gridCol w:w="1226"/>
        <w:gridCol w:w="613"/>
      </w:tblGrid>
      <w:tr>
        <w:trPr/>
        <w:tc>
          <w:tcPr>
            <w:tcW w:w="66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(unaudited)</w:t>
            </w:r>
          </w:p>
        </w:tc>
        <w:tc>
          <w:tcPr>
            <w:tcW w:w="2958"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w:t>
            </w:r>
          </w:p>
        </w:tc>
        <w:tc>
          <w:tcPr>
            <w:tcW w:w="613" w:type="dxa"/>
            <w:tcBorders/>
            <w:shd w:fill="auto" w:val="clear"/>
            <w:vAlign w:val="center"/>
          </w:tcPr>
          <w:p>
            <w:pPr>
              <w:pStyle w:val="TableContents"/>
              <w:spacing w:before="0" w:after="0"/>
              <w:ind w:left="0" w:right="0" w:hanging="0"/>
              <w:jc w:val="center"/>
              <w:rPr/>
            </w:pPr>
            <w:r>
              <w:rPr/>
              <w:t> </w:t>
            </w:r>
          </w:p>
        </w:tc>
      </w:tr>
      <w:tr>
        <w:trPr/>
        <w:tc>
          <w:tcPr>
            <w:tcW w:w="6634" w:type="dxa"/>
            <w:tcBorders/>
            <w:shd w:fill="auto" w:val="clear"/>
            <w:vAlign w:val="center"/>
          </w:tcPr>
          <w:p>
            <w:pPr>
              <w:pStyle w:val="TableContents"/>
              <w:spacing w:before="0" w:after="0"/>
              <w:ind w:left="0" w:right="0" w:hanging="0"/>
              <w:jc w:val="left"/>
              <w:rPr/>
            </w:pPr>
            <w:r>
              <w:rPr/>
              <w:t> </w:t>
            </w:r>
          </w:p>
        </w:tc>
        <w:tc>
          <w:tcPr>
            <w:tcW w:w="12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34" w:type="dxa"/>
            <w:tcBorders/>
            <w:shd w:fill="auto" w:val="clear"/>
            <w:vAlign w:val="center"/>
          </w:tcPr>
          <w:p>
            <w:pPr>
              <w:pStyle w:val="TableContents"/>
              <w:spacing w:before="0" w:after="0"/>
              <w:ind w:left="0" w:right="0" w:hanging="0"/>
              <w:jc w:val="left"/>
              <w:rPr/>
            </w:pPr>
            <w:r>
              <w:rPr/>
              <w:t> </w:t>
            </w:r>
          </w:p>
        </w:tc>
        <w:tc>
          <w:tcPr>
            <w:tcW w:w="2958"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613" w:type="dxa"/>
            <w:tcBorders/>
            <w:shd w:fill="auto" w:val="clear"/>
            <w:vAlign w:val="center"/>
          </w:tcPr>
          <w:p>
            <w:pPr>
              <w:pStyle w:val="TableContents"/>
              <w:spacing w:before="0" w:after="0"/>
              <w:ind w:left="0" w:right="0" w:hanging="0"/>
              <w:jc w:val="center"/>
              <w:rPr/>
            </w:pPr>
            <w:r>
              <w:rPr/>
              <w:t> </w:t>
            </w:r>
          </w:p>
        </w:tc>
      </w:tr>
      <w:tr>
        <w:trPr/>
        <w:tc>
          <w:tcPr>
            <w:tcW w:w="6634"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LIABILITIES AND EQUITY</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Current liabilities:</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payable</w:t>
            </w:r>
          </w:p>
        </w:tc>
        <w:tc>
          <w:tcPr>
            <w:tcW w:w="23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173,221</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310,020</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Accrued liabilities</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228,861</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243,457</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Derivative liabilities, current</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1,729</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6,600</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Regulatory liabilities, current</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110,100</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46,013</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Notes payable</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535,600</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Current maturities of long-term debt</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525,000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525,000</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3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current liabilities</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1,038,911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1,666,690</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283"/>
              <w:ind w:left="0" w:right="0" w:firstLine="200"/>
              <w:rPr>
                <w:sz w:val="4"/>
                <w:szCs w:val="4"/>
              </w:rPr>
            </w:pPr>
            <w:r>
              <w:rPr>
                <w:sz w:val="4"/>
                <w:szCs w:val="4"/>
              </w:rPr>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Long-term debt, net of current maturities</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3,954,409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3,607,340</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34" w:type="dxa"/>
            <w:tcBorders/>
            <w:shd w:fill="auto" w:val="clear"/>
            <w:vAlign w:val="center"/>
          </w:tcPr>
          <w:p>
            <w:pPr>
              <w:pStyle w:val="TableContents"/>
              <w:spacing w:before="0" w:after="283"/>
              <w:ind w:left="0" w:right="0" w:firstLine="400"/>
              <w:rPr>
                <w:sz w:val="4"/>
                <w:szCs w:val="4"/>
              </w:rPr>
            </w:pPr>
            <w:r>
              <w:rPr>
                <w:sz w:val="4"/>
                <w:szCs w:val="4"/>
              </w:rPr>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Deferred credits and other liabilities:</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Deferred income tax liabilities, net</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535,852</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508,941</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Regulatory liabilities, non-current</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466,961</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472,560</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Benefit plan liabilities</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117,765</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116,742</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Other deferred credits and other liabilities</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154,507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156,062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3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deferred credits and other liabilities</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1,275,085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1,254,305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283"/>
              <w:ind w:left="0" w:right="0" w:firstLine="200"/>
              <w:rPr>
                <w:sz w:val="4"/>
                <w:szCs w:val="4"/>
              </w:rPr>
            </w:pPr>
            <w:r>
              <w:rPr>
                <w:sz w:val="4"/>
                <w:szCs w:val="4"/>
              </w:rPr>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8"/>
              </w:rPr>
              <w:t>Commitments, contingencies and guarantees</w:t>
            </w:r>
            <w:r>
              <w:rPr>
                <w:rFonts w:ascii="Times New Roman" w:hAnsi="Times New Roman"/>
                <w:sz w:val="20"/>
              </w:rPr>
              <w:t> </w:t>
            </w:r>
            <w:r>
              <w:rPr>
                <w:rFonts w:ascii="Arial;sans-serif" w:hAnsi="Arial;sans-serif"/>
                <w:b w:val="false"/>
                <w:sz w:val="18"/>
              </w:rPr>
              <w:t>(Note 3)</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283"/>
              <w:ind w:left="0" w:right="0" w:firstLine="200"/>
              <w:rPr>
                <w:sz w:val="4"/>
                <w:szCs w:val="4"/>
              </w:rPr>
            </w:pPr>
            <w:r>
              <w:rPr>
                <w:sz w:val="4"/>
                <w:szCs w:val="4"/>
              </w:rPr>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Equity:</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Stockholder's equity -</w:t>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Times New Roman" w:hAnsi="Times New Roman"/>
                <w:sz w:val="20"/>
              </w:rPr>
            </w:pPr>
            <w:r>
              <w:rPr>
                <w:rFonts w:ascii="Arial;sans-serif" w:hAnsi="Arial;sans-serif"/>
                <w:b w:val="false"/>
                <w:sz w:val="18"/>
              </w:rPr>
              <w:t>Common stock $1</w:t>
            </w:r>
            <w:r>
              <w:rPr>
                <w:rFonts w:ascii="Times New Roman" w:hAnsi="Times New Roman"/>
                <w:sz w:val="20"/>
              </w:rPr>
              <w:t> </w:t>
            </w:r>
            <w:r>
              <w:rPr>
                <w:rFonts w:ascii="Arial;sans-serif" w:hAnsi="Arial;sans-serif"/>
                <w:b w:val="false"/>
                <w:sz w:val="18"/>
              </w:rPr>
              <w:t>par value; 100,000,000</w:t>
            </w:r>
            <w:r>
              <w:rPr>
                <w:rFonts w:ascii="Times New Roman" w:hAnsi="Times New Roman"/>
                <w:sz w:val="20"/>
              </w:rPr>
              <w:t> </w:t>
            </w:r>
            <w:r>
              <w:rPr>
                <w:rFonts w:ascii="Arial;sans-serif" w:hAnsi="Arial;sans-serif"/>
                <w:b w:val="false"/>
                <w:sz w:val="18"/>
              </w:rPr>
              <w:t>shares authorized; issued 66,670,709</w:t>
            </w:r>
            <w:r>
              <w:rPr>
                <w:rFonts w:ascii="Times New Roman" w:hAnsi="Times New Roman"/>
                <w:sz w:val="20"/>
              </w:rPr>
              <w:t> </w:t>
            </w:r>
            <w:r>
              <w:rPr>
                <w:rFonts w:ascii="Arial;sans-serif" w:hAnsi="Arial;sans-serif"/>
                <w:b w:val="false"/>
                <w:sz w:val="18"/>
              </w:rPr>
              <w:t>and 66,140,396</w:t>
            </w:r>
            <w:r>
              <w:rPr>
                <w:rFonts w:ascii="Times New Roman" w:hAnsi="Times New Roman"/>
                <w:sz w:val="20"/>
              </w:rPr>
              <w:t> </w:t>
            </w:r>
            <w:r>
              <w:rPr>
                <w:rFonts w:ascii="Arial;sans-serif" w:hAnsi="Arial;sans-serif"/>
                <w:b w:val="false"/>
                <w:sz w:val="18"/>
              </w:rPr>
              <w:t>shares, respectively</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66,671</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66,140</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Additional paid-in capital</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1,911,476</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1,882,653</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Retained earnings</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1,136,844</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1,064,122</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Times New Roman" w:hAnsi="Times New Roman"/>
                <w:sz w:val="20"/>
              </w:rPr>
            </w:pPr>
            <w:r>
              <w:rPr>
                <w:rFonts w:ascii="Arial;sans-serif" w:hAnsi="Arial;sans-serif"/>
                <w:b w:val="false"/>
                <w:sz w:val="18"/>
              </w:rPr>
              <w:t>Treasury stock, at cost - 41,114</w:t>
            </w:r>
            <w:r>
              <w:rPr>
                <w:rFonts w:ascii="Times New Roman" w:hAnsi="Times New Roman"/>
                <w:sz w:val="20"/>
              </w:rPr>
              <w:t> </w:t>
            </w:r>
            <w:r>
              <w:rPr>
                <w:rFonts w:ascii="Arial;sans-serif" w:hAnsi="Arial;sans-serif"/>
                <w:b w:val="false"/>
                <w:sz w:val="18"/>
              </w:rPr>
              <w:t>and 36,726</w:t>
            </w:r>
            <w:r>
              <w:rPr>
                <w:rFonts w:ascii="Times New Roman" w:hAnsi="Times New Roman"/>
                <w:sz w:val="20"/>
              </w:rPr>
              <w:t> </w:t>
            </w:r>
            <w:r>
              <w:rPr>
                <w:rFonts w:ascii="Arial;sans-serif" w:hAnsi="Arial;sans-serif"/>
                <w:b w:val="false"/>
                <w:sz w:val="18"/>
              </w:rPr>
              <w:t>shares, respectively</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(2,697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(2,435</w:t>
            </w:r>
          </w:p>
        </w:tc>
        <w:tc>
          <w:tcPr>
            <w:tcW w:w="613"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Accumulated other comprehensive income (loss)</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(15,567</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63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stockholders' equity</w:t>
            </w:r>
          </w:p>
        </w:tc>
        <w:tc>
          <w:tcPr>
            <w:tcW w:w="238"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3,097,947</w:t>
            </w:r>
          </w:p>
        </w:tc>
        <w:tc>
          <w:tcPr>
            <w:tcW w:w="16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2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2,994,913</w:t>
            </w:r>
          </w:p>
        </w:tc>
        <w:tc>
          <w:tcPr>
            <w:tcW w:w="613" w:type="dxa"/>
            <w:tcBorders/>
            <w:shd w:fill="auto" w:val="clear"/>
            <w:vAlign w:val="center"/>
          </w:tcPr>
          <w:p>
            <w:pPr>
              <w:pStyle w:val="TableContents"/>
              <w:spacing w:before="0" w:after="0"/>
              <w:ind w:left="0" w:right="0" w:firstLine="200"/>
              <w:jc w:val="left"/>
              <w:rPr/>
            </w:pPr>
            <w:r>
              <w:rPr/>
              <w:t> </w:t>
            </w:r>
          </w:p>
        </w:tc>
      </w:tr>
      <w:tr>
        <w:trPr/>
        <w:tc>
          <w:tcPr>
            <w:tcW w:w="6634"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Non-controlling interest</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93,784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94,982</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634" w:type="dxa"/>
            <w:tcBorders/>
            <w:shd w:fill="auto" w:val="clear"/>
            <w:vAlign w:val="center"/>
          </w:tcPr>
          <w:p>
            <w:pPr>
              <w:pStyle w:val="TableContents"/>
              <w:spacing w:before="0" w:after="0"/>
              <w:ind w:left="400" w:right="0" w:hanging="0"/>
              <w:jc w:val="left"/>
              <w:rPr>
                <w:rFonts w:ascii="Arial;sans-serif" w:hAnsi="Arial;sans-serif"/>
                <w:b w:val="false"/>
                <w:sz w:val="18"/>
              </w:rPr>
            </w:pPr>
            <w:r>
              <w:rPr>
                <w:rFonts w:ascii="Arial;sans-serif" w:hAnsi="Arial;sans-serif"/>
                <w:b w:val="false"/>
                <w:sz w:val="18"/>
              </w:rPr>
              <w:t>Total equity</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3,191,731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3,089,895</w:t>
            </w:r>
          </w:p>
        </w:tc>
        <w:tc>
          <w:tcPr>
            <w:tcW w:w="6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283"/>
              <w:ind w:left="0" w:right="0" w:hanging="0"/>
              <w:rPr>
                <w:sz w:val="4"/>
                <w:szCs w:val="4"/>
              </w:rPr>
            </w:pPr>
            <w:r>
              <w:rPr>
                <w:sz w:val="4"/>
                <w:szCs w:val="4"/>
              </w:rPr>
            </w:r>
          </w:p>
        </w:tc>
        <w:tc>
          <w:tcPr>
            <w:tcW w:w="128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503" w:type="dxa"/>
            <w:gridSpan w:val="2"/>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pPr>
            <w:r>
              <w:rPr/>
              <w:t> </w:t>
            </w:r>
          </w:p>
        </w:tc>
      </w:tr>
      <w:tr>
        <w:trPr/>
        <w:tc>
          <w:tcPr>
            <w:tcW w:w="663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LIABILITIES AND TOTAL EQUITY</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9,460,136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9,618,230</w:t>
            </w:r>
          </w:p>
        </w:tc>
        <w:tc>
          <w:tcPr>
            <w:tcW w:w="6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The accompanying </w:t>
      </w:r>
      <w:hyperlink w:anchor="notes_to_fin_stmts">
        <w:r>
          <w:rPr>
            <w:rStyle w:val="InternetLink"/>
            <w:rFonts w:ascii="Arial;sans-serif" w:hAnsi="Arial;sans-serif"/>
            <w:b w:val="false"/>
            <w:sz w:val="18"/>
            <w:u w:val="single"/>
          </w:rPr>
          <w:t>Condensed Notes to Consolidated Financial Statements</w:t>
        </w:r>
      </w:hyperlink>
      <w:r>
        <w:rPr>
          <w:rFonts w:ascii="Times New Roman" w:hAnsi="Times New Roman"/>
          <w:sz w:val="20"/>
        </w:rPr>
        <w:t xml:space="preserve"> </w:t>
      </w:r>
      <w:r>
        <w:rPr>
          <w:rFonts w:ascii="Arial;sans-serif" w:hAnsi="Arial;sans-serif"/>
          <w:b w:val="false"/>
          <w:sz w:val="18"/>
        </w:rPr>
        <w:t>are an integral part of these Consolidated Financial Statements.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10</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bookmarkStart w:id="10" w:name="stmt_cash_flows"/>
      <w:bookmarkEnd w:id="10"/>
      <w:r>
        <w:rPr>
          <w:rFonts w:ascii="Arial;sans-serif" w:hAnsi="Arial;sans-serif"/>
          <w:b/>
          <w:sz w:val="18"/>
        </w:rPr>
        <w:t>CONSOLIDATED STATEMENTS OF CASH FLOWS</w:t>
      </w:r>
    </w:p>
    <w:p>
      <w:pPr>
        <w:pStyle w:val="TextBody"/>
        <w:spacing w:before="0" w:after="0"/>
        <w:jc w:val="center"/>
        <w:rPr/>
      </w:pPr>
      <w:r>
        <w:rPr/>
        <w:t> </w:t>
      </w:r>
    </w:p>
    <w:tbl>
      <w:tblPr>
        <w:tblW w:w="9796" w:type="dxa"/>
        <w:jc w:val="left"/>
        <w:tblInd w:w="0" w:type="dxa"/>
        <w:tblCellMar>
          <w:top w:w="28" w:type="dxa"/>
          <w:left w:w="28" w:type="dxa"/>
          <w:bottom w:w="28" w:type="dxa"/>
          <w:right w:w="28" w:type="dxa"/>
        </w:tblCellMar>
      </w:tblPr>
      <w:tblGrid>
        <w:gridCol w:w="6616"/>
        <w:gridCol w:w="248"/>
        <w:gridCol w:w="989"/>
        <w:gridCol w:w="195"/>
        <w:gridCol w:w="248"/>
        <w:gridCol w:w="989"/>
        <w:gridCol w:w="511"/>
      </w:tblGrid>
      <w:tr>
        <w:trPr/>
        <w:tc>
          <w:tcPr>
            <w:tcW w:w="661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(unaudited)</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51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activities:</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511" w:type="dxa"/>
            <w:tcBorders/>
            <w:shd w:fill="auto" w:val="clear"/>
            <w:vAlign w:val="center"/>
          </w:tcPr>
          <w:p>
            <w:pPr>
              <w:pStyle w:val="TableContents"/>
              <w:spacing w:before="0" w:after="0"/>
              <w:ind w:left="0" w:right="0" w:hanging="0"/>
              <w:jc w:val="center"/>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117,380</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121,024</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Adjustments to reconcile net income to net cash provided by operating activities:</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Depreciation, depletion and amortization</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61,643</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60,463</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Deferred financing cost amortization</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2,410</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2,475</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Stock compensation</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1,784</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3,638</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Deferred income taxes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14,858</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14,462</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Employee benefit plans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3,021</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Other adjustments, net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(2,816</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5,337</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Changes in certain operating assets and liabilities:</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Materials, supplies and fuel</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76,122</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34,995</w:t>
            </w:r>
          </w:p>
        </w:tc>
        <w:tc>
          <w:tcPr>
            <w:tcW w:w="511" w:type="dxa"/>
            <w:tcBorders/>
            <w:shd w:fill="auto" w:val="clear"/>
            <w:vAlign w:val="center"/>
          </w:tcPr>
          <w:p>
            <w:pPr>
              <w:pStyle w:val="TableContents"/>
              <w:spacing w:before="0" w:after="0"/>
              <w:ind w:left="0" w:right="0" w:firstLine="300"/>
              <w:jc w:val="left"/>
              <w:rPr/>
            </w:pPr>
            <w:r>
              <w:rPr/>
              <w:t> </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Accounts receivable and other current assets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28,729</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(71,241</w:t>
            </w:r>
          </w:p>
        </w:tc>
        <w:tc>
          <w:tcPr>
            <w:tcW w:w="5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Accounts payable and other current liabilities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(127,233</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(8,422</w:t>
            </w:r>
          </w:p>
        </w:tc>
        <w:tc>
          <w:tcPr>
            <w:tcW w:w="511" w:type="dxa"/>
            <w:tcBorders/>
            <w:shd w:fill="auto" w:val="clear"/>
            <w:vAlign w:val="center"/>
          </w:tcPr>
          <w:p>
            <w:pPr>
              <w:pStyle w:val="TableContents"/>
              <w:spacing w:before="0" w:after="0"/>
              <w:ind w:left="0" w:right="0" w:firstLine="3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Regulatory assets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154,666</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98,528</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operating activities, net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(1,819</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1,689</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operating activities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328,745</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264,121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283"/>
              <w:ind w:left="0" w:right="0" w:hanging="0"/>
              <w:rPr>
                <w:sz w:val="4"/>
                <w:szCs w:val="4"/>
              </w:rPr>
            </w:pPr>
            <w:r>
              <w:rPr>
                <w:sz w:val="4"/>
                <w:szCs w:val="4"/>
              </w:rPr>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Investing activities:</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Property, plant and equipment additions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(119,105</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(136,779</w:t>
            </w:r>
          </w:p>
        </w:tc>
        <w:tc>
          <w:tcPr>
            <w:tcW w:w="511" w:type="dxa"/>
            <w:tcBorders/>
            <w:shd w:fill="auto" w:val="clear"/>
            <w:vAlign w:val="center"/>
          </w:tcPr>
          <w:p>
            <w:pPr>
              <w:pStyle w:val="TableContents"/>
              <w:spacing w:before="0" w:after="0"/>
              <w:ind w:left="0" w:right="0" w:firstLine="1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investing activities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17,600</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(1,065</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(used in) investing activities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(101,505</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(137,844</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283"/>
              <w:ind w:left="0" w:right="0" w:hanging="0"/>
              <w:rPr>
                <w:sz w:val="4"/>
                <w:szCs w:val="4"/>
              </w:rPr>
            </w:pPr>
            <w:r>
              <w:rPr>
                <w:sz w:val="4"/>
                <w:szCs w:val="4"/>
              </w:rPr>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Financing activities:</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Dividends paid on common stock</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(41,362</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(38,533</w:t>
            </w:r>
          </w:p>
        </w:tc>
        <w:tc>
          <w:tcPr>
            <w:tcW w:w="511" w:type="dxa"/>
            <w:tcBorders/>
            <w:shd w:fill="auto" w:val="clear"/>
            <w:vAlign w:val="center"/>
          </w:tcPr>
          <w:p>
            <w:pPr>
              <w:pStyle w:val="TableContents"/>
              <w:spacing w:before="0" w:after="0"/>
              <w:ind w:left="0" w:right="0" w:firstLine="1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Common stock issued</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27,383</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3,791</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Net borrowings (payments) of Revolving Credit Facility and CP Program</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(535,600</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(78,700</w:t>
            </w:r>
          </w:p>
        </w:tc>
        <w:tc>
          <w:tcPr>
            <w:tcW w:w="511" w:type="dxa"/>
            <w:tcBorders/>
            <w:shd w:fill="auto" w:val="clear"/>
            <w:vAlign w:val="center"/>
          </w:tcPr>
          <w:p>
            <w:pPr>
              <w:pStyle w:val="TableContents"/>
              <w:spacing w:before="0" w:after="0"/>
              <w:ind w:left="0" w:right="0" w:firstLine="1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Long-term debt - issuance</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350,000</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Distributions to non-controlling interests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(4,494</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(4,420</w:t>
            </w:r>
          </w:p>
        </w:tc>
        <w:tc>
          <w:tcPr>
            <w:tcW w:w="511" w:type="dxa"/>
            <w:tcBorders/>
            <w:shd w:fill="auto" w:val="clear"/>
            <w:vAlign w:val="center"/>
          </w:tcPr>
          <w:p>
            <w:pPr>
              <w:pStyle w:val="TableContents"/>
              <w:spacing w:before="0" w:after="0"/>
              <w:ind w:left="0" w:right="0" w:firstLine="1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financing activities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(5,022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(878</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(used in) financing activities</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(209,095</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(118,740</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283"/>
              <w:ind w:left="0" w:right="0" w:hanging="0"/>
              <w:rPr>
                <w:sz w:val="4"/>
                <w:szCs w:val="4"/>
              </w:rPr>
            </w:pPr>
            <w:r>
              <w:rPr>
                <w:sz w:val="4"/>
                <w:szCs w:val="4"/>
              </w:rPr>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Net change in cash, restricted cash and cash equivalents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18,145</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7,537</w:t>
            </w:r>
          </w:p>
        </w:tc>
        <w:tc>
          <w:tcPr>
            <w:tcW w:w="5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283"/>
              <w:ind w:left="0" w:right="0" w:firstLine="200"/>
              <w:rPr>
                <w:sz w:val="4"/>
                <w:szCs w:val="4"/>
              </w:rPr>
            </w:pPr>
            <w:r>
              <w:rPr>
                <w:sz w:val="4"/>
                <w:szCs w:val="4"/>
              </w:rPr>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restricted cash and cash equivalents beginning of period</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26,985</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13,810</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restricted cash and cash equivalents end of period</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45,130</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21,347</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283"/>
              <w:ind w:left="0" w:right="0" w:hanging="0"/>
              <w:rPr>
                <w:sz w:val="4"/>
                <w:szCs w:val="4"/>
              </w:rPr>
            </w:pPr>
            <w:r>
              <w:rPr>
                <w:sz w:val="4"/>
                <w:szCs w:val="4"/>
              </w:rPr>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6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Supplemental cash flow information:</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Cash (paid) refunded during the period:</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Interest (net of amounts capitalized)</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(27,569</w:t>
            </w:r>
          </w:p>
        </w:tc>
        <w:tc>
          <w:tcPr>
            <w:tcW w:w="1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(23,605</w:t>
            </w:r>
          </w:p>
        </w:tc>
        <w:tc>
          <w:tcPr>
            <w:tcW w:w="5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6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Income taxes</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511" w:type="dxa"/>
            <w:tcBorders/>
            <w:shd w:fill="auto" w:val="clear"/>
            <w:vAlign w:val="center"/>
          </w:tcPr>
          <w:p>
            <w:pPr>
              <w:pStyle w:val="TableContents"/>
              <w:spacing w:before="0" w:after="0"/>
              <w:ind w:left="0" w:right="0" w:firstLine="100"/>
              <w:jc w:val="left"/>
              <w:rPr/>
            </w:pPr>
            <w:r>
              <w:rPr/>
              <w:t> </w:t>
            </w:r>
          </w:p>
        </w:tc>
      </w:tr>
      <w:tr>
        <w:trPr/>
        <w:tc>
          <w:tcPr>
            <w:tcW w:w="6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Non-cash investing and financing activities:</w:t>
            </w:r>
          </w:p>
        </w:tc>
        <w:tc>
          <w:tcPr>
            <w:tcW w:w="1237"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firstLine="200"/>
              <w:jc w:val="left"/>
              <w:rPr/>
            </w:pPr>
            <w:r>
              <w:rPr/>
              <w:t> </w:t>
            </w:r>
          </w:p>
        </w:tc>
      </w:tr>
      <w:tr>
        <w:trPr/>
        <w:tc>
          <w:tcPr>
            <w:tcW w:w="6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Accrued property, plant and equipment purchases at March 31,</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42,102</w:t>
            </w:r>
          </w:p>
        </w:tc>
        <w:tc>
          <w:tcPr>
            <w:tcW w:w="195"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39,559</w:t>
            </w:r>
          </w:p>
        </w:tc>
        <w:tc>
          <w:tcPr>
            <w:tcW w:w="5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pPr>
      <w:r>
        <w:rPr>
          <w:rFonts w:ascii="Arial;sans-serif" w:hAnsi="Arial;sans-serif"/>
          <w:b w:val="false"/>
          <w:sz w:val="18"/>
        </w:rPr>
        <w:t xml:space="preserve">The accompanying </w:t>
      </w:r>
      <w:hyperlink w:anchor="notes_to_fin_stmts">
        <w:r>
          <w:rPr>
            <w:rStyle w:val="InternetLink"/>
            <w:rFonts w:ascii="Arial;sans-serif" w:hAnsi="Arial;sans-serif"/>
            <w:b w:val="false"/>
            <w:sz w:val="18"/>
            <w:u w:val="single"/>
          </w:rPr>
          <w:t>Condensed Notes to Consolidated Financial Statements</w:t>
        </w:r>
      </w:hyperlink>
      <w:r>
        <w:rPr>
          <w:rFonts w:ascii="Times New Roman" w:hAnsi="Times New Roman"/>
          <w:sz w:val="20"/>
        </w:rPr>
        <w:t xml:space="preserve"> </w:t>
      </w:r>
      <w:r>
        <w:rPr>
          <w:rFonts w:ascii="Arial;sans-serif" w:hAnsi="Arial;sans-serif"/>
          <w:b w:val="false"/>
          <w:sz w:val="18"/>
        </w:rPr>
        <w:t>are an integral part of these Consolidated Financial Statements.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11</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rFonts w:ascii="Arial;sans-serif" w:hAnsi="Arial;sans-serif"/>
          <w:b/>
          <w:sz w:val="18"/>
        </w:rPr>
      </w:pPr>
      <w:bookmarkStart w:id="11" w:name="stmt_of_equity"/>
      <w:bookmarkEnd w:id="11"/>
      <w:r>
        <w:rPr>
          <w:rFonts w:ascii="Arial;sans-serif" w:hAnsi="Arial;sans-serif"/>
          <w:b/>
          <w:sz w:val="18"/>
        </w:rPr>
        <w:t>CONSOLIDATED STATEMENTS OF EQUITY</w:t>
      </w:r>
    </w:p>
    <w:p>
      <w:pPr>
        <w:pStyle w:val="TextBody"/>
        <w:spacing w:before="0" w:after="0"/>
        <w:jc w:val="left"/>
        <w:rPr/>
      </w:pPr>
      <w:r>
        <w:rPr/>
        <w:t> </w:t>
      </w:r>
    </w:p>
    <w:tbl>
      <w:tblPr>
        <w:tblW w:w="11222" w:type="dxa"/>
        <w:jc w:val="left"/>
        <w:tblInd w:w="0" w:type="dxa"/>
        <w:tblCellMar>
          <w:top w:w="28" w:type="dxa"/>
          <w:left w:w="28" w:type="dxa"/>
          <w:bottom w:w="28" w:type="dxa"/>
          <w:right w:w="28" w:type="dxa"/>
        </w:tblCellMar>
      </w:tblPr>
      <w:tblGrid>
        <w:gridCol w:w="1246"/>
        <w:gridCol w:w="146"/>
        <w:gridCol w:w="916"/>
        <w:gridCol w:w="146"/>
        <w:gridCol w:w="196"/>
        <w:gridCol w:w="601"/>
        <w:gridCol w:w="146"/>
        <w:gridCol w:w="146"/>
        <w:gridCol w:w="601"/>
        <w:gridCol w:w="146"/>
        <w:gridCol w:w="196"/>
        <w:gridCol w:w="571"/>
        <w:gridCol w:w="166"/>
        <w:gridCol w:w="196"/>
        <w:gridCol w:w="826"/>
        <w:gridCol w:w="166"/>
        <w:gridCol w:w="196"/>
        <w:gridCol w:w="826"/>
        <w:gridCol w:w="166"/>
        <w:gridCol w:w="196"/>
        <w:gridCol w:w="661"/>
        <w:gridCol w:w="166"/>
        <w:gridCol w:w="295"/>
        <w:gridCol w:w="906"/>
        <w:gridCol w:w="166"/>
        <w:gridCol w:w="196"/>
        <w:gridCol w:w="826"/>
        <w:gridCol w:w="211"/>
      </w:tblGrid>
      <w:tr>
        <w:trPr/>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(unaudited)</w:t>
            </w:r>
          </w:p>
        </w:tc>
        <w:tc>
          <w:tcPr>
            <w:tcW w:w="200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(in thousands except share amounts)</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Additional Paid 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Retained 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AOCI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Non-controlling 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66,140,396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66,140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36,726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(2,435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1,882,653</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1,064,122</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(15,567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29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94,982</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3,089,895</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114,084</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3,296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117,380</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Other comprehensive income, net of tax</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1,220</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1,220</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6"/>
              </w:rPr>
              <w:t>Dividends on common stock ($0.625</w:t>
            </w:r>
            <w:r>
              <w:rPr>
                <w:rFonts w:ascii="Times New Roman" w:hAnsi="Times New Roman"/>
                <w:sz w:val="20"/>
              </w:rPr>
              <w:t> </w:t>
            </w:r>
            <w:r>
              <w:rPr>
                <w:rFonts w:ascii="Arial;sans-serif" w:hAnsi="Arial;sans-serif"/>
                <w:b w:val="false"/>
                <w:sz w:val="16"/>
              </w:rPr>
              <w:t>per share)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(41,362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(41,362</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84,735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4,388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1,886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1,709</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445,578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27,273</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27,719</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Issuance costs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(336</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Distributions to non-controlling 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(4,494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66,670,709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66,671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41,114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(2,697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1,911,476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1,136,844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(14,347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93,784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3,191,731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1302" w:type="dxa"/>
        <w:jc w:val="left"/>
        <w:tblInd w:w="0" w:type="dxa"/>
        <w:tblCellMar>
          <w:top w:w="28" w:type="dxa"/>
          <w:left w:w="28" w:type="dxa"/>
          <w:bottom w:w="28" w:type="dxa"/>
          <w:right w:w="28" w:type="dxa"/>
        </w:tblCellMar>
      </w:tblPr>
      <w:tblGrid>
        <w:gridCol w:w="1246"/>
        <w:gridCol w:w="146"/>
        <w:gridCol w:w="916"/>
        <w:gridCol w:w="146"/>
        <w:gridCol w:w="196"/>
        <w:gridCol w:w="601"/>
        <w:gridCol w:w="146"/>
        <w:gridCol w:w="146"/>
        <w:gridCol w:w="661"/>
        <w:gridCol w:w="166"/>
        <w:gridCol w:w="196"/>
        <w:gridCol w:w="571"/>
        <w:gridCol w:w="166"/>
        <w:gridCol w:w="196"/>
        <w:gridCol w:w="826"/>
        <w:gridCol w:w="166"/>
        <w:gridCol w:w="196"/>
        <w:gridCol w:w="826"/>
        <w:gridCol w:w="166"/>
        <w:gridCol w:w="196"/>
        <w:gridCol w:w="661"/>
        <w:gridCol w:w="166"/>
        <w:gridCol w:w="265"/>
        <w:gridCol w:w="936"/>
        <w:gridCol w:w="166"/>
        <w:gridCol w:w="196"/>
        <w:gridCol w:w="826"/>
        <w:gridCol w:w="211"/>
      </w:tblGrid>
      <w:tr>
        <w:trPr/>
        <w:tc>
          <w:tcPr>
            <w:tcW w:w="1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(unaudited)</w:t>
            </w:r>
          </w:p>
        </w:tc>
        <w:tc>
          <w:tcPr>
            <w:tcW w:w="200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0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(in thousands except share amounts)</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Additional Paid 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Retained 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AOCI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Non-controlling 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December 31, 2021</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64,793,095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64,793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54,078</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(3,509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1,783,436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962,458</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(20,084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265"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100,029</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2,887,123</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117,526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3,498</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121,024</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Other comprehensive income, net of tax</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6"/>
              </w:rPr>
              <w:t>Dividends on common stock ($0.595</w:t>
            </w:r>
            <w:r>
              <w:rPr>
                <w:rFonts w:ascii="Times New Roman" w:hAnsi="Times New Roman"/>
                <w:sz w:val="20"/>
              </w:rPr>
              <w:t> </w:t>
            </w:r>
            <w:r>
              <w:rPr>
                <w:rFonts w:ascii="Arial;sans-serif" w:hAnsi="Arial;sans-serif"/>
                <w:b w:val="false"/>
                <w:sz w:val="16"/>
              </w:rPr>
              <w:t>per share)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(38,533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(38,533</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425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(34,393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2,222</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(191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2,031</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55,707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3,776</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3,832</w:t>
            </w:r>
          </w:p>
        </w:tc>
        <w:tc>
          <w:tcPr>
            <w:tcW w:w="211" w:type="dxa"/>
            <w:tcBorders/>
            <w:shd w:fill="auto" w:val="clear"/>
            <w:vAlign w:val="center"/>
          </w:tcPr>
          <w:p>
            <w:pPr>
              <w:pStyle w:val="TableContents"/>
              <w:spacing w:before="0" w:after="0"/>
              <w:ind w:left="0" w:right="0" w:hanging="0"/>
              <w:jc w:val="left"/>
              <w:rPr/>
            </w:pPr>
            <w:r>
              <w:rPr/>
              <w:t> </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Issuance costs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3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Distributions to non-controlling 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(4,420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r>
      <w:tr>
        <w:trPr/>
        <w:tc>
          <w:tcPr>
            <w:tcW w:w="1246" w:type="dxa"/>
            <w:tcBorders/>
            <w:shd w:fill="auto" w:val="cle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64,849,227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64,849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19,685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(1,287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1,786,980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1,041,451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(20,078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9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99,107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2,971,022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12</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r>
        <w:rPr>
          <w:rFonts w:ascii="Arial;sans-serif" w:hAnsi="Arial;sans-serif"/>
          <w:b/>
          <w:sz w:val="18"/>
        </w:rPr>
        <w:t>BLACK HILLS CORPORATION</w:t>
      </w:r>
    </w:p>
    <w:p>
      <w:pPr>
        <w:pStyle w:val="TextBody"/>
        <w:spacing w:before="0" w:after="0"/>
        <w:jc w:val="center"/>
        <w:rPr/>
      </w:pPr>
      <w:r>
        <w:rPr/>
        <w:t> </w:t>
      </w:r>
    </w:p>
    <w:p>
      <w:pPr>
        <w:pStyle w:val="TextBody"/>
        <w:spacing w:before="0" w:after="0"/>
        <w:jc w:val="center"/>
        <w:rPr>
          <w:rFonts w:ascii="Arial;sans-serif" w:hAnsi="Arial;sans-serif"/>
          <w:b w:val="false"/>
          <w:sz w:val="18"/>
        </w:rPr>
      </w:pPr>
      <w:bookmarkStart w:id="12" w:name="notes_to_fin_stmts"/>
      <w:bookmarkEnd w:id="12"/>
      <w:r>
        <w:rPr>
          <w:rFonts w:ascii="Arial;sans-serif" w:hAnsi="Arial;sans-serif"/>
          <w:b w:val="false"/>
          <w:sz w:val="18"/>
        </w:rPr>
        <w:t>Condensed Notes to Consolidated Financial Statements</w:t>
      </w:r>
    </w:p>
    <w:p>
      <w:pPr>
        <w:pStyle w:val="TextBody"/>
        <w:spacing w:before="0" w:after="0"/>
        <w:jc w:val="center"/>
        <w:rPr>
          <w:rFonts w:ascii="Arial;sans-serif" w:hAnsi="Arial;sans-serif"/>
          <w:b w:val="false"/>
          <w:sz w:val="18"/>
        </w:rPr>
      </w:pPr>
      <w:r>
        <w:rPr>
          <w:rFonts w:ascii="Arial;sans-serif" w:hAnsi="Arial;sans-serif"/>
          <w:b w:val="false"/>
          <w:sz w:val="18"/>
        </w:rPr>
        <w:t>(unaudited)</w:t>
      </w:r>
    </w:p>
    <w:p>
      <w:pPr>
        <w:pStyle w:val="TextBody"/>
        <w:spacing w:before="0" w:after="0"/>
        <w:jc w:val="center"/>
        <w:rPr>
          <w:rFonts w:ascii="Arial;sans-serif" w:hAnsi="Arial;sans-serif"/>
          <w:b w:val="false"/>
          <w:sz w:val="18"/>
        </w:rPr>
      </w:pPr>
      <w:r>
        <w:rPr>
          <w:rFonts w:ascii="Arial;sans-serif" w:hAnsi="Arial;sans-serif"/>
          <w:b w:val="false"/>
          <w:sz w:val="18"/>
        </w:rPr>
        <w:t>(Reference is made to Notes to Consolidated Financial Statements</w:t>
      </w:r>
    </w:p>
    <w:p>
      <w:pPr>
        <w:pStyle w:val="TextBody"/>
        <w:spacing w:before="0" w:after="0"/>
        <w:jc w:val="center"/>
        <w:rPr>
          <w:rFonts w:ascii="Arial;sans-serif" w:hAnsi="Arial;sans-serif"/>
          <w:b w:val="false"/>
          <w:sz w:val="18"/>
        </w:rPr>
      </w:pPr>
      <w:r>
        <w:rPr>
          <w:rFonts w:ascii="Arial;sans-serif" w:hAnsi="Arial;sans-serif"/>
          <w:b w:val="false"/>
          <w:sz w:val="18"/>
        </w:rPr>
        <w:t>included in the Company’s 2022 Annual Report on Form 10-K)</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Management’s Statement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2022 Annual Report on Form 10-K.</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Use of Estimates and Basis of Presentation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The information furnished in the accompanying Consolidated Financial Statements reflects certain estimates required and all adjustments, including accruals, which are, in the opinion of management, necessary for a fair presentation of the March 31, 2023, December 31, 2022 and March 31, 2022</w:t>
      </w:r>
      <w:r>
        <w:rPr>
          <w:rFonts w:ascii="Times New Roman" w:hAnsi="Times New Roman"/>
          <w:sz w:val="20"/>
        </w:rPr>
        <w:t xml:space="preserve"> </w:t>
      </w:r>
      <w:r>
        <w:rPr>
          <w:rFonts w:ascii="Arial;sans-serif" w:hAnsi="Arial;sans-serif"/>
          <w:b w:val="false"/>
          <w:sz w:val="18"/>
        </w:rPr>
        <w:t>financial information. Certain lines of business in which we operate are highly seasonal, and our interim results of operations are not necessarily indicative of the results of operations to be expected for an entire year.</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Recently Issued Accounting Standards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Facilitation of the Effects of Reference Rate Reform on Financial Reporting, ASU 2020-04</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In March 2020, the FASB issued ASU 2020-04, </w:t>
      </w:r>
      <w:r>
        <w:rPr>
          <w:rFonts w:ascii="Arial;sans-serif" w:hAnsi="Arial;sans-serif"/>
          <w:b w:val="false"/>
          <w:i/>
          <w:sz w:val="18"/>
        </w:rPr>
        <w:t xml:space="preserve">Reference Rate Reform (Topic 848): Facilitation of the Effects of Reference Rate Reform on Financial Reporting, </w:t>
      </w:r>
      <w:r>
        <w:rPr>
          <w:rFonts w:ascii="Arial;sans-serif" w:hAnsi="Arial;sans-serif"/>
          <w:b w:val="false"/>
          <w:sz w:val="18"/>
        </w:rPr>
        <w:t>which was subsequently amended by ASU 2021-01 and ASU 2022-06. The standard provides relief for companies preparing for discontinuation of interest rates, 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2024. We are currently evaluating if we will apply the optional guidance as we assess the impact of the discontinuance of LIBOR on our current arrangements. We do not expect the ASU to have a material impact on our financial position, results of operations and cash flows.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13</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Regulatory Matters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had the following regulatory assets and liabilities (in thousands):</w:t>
      </w:r>
    </w:p>
    <w:p>
      <w:pPr>
        <w:pStyle w:val="TextBody"/>
        <w:spacing w:before="0" w:after="0"/>
        <w:jc w:val="left"/>
        <w:rPr/>
      </w:pPr>
      <w:r>
        <w:rPr/>
        <w:t> </w:t>
      </w:r>
    </w:p>
    <w:tbl>
      <w:tblPr>
        <w:tblW w:w="8363" w:type="dxa"/>
        <w:jc w:val="left"/>
        <w:tblInd w:w="0" w:type="dxa"/>
        <w:tblCellMar>
          <w:top w:w="28" w:type="dxa"/>
          <w:left w:w="28" w:type="dxa"/>
          <w:bottom w:w="28" w:type="dxa"/>
          <w:right w:w="28" w:type="dxa"/>
        </w:tblCellMar>
      </w:tblPr>
      <w:tblGrid>
        <w:gridCol w:w="4801"/>
        <w:gridCol w:w="276"/>
        <w:gridCol w:w="1104"/>
        <w:gridCol w:w="166"/>
        <w:gridCol w:w="346"/>
        <w:gridCol w:w="1379"/>
        <w:gridCol w:w="291"/>
      </w:tblGrid>
      <w:tr>
        <w:trPr/>
        <w:tc>
          <w:tcPr>
            <w:tcW w:w="48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801" w:type="dxa"/>
            <w:tcBorders/>
            <w:shd w:fill="auto" w:val="clear"/>
            <w:vAlign w:val="center"/>
          </w:tcPr>
          <w:p>
            <w:pPr>
              <w:pStyle w:val="TableContents"/>
              <w:spacing w:before="0" w:after="0"/>
              <w:ind w:left="0" w:right="0" w:hanging="0"/>
              <w:jc w:val="left"/>
              <w:rPr/>
            </w:pPr>
            <w:r>
              <w:rPr/>
              <w:t> </w:t>
            </w:r>
          </w:p>
        </w:tc>
        <w:tc>
          <w:tcPr>
            <w:tcW w:w="1380"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w:t>
            </w:r>
          </w:p>
        </w:tc>
        <w:tc>
          <w:tcPr>
            <w:tcW w:w="166" w:type="dxa"/>
            <w:tcBorders/>
            <w:shd w:fill="auto" w:val="clear"/>
            <w:vAlign w:val="center"/>
          </w:tcPr>
          <w:p>
            <w:pPr>
              <w:pStyle w:val="TableContents"/>
              <w:spacing w:before="0" w:after="0"/>
              <w:ind w:left="0" w:right="0" w:hanging="0"/>
              <w:jc w:val="center"/>
              <w:rPr/>
            </w:pPr>
            <w:r>
              <w:rPr/>
              <w:t> </w:t>
            </w:r>
          </w:p>
        </w:tc>
        <w:tc>
          <w:tcPr>
            <w:tcW w:w="1725"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w:t>
            </w:r>
          </w:p>
        </w:tc>
        <w:tc>
          <w:tcPr>
            <w:tcW w:w="291" w:type="dxa"/>
            <w:tcBorders/>
            <w:shd w:fill="auto" w:val="clear"/>
            <w:vAlign w:val="center"/>
          </w:tcPr>
          <w:p>
            <w:pPr>
              <w:pStyle w:val="TableContents"/>
              <w:spacing w:before="0" w:after="0"/>
              <w:ind w:left="0" w:right="0" w:hanging="0"/>
              <w:jc w:val="center"/>
              <w:rPr/>
            </w:pPr>
            <w:r>
              <w:rPr/>
              <w:t> </w:t>
            </w:r>
          </w:p>
        </w:tc>
      </w:tr>
      <w:tr>
        <w:trPr/>
        <w:tc>
          <w:tcPr>
            <w:tcW w:w="4801" w:type="dxa"/>
            <w:tcBorders/>
            <w:shd w:fill="auto" w:val="cle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Regulatory assets</w:t>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Winter Storm Uri </w:t>
            </w:r>
            <w:r>
              <w:rPr>
                <w:rFonts w:ascii="Arial;sans-serif" w:hAnsi="Arial;sans-serif"/>
                <w:b w:val="false"/>
                <w:sz w:val="12"/>
              </w:rPr>
              <w:t>(a)</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253,835</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347,980</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Deferred energy and fuel cost adjustments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79,020</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72,580</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Deferred gas cost adjustments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16,047</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12,147</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Gas price derivatives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8,793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Deferred taxes on AFUDC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7,482</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7,333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Employee benefit plans and related deferred taxes </w:t>
            </w:r>
            <w:r>
              <w:rPr>
                <w:rFonts w:ascii="Arial;sans-serif" w:hAnsi="Arial;sans-serif"/>
                <w:b w:val="false"/>
                <w:sz w:val="12"/>
              </w:rPr>
              <w:t>(c)</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88,710</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89,259</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Environmental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1,341</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Loss on reacquired debt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18,764</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19,213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Deferred taxes on flow through accounting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74,022</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69,529</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Decommissioning costs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2,850</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3,472</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Other regulatory assets </w:t>
            </w:r>
            <w:r>
              <w:rPr>
                <w:rFonts w:ascii="Arial;sans-serif" w:hAnsi="Arial;sans-serif"/>
                <w:b w:val="false"/>
                <w:sz w:val="12"/>
              </w:rPr>
              <w:t>(b)</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19,798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21,332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regulatory assets</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561,869</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652,981</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Less current regulatory assets</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(214,838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(260,312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Regulatory assets, non-current</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347,031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392,669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283"/>
              <w:ind w:left="0" w:right="0" w:hanging="0"/>
              <w:rPr>
                <w:sz w:val="4"/>
                <w:szCs w:val="4"/>
              </w:rPr>
            </w:pPr>
            <w:r>
              <w:rPr>
                <w:sz w:val="4"/>
                <w:szCs w:val="4"/>
              </w:rPr>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Regulatory liabilities</w:t>
            </w:r>
          </w:p>
        </w:tc>
        <w:tc>
          <w:tcPr>
            <w:tcW w:w="138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Deferred energy and gas costs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106,030</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41,722</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Employee benefit plan costs and related deferred taxes </w:t>
            </w:r>
            <w:r>
              <w:rPr>
                <w:rFonts w:ascii="Arial;sans-serif" w:hAnsi="Arial;sans-serif"/>
                <w:b w:val="false"/>
                <w:sz w:val="12"/>
              </w:rPr>
              <w:t>(c)</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33,839</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34,258</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Cost of removal </w:t>
            </w:r>
            <w:r>
              <w:rPr>
                <w:rFonts w:ascii="Arial;sans-serif" w:hAnsi="Arial;sans-serif"/>
                <w:b w:val="false"/>
                <w:sz w:val="12"/>
              </w:rPr>
              <w:t>(b)</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177,453</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175,614</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Excess deferred income taxes </w:t>
            </w:r>
            <w:r>
              <w:rPr>
                <w:rFonts w:ascii="Arial;sans-serif" w:hAnsi="Arial;sans-serif"/>
                <w:b w:val="false"/>
                <w:sz w:val="12"/>
              </w:rPr>
              <w:t>(c)</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248,126</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254,833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Other regulatory liabilities </w:t>
            </w:r>
            <w:r>
              <w:rPr>
                <w:rFonts w:ascii="Arial;sans-serif" w:hAnsi="Arial;sans-serif"/>
                <w:b w:val="false"/>
                <w:sz w:val="12"/>
              </w:rPr>
              <w:t>(c)</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11,613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12,146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regulatory liabilities</w:t>
            </w:r>
          </w:p>
        </w:tc>
        <w:tc>
          <w:tcPr>
            <w:tcW w:w="276" w:type="dxa"/>
            <w:tcBorders/>
            <w:shd w:fill="auto" w:val="clear"/>
            <w:vAlign w:val="center"/>
          </w:tcPr>
          <w:p>
            <w:pPr>
              <w:pStyle w:val="TableContents"/>
              <w:spacing w:before="0" w:after="0"/>
              <w:ind w:left="0" w:right="0" w:hanging="0"/>
              <w:jc w:val="left"/>
              <w:rPr/>
            </w:pPr>
            <w:r>
              <w:rPr/>
              <w:t> </w:t>
            </w:r>
          </w:p>
        </w:tc>
        <w:tc>
          <w:tcPr>
            <w:tcW w:w="11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577,061</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3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518,573</w:t>
            </w:r>
          </w:p>
        </w:tc>
        <w:tc>
          <w:tcPr>
            <w:tcW w:w="291" w:type="dxa"/>
            <w:tcBorders/>
            <w:shd w:fill="auto" w:val="clear"/>
            <w:vAlign w:val="center"/>
          </w:tcPr>
          <w:p>
            <w:pPr>
              <w:pStyle w:val="TableContents"/>
              <w:spacing w:before="0" w:after="0"/>
              <w:ind w:left="0" w:right="0" w:firstLine="100"/>
              <w:jc w:val="left"/>
              <w:rPr/>
            </w:pPr>
            <w:r>
              <w:rPr/>
              <w:t> </w:t>
            </w:r>
          </w:p>
        </w:tc>
      </w:tr>
      <w:tr>
        <w:trPr/>
        <w:tc>
          <w:tcPr>
            <w:tcW w:w="480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Less current regulatory liabilities</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(110,100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(46,013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8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Regulatory liabilities, non-current</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466,961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472,560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spacing w:before="0" w:after="0"/>
        <w:jc w:val="left"/>
        <w:rPr>
          <w:rFonts w:ascii="Arial;sans-serif" w:hAnsi="Arial;sans-serif"/>
          <w:b w:val="false"/>
          <w:sz w:val="16"/>
        </w:rPr>
      </w:pPr>
      <w:r>
        <w:rPr>
          <w:rFonts w:ascii="Arial;sans-serif" w:hAnsi="Arial;sans-serif"/>
          <w:b w:val="false"/>
          <w:sz w:val="16"/>
        </w:rPr>
        <w:t>Timing of Winter Storm Uri incremental cost recovery and associated carrying costs vary by jurisdiction.</w:t>
      </w:r>
    </w:p>
    <w:p>
      <w:pPr>
        <w:pStyle w:val="TextBody"/>
        <w:spacing w:before="0" w:after="0"/>
        <w:jc w:val="left"/>
        <w:rPr>
          <w:rFonts w:ascii="Arial" w:hAnsi="Arial"/>
          <w:b w:val="false"/>
          <w:sz w:val="16"/>
        </w:rPr>
      </w:pPr>
      <w:r>
        <w:rPr>
          <w:rFonts w:ascii="Arial" w:hAnsi="Arial"/>
          <w:b w:val="false"/>
          <w:sz w:val="16"/>
        </w:rPr>
        <w:t>(b)</w:t>
      </w:r>
    </w:p>
    <w:p>
      <w:pPr>
        <w:pStyle w:val="TextBody"/>
        <w:spacing w:before="0" w:after="0"/>
        <w:jc w:val="left"/>
        <w:rPr>
          <w:rFonts w:ascii="Arial;sans-serif" w:hAnsi="Arial;sans-serif"/>
          <w:b w:val="false"/>
          <w:sz w:val="16"/>
        </w:rPr>
      </w:pPr>
      <w:r>
        <w:rPr>
          <w:rFonts w:ascii="Arial;sans-serif" w:hAnsi="Arial;sans-serif"/>
          <w:b w:val="false"/>
          <w:sz w:val="16"/>
        </w:rPr>
        <w:t>Recovery or repayment of costs, but we are not allowed a rate of return.</w:t>
      </w:r>
    </w:p>
    <w:p>
      <w:pPr>
        <w:pStyle w:val="TextBody"/>
        <w:spacing w:before="0" w:after="0"/>
        <w:jc w:val="left"/>
        <w:rPr>
          <w:rFonts w:ascii="Arial" w:hAnsi="Arial"/>
          <w:b w:val="false"/>
          <w:sz w:val="16"/>
        </w:rPr>
      </w:pPr>
      <w:r>
        <w:rPr>
          <w:rFonts w:ascii="Arial" w:hAnsi="Arial"/>
          <w:b w:val="false"/>
          <w:sz w:val="16"/>
        </w:rPr>
        <w:t>(c)</w:t>
      </w:r>
    </w:p>
    <w:p>
      <w:pPr>
        <w:pStyle w:val="TextBody"/>
        <w:jc w:val="left"/>
        <w:rPr>
          <w:rFonts w:ascii="Arial;sans-serif" w:hAnsi="Arial;sans-serif"/>
          <w:b w:val="false"/>
          <w:sz w:val="16"/>
        </w:rPr>
      </w:pPr>
      <w:r>
        <w:rPr>
          <w:rFonts w:ascii="Arial;sans-serif" w:hAnsi="Arial;sans-serif"/>
          <w:b w:val="false"/>
          <w:sz w:val="16"/>
        </w:rPr>
        <w:t>In addition to recovery or repayment of costs, we are allowed a return on a portion of this amount or a reduction in rate base.</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Regulatory Activity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Except as discussed below, there have been no other significant changes to our Regulatory Matters from those previously disclosed in Note 2 of the Notes to the Consolidated Financial Statements in our 2022 Annual Report on Form 10-K.</w:t>
      </w:r>
    </w:p>
    <w:p>
      <w:pPr>
        <w:pStyle w:val="TextBody"/>
        <w:spacing w:before="0" w:after="0"/>
        <w:jc w:val="left"/>
        <w:rPr/>
      </w:pPr>
      <w:r>
        <w:rPr/>
        <w:t> </w:t>
      </w:r>
    </w:p>
    <w:p>
      <w:pPr>
        <w:pStyle w:val="TextBody"/>
        <w:spacing w:before="0" w:after="0"/>
        <w:jc w:val="left"/>
        <w:rPr>
          <w:rFonts w:ascii="Arial;sans-serif" w:hAnsi="Arial;sans-serif"/>
          <w:b w:val="false"/>
          <w:i/>
          <w:sz w:val="18"/>
          <w:u w:val="single"/>
        </w:rPr>
      </w:pPr>
      <w:r>
        <w:rPr>
          <w:rFonts w:ascii="Arial;sans-serif" w:hAnsi="Arial;sans-serif"/>
          <w:b w:val="false"/>
          <w:i/>
          <w:sz w:val="18"/>
          <w:u w:val="single"/>
        </w:rPr>
        <w:t>RMNG</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On April 7, 2023, RMNG filed a settlement agreement with the CPUC for its rate review filed on October 7, 2022. The agreement is expected to generate $8.2</w:t>
      </w:r>
      <w:r>
        <w:rPr>
          <w:rFonts w:ascii="Times New Roman" w:hAnsi="Times New Roman"/>
          <w:sz w:val="20"/>
        </w:rPr>
        <w:t xml:space="preserve"> </w:t>
      </w:r>
      <w:r>
        <w:rPr>
          <w:rFonts w:ascii="Arial;sans-serif" w:hAnsi="Arial;sans-serif"/>
          <w:b w:val="false"/>
          <w:sz w:val="18"/>
        </w:rPr>
        <w:t>million in new annual revenue and establishes a weighted average cost of capital of 6.93% with a capital structure that reflects an equity range of 50% to 52%, a debt range of 50% to 48% and a return on equity range of 9.5% to 9.7%. The settlement also shifts $8.3</w:t>
      </w:r>
      <w:r>
        <w:rPr>
          <w:rFonts w:ascii="Times New Roman" w:hAnsi="Times New Roman"/>
          <w:sz w:val="20"/>
        </w:rPr>
        <w:t xml:space="preserve"> </w:t>
      </w:r>
      <w:r>
        <w:rPr>
          <w:rFonts w:ascii="Arial;sans-serif" w:hAnsi="Arial;sans-serif"/>
          <w:b w:val="false"/>
          <w:sz w:val="18"/>
        </w:rPr>
        <w:t>million of SSIR revenues to base rates and terminates the SSIR. The agreement is awaiting a decision by an administrative law judge, with new rates expected in the third quarter of 2023.</w:t>
      </w:r>
    </w:p>
    <w:p>
      <w:pPr>
        <w:pStyle w:val="TextBody"/>
        <w:spacing w:before="0" w:after="0"/>
        <w:jc w:val="left"/>
        <w:rPr/>
      </w:pPr>
      <w:r>
        <w:rPr/>
        <w:t> </w:t>
      </w:r>
    </w:p>
    <w:p>
      <w:pPr>
        <w:pStyle w:val="TextBody"/>
        <w:spacing w:before="0" w:after="0"/>
        <w:jc w:val="left"/>
        <w:rPr>
          <w:rFonts w:ascii="Arial;sans-serif" w:hAnsi="Arial;sans-serif"/>
          <w:b w:val="false"/>
          <w:i/>
          <w:sz w:val="18"/>
          <w:u w:val="single"/>
        </w:rPr>
      </w:pPr>
      <w:r>
        <w:rPr>
          <w:rFonts w:ascii="Arial;sans-serif" w:hAnsi="Arial;sans-serif"/>
          <w:b w:val="false"/>
          <w:i/>
          <w:sz w:val="18"/>
          <w:u w:val="single"/>
        </w:rPr>
        <w:t>Wyoming Electric</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On June 1, 2022, Wyoming Electric filed a rate review with the WPSC seeking recovery of significant infrastructure investments in its 1330-mile electric distribution and 59-mile electric transmission systems. On January 26, 2023, the WPSC approved a settlement agreement with intervening parties for a general rate increase. The settlement is expected to generate $8.7</w:t>
      </w:r>
      <w:r>
        <w:rPr>
          <w:rFonts w:ascii="Times New Roman" w:hAnsi="Times New Roman"/>
          <w:sz w:val="20"/>
        </w:rPr>
        <w:t xml:space="preserve"> </w:t>
      </w:r>
      <w:r>
        <w:rPr>
          <w:rFonts w:ascii="Arial;sans-serif" w:hAnsi="Arial;sans-serif"/>
          <w:b w:val="false"/>
          <w:sz w:val="18"/>
        </w:rPr>
        <w:t>million in new annual revenue with a capital structure of 52% equity and 48% debt and a return on equity of 9.75%. New rates were effective March 1, 2023. The agreement also includes approval of a new rider that will be filed annually to recover transmission investment and expenses.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14</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Commitments, Contingencies and Guarantees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There have been no significant changes to commitments, contingencies and guarantees from those previously disclosed in Note 3 of our Notes to the Consolidated Financial Statements in our 2022 Annual Report on Form 10-K.</w:t>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Arial" w:hAnsi="Arial"/>
          <w:b/>
          <w:sz w:val="18"/>
        </w:rPr>
      </w:pPr>
      <w:r>
        <w:rPr>
          <w:rFonts w:ascii="Arial" w:hAnsi="Arial"/>
          <w:b/>
          <w:sz w:val="18"/>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0"/>
        <w:jc w:val="left"/>
        <w:rPr>
          <w:rFonts w:ascii="Arial;sans-serif" w:hAnsi="Arial;sans-serif"/>
          <w:b/>
          <w:sz w:val="18"/>
        </w:rPr>
      </w:pPr>
      <w:r>
        <w:rPr>
          <w:rFonts w:ascii="Arial;sans-serif" w:hAnsi="Arial;sans-serif"/>
          <w:b/>
          <w:sz w:val="18"/>
        </w:rPr>
        <w:t>Revenue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tables depict the disaggregation of revenue, including intercompany revenue, from contracts with customers by customer type and timing of revenue recognition for each of the reportable segments for the three months ended March 31, 2023 and 2022. Sales tax and other similar taxes are excluded from revenues.</w:t>
      </w:r>
    </w:p>
    <w:p>
      <w:pPr>
        <w:pStyle w:val="TextBody"/>
        <w:spacing w:before="0" w:after="0"/>
        <w:jc w:val="left"/>
        <w:rPr/>
      </w:pPr>
      <w:r>
        <w:rPr/>
        <w:t> </w:t>
      </w:r>
    </w:p>
    <w:tbl>
      <w:tblPr>
        <w:tblW w:w="9647" w:type="dxa"/>
        <w:jc w:val="left"/>
        <w:tblInd w:w="0" w:type="dxa"/>
        <w:tblCellMar>
          <w:top w:w="28" w:type="dxa"/>
          <w:left w:w="28" w:type="dxa"/>
          <w:bottom w:w="28" w:type="dxa"/>
          <w:right w:w="28" w:type="dxa"/>
        </w:tblCellMar>
      </w:tblPr>
      <w:tblGrid>
        <w:gridCol w:w="3316"/>
        <w:gridCol w:w="287"/>
        <w:gridCol w:w="1063"/>
        <w:gridCol w:w="146"/>
        <w:gridCol w:w="229"/>
        <w:gridCol w:w="851"/>
        <w:gridCol w:w="146"/>
        <w:gridCol w:w="540"/>
        <w:gridCol w:w="1620"/>
        <w:gridCol w:w="166"/>
        <w:gridCol w:w="211"/>
        <w:gridCol w:w="781"/>
        <w:gridCol w:w="291"/>
      </w:tblGrid>
      <w:tr>
        <w:trPr/>
        <w:tc>
          <w:tcPr>
            <w:tcW w:w="331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Three Months Ended March 31, 2023</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Electric Utilities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Gas Utilities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Inter-company Revenues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u w:val="single"/>
              </w:rPr>
            </w:pPr>
            <w:r>
              <w:rPr>
                <w:rFonts w:ascii="Arial;sans-serif" w:hAnsi="Arial;sans-serif"/>
                <w:b w:val="false"/>
                <w:sz w:val="18"/>
                <w:u w:val="single"/>
              </w:rPr>
              <w:t>Customer types:</w:t>
            </w:r>
          </w:p>
        </w:tc>
        <w:tc>
          <w:tcPr>
            <w:tcW w:w="6040" w:type="dxa"/>
            <w:gridSpan w:val="11"/>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291" w:type="dxa"/>
            <w:tcBorders/>
            <w:shd w:fill="auto" w:val="clear"/>
            <w:vAlign w:val="center"/>
          </w:tcPr>
          <w:p>
            <w:pPr>
              <w:pStyle w:val="TableContents"/>
              <w:spacing w:before="0" w:after="0"/>
              <w:ind w:left="0" w:right="0" w:firstLine="100"/>
              <w:jc w:val="center"/>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Retail</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174,903</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635,545</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810,448</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Transportation</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52,843</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52,728</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Wholesale</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9,398</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9,398</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Market - off-system sales</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16,124</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281</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16,405</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Transmission/Other</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23,076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Revenue from contracts with customers</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217,829</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698,692</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912,055</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revenues</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9,104</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revenues</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218,709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706,916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921,159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3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u w:val="single"/>
              </w:rPr>
            </w:pPr>
            <w:r>
              <w:rPr>
                <w:rFonts w:ascii="Arial;sans-serif" w:hAnsi="Arial;sans-serif"/>
                <w:b w:val="false"/>
                <w:sz w:val="18"/>
                <w:u w:val="single"/>
              </w:rPr>
              <w:t>Timing of revenue recognition:</w:t>
            </w:r>
          </w:p>
        </w:tc>
        <w:tc>
          <w:tcPr>
            <w:tcW w:w="13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Services transferred at a point in time</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8,657</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8,657</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Services transferred over time</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209,172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698,692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903,398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Revenue from contracts with customers</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217,829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698,692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912,055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9647" w:type="dxa"/>
        <w:jc w:val="left"/>
        <w:tblInd w:w="0" w:type="dxa"/>
        <w:tblCellMar>
          <w:top w:w="28" w:type="dxa"/>
          <w:left w:w="28" w:type="dxa"/>
          <w:bottom w:w="28" w:type="dxa"/>
          <w:right w:w="28" w:type="dxa"/>
        </w:tblCellMar>
      </w:tblPr>
      <w:tblGrid>
        <w:gridCol w:w="3316"/>
        <w:gridCol w:w="287"/>
        <w:gridCol w:w="1063"/>
        <w:gridCol w:w="146"/>
        <w:gridCol w:w="229"/>
        <w:gridCol w:w="851"/>
        <w:gridCol w:w="146"/>
        <w:gridCol w:w="540"/>
        <w:gridCol w:w="1620"/>
        <w:gridCol w:w="166"/>
        <w:gridCol w:w="211"/>
        <w:gridCol w:w="781"/>
        <w:gridCol w:w="291"/>
      </w:tblGrid>
      <w:tr>
        <w:trPr/>
        <w:tc>
          <w:tcPr>
            <w:tcW w:w="331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Three Months Ended March 31, 2022</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Electric Utilities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Gas Utilities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Inter-company Revenues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u w:val="single"/>
              </w:rPr>
            </w:pPr>
            <w:r>
              <w:rPr>
                <w:rFonts w:ascii="Arial;sans-serif" w:hAnsi="Arial;sans-serif"/>
                <w:b w:val="false"/>
                <w:sz w:val="18"/>
                <w:u w:val="single"/>
              </w:rPr>
              <w:t>Customer types:</w:t>
            </w:r>
          </w:p>
        </w:tc>
        <w:tc>
          <w:tcPr>
            <w:tcW w:w="6040" w:type="dxa"/>
            <w:gridSpan w:val="11"/>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291" w:type="dxa"/>
            <w:tcBorders/>
            <w:shd w:fill="auto" w:val="clear"/>
            <w:vAlign w:val="center"/>
          </w:tcPr>
          <w:p>
            <w:pPr>
              <w:pStyle w:val="TableContents"/>
              <w:spacing w:before="0" w:after="0"/>
              <w:ind w:left="0" w:right="0" w:firstLine="100"/>
              <w:jc w:val="center"/>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Retail</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172,806</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561,013</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733,819</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Transportation</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49,523</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49,424</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Wholesale</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10,275</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10,275</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Market - off-system sales</w:t>
            </w:r>
          </w:p>
        </w:tc>
        <w:tc>
          <w:tcPr>
            <w:tcW w:w="287"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7,154</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238</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pPr>
            <w:r>
              <w:rPr/>
              <w:t> </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7,392</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Transmission/Other</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9,575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20,859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Revenue from contracts with customers</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205,668</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620,349</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(4,248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821,769</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revenues</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1,801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revenues</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621,392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823,570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3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u w:val="single"/>
              </w:rPr>
            </w:pPr>
            <w:r>
              <w:rPr>
                <w:rFonts w:ascii="Arial;sans-serif" w:hAnsi="Arial;sans-serif"/>
                <w:b w:val="false"/>
                <w:sz w:val="18"/>
                <w:u w:val="single"/>
              </w:rPr>
              <w:t>Timing of revenue recognition:</w:t>
            </w:r>
          </w:p>
        </w:tc>
        <w:tc>
          <w:tcPr>
            <w:tcW w:w="135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Services transferred at a point in time</w:t>
            </w:r>
          </w:p>
        </w:tc>
        <w:tc>
          <w:tcPr>
            <w:tcW w:w="2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7,113</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7,113</w:t>
            </w:r>
          </w:p>
        </w:tc>
        <w:tc>
          <w:tcPr>
            <w:tcW w:w="2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Services transferred over time</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198,555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620,349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814,656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Revenue from contracts with customers</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205,668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620,349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821,769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15</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Financing</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Short-term Debt</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Revolving Credit Facility and CP Program</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Our Revolving Credit Facility and CP Program, which are classified as Notes payable on the Consolidated Balance Sheets, had the following borrowings, outstanding letters of credit, and available capacity (dollars in thousands):</w:t>
      </w:r>
    </w:p>
    <w:p>
      <w:pPr>
        <w:pStyle w:val="TextBody"/>
        <w:spacing w:before="0" w:after="0"/>
        <w:jc w:val="left"/>
        <w:rPr/>
      </w:pPr>
      <w:r>
        <w:rPr/>
        <w:t> </w:t>
      </w:r>
    </w:p>
    <w:tbl>
      <w:tblPr>
        <w:tblW w:w="6283" w:type="dxa"/>
        <w:jc w:val="left"/>
        <w:tblInd w:w="0" w:type="dxa"/>
        <w:tblCellMar>
          <w:top w:w="28" w:type="dxa"/>
          <w:left w:w="28" w:type="dxa"/>
          <w:bottom w:w="28" w:type="dxa"/>
          <w:right w:w="28" w:type="dxa"/>
        </w:tblCellMar>
      </w:tblPr>
      <w:tblGrid>
        <w:gridCol w:w="2716"/>
        <w:gridCol w:w="293"/>
        <w:gridCol w:w="1087"/>
        <w:gridCol w:w="146"/>
        <w:gridCol w:w="367"/>
        <w:gridCol w:w="1358"/>
        <w:gridCol w:w="316"/>
      </w:tblGrid>
      <w:tr>
        <w:trPr/>
        <w:tc>
          <w:tcPr>
            <w:tcW w:w="271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Amount outstanding</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535,600</w:t>
            </w:r>
          </w:p>
        </w:tc>
        <w:tc>
          <w:tcPr>
            <w:tcW w:w="316"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Letters of credit</w:t>
            </w:r>
            <w:r>
              <w:rPr>
                <w:rFonts w:ascii="Times New Roman" w:hAnsi="Times New Roman"/>
                <w:sz w:val="18"/>
              </w:rPr>
              <w:t> </w:t>
            </w:r>
            <w:r>
              <w:rPr>
                <w:rFonts w:ascii="Arial;sans-serif" w:hAnsi="Arial;sans-serif"/>
                <w:b w:val="false"/>
                <w:sz w:val="12"/>
              </w:rPr>
              <w:t>(a)</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2,401</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24,626</w:t>
            </w:r>
          </w:p>
        </w:tc>
        <w:tc>
          <w:tcPr>
            <w:tcW w:w="316"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Available capacity</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747,599</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189,774</w:t>
            </w:r>
          </w:p>
        </w:tc>
        <w:tc>
          <w:tcPr>
            <w:tcW w:w="316" w:type="dxa"/>
            <w:tcBorders/>
            <w:shd w:fill="auto" w:val="clear"/>
            <w:vAlign w:val="center"/>
          </w:tcPr>
          <w:p>
            <w:pPr>
              <w:pStyle w:val="TableContents"/>
              <w:spacing w:before="0" w:after="0"/>
              <w:ind w:left="0" w:right="0" w:hanging="0"/>
              <w:jc w:val="left"/>
              <w:rPr/>
            </w:pPr>
            <w:r>
              <w:rPr/>
              <w:t> </w:t>
            </w:r>
          </w:p>
        </w:tc>
      </w:tr>
      <w:tr>
        <w:trPr/>
        <w:tc>
          <w:tcPr>
            <w:tcW w:w="27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 average interest rates</w:t>
            </w:r>
          </w:p>
        </w:tc>
        <w:tc>
          <w:tcPr>
            <w:tcW w:w="1380" w:type="dxa"/>
            <w:gridSpan w:val="2"/>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N/A</w:t>
            </w:r>
          </w:p>
        </w:tc>
        <w:tc>
          <w:tcPr>
            <w:tcW w:w="146" w:type="dxa"/>
            <w:tcBorders/>
            <w:shd w:fill="auto" w:val="clear"/>
            <w:vAlign w:val="center"/>
          </w:tcPr>
          <w:p>
            <w:pPr>
              <w:pStyle w:val="TableContents"/>
              <w:spacing w:before="0" w:after="0"/>
              <w:ind w:left="0" w:right="0" w:hanging="0"/>
              <w:jc w:val="righ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4.88</w:t>
            </w:r>
          </w:p>
        </w:tc>
        <w:tc>
          <w:tcPr>
            <w:tcW w:w="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jc w:val="left"/>
        <w:rPr>
          <w:rFonts w:ascii="Arial;sans-serif" w:hAnsi="Arial;sans-serif"/>
          <w:sz w:val="18"/>
        </w:rPr>
      </w:pPr>
      <w:r>
        <w:rPr>
          <w:rFonts w:ascii="Arial;sans-serif" w:hAnsi="Arial;sans-serif"/>
          <w:b w:val="false"/>
          <w:sz w:val="16"/>
        </w:rPr>
        <w:t>Letters of credit are off-balance sheet commitments that reduce the borrowing capacity available on our corporate Revolving Credit Facility</w:t>
      </w:r>
      <w:r>
        <w:rPr>
          <w:rFonts w:ascii="Arial;sans-serif" w:hAnsi="Arial;sans-serif"/>
          <w:b w:val="false"/>
          <w:sz w:val="18"/>
        </w:rPr>
        <w:t>.</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Revolving Credit Facility and CP Program borrowing activity was as follows (dollars in thousands):</w:t>
      </w:r>
    </w:p>
    <w:p>
      <w:pPr>
        <w:pStyle w:val="TextBody"/>
        <w:spacing w:before="0" w:after="0"/>
        <w:jc w:val="left"/>
        <w:rPr/>
      </w:pPr>
      <w:r>
        <w:rPr/>
        <w:t> </w:t>
      </w:r>
    </w:p>
    <w:tbl>
      <w:tblPr>
        <w:tblW w:w="8730" w:type="dxa"/>
        <w:jc w:val="left"/>
        <w:tblInd w:w="0" w:type="dxa"/>
        <w:tblCellMar>
          <w:top w:w="28" w:type="dxa"/>
          <w:left w:w="28" w:type="dxa"/>
          <w:bottom w:w="28" w:type="dxa"/>
          <w:right w:w="28" w:type="dxa"/>
        </w:tblCellMar>
      </w:tblPr>
      <w:tblGrid>
        <w:gridCol w:w="5746"/>
        <w:gridCol w:w="249"/>
        <w:gridCol w:w="925"/>
        <w:gridCol w:w="320"/>
        <w:gridCol w:w="249"/>
        <w:gridCol w:w="925"/>
        <w:gridCol w:w="316"/>
      </w:tblGrid>
      <w:tr>
        <w:trPr/>
        <w:tc>
          <w:tcPr>
            <w:tcW w:w="57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746" w:type="dxa"/>
            <w:tcBorders/>
            <w:shd w:fill="auto" w:val="clear"/>
            <w:vAlign w:val="center"/>
          </w:tcPr>
          <w:p>
            <w:pPr>
              <w:pStyle w:val="TableContents"/>
              <w:spacing w:before="0" w:after="0"/>
              <w:ind w:left="0" w:right="0" w:hanging="0"/>
              <w:jc w:val="left"/>
              <w:rPr/>
            </w:pPr>
            <w:r>
              <w:rPr/>
              <w:t> </w:t>
            </w:r>
          </w:p>
        </w:tc>
        <w:tc>
          <w:tcPr>
            <w:tcW w:w="2668"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16" w:type="dxa"/>
            <w:tcBorders/>
            <w:shd w:fill="auto" w:val="clear"/>
            <w:vAlign w:val="center"/>
          </w:tcPr>
          <w:p>
            <w:pPr>
              <w:pStyle w:val="TableContents"/>
              <w:spacing w:before="0" w:after="0"/>
              <w:ind w:left="0" w:right="0" w:hanging="0"/>
              <w:jc w:val="center"/>
              <w:rPr/>
            </w:pPr>
            <w:r>
              <w:rPr/>
              <w:t> </w:t>
            </w:r>
          </w:p>
        </w:tc>
      </w:tr>
      <w:tr>
        <w:trPr/>
        <w:tc>
          <w:tcPr>
            <w:tcW w:w="57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Maximum amount outstanding (based on daily outstanding balances)</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548,700</w:t>
            </w:r>
          </w:p>
        </w:tc>
        <w:tc>
          <w:tcPr>
            <w:tcW w:w="320"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429,000</w:t>
            </w:r>
          </w:p>
        </w:tc>
        <w:tc>
          <w:tcPr>
            <w:tcW w:w="316"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Average amount outstanding (based on daily outstanding balances)</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331,268</w:t>
            </w:r>
          </w:p>
        </w:tc>
        <w:tc>
          <w:tcPr>
            <w:tcW w:w="320"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360,823</w:t>
            </w:r>
          </w:p>
        </w:tc>
        <w:tc>
          <w:tcPr>
            <w:tcW w:w="316" w:type="dxa"/>
            <w:tcBorders/>
            <w:shd w:fill="auto" w:val="clear"/>
            <w:vAlign w:val="center"/>
          </w:tcPr>
          <w:p>
            <w:pPr>
              <w:pStyle w:val="TableContents"/>
              <w:spacing w:before="0" w:after="0"/>
              <w:ind w:left="0" w:right="0" w:hanging="0"/>
              <w:jc w:val="left"/>
              <w:rPr/>
            </w:pPr>
            <w:r>
              <w:rPr/>
              <w:t> </w:t>
            </w:r>
          </w:p>
        </w:tc>
      </w:tr>
      <w:tr>
        <w:trPr/>
        <w:tc>
          <w:tcPr>
            <w:tcW w:w="574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 average interest rates</w:t>
            </w:r>
          </w:p>
        </w:tc>
        <w:tc>
          <w:tcPr>
            <w:tcW w:w="249"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4.91</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9" w:type="dxa"/>
            <w:tcBorders/>
            <w:shd w:fill="auto" w:val="clear"/>
            <w:vAlign w:val="center"/>
          </w:tcPr>
          <w:p>
            <w:pPr>
              <w:pStyle w:val="TableContents"/>
              <w:spacing w:before="0" w:after="0"/>
              <w:ind w:left="0" w:right="0" w:hanging="0"/>
              <w:jc w:val="left"/>
              <w:rPr/>
            </w:pPr>
            <w:r>
              <w:rPr/>
              <w:t> </w:t>
            </w:r>
          </w:p>
        </w:tc>
        <w:tc>
          <w:tcPr>
            <w:tcW w:w="9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0.44</w:t>
            </w:r>
          </w:p>
        </w:tc>
        <w:tc>
          <w:tcPr>
            <w:tcW w:w="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Long-term Debt</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On March 7, 2023, we completed a public debt offering of $350</w:t>
      </w:r>
      <w:r>
        <w:rPr>
          <w:rFonts w:ascii="Times New Roman" w:hAnsi="Times New Roman"/>
          <w:sz w:val="20"/>
        </w:rPr>
        <w:t xml:space="preserve"> </w:t>
      </w:r>
      <w:r>
        <w:rPr>
          <w:rFonts w:ascii="Arial;sans-serif" w:hAnsi="Arial;sans-serif"/>
          <w:b w:val="false"/>
          <w:sz w:val="18"/>
        </w:rPr>
        <w:t>million, 5.95% five year</w:t>
      </w:r>
      <w:r>
        <w:rPr>
          <w:rFonts w:ascii="Times New Roman" w:hAnsi="Times New Roman"/>
          <w:sz w:val="20"/>
        </w:rPr>
        <w:t xml:space="preserve"> </w:t>
      </w:r>
      <w:r>
        <w:rPr>
          <w:rFonts w:ascii="Arial;sans-serif" w:hAnsi="Arial;sans-serif"/>
          <w:b w:val="false"/>
          <w:sz w:val="18"/>
        </w:rPr>
        <w:t>senior unsecured notes due March 15, 2028. The proceeds from the offering, which were net</w:t>
      </w:r>
      <w:r>
        <w:rPr>
          <w:rFonts w:ascii="Times New Roman" w:hAnsi="Times New Roman"/>
          <w:sz w:val="20"/>
        </w:rPr>
        <w:t xml:space="preserve"> </w:t>
      </w:r>
      <w:r>
        <w:rPr>
          <w:rFonts w:ascii="Arial;sans-serif" w:hAnsi="Arial;sans-serif"/>
          <w:b w:val="false"/>
          <w:sz w:val="18"/>
        </w:rPr>
        <w:t>of $4.2</w:t>
      </w:r>
      <w:r>
        <w:rPr>
          <w:rFonts w:ascii="Times New Roman" w:hAnsi="Times New Roman"/>
          <w:sz w:val="20"/>
        </w:rPr>
        <w:t xml:space="preserve"> </w:t>
      </w:r>
      <w:r>
        <w:rPr>
          <w:rFonts w:ascii="Arial;sans-serif" w:hAnsi="Arial;sans-serif"/>
          <w:b w:val="false"/>
          <w:sz w:val="18"/>
        </w:rPr>
        <w:t>million</w:t>
      </w:r>
      <w:r>
        <w:rPr>
          <w:rFonts w:ascii="Times New Roman" w:hAnsi="Times New Roman"/>
          <w:sz w:val="20"/>
        </w:rPr>
        <w:t xml:space="preserve"> </w:t>
      </w:r>
      <w:r>
        <w:rPr>
          <w:rFonts w:ascii="Arial;sans-serif" w:hAnsi="Arial;sans-serif"/>
          <w:b w:val="false"/>
          <w:sz w:val="18"/>
        </w:rPr>
        <w:t>of deferred financing costs, were used to repay notes outstanding under our CP Program and for other general corporate purposes.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Debt Covenants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Revolving Credit Facility</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Under our Revolving Credit Facility, we are required to maintain a Consolidated Indebtedness to Capitalization Ratio not to exceed 0.65</w:t>
      </w:r>
      <w:r>
        <w:rPr>
          <w:rFonts w:ascii="Times New Roman" w:hAnsi="Times New Roman"/>
          <w:sz w:val="20"/>
        </w:rPr>
        <w:t xml:space="preserve"> </w:t>
      </w:r>
      <w:r>
        <w:rPr>
          <w:rFonts w:ascii="Arial;sans-serif" w:hAnsi="Arial;sans-serif"/>
          <w:b w:val="false"/>
          <w:sz w:val="18"/>
        </w:rPr>
        <w:t>to 1.00. Subject to applicable cure periods, a violation of any of these covenants would constitute an event of default that entitles the lenders to terminate their remaining commitments and accelerate all principal and interest outstanding.</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were in compliance with our covenants at March 31, 2023, as shown below:</w:t>
      </w:r>
    </w:p>
    <w:p>
      <w:pPr>
        <w:pStyle w:val="TextBody"/>
        <w:spacing w:before="0" w:after="0"/>
        <w:jc w:val="left"/>
        <w:rPr/>
      </w:pPr>
      <w:r>
        <w:rPr/>
        <w:t> </w:t>
      </w:r>
    </w:p>
    <w:tbl>
      <w:tblPr>
        <w:tblW w:w="8103" w:type="dxa"/>
        <w:jc w:val="left"/>
        <w:tblInd w:w="0" w:type="dxa"/>
        <w:tblCellMar>
          <w:top w:w="28" w:type="dxa"/>
          <w:left w:w="28" w:type="dxa"/>
          <w:bottom w:w="28" w:type="dxa"/>
          <w:right w:w="28" w:type="dxa"/>
        </w:tblCellMar>
      </w:tblPr>
      <w:tblGrid>
        <w:gridCol w:w="4216"/>
        <w:gridCol w:w="1831"/>
        <w:gridCol w:w="2056"/>
      </w:tblGrid>
      <w:tr>
        <w:trPr/>
        <w:tc>
          <w:tcPr>
            <w:tcW w:w="4216"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left"/>
              <w:rPr/>
            </w:pPr>
            <w:r>
              <w:rPr/>
              <w:t> </w:t>
            </w:r>
          </w:p>
        </w:tc>
        <w:tc>
          <w:tcPr>
            <w:tcW w:w="1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 March 31, 2023</w:t>
            </w:r>
          </w:p>
        </w:tc>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Covenant Requirement</w:t>
            </w:r>
          </w:p>
        </w:tc>
      </w:tr>
      <w:tr>
        <w:trPr/>
        <w:tc>
          <w:tcPr>
            <w:tcW w:w="42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Consolidated Indebtedness to Capitalization Ratio</w:t>
            </w:r>
          </w:p>
        </w:tc>
        <w:tc>
          <w:tcPr>
            <w:tcW w:w="183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59.1%</w:t>
            </w:r>
          </w:p>
        </w:tc>
        <w:tc>
          <w:tcPr>
            <w:tcW w:w="20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Less than 65%</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Wyoming Electric</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Covenants within Wyoming Electric's financing agreements require Wyoming Electric to maintain a debt to capitalization ratio of no more than 0.60</w:t>
      </w:r>
      <w:r>
        <w:rPr>
          <w:rFonts w:ascii="Times New Roman" w:hAnsi="Times New Roman"/>
          <w:sz w:val="20"/>
        </w:rPr>
        <w:t xml:space="preserve"> </w:t>
      </w:r>
      <w:r>
        <w:rPr>
          <w:rFonts w:ascii="Arial;sans-serif" w:hAnsi="Arial;sans-serif"/>
          <w:b w:val="false"/>
          <w:sz w:val="18"/>
        </w:rPr>
        <w:t>to 1.00. As of March 31, 2023, we were in compliance with these financial covenants.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16</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Equity</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At-the-Market Equity Offering Program</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ATM activity was as follows (net proceeds and issuance costs in millions):</w:t>
      </w:r>
    </w:p>
    <w:p>
      <w:pPr>
        <w:pStyle w:val="TextBody"/>
        <w:spacing w:before="0" w:after="0"/>
        <w:jc w:val="left"/>
        <w:rPr/>
      </w:pPr>
      <w:r>
        <w:rPr/>
        <w:t> </w:t>
      </w:r>
    </w:p>
    <w:tbl>
      <w:tblPr>
        <w:tblW w:w="7976" w:type="dxa"/>
        <w:jc w:val="left"/>
        <w:tblInd w:w="0" w:type="dxa"/>
        <w:tblCellMar>
          <w:top w:w="28" w:type="dxa"/>
          <w:left w:w="28" w:type="dxa"/>
          <w:bottom w:w="28" w:type="dxa"/>
          <w:right w:w="28" w:type="dxa"/>
        </w:tblCellMar>
      </w:tblPr>
      <w:tblGrid>
        <w:gridCol w:w="5116"/>
        <w:gridCol w:w="278"/>
        <w:gridCol w:w="1030"/>
        <w:gridCol w:w="192"/>
        <w:gridCol w:w="278"/>
        <w:gridCol w:w="891"/>
        <w:gridCol w:w="191"/>
      </w:tblGrid>
      <w:tr>
        <w:trPr/>
        <w:tc>
          <w:tcPr>
            <w:tcW w:w="511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5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Proceeds, (net of issuance costs of $(0.3), $(0.0) respectively)</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27.4</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w:t>
            </w:r>
          </w:p>
        </w:tc>
        <w:tc>
          <w:tcPr>
            <w:tcW w:w="19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Average price per share</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62.21</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68.79</w:t>
            </w:r>
          </w:p>
        </w:tc>
        <w:tc>
          <w:tcPr>
            <w:tcW w:w="19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Number of shares issued</w:t>
            </w:r>
          </w:p>
        </w:tc>
        <w:tc>
          <w:tcPr>
            <w:tcW w:w="278" w:type="dxa"/>
            <w:tcBorders/>
            <w:shd w:fill="auto" w:val="clear"/>
            <w:vAlign w:val="center"/>
          </w:tcPr>
          <w:p>
            <w:pPr>
              <w:pStyle w:val="TableContents"/>
              <w:spacing w:before="0" w:after="0"/>
              <w:ind w:left="0" w:right="0" w:hanging="0"/>
              <w:jc w:val="left"/>
              <w:rPr/>
            </w:pPr>
            <w:r>
              <w:rPr/>
              <w:t> </w:t>
            </w:r>
          </w:p>
        </w:tc>
        <w:tc>
          <w:tcPr>
            <w:tcW w:w="10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445,578</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8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55,707</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As of March 31, 2023, there were 34,040</w:t>
      </w:r>
      <w:r>
        <w:rPr>
          <w:rFonts w:ascii="Times New Roman" w:hAnsi="Times New Roman"/>
          <w:sz w:val="20"/>
        </w:rPr>
        <w:t xml:space="preserve"> </w:t>
      </w:r>
      <w:r>
        <w:rPr>
          <w:rFonts w:ascii="Arial;sans-serif" w:hAnsi="Arial;sans-serif"/>
          <w:b w:val="false"/>
          <w:sz w:val="18"/>
        </w:rPr>
        <w:t>shares issued, but not settled.</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Earnings Per Share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 reconciliation of share amounts used to compute earnings per share in the accompanying Consolidated Statements of Income was as follows (in thousands, except per share amounts):</w:t>
      </w:r>
    </w:p>
    <w:p>
      <w:pPr>
        <w:pStyle w:val="TextBody"/>
        <w:spacing w:before="0" w:after="0"/>
        <w:jc w:val="left"/>
        <w:rPr/>
      </w:pPr>
      <w:r>
        <w:rPr/>
        <w:t> </w:t>
      </w:r>
    </w:p>
    <w:tbl>
      <w:tblPr>
        <w:tblW w:w="6376" w:type="dxa"/>
        <w:jc w:val="left"/>
        <w:tblInd w:w="0" w:type="dxa"/>
        <w:tblCellMar>
          <w:top w:w="28" w:type="dxa"/>
          <w:left w:w="28" w:type="dxa"/>
          <w:bottom w:w="28" w:type="dxa"/>
          <w:right w:w="28" w:type="dxa"/>
        </w:tblCellMar>
      </w:tblPr>
      <w:tblGrid>
        <w:gridCol w:w="3316"/>
        <w:gridCol w:w="264"/>
        <w:gridCol w:w="979"/>
        <w:gridCol w:w="183"/>
        <w:gridCol w:w="264"/>
        <w:gridCol w:w="979"/>
        <w:gridCol w:w="391"/>
      </w:tblGrid>
      <w:tr>
        <w:trPr/>
        <w:tc>
          <w:tcPr>
            <w:tcW w:w="331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available for common stock</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114,084</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117,526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 average shares - basic</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66,036</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64,565</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Dilutive effect of:</w:t>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Equity compensation</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Weighted average shares - diluted</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66,132</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64,721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Earnings per share of common stock:</w:t>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Earnings per share, Basic</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w:t>
            </w:r>
          </w:p>
        </w:tc>
        <w:tc>
          <w:tcPr>
            <w:tcW w:w="391" w:type="dxa"/>
            <w:tcBorders/>
            <w:shd w:fill="auto" w:val="clear"/>
            <w:vAlign w:val="center"/>
          </w:tcPr>
          <w:p>
            <w:pPr>
              <w:pStyle w:val="TableContents"/>
              <w:spacing w:before="0" w:after="0"/>
              <w:ind w:left="0" w:right="0" w:firstLine="100"/>
              <w:jc w:val="left"/>
              <w:rPr/>
            </w:pPr>
            <w:r>
              <w:rPr/>
              <w:t> </w:t>
            </w:r>
          </w:p>
        </w:tc>
      </w:tr>
      <w:tr>
        <w:trPr/>
        <w:tc>
          <w:tcPr>
            <w:tcW w:w="33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Earnings per share, Diluted</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securities were excluded from the diluted earnings per share computation because of their anti-dilutive nature (in thousands):</w:t>
      </w:r>
    </w:p>
    <w:p>
      <w:pPr>
        <w:pStyle w:val="TextBody"/>
        <w:spacing w:before="0" w:after="0"/>
        <w:jc w:val="left"/>
        <w:rPr/>
      </w:pPr>
      <w:r>
        <w:rPr/>
        <w:t> </w:t>
      </w:r>
    </w:p>
    <w:tbl>
      <w:tblPr>
        <w:tblW w:w="4789" w:type="dxa"/>
        <w:jc w:val="left"/>
        <w:tblInd w:w="0" w:type="dxa"/>
        <w:tblCellMar>
          <w:top w:w="28" w:type="dxa"/>
          <w:left w:w="28" w:type="dxa"/>
          <w:bottom w:w="28" w:type="dxa"/>
          <w:right w:w="28" w:type="dxa"/>
        </w:tblCellMar>
      </w:tblPr>
      <w:tblGrid>
        <w:gridCol w:w="1831"/>
        <w:gridCol w:w="423"/>
        <w:gridCol w:w="917"/>
        <w:gridCol w:w="423"/>
        <w:gridCol w:w="423"/>
        <w:gridCol w:w="481"/>
        <w:gridCol w:w="291"/>
      </w:tblGrid>
      <w:tr>
        <w:trPr/>
        <w:tc>
          <w:tcPr>
            <w:tcW w:w="183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before="0" w:after="0"/>
              <w:ind w:left="0" w:right="0" w:hanging="0"/>
              <w:jc w:val="left"/>
              <w:rPr/>
            </w:pPr>
            <w:r>
              <w:rPr/>
              <w:t> </w:t>
            </w:r>
          </w:p>
        </w:tc>
        <w:tc>
          <w:tcPr>
            <w:tcW w:w="2667"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0"/>
              <w:ind w:left="0" w:right="0" w:hanging="0"/>
              <w:jc w:val="left"/>
              <w:rPr/>
            </w:pPr>
            <w:r>
              <w:rPr/>
              <w:t> </w:t>
            </w:r>
          </w:p>
        </w:tc>
        <w:tc>
          <w:tcPr>
            <w:tcW w:w="13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Equity compensation</w:t>
            </w:r>
          </w:p>
        </w:tc>
        <w:tc>
          <w:tcPr>
            <w:tcW w:w="423" w:type="dxa"/>
            <w:tcBorders/>
            <w:shd w:fill="auto" w:val="clear"/>
            <w:vAlign w:val="center"/>
          </w:tcPr>
          <w:p>
            <w:pPr>
              <w:pStyle w:val="TableContents"/>
              <w:spacing w:before="0" w:after="0"/>
              <w:ind w:left="0" w:right="0" w:hanging="0"/>
              <w:jc w:val="left"/>
              <w:rPr/>
            </w:pPr>
            <w:r>
              <w:rPr/>
              <w:t> </w:t>
            </w:r>
          </w:p>
        </w:tc>
        <w:tc>
          <w:tcPr>
            <w:tcW w:w="91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w:t>
            </w:r>
          </w:p>
        </w:tc>
        <w:tc>
          <w:tcPr>
            <w:tcW w:w="423"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1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Anti-dilutive shares</w:t>
            </w:r>
          </w:p>
        </w:tc>
        <w:tc>
          <w:tcPr>
            <w:tcW w:w="4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w:t>
            </w:r>
          </w:p>
        </w:tc>
        <w:tc>
          <w:tcPr>
            <w:tcW w:w="4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Risk Management and Derivatives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Market and Credit Risk Disclosures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Our activities in the energy industry expose us to a number of risks in the normal operations of our businesses. Depending on the activity, we are exposed to varying degrees of market risk and credit risk. Valuation methodologies for our derivatives are detailed within Note 1 of the Notes to the Consolidated Financial Statements in our 2022 Annual Report on Form 10-K.</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Market Risk</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Market risk is the potential loss that may occur as a result of an adverse change in market price, rate or supply. We are exposed but not limited to, the following market risks: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Interest rate risk associated with future debt, including reduced access to liquidity during periods of extreme capital markets volatility.</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17</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Credit Risk</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Credit risk is the risk of financial loss resulting from non-performance of contractual obligations by a counterparty.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Derivatives and Hedging Activity</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Our derivative and hedging activities included in the accompanying Consolidated Balance Sheets, Consolidated Statements of Income and Consolidated Statements of Comprehensive Income are detailed below and in </w:t>
      </w:r>
      <w:hyperlink w:anchor="fn8_fair_value_measur">
        <w:r>
          <w:rPr>
            <w:rStyle w:val="InternetLink"/>
            <w:rFonts w:ascii="Arial;sans-serif" w:hAnsi="Arial;sans-serif"/>
            <w:b w:val="false"/>
            <w:sz w:val="18"/>
            <w:u w:val="single"/>
          </w:rPr>
          <w:t>Note 8</w:t>
        </w:r>
      </w:hyperlink>
      <w:r>
        <w:rPr>
          <w:rFonts w:ascii="Arial;sans-serif" w:hAnsi="Arial;sans-serif"/>
          <w:b w:val="false"/>
          <w:sz w:val="18"/>
        </w:rPr>
        <w:t>.</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Consolidated Statements of Income.</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April 2023 through October 2025.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contract or notional amounts and terms of the electric and natural gas derivative commodity instruments held at our Utilities are composed of both long and short positions. We had the following net long positions as of:</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09"/>
        <w:gridCol w:w="241"/>
        <w:gridCol w:w="1544"/>
        <w:gridCol w:w="146"/>
        <w:gridCol w:w="527"/>
        <w:gridCol w:w="1145"/>
        <w:gridCol w:w="146"/>
        <w:gridCol w:w="226"/>
        <w:gridCol w:w="1607"/>
        <w:gridCol w:w="146"/>
        <w:gridCol w:w="527"/>
        <w:gridCol w:w="1145"/>
        <w:gridCol w:w="196"/>
      </w:tblGrid>
      <w:tr>
        <w:trPr/>
        <w:tc>
          <w:tcPr>
            <w:tcW w:w="26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609" w:type="dxa"/>
            <w:tcBorders/>
            <w:shd w:fill="auto" w:val="clear"/>
            <w:vAlign w:val="center"/>
          </w:tcPr>
          <w:p>
            <w:pPr>
              <w:pStyle w:val="TableContents"/>
              <w:spacing w:before="0" w:after="0"/>
              <w:ind w:left="0" w:right="0" w:hanging="0"/>
              <w:jc w:val="left"/>
              <w:rPr/>
            </w:pPr>
            <w:r>
              <w:rPr/>
              <w:t> </w:t>
            </w:r>
          </w:p>
        </w:tc>
        <w:tc>
          <w:tcPr>
            <w:tcW w:w="360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51"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09" w:type="dxa"/>
            <w:tcBorders/>
            <w:shd w:fill="auto" w:val="clear"/>
            <w:vAlign w:val="center"/>
          </w:tcPr>
          <w:p>
            <w:pPr>
              <w:pStyle w:val="TableContents"/>
              <w:spacing w:before="0" w:after="0"/>
              <w:ind w:left="0" w:right="0" w:hanging="0"/>
              <w:jc w:val="left"/>
              <w:rPr/>
            </w:pPr>
            <w:r>
              <w:rPr/>
              <w:t> </w:t>
            </w:r>
          </w:p>
        </w:tc>
        <w:tc>
          <w:tcPr>
            <w:tcW w:w="17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Notional Amounts (MMBtus)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Maximum Term (months) </w:t>
            </w:r>
            <w:r>
              <w:rPr>
                <w:rFonts w:ascii="Arial;sans-serif" w:hAnsi="Arial;sans-serif"/>
                <w:b w:val="false"/>
                <w:sz w:val="12"/>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3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Notional Amounts (MMBtus)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Maximum Term (months) </w:t>
            </w:r>
            <w:r>
              <w:rPr>
                <w:rFonts w:ascii="Arial;sans-serif" w:hAnsi="Arial;sans-serif"/>
                <w:b w:val="false"/>
                <w:sz w:val="12"/>
              </w:rPr>
              <w:t>(a)</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0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Natural gas futures purchased</w:t>
            </w:r>
          </w:p>
        </w:tc>
        <w:tc>
          <w:tcPr>
            <w:tcW w:w="241"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672" w:type="dxa"/>
            <w:gridSpan w:val="2"/>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N/A</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630,000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196" w:type="dxa"/>
            <w:tcBorders/>
            <w:shd w:fill="auto" w:val="clear"/>
            <w:vAlign w:val="center"/>
          </w:tcPr>
          <w:p>
            <w:pPr>
              <w:pStyle w:val="TableContents"/>
              <w:spacing w:before="0" w:after="0"/>
              <w:ind w:left="0" w:right="0" w:hanging="0"/>
              <w:jc w:val="left"/>
              <w:rPr/>
            </w:pPr>
            <w:r>
              <w:rPr/>
              <w:t> </w:t>
            </w:r>
          </w:p>
        </w:tc>
      </w:tr>
      <w:tr>
        <w:trPr/>
        <w:tc>
          <w:tcPr>
            <w:tcW w:w="260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Natural gas options purchased, net</w:t>
            </w:r>
          </w:p>
        </w:tc>
        <w:tc>
          <w:tcPr>
            <w:tcW w:w="241"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672" w:type="dxa"/>
            <w:gridSpan w:val="2"/>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N/A</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1,790,000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196" w:type="dxa"/>
            <w:tcBorders/>
            <w:shd w:fill="auto" w:val="clear"/>
            <w:vAlign w:val="center"/>
          </w:tcPr>
          <w:p>
            <w:pPr>
              <w:pStyle w:val="TableContents"/>
              <w:spacing w:before="0" w:after="0"/>
              <w:ind w:left="0" w:right="0" w:hanging="0"/>
              <w:jc w:val="left"/>
              <w:rPr/>
            </w:pPr>
            <w:r>
              <w:rPr/>
              <w:t> </w:t>
            </w:r>
          </w:p>
        </w:tc>
      </w:tr>
      <w:tr>
        <w:trPr/>
        <w:tc>
          <w:tcPr>
            <w:tcW w:w="260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Natural gas basis swaps purchased</w:t>
            </w:r>
          </w:p>
        </w:tc>
        <w:tc>
          <w:tcPr>
            <w:tcW w:w="241"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672" w:type="dxa"/>
            <w:gridSpan w:val="2"/>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N/A</w:t>
            </w:r>
          </w:p>
        </w:tc>
        <w:tc>
          <w:tcPr>
            <w:tcW w:w="146" w:type="dxa"/>
            <w:tcBorders/>
            <w:shd w:fill="auto" w:val="clear"/>
            <w:vAlign w:val="center"/>
          </w:tcPr>
          <w:p>
            <w:pPr>
              <w:pStyle w:val="TableContents"/>
              <w:spacing w:before="0" w:after="0"/>
              <w:ind w:left="0" w:right="0" w:hanging="0"/>
              <w:jc w:val="righ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900,000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196" w:type="dxa"/>
            <w:tcBorders/>
            <w:shd w:fill="auto" w:val="clear"/>
            <w:vAlign w:val="center"/>
          </w:tcPr>
          <w:p>
            <w:pPr>
              <w:pStyle w:val="TableContents"/>
              <w:spacing w:before="0" w:after="0"/>
              <w:ind w:left="0" w:right="0" w:hanging="0"/>
              <w:jc w:val="left"/>
              <w:rPr/>
            </w:pPr>
            <w:r>
              <w:rPr/>
              <w:t> </w:t>
            </w:r>
          </w:p>
        </w:tc>
      </w:tr>
      <w:tr>
        <w:trPr/>
        <w:tc>
          <w:tcPr>
            <w:tcW w:w="2609"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Natural gas over-the-counter swaps, net </w:t>
            </w:r>
            <w:r>
              <w:rPr>
                <w:rFonts w:ascii="Arial;sans-serif" w:hAnsi="Arial;sans-serif"/>
                <w:b w:val="false"/>
                <w:sz w:val="12"/>
              </w:rPr>
              <w:t>(b)</w:t>
            </w:r>
          </w:p>
        </w:tc>
        <w:tc>
          <w:tcPr>
            <w:tcW w:w="241"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3,270,000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4,460,000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196" w:type="dxa"/>
            <w:tcBorders/>
            <w:shd w:fill="auto" w:val="clear"/>
            <w:vAlign w:val="center"/>
          </w:tcPr>
          <w:p>
            <w:pPr>
              <w:pStyle w:val="TableContents"/>
              <w:spacing w:before="0" w:after="0"/>
              <w:ind w:left="0" w:right="0" w:hanging="0"/>
              <w:jc w:val="left"/>
              <w:rPr/>
            </w:pPr>
            <w:r>
              <w:rPr/>
              <w:t> </w:t>
            </w:r>
          </w:p>
        </w:tc>
      </w:tr>
      <w:tr>
        <w:trPr/>
        <w:tc>
          <w:tcPr>
            <w:tcW w:w="2609"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Natural gas physical contracts, net </w:t>
            </w:r>
            <w:r>
              <w:rPr>
                <w:rFonts w:ascii="Arial;sans-serif" w:hAnsi="Arial;sans-serif"/>
                <w:b w:val="false"/>
                <w:sz w:val="12"/>
              </w:rPr>
              <w:t>(c)</w:t>
            </w:r>
          </w:p>
        </w:tc>
        <w:tc>
          <w:tcPr>
            <w:tcW w:w="241" w:type="dxa"/>
            <w:tcBorders/>
            <w:shd w:fill="auto" w:val="clear"/>
            <w:vAlign w:val="center"/>
          </w:tcPr>
          <w:p>
            <w:pPr>
              <w:pStyle w:val="TableContents"/>
              <w:spacing w:before="0" w:after="0"/>
              <w:ind w:left="0" w:right="0" w:hanging="0"/>
              <w:jc w:val="left"/>
              <w:rPr/>
            </w:pPr>
            <w:r>
              <w:rPr/>
              <w:t> </w:t>
            </w:r>
          </w:p>
        </w:tc>
        <w:tc>
          <w:tcPr>
            <w:tcW w:w="154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3,881,190</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6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17,864,412</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w:t>
            </w:r>
          </w:p>
        </w:tc>
        <w:tc>
          <w:tcPr>
            <w:tcW w:w="196"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spacing w:before="0" w:after="0"/>
        <w:jc w:val="left"/>
        <w:rPr>
          <w:rFonts w:ascii="Arial;sans-serif" w:hAnsi="Arial;sans-serif"/>
          <w:b w:val="false"/>
          <w:sz w:val="16"/>
        </w:rPr>
      </w:pPr>
      <w:r>
        <w:rPr>
          <w:rFonts w:ascii="Arial;sans-serif" w:hAnsi="Arial;sans-serif"/>
          <w:b w:val="false"/>
          <w:sz w:val="16"/>
        </w:rPr>
        <w:t>Term reflects the maximum forward period hedged.</w:t>
      </w:r>
    </w:p>
    <w:p>
      <w:pPr>
        <w:pStyle w:val="TextBody"/>
        <w:spacing w:before="0" w:after="0"/>
        <w:jc w:val="left"/>
        <w:rPr>
          <w:rFonts w:ascii="Arial" w:hAnsi="Arial"/>
          <w:b w:val="false"/>
          <w:sz w:val="16"/>
        </w:rPr>
      </w:pPr>
      <w:r>
        <w:rPr>
          <w:rFonts w:ascii="Arial" w:hAnsi="Arial"/>
          <w:b w:val="false"/>
          <w:sz w:val="16"/>
        </w:rPr>
        <w:t>(b)</w:t>
      </w:r>
    </w:p>
    <w:p>
      <w:pPr>
        <w:pStyle w:val="TextBody"/>
        <w:spacing w:before="0" w:after="0"/>
        <w:jc w:val="left"/>
        <w:rPr>
          <w:rFonts w:ascii="Arial;sans-serif" w:hAnsi="Arial;sans-serif"/>
          <w:sz w:val="18"/>
        </w:rPr>
      </w:pPr>
      <w:r>
        <w:rPr>
          <w:rFonts w:ascii="Arial;sans-serif" w:hAnsi="Arial;sans-serif"/>
          <w:b w:val="false"/>
          <w:sz w:val="16"/>
        </w:rPr>
        <w:t>As of March 31, 2023, 574,800</w:t>
      </w:r>
      <w:r>
        <w:rPr>
          <w:rFonts w:ascii="Arial;sans-serif" w:hAnsi="Arial;sans-serif"/>
          <w:sz w:val="18"/>
        </w:rPr>
        <w:t xml:space="preserve"> </w:t>
      </w:r>
      <w:r>
        <w:rPr>
          <w:rFonts w:ascii="Arial;sans-serif" w:hAnsi="Arial;sans-serif"/>
          <w:b w:val="false"/>
          <w:sz w:val="16"/>
        </w:rPr>
        <w:t>MMBtus of natural gas over-the-counter swaps purchases were designated as cash flow hedges.</w:t>
      </w:r>
    </w:p>
    <w:p>
      <w:pPr>
        <w:pStyle w:val="TextBody"/>
        <w:spacing w:before="0" w:after="0"/>
        <w:jc w:val="left"/>
        <w:rPr>
          <w:rFonts w:ascii="Arial" w:hAnsi="Arial"/>
          <w:b w:val="false"/>
          <w:sz w:val="16"/>
        </w:rPr>
      </w:pPr>
      <w:r>
        <w:rPr>
          <w:rFonts w:ascii="Arial" w:hAnsi="Arial"/>
          <w:b w:val="false"/>
          <w:sz w:val="16"/>
        </w:rPr>
        <w:t>(c)</w:t>
      </w:r>
    </w:p>
    <w:p>
      <w:pPr>
        <w:pStyle w:val="TextBody"/>
        <w:jc w:val="left"/>
        <w:rPr>
          <w:rFonts w:ascii="Arial;sans-serif" w:hAnsi="Arial;sans-serif"/>
          <w:b w:val="false"/>
          <w:sz w:val="16"/>
        </w:rPr>
      </w:pPr>
      <w:r>
        <w:rPr>
          <w:rFonts w:ascii="Arial;sans-serif" w:hAnsi="Arial;sans-serif"/>
          <w:b w:val="false"/>
          <w:sz w:val="16"/>
        </w:rPr>
        <w:t>Volumes exclude derivative contracts that qualify for the normal purchases and normal sales exception permitted by GAAP.</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18</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We have certain derivative contracts which contain credit provisions. These credit provisions may require the Company to post collateral when credit exposure to the Company is in excess of a negotiated line of unsecured credit. At March 31, 2023, the Company posted $0.6</w:t>
      </w:r>
      <w:r>
        <w:rPr>
          <w:rFonts w:ascii="Times New Roman" w:hAnsi="Times New Roman"/>
          <w:sz w:val="20"/>
        </w:rPr>
        <w:t xml:space="preserve"> </w:t>
      </w:r>
      <w:r>
        <w:rPr>
          <w:rFonts w:ascii="Arial;sans-serif" w:hAnsi="Arial;sans-serif"/>
          <w:b w:val="false"/>
          <w:sz w:val="18"/>
        </w:rPr>
        <w:t>million related to such provisions, which is included in Other current assets on the Consolidated Balance Sheets.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Derivatives by Balance Sheet Classification</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presents the fair value and balance sheet classification of our derivative instruments (in thousands) as of:</w:t>
      </w:r>
    </w:p>
    <w:p>
      <w:pPr>
        <w:pStyle w:val="TextBody"/>
        <w:spacing w:before="0" w:after="0"/>
        <w:jc w:val="left"/>
        <w:rPr/>
      </w:pPr>
      <w:r>
        <w:rPr/>
        <w:t> </w:t>
      </w:r>
    </w:p>
    <w:tbl>
      <w:tblPr>
        <w:tblW w:w="9834" w:type="dxa"/>
        <w:jc w:val="left"/>
        <w:tblInd w:w="0" w:type="dxa"/>
        <w:tblCellMar>
          <w:top w:w="28" w:type="dxa"/>
          <w:left w:w="28" w:type="dxa"/>
          <w:bottom w:w="28" w:type="dxa"/>
          <w:right w:w="28" w:type="dxa"/>
        </w:tblCellMar>
      </w:tblPr>
      <w:tblGrid>
        <w:gridCol w:w="3616"/>
        <w:gridCol w:w="3466"/>
        <w:gridCol w:w="229"/>
        <w:gridCol w:w="686"/>
        <w:gridCol w:w="166"/>
        <w:gridCol w:w="314"/>
        <w:gridCol w:w="946"/>
        <w:gridCol w:w="411"/>
      </w:tblGrid>
      <w:tr>
        <w:trPr/>
        <w:tc>
          <w:tcPr>
            <w:tcW w:w="3616"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left"/>
              <w:rPr/>
            </w:pPr>
            <w:r>
              <w:rPr/>
              <w:t> </w:t>
            </w:r>
          </w:p>
        </w:tc>
        <w:tc>
          <w:tcPr>
            <w:tcW w:w="3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Balance Sheet Location</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Derivatives designated as hedges: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3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Asset derivative instruments: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 assets, current</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assets, non-current</w:t>
            </w:r>
          </w:p>
        </w:tc>
        <w:tc>
          <w:tcPr>
            <w:tcW w:w="229" w:type="dxa"/>
            <w:tcBorders/>
            <w:shd w:fill="auto" w:val="clear"/>
            <w:vAlign w:val="center"/>
          </w:tcPr>
          <w:p>
            <w:pPr>
              <w:pStyle w:val="TableContents"/>
              <w:spacing w:before="0" w:after="0"/>
              <w:ind w:left="0" w:right="0" w:hanging="0"/>
              <w:jc w:val="left"/>
              <w:rPr/>
            </w:pPr>
            <w:r>
              <w:rPr/>
              <w:t> </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198</w:t>
            </w:r>
          </w:p>
        </w:tc>
        <w:tc>
          <w:tcPr>
            <w:tcW w:w="411" w:type="dxa"/>
            <w:tcBorders/>
            <w:shd w:fill="auto" w:val="clear"/>
            <w:vAlign w:val="center"/>
          </w:tcPr>
          <w:p>
            <w:pPr>
              <w:pStyle w:val="TableContents"/>
              <w:spacing w:before="0" w:after="0"/>
              <w:ind w:left="0" w:right="0" w:firstLine="100"/>
              <w:jc w:val="left"/>
              <w:rPr/>
            </w:pPr>
            <w:r>
              <w:rPr/>
              <w:t> </w:t>
            </w:r>
          </w:p>
        </w:tc>
      </w:tr>
      <w:tr>
        <w:trPr/>
        <w:tc>
          <w:tcPr>
            <w:tcW w:w="3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Liability derivative instruments: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 liabilities, current</w:t>
            </w:r>
          </w:p>
        </w:tc>
        <w:tc>
          <w:tcPr>
            <w:tcW w:w="229" w:type="dxa"/>
            <w:tcBorders/>
            <w:shd w:fill="auto" w:val="clear"/>
            <w:vAlign w:val="center"/>
          </w:tcPr>
          <w:p>
            <w:pPr>
              <w:pStyle w:val="TableContents"/>
              <w:spacing w:before="0" w:after="0"/>
              <w:ind w:left="0" w:right="0" w:hanging="0"/>
              <w:jc w:val="left"/>
              <w:rPr/>
            </w:pPr>
            <w:r>
              <w:rPr/>
              <w:t> </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(1,703</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assets, non-current</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derivatives designated as hedges</w:t>
            </w:r>
          </w:p>
        </w:tc>
        <w:tc>
          <w:tcPr>
            <w:tcW w:w="346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(1,387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616" w:type="dxa"/>
            <w:tcBorders/>
            <w:shd w:fill="auto" w:val="clear"/>
            <w:vAlign w:val="center"/>
          </w:tcPr>
          <w:p>
            <w:pPr>
              <w:pStyle w:val="TableContents"/>
              <w:spacing w:before="0" w:after="283"/>
              <w:ind w:left="0" w:right="0" w:hanging="0"/>
              <w:rPr>
                <w:sz w:val="4"/>
                <w:szCs w:val="4"/>
              </w:rPr>
            </w:pPr>
            <w:r>
              <w:rPr>
                <w:sz w:val="4"/>
                <w:szCs w:val="4"/>
              </w:rPr>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Derivatives not designated as hedges: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3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Asset derivative instruments: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 assets, current</w:t>
            </w:r>
          </w:p>
        </w:tc>
        <w:tc>
          <w:tcPr>
            <w:tcW w:w="2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153</w:t>
            </w:r>
          </w:p>
        </w:tc>
        <w:tc>
          <w:tcPr>
            <w:tcW w:w="16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464</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assets, non-current</w:t>
            </w:r>
          </w:p>
        </w:tc>
        <w:tc>
          <w:tcPr>
            <w:tcW w:w="229" w:type="dxa"/>
            <w:tcBorders/>
            <w:shd w:fill="auto" w:val="clear"/>
            <w:vAlign w:val="center"/>
          </w:tcPr>
          <w:p>
            <w:pPr>
              <w:pStyle w:val="TableContents"/>
              <w:spacing w:before="0" w:after="0"/>
              <w:ind w:left="0" w:right="0" w:hanging="0"/>
              <w:jc w:val="left"/>
              <w:rPr/>
            </w:pPr>
            <w:r>
              <w:rPr/>
              <w:t> </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w:t>
            </w:r>
          </w:p>
        </w:tc>
        <w:tc>
          <w:tcPr>
            <w:tcW w:w="166" w:type="dxa"/>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337</w:t>
            </w:r>
          </w:p>
        </w:tc>
        <w:tc>
          <w:tcPr>
            <w:tcW w:w="411" w:type="dxa"/>
            <w:tcBorders/>
            <w:shd w:fill="auto" w:val="clear"/>
            <w:vAlign w:val="center"/>
          </w:tcPr>
          <w:p>
            <w:pPr>
              <w:pStyle w:val="TableContents"/>
              <w:spacing w:before="0" w:after="0"/>
              <w:ind w:left="0" w:right="0" w:firstLine="100"/>
              <w:jc w:val="left"/>
              <w:rPr/>
            </w:pPr>
            <w:r>
              <w:rPr/>
              <w:t> </w:t>
            </w:r>
          </w:p>
        </w:tc>
      </w:tr>
      <w:tr>
        <w:trPr/>
        <w:tc>
          <w:tcPr>
            <w:tcW w:w="361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Liability derivative instruments:</w:t>
            </w:r>
          </w:p>
        </w:tc>
        <w:tc>
          <w:tcPr>
            <w:tcW w:w="346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Derivative liabilities, current</w:t>
            </w:r>
          </w:p>
        </w:tc>
        <w:tc>
          <w:tcPr>
            <w:tcW w:w="229" w:type="dxa"/>
            <w:tcBorders/>
            <w:shd w:fill="auto" w:val="clear"/>
            <w:vAlign w:val="center"/>
          </w:tcPr>
          <w:p>
            <w:pPr>
              <w:pStyle w:val="TableContents"/>
              <w:spacing w:before="0" w:after="0"/>
              <w:ind w:left="0" w:right="0" w:hanging="0"/>
              <w:jc w:val="left"/>
              <w:rPr/>
            </w:pPr>
            <w:r>
              <w:rPr/>
              <w:t> </w:t>
            </w:r>
          </w:p>
        </w:tc>
        <w:tc>
          <w:tcPr>
            <w:tcW w:w="68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shd w:fill="auto" w:val="clear"/>
            <w:vAlign w:val="center"/>
          </w:tcPr>
          <w:p>
            <w:pPr>
              <w:pStyle w:val="TableContents"/>
              <w:spacing w:before="0" w:after="0"/>
              <w:ind w:left="0" w:right="0" w:hanging="0"/>
              <w:jc w:val="left"/>
              <w:rPr/>
            </w:pPr>
            <w:r>
              <w:rPr/>
              <w:t> </w:t>
            </w:r>
          </w:p>
        </w:tc>
        <w:tc>
          <w:tcPr>
            <w:tcW w:w="94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(4,897</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361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Noncurrent commodity derivatives</w:t>
            </w:r>
          </w:p>
        </w:tc>
        <w:tc>
          <w:tcPr>
            <w:tcW w:w="34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deferred credits and other liabilities</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6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derivatives not designated as hedges</w:t>
            </w:r>
          </w:p>
        </w:tc>
        <w:tc>
          <w:tcPr>
            <w:tcW w:w="346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(4,114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Derivatives Designated as Hedge Instruments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impacts of cash flow hedges on our Consolidated Statements of Comprehensive Income and Consolidated Statements of Income are presented below for the three months ended March 31, 2023 and 2022. Note that this presentation does not reflect the gains or losses arising from the underlying physical transactions; therefore, it is not indicative of the economic profit or loss we realized when the underlying physical and financial transactions were settled.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03"/>
        <w:gridCol w:w="294"/>
        <w:gridCol w:w="797"/>
        <w:gridCol w:w="203"/>
        <w:gridCol w:w="294"/>
        <w:gridCol w:w="671"/>
        <w:gridCol w:w="166"/>
        <w:gridCol w:w="2255"/>
        <w:gridCol w:w="333"/>
        <w:gridCol w:w="996"/>
        <w:gridCol w:w="261"/>
        <w:gridCol w:w="333"/>
        <w:gridCol w:w="901"/>
        <w:gridCol w:w="498"/>
      </w:tblGrid>
      <w:tr>
        <w:trPr/>
        <w:tc>
          <w:tcPr>
            <w:tcW w:w="220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2203" w:type="dxa"/>
            <w:tcBorders/>
            <w:shd w:fill="auto" w:val="clear"/>
            <w:vAlign w:val="center"/>
          </w:tcPr>
          <w:p>
            <w:pPr>
              <w:pStyle w:val="TableContents"/>
              <w:spacing w:before="0" w:after="0"/>
              <w:ind w:left="0" w:right="0" w:hanging="0"/>
              <w:jc w:val="left"/>
              <w:rPr/>
            </w:pPr>
            <w:r>
              <w:rPr/>
              <w:t> </w:t>
            </w:r>
          </w:p>
        </w:tc>
        <w:tc>
          <w:tcPr>
            <w:tcW w:w="225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w:t>
              <w:br/>
              <w:t>March 31,</w:t>
            </w:r>
          </w:p>
        </w:tc>
        <w:tc>
          <w:tcPr>
            <w:tcW w:w="166" w:type="dxa"/>
            <w:tcBorders/>
            <w:shd w:fill="auto" w:val="clear"/>
            <w:vAlign w:val="center"/>
          </w:tcPr>
          <w:p>
            <w:pPr>
              <w:pStyle w:val="TableContents"/>
              <w:spacing w:before="0" w:after="0"/>
              <w:ind w:left="0" w:right="0" w:hanging="0"/>
              <w:jc w:val="center"/>
              <w:rPr/>
            </w:pPr>
            <w:r>
              <w:rPr/>
              <w:t> </w:t>
            </w:r>
          </w:p>
        </w:tc>
        <w:tc>
          <w:tcPr>
            <w:tcW w:w="2255" w:type="dxa"/>
            <w:tcBorders/>
            <w:shd w:fill="auto" w:val="clear"/>
            <w:vAlign w:val="center"/>
          </w:tcPr>
          <w:p>
            <w:pPr>
              <w:pStyle w:val="TableContents"/>
              <w:spacing w:before="0" w:after="0"/>
              <w:ind w:left="0" w:right="0" w:hanging="0"/>
              <w:jc w:val="left"/>
              <w:rPr/>
            </w:pPr>
            <w:r>
              <w:rPr/>
              <w:t> </w:t>
            </w:r>
          </w:p>
        </w:tc>
        <w:tc>
          <w:tcPr>
            <w:tcW w:w="2824"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w:t>
              <w:br/>
              <w:t>March 31,</w:t>
            </w:r>
          </w:p>
        </w:tc>
        <w:tc>
          <w:tcPr>
            <w:tcW w:w="498" w:type="dxa"/>
            <w:tcBorders/>
            <w:shd w:fill="auto" w:val="clear"/>
            <w:vAlign w:val="center"/>
          </w:tcPr>
          <w:p>
            <w:pPr>
              <w:pStyle w:val="TableContents"/>
              <w:spacing w:before="0" w:after="0"/>
              <w:ind w:left="0" w:right="0" w:hanging="0"/>
              <w:jc w:val="center"/>
              <w:rPr/>
            </w:pPr>
            <w:r>
              <w:rPr/>
              <w:t> </w:t>
            </w:r>
          </w:p>
        </w:tc>
      </w:tr>
      <w:tr>
        <w:trPr/>
        <w:tc>
          <w:tcPr>
            <w:tcW w:w="2203"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Derivatives in Cash Flow Hedging Relationships</w:t>
            </w:r>
          </w:p>
        </w:tc>
        <w:tc>
          <w:tcPr>
            <w:tcW w:w="225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Amount of Gain/(Loss) Recognized in OCI</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Location on the Consolidated Statements of Income</w:t>
            </w:r>
          </w:p>
        </w:tc>
        <w:tc>
          <w:tcPr>
            <w:tcW w:w="282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Amount of Gain/(Loss) Reclassified from AOCI into Income</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3" w:type="dxa"/>
            <w:tcBorders/>
            <w:shd w:fill="auto" w:val="clear"/>
            <w:vAlign w:val="center"/>
          </w:tcPr>
          <w:p>
            <w:pPr>
              <w:pStyle w:val="TableContents"/>
              <w:spacing w:before="0" w:after="0"/>
              <w:ind w:left="0" w:right="0" w:hanging="0"/>
              <w:jc w:val="left"/>
              <w:rPr/>
            </w:pPr>
            <w:r>
              <w:rPr/>
              <w:t> </w:t>
            </w:r>
          </w:p>
        </w:tc>
        <w:tc>
          <w:tcPr>
            <w:tcW w:w="225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2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rate swaps</w:t>
            </w:r>
          </w:p>
        </w:tc>
        <w:tc>
          <w:tcPr>
            <w:tcW w:w="29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203"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166" w:type="dxa"/>
            <w:tcBorders/>
            <w:shd w:fill="auto" w:val="clear"/>
            <w:vAlign w:val="center"/>
          </w:tcPr>
          <w:p>
            <w:pPr>
              <w:pStyle w:val="TableContents"/>
              <w:spacing w:before="0" w:after="0"/>
              <w:ind w:left="0" w:right="0" w:hanging="0"/>
              <w:jc w:val="left"/>
              <w:rPr/>
            </w:pPr>
            <w:r>
              <w:rPr/>
              <w:t> </w:t>
            </w:r>
          </w:p>
        </w:tc>
        <w:tc>
          <w:tcPr>
            <w:tcW w:w="225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33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26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3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49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2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Commodity derivatives</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827</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Fuel, purchased power and cost of natural gas sold</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(1,950</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2,254</w:t>
            </w:r>
          </w:p>
        </w:tc>
        <w:tc>
          <w:tcPr>
            <w:tcW w:w="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2203"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Total</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1,540</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(2,663</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1,541</w:t>
            </w:r>
          </w:p>
        </w:tc>
        <w:tc>
          <w:tcPr>
            <w:tcW w:w="4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As of March 31, 2023,</w:t>
      </w:r>
      <w:r>
        <w:rPr>
          <w:rFonts w:ascii="Times New Roman" w:hAnsi="Times New Roman"/>
          <w:sz w:val="20"/>
        </w:rPr>
        <w:t xml:space="preserve"> </w:t>
      </w:r>
      <w:r>
        <w:rPr>
          <w:rFonts w:ascii="Arial;sans-serif" w:hAnsi="Arial;sans-serif"/>
          <w:b w:val="false"/>
          <w:sz w:val="18"/>
        </w:rPr>
        <w:t>$3.6</w:t>
      </w:r>
      <w:r>
        <w:rPr>
          <w:rFonts w:ascii="Times New Roman" w:hAnsi="Times New Roman"/>
          <w:sz w:val="20"/>
        </w:rPr>
        <w:t xml:space="preserve"> </w:t>
      </w:r>
      <w:r>
        <w:rPr>
          <w:rFonts w:ascii="Arial;sans-serif" w:hAnsi="Arial;sans-serif"/>
          <w:b w:val="false"/>
          <w:sz w:val="18"/>
        </w:rPr>
        <w:t>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19</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Derivatives Not Designated as Hedge Instruments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summarizes the impacts of derivative instruments not designated as hedge instruments on our Consolidated Statements of Income for the three months ended March 31, 2023 and 2022.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171"/>
        <w:gridCol w:w="3285"/>
        <w:gridCol w:w="418"/>
        <w:gridCol w:w="1254"/>
        <w:gridCol w:w="329"/>
        <w:gridCol w:w="418"/>
        <w:gridCol w:w="1135"/>
        <w:gridCol w:w="195"/>
      </w:tblGrid>
      <w:tr>
        <w:trPr/>
        <w:tc>
          <w:tcPr>
            <w:tcW w:w="3171" w:type="dxa"/>
            <w:tcBorders/>
            <w:shd w:fill="auto" w:val="clear"/>
            <w:vAlign w:val="center"/>
          </w:tcPr>
          <w:p>
            <w:pPr>
              <w:pStyle w:val="TableContents"/>
              <w:spacing w:before="0" w:after="283"/>
              <w:rPr>
                <w:sz w:val="4"/>
                <w:szCs w:val="4"/>
              </w:rPr>
            </w:pPr>
            <w:r>
              <w:rPr>
                <w:sz w:val="4"/>
                <w:szCs w:val="4"/>
              </w:rPr>
            </w:r>
          </w:p>
        </w:tc>
        <w:tc>
          <w:tcPr>
            <w:tcW w:w="328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171" w:type="dxa"/>
            <w:tcBorders/>
            <w:shd w:fill="auto" w:val="clear"/>
            <w:vAlign w:val="center"/>
          </w:tcPr>
          <w:p>
            <w:pPr>
              <w:pStyle w:val="TableContents"/>
              <w:spacing w:before="0" w:after="0"/>
              <w:ind w:left="0" w:right="0" w:hanging="0"/>
              <w:jc w:val="left"/>
              <w:rPr/>
            </w:pPr>
            <w:r>
              <w:rPr/>
              <w:t> </w:t>
            </w:r>
          </w:p>
        </w:tc>
        <w:tc>
          <w:tcPr>
            <w:tcW w:w="3285" w:type="dxa"/>
            <w:tcBorders/>
            <w:shd w:fill="auto" w:val="clear"/>
            <w:vAlign w:val="center"/>
          </w:tcPr>
          <w:p>
            <w:pPr>
              <w:pStyle w:val="TableContents"/>
              <w:spacing w:before="0" w:after="0"/>
              <w:ind w:left="0" w:right="0" w:hanging="0"/>
              <w:jc w:val="left"/>
              <w:rPr/>
            </w:pPr>
            <w:r>
              <w:rPr/>
              <w:t> </w:t>
            </w:r>
          </w:p>
        </w:tc>
        <w:tc>
          <w:tcPr>
            <w:tcW w:w="3554"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95" w:type="dxa"/>
            <w:tcBorders/>
            <w:shd w:fill="auto" w:val="clear"/>
            <w:vAlign w:val="center"/>
          </w:tcPr>
          <w:p>
            <w:pPr>
              <w:pStyle w:val="TableContents"/>
              <w:spacing w:before="0" w:after="0"/>
              <w:ind w:left="0" w:right="0" w:hanging="0"/>
              <w:jc w:val="center"/>
              <w:rPr/>
            </w:pPr>
            <w:r>
              <w:rPr/>
              <w:t> </w:t>
            </w:r>
          </w:p>
        </w:tc>
      </w:tr>
      <w:tr>
        <w:trPr/>
        <w:tc>
          <w:tcPr>
            <w:tcW w:w="3171" w:type="dxa"/>
            <w:tcBorders/>
            <w:shd w:fill="auto" w:val="clear"/>
            <w:vAlign w:val="center"/>
          </w:tcPr>
          <w:p>
            <w:pPr>
              <w:pStyle w:val="TableContents"/>
              <w:spacing w:before="0" w:after="0"/>
              <w:ind w:left="0" w:right="0" w:hanging="0"/>
              <w:jc w:val="left"/>
              <w:rPr/>
            </w:pPr>
            <w:r>
              <w:rPr/>
              <w:t> </w:t>
            </w:r>
          </w:p>
        </w:tc>
        <w:tc>
          <w:tcPr>
            <w:tcW w:w="3285" w:type="dxa"/>
            <w:tcBorders/>
            <w:shd w:fill="auto" w:val="clear"/>
            <w:vAlign w:val="center"/>
          </w:tcPr>
          <w:p>
            <w:pPr>
              <w:pStyle w:val="TableContents"/>
              <w:spacing w:before="0" w:after="0"/>
              <w:ind w:left="0" w:right="0" w:hanging="0"/>
              <w:jc w:val="left"/>
              <w:rPr/>
            </w:pPr>
            <w:r>
              <w:rPr/>
              <w:t> </w:t>
            </w:r>
          </w:p>
        </w:tc>
        <w:tc>
          <w:tcPr>
            <w:tcW w:w="1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Derivatives Not Designated as Hedging Instruments</w:t>
            </w:r>
          </w:p>
        </w:tc>
        <w:tc>
          <w:tcPr>
            <w:tcW w:w="3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Location of Gain/(Loss) on Derivatives Recognized in Income</w:t>
            </w:r>
          </w:p>
        </w:tc>
        <w:tc>
          <w:tcPr>
            <w:tcW w:w="355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Amount of Gain/(Loss) on Derivatives Recognized in Income</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71"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18"/>
              </w:rPr>
              <w:t>Commodity derivatives</w:t>
            </w:r>
            <w:r>
              <w:rPr>
                <w:rFonts w:ascii="Times New Roman" w:hAnsi="Times New Roman"/>
                <w:sz w:val="20"/>
              </w:rPr>
              <w:t> </w:t>
            </w:r>
            <w:r>
              <w:rPr>
                <w:rFonts w:ascii="Arial;sans-serif" w:hAnsi="Arial;sans-serif"/>
                <w:b w:val="false"/>
                <w:sz w:val="18"/>
              </w:rPr>
              <w:t>- Natural Gas</w:t>
            </w:r>
          </w:p>
        </w:tc>
        <w:tc>
          <w:tcPr>
            <w:tcW w:w="328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Fuel, purchased power and cost of natural gas sold</w:t>
            </w:r>
          </w:p>
        </w:tc>
        <w:tc>
          <w:tcPr>
            <w:tcW w:w="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(3,094</w:t>
            </w:r>
          </w:p>
        </w:tc>
        <w:tc>
          <w:tcPr>
            <w:tcW w:w="3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3,494</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71" w:type="dxa"/>
            <w:tcBorders/>
            <w:shd w:fill="auto" w:val="clear"/>
            <w:vAlign w:val="center"/>
          </w:tcPr>
          <w:p>
            <w:pPr>
              <w:pStyle w:val="TableContents"/>
              <w:spacing w:before="0" w:after="283"/>
              <w:ind w:left="0" w:right="0" w:hanging="0"/>
              <w:rPr>
                <w:sz w:val="4"/>
                <w:szCs w:val="4"/>
              </w:rPr>
            </w:pPr>
            <w:r>
              <w:rPr>
                <w:sz w:val="4"/>
                <w:szCs w:val="4"/>
              </w:rPr>
            </w:r>
          </w:p>
        </w:tc>
        <w:tc>
          <w:tcPr>
            <w:tcW w:w="3285" w:type="dxa"/>
            <w:tcBorders/>
            <w:shd w:fill="auto" w:val="clear"/>
            <w:vAlign w:val="center"/>
          </w:tcPr>
          <w:p>
            <w:pPr>
              <w:pStyle w:val="TableContents"/>
              <w:spacing w:before="0" w:after="0"/>
              <w:ind w:left="0" w:right="0" w:hanging="0"/>
              <w:jc w:val="left"/>
              <w:rPr/>
            </w:pPr>
            <w:r>
              <w:rPr/>
              <w:t> </w:t>
            </w:r>
          </w:p>
        </w:tc>
        <w:tc>
          <w:tcPr>
            <w:tcW w:w="4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(3,094</w:t>
            </w:r>
          </w:p>
        </w:tc>
        <w:tc>
          <w:tcPr>
            <w:tcW w:w="3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3,494</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gains included in our Regulatory liability accounts related to these financial instruments in our Gas Utilities were $0.1</w:t>
      </w:r>
      <w:r>
        <w:rPr>
          <w:rFonts w:ascii="Times New Roman" w:hAnsi="Times New Roman"/>
          <w:sz w:val="20"/>
        </w:rPr>
        <w:t xml:space="preserve"> </w:t>
      </w:r>
      <w:r>
        <w:rPr>
          <w:rFonts w:ascii="Arial;sans-serif" w:hAnsi="Arial;sans-serif"/>
          <w:b w:val="false"/>
          <w:sz w:val="18"/>
        </w:rPr>
        <w:t>million as of March 31, 2023. The net unrealized losses included in our Regulatory asset accounts related to these financial instruments were $8.8</w:t>
      </w:r>
      <w:r>
        <w:rPr>
          <w:rFonts w:ascii="Times New Roman" w:hAnsi="Times New Roman"/>
          <w:sz w:val="20"/>
        </w:rPr>
        <w:t xml:space="preserve"> </w:t>
      </w:r>
      <w:r>
        <w:rPr>
          <w:rFonts w:ascii="Arial;sans-serif" w:hAnsi="Arial;sans-serif"/>
          <w:b w:val="false"/>
          <w:sz w:val="18"/>
        </w:rPr>
        <w:t>million as of December 31, 2022. For our Electric Utilities, the unrealized gains and losses arising from these derivatives are recognized in the Consolidated Statements of Income.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Fair Value Measurements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use the following fair value hierarchy for determining inputs for our financial instruments. Our assets and liabilities for financial instruments are classified and disclosed in one of the following fair value categories: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Level 1</w:t>
      </w:r>
      <w:r>
        <w:rPr>
          <w:rFonts w:ascii="Times New Roman" w:hAnsi="Times New Roman"/>
          <w:sz w:val="20"/>
        </w:rPr>
        <w:t xml:space="preserve"> — </w:t>
      </w:r>
      <w:r>
        <w:rPr>
          <w:rFonts w:ascii="Arial;sans-serif" w:hAnsi="Arial;sans-serif"/>
          <w:b w:val="false"/>
          <w:sz w:val="18"/>
        </w:rPr>
        <w:t>Unadjusted quoted prices available in active markets that are accessible at the measurement date for identical unrestricted assets or liabilities. Level 1 instruments primarily consist of highly liquid and actively traded financial instruments with quoted pricing information on an ongoing basis.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Level 2</w:t>
      </w:r>
      <w:r>
        <w:rPr>
          <w:rFonts w:ascii="Times New Roman" w:hAnsi="Times New Roman"/>
          <w:sz w:val="20"/>
        </w:rPr>
        <w:t xml:space="preserve"> — </w:t>
      </w:r>
      <w:r>
        <w:rPr>
          <w:rFonts w:ascii="Arial;sans-serif" w:hAnsi="Arial;sans-serif"/>
          <w:b w:val="false"/>
          <w:sz w:val="18"/>
        </w:rPr>
        <w:t>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Level 3</w:t>
      </w:r>
      <w:r>
        <w:rPr>
          <w:rFonts w:ascii="Times New Roman" w:hAnsi="Times New Roman"/>
          <w:sz w:val="20"/>
        </w:rPr>
        <w:t xml:space="preserve"> — </w:t>
      </w:r>
      <w:r>
        <w:rPr>
          <w:rFonts w:ascii="Arial;sans-serif" w:hAnsi="Arial;sans-serif"/>
          <w:b w:val="false"/>
          <w:sz w:val="18"/>
        </w:rPr>
        <w:t>Pricing inputs are generally less observable from objective sources. These inputs reflect management’s best estimate of fair value using its own assumptions about the assumptions a market participant would use in pricing the asset or liability.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Recurring Fair Value Measurements</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Derivatives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2022 Annual Report on Form 10-K.</w:t>
      </w:r>
    </w:p>
    <w:p>
      <w:pPr>
        <w:pStyle w:val="TextBody"/>
        <w:spacing w:before="0" w:after="0"/>
        <w:jc w:val="center"/>
        <w:rPr>
          <w:rFonts w:ascii="Arial;sans-serif" w:hAnsi="Arial;sans-serif"/>
          <w:b w:val="false"/>
          <w:sz w:val="18"/>
        </w:rPr>
      </w:pPr>
      <w:r>
        <w:rPr>
          <w:rFonts w:ascii="Arial;sans-serif" w:hAnsi="Arial;sans-serif"/>
          <w:b w:val="false"/>
          <w:sz w:val="18"/>
        </w:rPr>
        <w:t>20</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26"/>
        <w:gridCol w:w="386"/>
        <w:gridCol w:w="305"/>
        <w:gridCol w:w="146"/>
        <w:gridCol w:w="211"/>
        <w:gridCol w:w="571"/>
        <w:gridCol w:w="146"/>
        <w:gridCol w:w="386"/>
        <w:gridCol w:w="305"/>
        <w:gridCol w:w="146"/>
        <w:gridCol w:w="1933"/>
        <w:gridCol w:w="1522"/>
        <w:gridCol w:w="146"/>
        <w:gridCol w:w="211"/>
        <w:gridCol w:w="571"/>
        <w:gridCol w:w="294"/>
      </w:tblGrid>
      <w:tr>
        <w:trPr/>
        <w:tc>
          <w:tcPr>
            <w:tcW w:w="292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6985" w:type="dxa"/>
            <w:gridSpan w:val="1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 March 31, 2023</w:t>
            </w:r>
          </w:p>
        </w:tc>
        <w:tc>
          <w:tcPr>
            <w:tcW w:w="294"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Cash Collateral and Counterparty Netting </w:t>
            </w:r>
            <w:r>
              <w:rPr>
                <w:rFonts w:ascii="Arial;sans-serif" w:hAnsi="Arial;sans-serif"/>
                <w:b w:val="false"/>
                <w:sz w:val="12"/>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6985" w:type="dxa"/>
            <w:gridSpan w:val="1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294"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Assets:</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Commodity derivatives - Gas Utilities</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Liabilities:</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Commodity derivatives - Gas Utilities</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1,751</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1,751</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jc w:val="left"/>
        <w:rPr>
          <w:rFonts w:ascii="Arial;sans-serif" w:hAnsi="Arial;sans-serif"/>
          <w:b w:val="false"/>
          <w:sz w:val="16"/>
        </w:rPr>
      </w:pPr>
      <w:r>
        <w:rPr>
          <w:rFonts w:ascii="Arial;sans-serif" w:hAnsi="Arial;sans-serif"/>
          <w:b w:val="false"/>
          <w:sz w:val="16"/>
        </w:rPr>
        <w:t>As of March 31, 2023, we had no commodity derivative assets or liabilities, or related gross collateral amounts, that were subject to master netting agreements.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73"/>
        <w:gridCol w:w="384"/>
        <w:gridCol w:w="303"/>
        <w:gridCol w:w="146"/>
        <w:gridCol w:w="211"/>
        <w:gridCol w:w="676"/>
        <w:gridCol w:w="146"/>
        <w:gridCol w:w="384"/>
        <w:gridCol w:w="303"/>
        <w:gridCol w:w="146"/>
        <w:gridCol w:w="848"/>
        <w:gridCol w:w="2543"/>
        <w:gridCol w:w="166"/>
        <w:gridCol w:w="211"/>
        <w:gridCol w:w="571"/>
        <w:gridCol w:w="294"/>
      </w:tblGrid>
      <w:tr>
        <w:trPr/>
        <w:tc>
          <w:tcPr>
            <w:tcW w:w="287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873" w:type="dxa"/>
            <w:tcBorders/>
            <w:shd w:fill="auto" w:val="clear"/>
            <w:vAlign w:val="center"/>
          </w:tcPr>
          <w:p>
            <w:pPr>
              <w:pStyle w:val="TableContents"/>
              <w:spacing w:before="0" w:after="0"/>
              <w:ind w:left="0" w:right="0" w:hanging="0"/>
              <w:jc w:val="left"/>
              <w:rPr/>
            </w:pPr>
            <w:r>
              <w:rPr/>
              <w:t> </w:t>
            </w:r>
          </w:p>
        </w:tc>
        <w:tc>
          <w:tcPr>
            <w:tcW w:w="7038" w:type="dxa"/>
            <w:gridSpan w:val="1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As of December 31, 2022</w:t>
            </w:r>
          </w:p>
        </w:tc>
        <w:tc>
          <w:tcPr>
            <w:tcW w:w="294" w:type="dxa"/>
            <w:tcBorders/>
            <w:shd w:fill="auto" w:val="clear"/>
            <w:vAlign w:val="center"/>
          </w:tcPr>
          <w:p>
            <w:pPr>
              <w:pStyle w:val="TableContents"/>
              <w:spacing w:before="0" w:after="0"/>
              <w:ind w:left="0" w:right="0" w:hanging="0"/>
              <w:jc w:val="center"/>
              <w:rPr/>
            </w:pPr>
            <w:r>
              <w:rPr/>
              <w:t> </w:t>
            </w:r>
          </w:p>
        </w:tc>
      </w:tr>
      <w:tr>
        <w:trPr/>
        <w:tc>
          <w:tcPr>
            <w:tcW w:w="2873" w:type="dxa"/>
            <w:tcBorders/>
            <w:shd w:fill="auto" w:val="clear"/>
            <w:vAlign w:val="center"/>
          </w:tcPr>
          <w:p>
            <w:pPr>
              <w:pStyle w:val="TableContents"/>
              <w:spacing w:before="0" w:after="0"/>
              <w:ind w:left="0" w:right="0" w:hanging="0"/>
              <w:jc w:val="left"/>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Cash Collateral and Counterparty Netting </w:t>
            </w:r>
            <w:r>
              <w:rPr>
                <w:rFonts w:ascii="Arial;sans-serif" w:hAnsi="Arial;sans-serif"/>
                <w:b w:val="false"/>
                <w:sz w:val="12"/>
              </w:rPr>
              <w:t>(a)</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73" w:type="dxa"/>
            <w:tcBorders/>
            <w:shd w:fill="auto" w:val="clear"/>
            <w:vAlign w:val="center"/>
          </w:tcPr>
          <w:p>
            <w:pPr>
              <w:pStyle w:val="TableContents"/>
              <w:spacing w:before="0" w:after="283"/>
              <w:ind w:left="0" w:right="0" w:hanging="0"/>
              <w:rPr>
                <w:sz w:val="4"/>
                <w:szCs w:val="4"/>
              </w:rPr>
            </w:pPr>
            <w:r>
              <w:rPr>
                <w:sz w:val="4"/>
                <w:szCs w:val="4"/>
              </w:rPr>
            </w:r>
          </w:p>
        </w:tc>
        <w:tc>
          <w:tcPr>
            <w:tcW w:w="7038" w:type="dxa"/>
            <w:gridSpan w:val="1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294" w:type="dxa"/>
            <w:tcBorders/>
            <w:shd w:fill="auto" w:val="clear"/>
            <w:vAlign w:val="center"/>
          </w:tcPr>
          <w:p>
            <w:pPr>
              <w:pStyle w:val="TableContents"/>
              <w:spacing w:before="0" w:after="0"/>
              <w:ind w:left="0" w:right="0" w:hanging="0"/>
              <w:jc w:val="center"/>
              <w:rPr/>
            </w:pPr>
            <w:r>
              <w:rPr/>
              <w:t> </w:t>
            </w:r>
          </w:p>
        </w:tc>
      </w:tr>
      <w:tr>
        <w:trPr/>
        <w:tc>
          <w:tcPr>
            <w:tcW w:w="287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Assets:</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2873"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Commodity derivatives - Gas Utilities</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1,117</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7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1,117</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73" w:type="dxa"/>
            <w:tcBorders/>
            <w:shd w:fill="auto" w:val="clear"/>
            <w:vAlign w:val="center"/>
          </w:tcPr>
          <w:p>
            <w:pPr>
              <w:pStyle w:val="TableContents"/>
              <w:spacing w:before="0" w:after="283"/>
              <w:ind w:left="0" w:right="0" w:hanging="0"/>
              <w:rPr>
                <w:sz w:val="4"/>
                <w:szCs w:val="4"/>
              </w:rPr>
            </w:pPr>
            <w:r>
              <w:rPr>
                <w:sz w:val="4"/>
                <w:szCs w:val="4"/>
              </w:rPr>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287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Liabilities:</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2873"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Commodity derivatives - Gas Utilities</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5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6,618</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7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5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6,618</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jc w:val="left"/>
        <w:rPr>
          <w:rFonts w:ascii="Arial;sans-serif" w:hAnsi="Arial;sans-serif"/>
          <w:sz w:val="18"/>
        </w:rPr>
      </w:pPr>
      <w:r>
        <w:rPr>
          <w:rFonts w:ascii="Arial;sans-serif" w:hAnsi="Arial;sans-serif"/>
          <w:b w:val="false"/>
          <w:sz w:val="16"/>
        </w:rPr>
        <w:t>As of December 31, 2022, $4.3</w:t>
      </w:r>
      <w:r>
        <w:rPr>
          <w:rFonts w:ascii="Arial;sans-serif" w:hAnsi="Arial;sans-serif"/>
          <w:sz w:val="18"/>
        </w:rPr>
        <w:t xml:space="preserve"> </w:t>
      </w:r>
      <w:r>
        <w:rPr>
          <w:rFonts w:ascii="Arial;sans-serif" w:hAnsi="Arial;sans-serif"/>
          <w:b w:val="false"/>
          <w:sz w:val="16"/>
        </w:rPr>
        <w:t>million of our commodity derivative assets and $4.8</w:t>
      </w:r>
      <w:r>
        <w:rPr>
          <w:rFonts w:ascii="Arial;sans-serif" w:hAnsi="Arial;sans-serif"/>
          <w:sz w:val="18"/>
        </w:rPr>
        <w:t xml:space="preserve"> </w:t>
      </w:r>
      <w:r>
        <w:rPr>
          <w:rFonts w:ascii="Arial;sans-serif" w:hAnsi="Arial;sans-serif"/>
          <w:b w:val="false"/>
          <w:sz w:val="16"/>
        </w:rPr>
        <w:t>million of our commodity derivative liabilities, as well as related gross collateral amounts, were subject to master netting agreements.</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Pension and Postretirement Plan Assets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2022 Annual Report on Form 10-K.</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Other Fair Value Measures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presents the carrying amounts and fair values of financial instruments not recorded at fair value on the Consolidated Balance Sheets (in thousands) as of:</w:t>
      </w:r>
    </w:p>
    <w:p>
      <w:pPr>
        <w:pStyle w:val="TextBody"/>
        <w:spacing w:before="0" w:after="0"/>
        <w:jc w:val="left"/>
        <w:rPr/>
      </w:pPr>
      <w:r>
        <w:rPr/>
        <w:t> </w:t>
      </w:r>
    </w:p>
    <w:tbl>
      <w:tblPr>
        <w:tblW w:w="9739" w:type="dxa"/>
        <w:jc w:val="left"/>
        <w:tblInd w:w="0" w:type="dxa"/>
        <w:tblCellMar>
          <w:top w:w="28" w:type="dxa"/>
          <w:left w:w="28" w:type="dxa"/>
          <w:bottom w:w="28" w:type="dxa"/>
          <w:right w:w="28" w:type="dxa"/>
        </w:tblCellMar>
      </w:tblPr>
      <w:tblGrid>
        <w:gridCol w:w="3856"/>
        <w:gridCol w:w="274"/>
        <w:gridCol w:w="1211"/>
        <w:gridCol w:w="146"/>
        <w:gridCol w:w="211"/>
        <w:gridCol w:w="931"/>
        <w:gridCol w:w="146"/>
        <w:gridCol w:w="274"/>
        <w:gridCol w:w="1211"/>
        <w:gridCol w:w="146"/>
        <w:gridCol w:w="211"/>
        <w:gridCol w:w="931"/>
        <w:gridCol w:w="191"/>
      </w:tblGrid>
      <w:tr>
        <w:trPr/>
        <w:tc>
          <w:tcPr>
            <w:tcW w:w="385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before="0" w:after="0"/>
              <w:ind w:left="0" w:right="0" w:hanging="0"/>
              <w:jc w:val="left"/>
              <w:rPr/>
            </w:pPr>
            <w:r>
              <w:rPr/>
              <w:t> </w:t>
            </w:r>
          </w:p>
        </w:tc>
        <w:tc>
          <w:tcPr>
            <w:tcW w:w="277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7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5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Long-term debt, including current maturities </w:t>
            </w:r>
            <w:r>
              <w:rPr>
                <w:rFonts w:ascii="Arial;sans-serif" w:hAnsi="Arial;sans-serif"/>
                <w:b w:val="false"/>
                <w:sz w:val="12"/>
              </w:rPr>
              <w:t>(a)</w:t>
            </w:r>
          </w:p>
        </w:tc>
        <w:tc>
          <w:tcPr>
            <w:tcW w:w="27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4,479,409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4,205,369</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1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4,132,340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3,760,848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jc w:val="left"/>
        <w:rPr>
          <w:rFonts w:ascii="Arial;sans-serif" w:hAnsi="Arial;sans-serif"/>
          <w:b w:val="false"/>
          <w:sz w:val="16"/>
        </w:rPr>
      </w:pPr>
      <w:r>
        <w:rPr>
          <w:rFonts w:ascii="Arial;sans-serif" w:hAnsi="Arial;sans-serif"/>
          <w:b w:val="false"/>
          <w:sz w:val="16"/>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21</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Other Comprehensive Income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details reclassifications out of AOCI and into Net income. The amounts in parentheses below indicate decreases to Net income in the Consolidated Statements of Income for the period, net of tax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469"/>
        <w:gridCol w:w="3175"/>
        <w:gridCol w:w="276"/>
        <w:gridCol w:w="828"/>
        <w:gridCol w:w="217"/>
        <w:gridCol w:w="276"/>
        <w:gridCol w:w="749"/>
        <w:gridCol w:w="215"/>
      </w:tblGrid>
      <w:tr>
        <w:trPr/>
        <w:tc>
          <w:tcPr>
            <w:tcW w:w="4469" w:type="dxa"/>
            <w:tcBorders/>
            <w:shd w:fill="auto" w:val="clear"/>
            <w:vAlign w:val="center"/>
          </w:tcPr>
          <w:p>
            <w:pPr>
              <w:pStyle w:val="TableContents"/>
              <w:spacing w:before="0" w:after="283"/>
              <w:rPr>
                <w:sz w:val="4"/>
                <w:szCs w:val="4"/>
              </w:rPr>
            </w:pPr>
            <w:r>
              <w:rPr>
                <w:sz w:val="4"/>
                <w:szCs w:val="4"/>
              </w:rPr>
            </w:r>
          </w:p>
        </w:tc>
        <w:tc>
          <w:tcPr>
            <w:tcW w:w="31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4469" w:type="dxa"/>
            <w:tcBorders/>
            <w:shd w:fill="auto" w:val="clear"/>
            <w:vAlign w:val="center"/>
          </w:tcPr>
          <w:p>
            <w:pPr>
              <w:pStyle w:val="TableContents"/>
              <w:spacing w:before="0" w:after="0"/>
              <w:ind w:left="0" w:right="0" w:hanging="0"/>
              <w:jc w:val="left"/>
              <w:rPr/>
            </w:pPr>
            <w:r>
              <w:rPr/>
              <w:t> </w:t>
            </w:r>
          </w:p>
        </w:tc>
        <w:tc>
          <w:tcPr>
            <w:tcW w:w="3175" w:type="dxa"/>
            <w:tcBorders/>
            <w:shd w:fill="auto" w:val="clear"/>
            <w:vAlign w:val="center"/>
          </w:tcPr>
          <w:p>
            <w:pPr>
              <w:pStyle w:val="TableContents"/>
              <w:spacing w:before="0" w:after="0"/>
              <w:ind w:left="0" w:right="0" w:hanging="0"/>
              <w:jc w:val="left"/>
              <w:rPr/>
            </w:pPr>
            <w:r>
              <w:rPr/>
              <w:t> </w:t>
            </w:r>
          </w:p>
        </w:tc>
        <w:tc>
          <w:tcPr>
            <w:tcW w:w="2346"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Amount Reclassified from AOCI</w:t>
            </w:r>
          </w:p>
        </w:tc>
        <w:tc>
          <w:tcPr>
            <w:tcW w:w="215" w:type="dxa"/>
            <w:tcBorders/>
            <w:shd w:fill="auto" w:val="clear"/>
            <w:vAlign w:val="center"/>
          </w:tcPr>
          <w:p>
            <w:pPr>
              <w:pStyle w:val="TableContents"/>
              <w:spacing w:before="0" w:after="0"/>
              <w:ind w:left="0" w:right="0" w:hanging="0"/>
              <w:jc w:val="center"/>
              <w:rPr/>
            </w:pPr>
            <w:r>
              <w:rPr/>
              <w:t> </w:t>
            </w:r>
          </w:p>
        </w:tc>
      </w:tr>
      <w:tr>
        <w:trPr/>
        <w:tc>
          <w:tcPr>
            <w:tcW w:w="4469" w:type="dxa"/>
            <w:tcBorders/>
            <w:shd w:fill="auto" w:val="clear"/>
            <w:vAlign w:val="center"/>
          </w:tcPr>
          <w:p>
            <w:pPr>
              <w:pStyle w:val="TableContents"/>
              <w:spacing w:before="0" w:after="0"/>
              <w:ind w:left="0" w:right="0" w:hanging="0"/>
              <w:jc w:val="left"/>
              <w:rPr/>
            </w:pPr>
            <w:r>
              <w:rPr/>
              <w:t> </w:t>
            </w:r>
          </w:p>
        </w:tc>
        <w:tc>
          <w:tcPr>
            <w:tcW w:w="3175"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Location on the Consolidated Statements of Income</w:t>
            </w:r>
          </w:p>
        </w:tc>
        <w:tc>
          <w:tcPr>
            <w:tcW w:w="2346"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Gains and (losses) on cash flow hedges:</w:t>
            </w:r>
          </w:p>
        </w:tc>
        <w:tc>
          <w:tcPr>
            <w:tcW w:w="3175"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025" w:type="dxa"/>
            <w:gridSpan w:val="2"/>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rate swaps</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21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(713</w:t>
            </w:r>
          </w:p>
        </w:tc>
        <w:tc>
          <w:tcPr>
            <w:tcW w:w="2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Commodity contracts</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Fuel, purchased power and cost of natural gas sold</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(1,950</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2,254</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283"/>
              <w:ind w:left="0" w:right="0" w:hanging="0"/>
              <w:rPr>
                <w:sz w:val="4"/>
                <w:szCs w:val="4"/>
              </w:rPr>
            </w:pPr>
            <w:r>
              <w:rPr>
                <w:sz w:val="4"/>
                <w:szCs w:val="4"/>
              </w:rPr>
            </w:r>
          </w:p>
        </w:tc>
        <w:tc>
          <w:tcPr>
            <w:tcW w:w="3175"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(2,663</w:t>
            </w:r>
          </w:p>
        </w:tc>
        <w:tc>
          <w:tcPr>
            <w:tcW w:w="21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1,541</w:t>
            </w:r>
          </w:p>
        </w:tc>
        <w:tc>
          <w:tcPr>
            <w:tcW w:w="215" w:type="dxa"/>
            <w:tcBorders/>
            <w:shd w:fill="auto" w:val="cle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616</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(375</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reclassification adjustments related to cash flow hedges, net of tax</w:t>
            </w:r>
          </w:p>
        </w:tc>
        <w:tc>
          <w:tcPr>
            <w:tcW w:w="3175"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(2,047</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1,166</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283"/>
              <w:ind w:left="0" w:right="0" w:hanging="0"/>
              <w:rPr>
                <w:sz w:val="4"/>
                <w:szCs w:val="4"/>
              </w:rPr>
            </w:pPr>
            <w:r>
              <w:rPr>
                <w:sz w:val="4"/>
                <w:szCs w:val="4"/>
              </w:rPr>
            </w:r>
          </w:p>
        </w:tc>
        <w:tc>
          <w:tcPr>
            <w:tcW w:w="3175"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025" w:type="dxa"/>
            <w:gridSpan w:val="2"/>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Amortization of components of defined benefit plans:</w:t>
            </w:r>
          </w:p>
        </w:tc>
        <w:tc>
          <w:tcPr>
            <w:tcW w:w="3175" w:type="dxa"/>
            <w:tcBorders/>
            <w:shd w:fill="auto" w:val="clear"/>
            <w:vAlign w:val="center"/>
          </w:tcPr>
          <w:p>
            <w:pPr>
              <w:pStyle w:val="TableContents"/>
              <w:spacing w:before="0" w:after="0"/>
              <w:ind w:left="0" w:right="0" w:hanging="0"/>
              <w:jc w:val="left"/>
              <w:rPr/>
            </w:pPr>
            <w:r>
              <w:rPr/>
              <w:t> </w:t>
            </w:r>
          </w:p>
        </w:tc>
        <w:tc>
          <w:tcPr>
            <w:tcW w:w="1104" w:type="dxa"/>
            <w:gridSpan w:val="2"/>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1025" w:type="dxa"/>
            <w:gridSpan w:val="2"/>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Prior service cost</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Operations and maintenance</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17"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w:t>
            </w:r>
          </w:p>
        </w:tc>
        <w:tc>
          <w:tcPr>
            <w:tcW w:w="215" w:type="dxa"/>
            <w:tcBorders/>
            <w:shd w:fill="auto" w:val="cle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Actuarial gain (loss)</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Operations and maintenance</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(188</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469" w:type="dxa"/>
            <w:tcBorders/>
            <w:shd w:fill="auto" w:val="clear"/>
            <w:vAlign w:val="center"/>
          </w:tcPr>
          <w:p>
            <w:pPr>
              <w:pStyle w:val="TableContents"/>
              <w:spacing w:before="0" w:after="283"/>
              <w:ind w:left="0" w:right="0" w:hanging="0"/>
              <w:rPr>
                <w:sz w:val="4"/>
                <w:szCs w:val="4"/>
              </w:rPr>
            </w:pPr>
            <w:r>
              <w:rPr>
                <w:sz w:val="4"/>
                <w:szCs w:val="4"/>
              </w:rPr>
            </w:r>
          </w:p>
        </w:tc>
        <w:tc>
          <w:tcPr>
            <w:tcW w:w="3175"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w:t>
            </w:r>
          </w:p>
        </w:tc>
        <w:tc>
          <w:tcPr>
            <w:tcW w:w="21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w:t>
            </w:r>
          </w:p>
        </w:tc>
        <w:tc>
          <w:tcPr>
            <w:tcW w:w="21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w:t>
            </w:r>
          </w:p>
        </w:tc>
        <w:tc>
          <w:tcPr>
            <w:tcW w:w="317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reclassification adjustments related to defined benefit plans, net of tax</w:t>
            </w:r>
          </w:p>
        </w:tc>
        <w:tc>
          <w:tcPr>
            <w:tcW w:w="3175"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46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reclassifications</w:t>
            </w:r>
          </w:p>
        </w:tc>
        <w:tc>
          <w:tcPr>
            <w:tcW w:w="3175" w:type="dxa"/>
            <w:tcBorders/>
            <w:shd w:fill="auto" w:val="cle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(2,075</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1,041</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Balances by classification included within AOCI, net of tax on the accompanying Consolidated Balance Sheets were as follows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39"/>
        <w:gridCol w:w="413"/>
        <w:gridCol w:w="1238"/>
        <w:gridCol w:w="325"/>
        <w:gridCol w:w="488"/>
        <w:gridCol w:w="1399"/>
        <w:gridCol w:w="166"/>
        <w:gridCol w:w="482"/>
        <w:gridCol w:w="1447"/>
        <w:gridCol w:w="166"/>
        <w:gridCol w:w="211"/>
        <w:gridCol w:w="736"/>
        <w:gridCol w:w="295"/>
      </w:tblGrid>
      <w:tr>
        <w:trPr/>
        <w:tc>
          <w:tcPr>
            <w:tcW w:w="283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839" w:type="dxa"/>
            <w:tcBorders/>
            <w:shd w:fill="auto" w:val="clear"/>
            <w:vAlign w:val="center"/>
          </w:tcPr>
          <w:p>
            <w:pPr>
              <w:pStyle w:val="TableContents"/>
              <w:spacing w:before="0" w:after="0"/>
              <w:ind w:left="0" w:right="0" w:hanging="0"/>
              <w:jc w:val="left"/>
              <w:rPr/>
            </w:pPr>
            <w:r>
              <w:rPr/>
              <w:t> </w:t>
            </w:r>
          </w:p>
        </w:tc>
        <w:tc>
          <w:tcPr>
            <w:tcW w:w="386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Derivatives Designated as Cash Flow Hedges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2839" w:type="dxa"/>
            <w:tcBorders/>
            <w:shd w:fill="auto" w:val="clear"/>
            <w:vAlign w:val="center"/>
          </w:tcPr>
          <w:p>
            <w:pPr>
              <w:pStyle w:val="TableContents"/>
              <w:spacing w:before="0" w:after="0"/>
              <w:ind w:left="0" w:right="0" w:hanging="0"/>
              <w:jc w:val="left"/>
              <w:rPr/>
            </w:pPr>
            <w:r>
              <w:rPr/>
              <w:t> </w:t>
            </w:r>
          </w:p>
        </w:tc>
        <w:tc>
          <w:tcPr>
            <w:tcW w:w="16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Interest Rate Swaps</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Commodity Derivatives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Employee Benefit 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 of December 31, 2022</w:t>
            </w:r>
          </w:p>
        </w:tc>
        <w:tc>
          <w:tcPr>
            <w:tcW w:w="41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(8,255</w:t>
            </w:r>
          </w:p>
        </w:tc>
        <w:tc>
          <w:tcPr>
            <w:tcW w:w="3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9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4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(6,112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(15,567</w:t>
            </w:r>
          </w:p>
        </w:tc>
        <w:tc>
          <w:tcPr>
            <w:tcW w:w="2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 (loss)</w:t>
            </w:r>
          </w:p>
        </w:tc>
        <w:tc>
          <w:tcPr>
            <w:tcW w:w="1651" w:type="dxa"/>
            <w:gridSpan w:val="2"/>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1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2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2839"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before reclassifications</w:t>
            </w:r>
          </w:p>
        </w:tc>
        <w:tc>
          <w:tcPr>
            <w:tcW w:w="413" w:type="dxa"/>
            <w:tcBorders/>
            <w:shd w:fill="auto" w:val="clear"/>
            <w:vAlign w:val="center"/>
          </w:tcPr>
          <w:p>
            <w:pPr>
              <w:pStyle w:val="TableContents"/>
              <w:spacing w:before="0" w:after="0"/>
              <w:ind w:left="0" w:right="0" w:hanging="0"/>
              <w:jc w:val="left"/>
              <w:rPr/>
            </w:pPr>
            <w:r>
              <w:rPr/>
              <w:t> </w:t>
            </w:r>
          </w:p>
        </w:tc>
        <w:tc>
          <w:tcPr>
            <w:tcW w:w="12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325"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left"/>
              <w:rPr/>
            </w:pPr>
            <w:r>
              <w:rPr/>
              <w:t> </w:t>
            </w:r>
          </w:p>
        </w:tc>
        <w:tc>
          <w:tcPr>
            <w:tcW w:w="139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2" w:type="dxa"/>
            <w:tcBorders/>
            <w:shd w:fill="auto" w:val="clear"/>
            <w:vAlign w:val="center"/>
          </w:tcPr>
          <w:p>
            <w:pPr>
              <w:pStyle w:val="TableContents"/>
              <w:spacing w:before="0" w:after="0"/>
              <w:ind w:left="0" w:right="0" w:hanging="0"/>
              <w:jc w:val="left"/>
              <w:rPr/>
            </w:pPr>
            <w:r>
              <w:rPr/>
              <w:t> </w:t>
            </w:r>
          </w:p>
        </w:tc>
        <w:tc>
          <w:tcPr>
            <w:tcW w:w="144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(855</w:t>
            </w:r>
          </w:p>
        </w:tc>
        <w:tc>
          <w:tcPr>
            <w:tcW w:w="2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Amounts reclassified from AOCI</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563</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2,075</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 of March 31, 2023</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(7,692</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(14,347</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806"/>
        <w:gridCol w:w="388"/>
        <w:gridCol w:w="1356"/>
        <w:gridCol w:w="305"/>
        <w:gridCol w:w="487"/>
        <w:gridCol w:w="1381"/>
        <w:gridCol w:w="166"/>
        <w:gridCol w:w="425"/>
        <w:gridCol w:w="1483"/>
        <w:gridCol w:w="166"/>
        <w:gridCol w:w="211"/>
        <w:gridCol w:w="736"/>
        <w:gridCol w:w="295"/>
      </w:tblGrid>
      <w:tr>
        <w:trPr/>
        <w:tc>
          <w:tcPr>
            <w:tcW w:w="280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left"/>
              <w:rPr/>
            </w:pPr>
            <w:r>
              <w:rPr/>
              <w:t> </w:t>
            </w:r>
          </w:p>
        </w:tc>
        <w:tc>
          <w:tcPr>
            <w:tcW w:w="3917"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Derivatives Designated as Cash Flow Hedges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pPr>
            <w:r>
              <w:rPr/>
              <w:t> </w:t>
            </w:r>
          </w:p>
        </w:tc>
        <w:tc>
          <w:tcPr>
            <w:tcW w:w="1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Interest Rate Swaps</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Commodity Derivatives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Employee Benefit 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 of December 31, 2021</w:t>
            </w:r>
          </w:p>
        </w:tc>
        <w:tc>
          <w:tcPr>
            <w:tcW w:w="38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(10,384</w:t>
            </w:r>
          </w:p>
        </w:tc>
        <w:tc>
          <w:tcPr>
            <w:tcW w:w="30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1,476</w:t>
            </w:r>
          </w:p>
        </w:tc>
        <w:tc>
          <w:tcPr>
            <w:tcW w:w="16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8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(11,176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(20,084</w:t>
            </w:r>
          </w:p>
        </w:tc>
        <w:tc>
          <w:tcPr>
            <w:tcW w:w="29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comprehensive income (loss)</w:t>
            </w:r>
          </w:p>
        </w:tc>
        <w:tc>
          <w:tcPr>
            <w:tcW w:w="1744" w:type="dxa"/>
            <w:gridSpan w:val="2"/>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86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90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280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before reclassifications</w:t>
            </w:r>
          </w:p>
        </w:tc>
        <w:tc>
          <w:tcPr>
            <w:tcW w:w="388" w:type="dxa"/>
            <w:tcBorders/>
            <w:shd w:fill="auto" w:val="clear"/>
            <w:vAlign w:val="center"/>
          </w:tcPr>
          <w:p>
            <w:pPr>
              <w:pStyle w:val="TableContents"/>
              <w:spacing w:before="0" w:after="0"/>
              <w:ind w:left="0" w:right="0" w:hanging="0"/>
              <w:jc w:val="left"/>
              <w:rPr/>
            </w:pPr>
            <w:r>
              <w:rPr/>
              <w:t> </w:t>
            </w:r>
          </w:p>
        </w:tc>
        <w:tc>
          <w:tcPr>
            <w:tcW w:w="13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305" w:type="dxa"/>
            <w:tcBorders/>
            <w:shd w:fill="auto" w:val="clear"/>
            <w:vAlign w:val="center"/>
          </w:tcPr>
          <w:p>
            <w:pPr>
              <w:pStyle w:val="TableContents"/>
              <w:spacing w:before="0" w:after="0"/>
              <w:ind w:left="0" w:right="0" w:hanging="0"/>
              <w:jc w:val="left"/>
              <w:rPr/>
            </w:pPr>
            <w:r>
              <w:rPr/>
              <w:t> </w:t>
            </w:r>
          </w:p>
        </w:tc>
        <w:tc>
          <w:tcPr>
            <w:tcW w:w="487" w:type="dxa"/>
            <w:tcBorders/>
            <w:shd w:fill="auto" w:val="clear"/>
            <w:vAlign w:val="center"/>
          </w:tcPr>
          <w:p>
            <w:pPr>
              <w:pStyle w:val="TableContents"/>
              <w:spacing w:before="0" w:after="0"/>
              <w:ind w:left="0" w:right="0" w:hanging="0"/>
              <w:jc w:val="left"/>
              <w:rPr/>
            </w:pPr>
            <w:r>
              <w:rPr/>
              <w:t> </w:t>
            </w:r>
          </w:p>
        </w:tc>
        <w:tc>
          <w:tcPr>
            <w:tcW w:w="13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1,047</w:t>
            </w:r>
          </w:p>
        </w:tc>
        <w:tc>
          <w:tcPr>
            <w:tcW w:w="166" w:type="dxa"/>
            <w:tcBorders/>
            <w:shd w:fill="auto" w:val="clear"/>
            <w:vAlign w:val="center"/>
          </w:tcPr>
          <w:p>
            <w:pPr>
              <w:pStyle w:val="TableContents"/>
              <w:spacing w:before="0" w:after="0"/>
              <w:ind w:left="0" w:right="0" w:hanging="0"/>
              <w:jc w:val="left"/>
              <w:rPr/>
            </w:pPr>
            <w:r>
              <w:rPr/>
              <w:t> </w:t>
            </w:r>
          </w:p>
        </w:tc>
        <w:tc>
          <w:tcPr>
            <w:tcW w:w="425" w:type="dxa"/>
            <w:tcBorders/>
            <w:shd w:fill="auto" w:val="clear"/>
            <w:vAlign w:val="center"/>
          </w:tcPr>
          <w:p>
            <w:pPr>
              <w:pStyle w:val="TableContents"/>
              <w:spacing w:before="0" w:after="0"/>
              <w:ind w:left="0" w:right="0" w:hanging="0"/>
              <w:jc w:val="left"/>
              <w:rPr/>
            </w:pPr>
            <w:r>
              <w:rPr/>
              <w:t> </w:t>
            </w:r>
          </w:p>
        </w:tc>
        <w:tc>
          <w:tcPr>
            <w:tcW w:w="148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1,047</w:t>
            </w:r>
          </w:p>
        </w:tc>
        <w:tc>
          <w:tcPr>
            <w:tcW w:w="295"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Amounts reclassified from AOCI</w:t>
            </w:r>
          </w:p>
        </w:tc>
        <w:tc>
          <w:tcPr>
            <w:tcW w:w="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536</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(1,041</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As of March 31, 2022</w:t>
            </w:r>
          </w:p>
        </w:tc>
        <w:tc>
          <w:tcPr>
            <w:tcW w:w="3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(9,848</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(20,078</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22</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Employee Benefit Plans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Components of Net Periodic Expense</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components of net periodic expense were as follows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57"/>
        <w:gridCol w:w="241"/>
        <w:gridCol w:w="721"/>
        <w:gridCol w:w="189"/>
        <w:gridCol w:w="241"/>
        <w:gridCol w:w="721"/>
        <w:gridCol w:w="166"/>
        <w:gridCol w:w="348"/>
        <w:gridCol w:w="943"/>
        <w:gridCol w:w="240"/>
        <w:gridCol w:w="348"/>
        <w:gridCol w:w="794"/>
        <w:gridCol w:w="166"/>
        <w:gridCol w:w="429"/>
        <w:gridCol w:w="857"/>
        <w:gridCol w:w="337"/>
        <w:gridCol w:w="429"/>
        <w:gridCol w:w="857"/>
        <w:gridCol w:w="221"/>
      </w:tblGrid>
      <w:tr>
        <w:trPr/>
        <w:tc>
          <w:tcPr>
            <w:tcW w:w="195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957" w:type="dxa"/>
            <w:tcBorders/>
            <w:shd w:fill="auto" w:val="clear"/>
            <w:vAlign w:val="center"/>
          </w:tcPr>
          <w:p>
            <w:pPr>
              <w:pStyle w:val="TableContents"/>
              <w:spacing w:before="0" w:after="0"/>
              <w:ind w:left="0" w:right="0" w:hanging="0"/>
              <w:jc w:val="left"/>
              <w:rPr/>
            </w:pPr>
            <w:r>
              <w:rPr/>
              <w:t> </w:t>
            </w:r>
          </w:p>
        </w:tc>
        <w:tc>
          <w:tcPr>
            <w:tcW w:w="211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Defined Benefit Pension Plan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7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Supplemental Non-qualified Defined Benefit Plans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0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Non-pension Defined Benefit Postretirement Healthcare Plan</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Three Months Ended March 31,</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Service cost</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614</w:t>
            </w:r>
          </w:p>
        </w:tc>
        <w:tc>
          <w:tcPr>
            <w:tcW w:w="189"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982</w:t>
            </w:r>
          </w:p>
        </w:tc>
        <w:tc>
          <w:tcPr>
            <w:tcW w:w="16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914</w:t>
            </w:r>
          </w:p>
        </w:tc>
        <w:tc>
          <w:tcPr>
            <w:tcW w:w="240"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381</w:t>
            </w:r>
          </w:p>
        </w:tc>
        <w:tc>
          <w:tcPr>
            <w:tcW w:w="337"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492</w:t>
            </w:r>
          </w:p>
        </w:tc>
        <w:tc>
          <w:tcPr>
            <w:tcW w:w="221" w:type="dxa"/>
            <w:tcBorders/>
            <w:shd w:fill="auto" w:val="clear"/>
            <w:vAlign w:val="center"/>
          </w:tcPr>
          <w:p>
            <w:pPr>
              <w:pStyle w:val="TableContents"/>
              <w:spacing w:before="0" w:after="0"/>
              <w:ind w:left="0" w:right="0" w:hanging="0"/>
              <w:jc w:val="left"/>
              <w:rPr/>
            </w:pPr>
            <w:r>
              <w:rPr/>
              <w:t> </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cost</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4,381</w:t>
            </w:r>
          </w:p>
        </w:tc>
        <w:tc>
          <w:tcPr>
            <w:tcW w:w="189"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2,705</w:t>
            </w:r>
          </w:p>
        </w:tc>
        <w:tc>
          <w:tcPr>
            <w:tcW w:w="166"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w:t>
            </w:r>
          </w:p>
        </w:tc>
        <w:tc>
          <w:tcPr>
            <w:tcW w:w="240"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w:t>
            </w:r>
          </w:p>
        </w:tc>
        <w:tc>
          <w:tcPr>
            <w:tcW w:w="16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594</w:t>
            </w:r>
          </w:p>
        </w:tc>
        <w:tc>
          <w:tcPr>
            <w:tcW w:w="337"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321</w:t>
            </w:r>
          </w:p>
        </w:tc>
        <w:tc>
          <w:tcPr>
            <w:tcW w:w="221" w:type="dxa"/>
            <w:tcBorders/>
            <w:shd w:fill="auto" w:val="clear"/>
            <w:vAlign w:val="center"/>
          </w:tcPr>
          <w:p>
            <w:pPr>
              <w:pStyle w:val="TableContents"/>
              <w:spacing w:before="0" w:after="0"/>
              <w:ind w:left="0" w:right="0" w:hanging="0"/>
              <w:jc w:val="left"/>
              <w:rPr/>
            </w:pPr>
            <w:r>
              <w:rPr/>
              <w:t> </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Expected return on plan assets</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(4,672</w:t>
            </w:r>
          </w:p>
        </w:tc>
        <w:tc>
          <w:tcPr>
            <w:tcW w:w="18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(4,631</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8"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40"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w:t>
            </w:r>
          </w:p>
        </w:tc>
        <w:tc>
          <w:tcPr>
            <w:tcW w:w="33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w:t>
            </w:r>
          </w:p>
        </w:tc>
        <w:tc>
          <w:tcPr>
            <w:tcW w:w="2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amortization of prior service costs</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w:t>
            </w:r>
          </w:p>
        </w:tc>
        <w:tc>
          <w:tcPr>
            <w:tcW w:w="18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8"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40"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337"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5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w:t>
            </w:r>
          </w:p>
        </w:tc>
        <w:tc>
          <w:tcPr>
            <w:tcW w:w="2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Recognized net actuarial loss (gain)</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498</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w:t>
            </w:r>
          </w:p>
        </w:tc>
        <w:tc>
          <w:tcPr>
            <w:tcW w:w="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5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periodic expense (benefit)</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804</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1,291</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926</w:t>
            </w:r>
          </w:p>
        </w:tc>
        <w:tc>
          <w:tcPr>
            <w:tcW w:w="3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726</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Plan Contributions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Contributions to the Defined Benefit Pension Plan are cash contributions made directly to the Pension Plan Trust account. Contributions to the Postretirement Healthcare and Supplemental Plans are made in the form of benefit payments. Contributions made in the first three months of 2023 and anticipated contributions for 2023 and 2024 are as follows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196"/>
        <w:gridCol w:w="623"/>
        <w:gridCol w:w="1689"/>
        <w:gridCol w:w="146"/>
        <w:gridCol w:w="458"/>
        <w:gridCol w:w="1242"/>
        <w:gridCol w:w="146"/>
        <w:gridCol w:w="407"/>
        <w:gridCol w:w="1103"/>
        <w:gridCol w:w="195"/>
      </w:tblGrid>
      <w:tr>
        <w:trPr/>
        <w:tc>
          <w:tcPr>
            <w:tcW w:w="4196"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4196" w:type="dxa"/>
            <w:tcBorders/>
            <w:shd w:fill="auto" w:val="clear"/>
            <w:vAlign w:val="center"/>
          </w:tcPr>
          <w:p>
            <w:pPr>
              <w:pStyle w:val="TableContents"/>
              <w:spacing w:before="0" w:after="0"/>
              <w:ind w:left="0" w:right="0" w:hanging="0"/>
              <w:jc w:val="left"/>
              <w:rPr/>
            </w:pPr>
            <w:r>
              <w:rPr/>
              <w:t> </w:t>
            </w:r>
          </w:p>
        </w:tc>
        <w:tc>
          <w:tcPr>
            <w:tcW w:w="2312"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Contributions Made</w:t>
            </w:r>
          </w:p>
        </w:tc>
        <w:tc>
          <w:tcPr>
            <w:tcW w:w="146" w:type="dxa"/>
            <w:tcBorders/>
            <w:shd w:fill="auto" w:val="clear"/>
            <w:vAlign w:val="center"/>
          </w:tcPr>
          <w:p>
            <w:pPr>
              <w:pStyle w:val="TableContents"/>
              <w:spacing w:before="0" w:after="0"/>
              <w:ind w:left="0" w:right="0" w:hanging="0"/>
              <w:jc w:val="center"/>
              <w:rPr/>
            </w:pPr>
            <w:r>
              <w:rPr/>
              <w:t> </w:t>
            </w:r>
          </w:p>
        </w:tc>
        <w:tc>
          <w:tcPr>
            <w:tcW w:w="1700"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Additional Contributions</w:t>
            </w:r>
          </w:p>
        </w:tc>
        <w:tc>
          <w:tcPr>
            <w:tcW w:w="146" w:type="dxa"/>
            <w:tcBorders/>
            <w:shd w:fill="auto" w:val="clear"/>
            <w:vAlign w:val="center"/>
          </w:tcPr>
          <w:p>
            <w:pPr>
              <w:pStyle w:val="TableContents"/>
              <w:spacing w:before="0" w:after="0"/>
              <w:ind w:left="0" w:right="0" w:hanging="0"/>
              <w:jc w:val="center"/>
              <w:rPr/>
            </w:pPr>
            <w:r>
              <w:rPr/>
              <w:t> </w:t>
            </w:r>
          </w:p>
        </w:tc>
        <w:tc>
          <w:tcPr>
            <w:tcW w:w="1510"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Contributions</w:t>
            </w:r>
          </w:p>
        </w:tc>
        <w:tc>
          <w:tcPr>
            <w:tcW w:w="195" w:type="dxa"/>
            <w:tcBorders/>
            <w:shd w:fill="auto" w:val="cle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pPr>
            <w:r>
              <w:rPr/>
              <w:t> </w:t>
            </w:r>
          </w:p>
        </w:tc>
        <w:tc>
          <w:tcPr>
            <w:tcW w:w="2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Anticipated for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Anticipated for 2024</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Defined Benefit Pension Plan</w:t>
            </w:r>
          </w:p>
        </w:tc>
        <w:tc>
          <w:tcPr>
            <w:tcW w:w="6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95" w:type="dxa"/>
            <w:tcBorders/>
            <w:shd w:fill="auto" w:val="cle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Non-pension Defined Benefit Postretirement Healthcare Plan</w:t>
            </w:r>
          </w:p>
        </w:tc>
        <w:tc>
          <w:tcPr>
            <w:tcW w:w="6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1,230</w:t>
            </w:r>
          </w:p>
        </w:tc>
        <w:tc>
          <w:tcPr>
            <w:tcW w:w="14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3,690</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4,556</w:t>
            </w:r>
          </w:p>
        </w:tc>
        <w:tc>
          <w:tcPr>
            <w:tcW w:w="195" w:type="dxa"/>
            <w:tcBorders/>
            <w:shd w:fill="auto" w:val="clear"/>
            <w:vAlign w:val="center"/>
          </w:tcPr>
          <w:p>
            <w:pPr>
              <w:pStyle w:val="TableContents"/>
              <w:spacing w:before="0" w:after="0"/>
              <w:ind w:left="0" w:right="0" w:hanging="0"/>
              <w:jc w:val="left"/>
              <w:rPr/>
            </w:pPr>
            <w:r>
              <w:rPr/>
              <w:t> </w:t>
            </w:r>
          </w:p>
        </w:tc>
      </w:tr>
      <w:tr>
        <w:trPr/>
        <w:tc>
          <w:tcPr>
            <w:tcW w:w="41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Supplemental Non-qualified Defined Benefit and Defined Contribution Plans</w:t>
            </w:r>
          </w:p>
        </w:tc>
        <w:tc>
          <w:tcPr>
            <w:tcW w:w="62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8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558</w:t>
            </w:r>
          </w:p>
        </w:tc>
        <w:tc>
          <w:tcPr>
            <w:tcW w:w="146" w:type="dxa"/>
            <w:tcBorders/>
            <w:shd w:fill="auto" w:val="clear"/>
            <w:vAlign w:val="center"/>
          </w:tcPr>
          <w:p>
            <w:pPr>
              <w:pStyle w:val="TableContents"/>
              <w:spacing w:before="0" w:after="0"/>
              <w:ind w:left="0" w:right="0" w:hanging="0"/>
              <w:jc w:val="left"/>
              <w:rPr/>
            </w:pPr>
            <w:r>
              <w:rPr/>
              <w:t> </w:t>
            </w:r>
          </w:p>
        </w:tc>
        <w:tc>
          <w:tcPr>
            <w:tcW w:w="45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1,673</w:t>
            </w:r>
          </w:p>
        </w:tc>
        <w:tc>
          <w:tcPr>
            <w:tcW w:w="146" w:type="dxa"/>
            <w:tcBorders/>
            <w:shd w:fill="auto" w:val="clear"/>
            <w:vAlign w:val="center"/>
          </w:tcPr>
          <w:p>
            <w:pPr>
              <w:pStyle w:val="TableContents"/>
              <w:spacing w:before="0" w:after="0"/>
              <w:ind w:left="0" w:right="0" w:hanging="0"/>
              <w:jc w:val="left"/>
              <w:rPr/>
            </w:pPr>
            <w:r>
              <w:rPr/>
              <w:t> </w:t>
            </w:r>
          </w:p>
        </w:tc>
        <w:tc>
          <w:tcPr>
            <w:tcW w:w="40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0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2,410</w:t>
            </w:r>
          </w:p>
        </w:tc>
        <w:tc>
          <w:tcPr>
            <w:tcW w:w="195"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Income Taxes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IRS Revenue Procedure 2023-15</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On April 14, 2023, the IRS released Revenue Procedure 2023-15 “Amounts paid to improve tangible property.” The Revenue Procedure provides a safe harbor method of accounting that taxpayers may use to determine whether expenses to repair, maintain, replace, or improve natural gas transmission and distribution property must be capitalized. We are currently assessing the Revenue Procedure to determine its impact on our tax repairs deduction.</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Income Tax Expense and Effective Tax Rates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Income tax expense for the three months ended March 31, 2023 was</w:t>
      </w:r>
      <w:r>
        <w:rPr>
          <w:rFonts w:ascii="Times New Roman" w:hAnsi="Times New Roman"/>
          <w:sz w:val="20"/>
        </w:rPr>
        <w:t xml:space="preserve"> </w:t>
      </w:r>
      <w:r>
        <w:rPr>
          <w:rFonts w:ascii="Arial;sans-serif" w:hAnsi="Arial;sans-serif"/>
          <w:b w:val="false"/>
          <w:sz w:val="18"/>
        </w:rPr>
        <w:t>$14.7</w:t>
      </w:r>
      <w:r>
        <w:rPr>
          <w:rFonts w:ascii="Times New Roman" w:hAnsi="Times New Roman"/>
          <w:sz w:val="20"/>
        </w:rPr>
        <w:t xml:space="preserve"> </w:t>
      </w:r>
      <w:r>
        <w:rPr>
          <w:rFonts w:ascii="Arial;sans-serif" w:hAnsi="Arial;sans-serif"/>
          <w:b w:val="false"/>
          <w:sz w:val="18"/>
        </w:rPr>
        <w:t>million compared to $14.5</w:t>
      </w:r>
      <w:r>
        <w:rPr>
          <w:rFonts w:ascii="Times New Roman" w:hAnsi="Times New Roman"/>
          <w:sz w:val="20"/>
        </w:rPr>
        <w:t xml:space="preserve"> </w:t>
      </w:r>
      <w:r>
        <w:rPr>
          <w:rFonts w:ascii="Arial;sans-serif" w:hAnsi="Arial;sans-serif"/>
          <w:b w:val="false"/>
          <w:sz w:val="18"/>
        </w:rPr>
        <w:t>million reported for the same period in 2022. For the three months ended March 31, 2023, the effective tax rate was 11.1%</w:t>
      </w:r>
      <w:r>
        <w:rPr>
          <w:rFonts w:ascii="Times New Roman" w:hAnsi="Times New Roman"/>
          <w:sz w:val="20"/>
        </w:rPr>
        <w:t xml:space="preserve"> </w:t>
      </w:r>
      <w:r>
        <w:rPr>
          <w:rFonts w:ascii="Arial;sans-serif" w:hAnsi="Arial;sans-serif"/>
          <w:b w:val="false"/>
          <w:sz w:val="18"/>
        </w:rPr>
        <w:t>which was comparable to 10.7%</w:t>
      </w:r>
      <w:r>
        <w:rPr>
          <w:rFonts w:ascii="Times New Roman" w:hAnsi="Times New Roman"/>
          <w:sz w:val="20"/>
        </w:rPr>
        <w:t xml:space="preserve"> </w:t>
      </w:r>
      <w:r>
        <w:rPr>
          <w:rFonts w:ascii="Arial;sans-serif" w:hAnsi="Arial;sans-serif"/>
          <w:b w:val="false"/>
          <w:sz w:val="18"/>
        </w:rPr>
        <w:t>for the same period in 2022.</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23</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Business Segment Information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Segment information was as follows (in thousands):</w:t>
      </w:r>
    </w:p>
    <w:p>
      <w:pPr>
        <w:pStyle w:val="TextBody"/>
        <w:spacing w:before="0" w:after="0"/>
        <w:jc w:val="left"/>
        <w:rPr/>
      </w:pPr>
      <w:r>
        <w:rPr/>
        <w:t> </w:t>
      </w:r>
    </w:p>
    <w:tbl>
      <w:tblPr>
        <w:tblW w:w="8023" w:type="dxa"/>
        <w:jc w:val="left"/>
        <w:tblInd w:w="0" w:type="dxa"/>
        <w:tblCellMar>
          <w:top w:w="28" w:type="dxa"/>
          <w:left w:w="28" w:type="dxa"/>
          <w:bottom w:w="28" w:type="dxa"/>
          <w:right w:w="28" w:type="dxa"/>
        </w:tblCellMar>
      </w:tblPr>
      <w:tblGrid>
        <w:gridCol w:w="4381"/>
        <w:gridCol w:w="255"/>
        <w:gridCol w:w="1125"/>
        <w:gridCol w:w="146"/>
        <w:gridCol w:w="318"/>
        <w:gridCol w:w="1407"/>
        <w:gridCol w:w="391"/>
      </w:tblGrid>
      <w:tr>
        <w:trPr/>
        <w:tc>
          <w:tcPr>
            <w:tcW w:w="438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assets (net of intercompany eliminations) as of:</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43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Electric Utilities</w:t>
            </w:r>
          </w:p>
        </w:tc>
        <w:tc>
          <w:tcPr>
            <w:tcW w:w="25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3,922,496</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3,929,721</w:t>
            </w:r>
          </w:p>
        </w:tc>
        <w:tc>
          <w:tcPr>
            <w:tcW w:w="391" w:type="dxa"/>
            <w:tcBorders/>
            <w:shd w:fill="auto" w:val="clear"/>
            <w:vAlign w:val="center"/>
          </w:tcPr>
          <w:p>
            <w:pPr>
              <w:pStyle w:val="TableContents"/>
              <w:spacing w:before="0" w:after="0"/>
              <w:ind w:left="0" w:right="0" w:firstLine="200"/>
              <w:jc w:val="left"/>
              <w:rPr/>
            </w:pPr>
            <w:r>
              <w:rPr/>
              <w:t> </w:t>
            </w:r>
          </w:p>
        </w:tc>
      </w:tr>
      <w:tr>
        <w:trPr/>
        <w:tc>
          <w:tcPr>
            <w:tcW w:w="43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Gas Utilities</w:t>
            </w:r>
          </w:p>
        </w:tc>
        <w:tc>
          <w:tcPr>
            <w:tcW w:w="255" w:type="dxa"/>
            <w:tcBorders/>
            <w:shd w:fill="auto" w:val="clear"/>
            <w:vAlign w:val="center"/>
          </w:tcPr>
          <w:p>
            <w:pPr>
              <w:pStyle w:val="TableContents"/>
              <w:spacing w:before="0" w:after="0"/>
              <w:ind w:left="0" w:right="0" w:hanging="0"/>
              <w:jc w:val="left"/>
              <w:rPr/>
            </w:pPr>
            <w:r>
              <w:rPr/>
              <w:t> </w:t>
            </w:r>
          </w:p>
        </w:tc>
        <w:tc>
          <w:tcPr>
            <w:tcW w:w="112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5,419,216</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140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5,578,282</w:t>
            </w:r>
          </w:p>
        </w:tc>
        <w:tc>
          <w:tcPr>
            <w:tcW w:w="391" w:type="dxa"/>
            <w:tcBorders/>
            <w:shd w:fill="auto" w:val="clear"/>
            <w:vAlign w:val="center"/>
          </w:tcPr>
          <w:p>
            <w:pPr>
              <w:pStyle w:val="TableContents"/>
              <w:spacing w:before="0" w:after="0"/>
              <w:ind w:left="0" w:right="0" w:firstLine="200"/>
              <w:jc w:val="left"/>
              <w:rPr/>
            </w:pPr>
            <w:r>
              <w:rPr/>
              <w:t> </w:t>
            </w:r>
          </w:p>
        </w:tc>
      </w:tr>
      <w:tr>
        <w:trPr/>
        <w:tc>
          <w:tcPr>
            <w:tcW w:w="438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Corporate and Other</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118,424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110,227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assets</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9,460,136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9,618,230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65"/>
        <w:gridCol w:w="309"/>
        <w:gridCol w:w="1145"/>
        <w:gridCol w:w="169"/>
        <w:gridCol w:w="344"/>
        <w:gridCol w:w="913"/>
        <w:gridCol w:w="146"/>
        <w:gridCol w:w="413"/>
        <w:gridCol w:w="1074"/>
        <w:gridCol w:w="282"/>
        <w:gridCol w:w="703"/>
        <w:gridCol w:w="554"/>
        <w:gridCol w:w="146"/>
        <w:gridCol w:w="264"/>
        <w:gridCol w:w="981"/>
        <w:gridCol w:w="297"/>
      </w:tblGrid>
      <w:tr>
        <w:trPr/>
        <w:tc>
          <w:tcPr>
            <w:tcW w:w="246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2465" w:type="dxa"/>
            <w:tcBorders/>
            <w:shd w:fill="auto" w:val="clear"/>
            <w:vAlign w:val="center"/>
          </w:tcPr>
          <w:p>
            <w:pPr>
              <w:pStyle w:val="TableContents"/>
              <w:spacing w:before="0" w:after="0"/>
              <w:ind w:left="0" w:right="0" w:hanging="0"/>
              <w:jc w:val="left"/>
              <w:rPr/>
            </w:pPr>
            <w:r>
              <w:rPr/>
              <w:t> </w:t>
            </w:r>
          </w:p>
        </w:tc>
        <w:tc>
          <w:tcPr>
            <w:tcW w:w="2880"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External Operating Revenue</w:t>
            </w:r>
          </w:p>
        </w:tc>
        <w:tc>
          <w:tcPr>
            <w:tcW w:w="146" w:type="dxa"/>
            <w:tcBorders/>
            <w:shd w:fill="auto" w:val="clear"/>
            <w:vAlign w:val="center"/>
          </w:tcPr>
          <w:p>
            <w:pPr>
              <w:pStyle w:val="TableContents"/>
              <w:spacing w:before="0" w:after="0"/>
              <w:ind w:left="0" w:right="0" w:hanging="0"/>
              <w:jc w:val="center"/>
              <w:rPr/>
            </w:pPr>
            <w:r>
              <w:rPr/>
              <w:t> </w:t>
            </w:r>
          </w:p>
        </w:tc>
        <w:tc>
          <w:tcPr>
            <w:tcW w:w="3026"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Inter-company Operating Revenue</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2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Three Months Ended March 31, 2023</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Contract Customers</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Other 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Contract Customers</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Other 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 Revenues</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Segment:</w:t>
            </w:r>
          </w:p>
        </w:tc>
        <w:tc>
          <w:tcPr>
            <w:tcW w:w="1454"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7" w:type="dxa"/>
            <w:gridSpan w:val="2"/>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125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246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Utilities</w:t>
            </w:r>
          </w:p>
        </w:tc>
        <w:tc>
          <w:tcPr>
            <w:tcW w:w="30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215,012</w:t>
            </w:r>
          </w:p>
        </w:tc>
        <w:tc>
          <w:tcPr>
            <w:tcW w:w="169"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881</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2,816</w:t>
            </w:r>
          </w:p>
        </w:tc>
        <w:tc>
          <w:tcPr>
            <w:tcW w:w="28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5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218,709</w:t>
            </w:r>
          </w:p>
        </w:tc>
        <w:tc>
          <w:tcPr>
            <w:tcW w:w="297" w:type="dxa"/>
            <w:tcBorders/>
            <w:shd w:fill="auto" w:val="clear"/>
            <w:vAlign w:val="center"/>
          </w:tcPr>
          <w:p>
            <w:pPr>
              <w:pStyle w:val="TableContents"/>
              <w:spacing w:before="0" w:after="0"/>
              <w:ind w:left="0" w:right="0" w:firstLine="100"/>
              <w:jc w:val="left"/>
              <w:rPr/>
            </w:pPr>
            <w:r>
              <w:rPr/>
              <w:t> </w:t>
            </w:r>
          </w:p>
        </w:tc>
      </w:tr>
      <w:tr>
        <w:trPr/>
        <w:tc>
          <w:tcPr>
            <w:tcW w:w="246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Gas Utilities</w:t>
            </w:r>
          </w:p>
        </w:tc>
        <w:tc>
          <w:tcPr>
            <w:tcW w:w="309" w:type="dxa"/>
            <w:tcBorders/>
            <w:shd w:fill="auto" w:val="clear"/>
            <w:vAlign w:val="center"/>
          </w:tcPr>
          <w:p>
            <w:pPr>
              <w:pStyle w:val="TableContents"/>
              <w:spacing w:before="0" w:after="0"/>
              <w:ind w:left="0" w:right="0" w:hanging="0"/>
              <w:jc w:val="left"/>
              <w:rPr/>
            </w:pPr>
            <w:r>
              <w:rPr/>
              <w:t> </w:t>
            </w:r>
          </w:p>
        </w:tc>
        <w:tc>
          <w:tcPr>
            <w:tcW w:w="114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697,043</w:t>
            </w:r>
          </w:p>
        </w:tc>
        <w:tc>
          <w:tcPr>
            <w:tcW w:w="169" w:type="dxa"/>
            <w:tcBorders/>
            <w:shd w:fill="auto" w:val="clear"/>
            <w:vAlign w:val="center"/>
          </w:tcPr>
          <w:p>
            <w:pPr>
              <w:pStyle w:val="TableContents"/>
              <w:spacing w:before="0" w:after="0"/>
              <w:ind w:left="0" w:right="0" w:hanging="0"/>
              <w:jc w:val="left"/>
              <w:rPr/>
            </w:pPr>
            <w:r>
              <w:rPr/>
              <w:t> </w:t>
            </w:r>
          </w:p>
        </w:tc>
        <w:tc>
          <w:tcPr>
            <w:tcW w:w="344" w:type="dxa"/>
            <w:tcBorders/>
            <w:shd w:fill="auto" w:val="clear"/>
            <w:vAlign w:val="center"/>
          </w:tcPr>
          <w:p>
            <w:pPr>
              <w:pStyle w:val="TableContents"/>
              <w:spacing w:before="0" w:after="0"/>
              <w:ind w:left="0" w:right="0" w:hanging="0"/>
              <w:jc w:val="left"/>
              <w:rPr/>
            </w:pPr>
            <w:r>
              <w:rPr/>
              <w:t> </w:t>
            </w:r>
          </w:p>
        </w:tc>
        <w:tc>
          <w:tcPr>
            <w:tcW w:w="91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8,223</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107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1,650</w:t>
            </w:r>
          </w:p>
        </w:tc>
        <w:tc>
          <w:tcPr>
            <w:tcW w:w="282" w:type="dxa"/>
            <w:tcBorders/>
            <w:shd w:fill="auto" w:val="clear"/>
            <w:vAlign w:val="center"/>
          </w:tcPr>
          <w:p>
            <w:pPr>
              <w:pStyle w:val="TableContents"/>
              <w:spacing w:before="0" w:after="0"/>
              <w:ind w:left="0" w:right="0" w:hanging="0"/>
              <w:jc w:val="left"/>
              <w:rPr/>
            </w:pPr>
            <w:r>
              <w:rPr/>
              <w:t> </w:t>
            </w:r>
          </w:p>
        </w:tc>
        <w:tc>
          <w:tcPr>
            <w:tcW w:w="703" w:type="dxa"/>
            <w:tcBorders/>
            <w:shd w:fill="auto" w:val="clear"/>
            <w:vAlign w:val="center"/>
          </w:tcPr>
          <w:p>
            <w:pPr>
              <w:pStyle w:val="TableContents"/>
              <w:spacing w:before="0" w:after="0"/>
              <w:ind w:left="0" w:right="0" w:hanging="0"/>
              <w:jc w:val="left"/>
              <w:rPr/>
            </w:pPr>
            <w:r>
              <w:rPr/>
              <w:t> </w:t>
            </w:r>
          </w:p>
        </w:tc>
        <w:tc>
          <w:tcPr>
            <w:tcW w:w="55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706,916</w:t>
            </w:r>
          </w:p>
        </w:tc>
        <w:tc>
          <w:tcPr>
            <w:tcW w:w="297" w:type="dxa"/>
            <w:tcBorders/>
            <w:shd w:fill="auto" w:val="clear"/>
            <w:vAlign w:val="center"/>
          </w:tcPr>
          <w:p>
            <w:pPr>
              <w:pStyle w:val="TableContents"/>
              <w:spacing w:before="0" w:after="0"/>
              <w:ind w:left="0" w:right="0" w:hanging="0"/>
              <w:jc w:val="left"/>
              <w:rPr/>
            </w:pPr>
            <w:r>
              <w:rPr/>
              <w:t> </w:t>
            </w:r>
          </w:p>
        </w:tc>
      </w:tr>
      <w:tr>
        <w:trPr/>
        <w:tc>
          <w:tcPr>
            <w:tcW w:w="246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Inter-company eliminations</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(4,466</w:t>
            </w:r>
          </w:p>
        </w:tc>
        <w:tc>
          <w:tcPr>
            <w:tcW w:w="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46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912,055</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921,159</w:t>
            </w:r>
          </w:p>
        </w:tc>
        <w:tc>
          <w:tcPr>
            <w:tcW w:w="2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85"/>
        <w:gridCol w:w="311"/>
        <w:gridCol w:w="1151"/>
        <w:gridCol w:w="170"/>
        <w:gridCol w:w="345"/>
        <w:gridCol w:w="917"/>
        <w:gridCol w:w="146"/>
        <w:gridCol w:w="406"/>
        <w:gridCol w:w="1056"/>
        <w:gridCol w:w="242"/>
        <w:gridCol w:w="411"/>
        <w:gridCol w:w="851"/>
        <w:gridCol w:w="166"/>
        <w:gridCol w:w="265"/>
        <w:gridCol w:w="985"/>
        <w:gridCol w:w="298"/>
      </w:tblGrid>
      <w:tr>
        <w:trPr/>
        <w:tc>
          <w:tcPr>
            <w:tcW w:w="248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r>
      <w:tr>
        <w:trPr/>
        <w:tc>
          <w:tcPr>
            <w:tcW w:w="2485" w:type="dxa"/>
            <w:tcBorders/>
            <w:shd w:fill="auto" w:val="clear"/>
            <w:vAlign w:val="center"/>
          </w:tcPr>
          <w:p>
            <w:pPr>
              <w:pStyle w:val="TableContents"/>
              <w:spacing w:before="0" w:after="0"/>
              <w:ind w:left="0" w:right="0" w:hanging="0"/>
              <w:jc w:val="left"/>
              <w:rPr/>
            </w:pPr>
            <w:r>
              <w:rPr/>
              <w:t> </w:t>
            </w:r>
          </w:p>
        </w:tc>
        <w:tc>
          <w:tcPr>
            <w:tcW w:w="2894"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External Operating Revenue</w:t>
            </w:r>
          </w:p>
        </w:tc>
        <w:tc>
          <w:tcPr>
            <w:tcW w:w="146" w:type="dxa"/>
            <w:tcBorders/>
            <w:shd w:fill="auto" w:val="clear"/>
            <w:vAlign w:val="center"/>
          </w:tcPr>
          <w:p>
            <w:pPr>
              <w:pStyle w:val="TableContents"/>
              <w:spacing w:before="0" w:after="0"/>
              <w:ind w:left="0" w:right="0" w:hanging="0"/>
              <w:jc w:val="center"/>
              <w:rPr/>
            </w:pPr>
            <w:r>
              <w:rPr/>
              <w:t> </w:t>
            </w:r>
          </w:p>
        </w:tc>
        <w:tc>
          <w:tcPr>
            <w:tcW w:w="2966"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Inter-company Operating Revenue</w:t>
            </w:r>
          </w:p>
        </w:tc>
        <w:tc>
          <w:tcPr>
            <w:tcW w:w="166" w:type="dxa"/>
            <w:tcBorders/>
            <w:shd w:fill="auto" w:val="clear"/>
            <w:vAlign w:val="center"/>
          </w:tcPr>
          <w:p>
            <w:pPr>
              <w:pStyle w:val="TableContents"/>
              <w:spacing w:before="0" w:after="0"/>
              <w:ind w:left="0" w:right="0" w:hanging="0"/>
              <w:jc w:val="center"/>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left"/>
              <w:rPr/>
            </w:pPr>
            <w:r>
              <w:rPr/>
              <w:t> </w:t>
            </w:r>
          </w:p>
        </w:tc>
      </w:tr>
      <w:tr>
        <w:trPr/>
        <w:tc>
          <w:tcPr>
            <w:tcW w:w="2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Three Months Ended March 31, 2022</w:t>
            </w:r>
          </w:p>
        </w:tc>
        <w:tc>
          <w:tcPr>
            <w:tcW w:w="1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Contract Customers</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Other Revenues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Contract Customers</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Other Revenues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 Revenues</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8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Segment:</w:t>
            </w:r>
          </w:p>
        </w:tc>
        <w:tc>
          <w:tcPr>
            <w:tcW w:w="1462" w:type="dxa"/>
            <w:gridSpan w:val="2"/>
            <w:tcBorders/>
            <w:shd w:fill="auto" w:val="clear"/>
            <w:vAlign w:val="center"/>
          </w:tcPr>
          <w:p>
            <w:pPr>
              <w:pStyle w:val="TableContents"/>
              <w:spacing w:before="0" w:after="0"/>
              <w:ind w:left="0" w:right="0" w:hanging="0"/>
              <w:jc w:val="left"/>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2" w:type="dxa"/>
            <w:gridSpan w:val="2"/>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26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firstLine="100"/>
              <w:jc w:val="left"/>
              <w:rPr/>
            </w:pPr>
            <w:r>
              <w:rPr/>
              <w:t> </w:t>
            </w:r>
          </w:p>
        </w:tc>
      </w:tr>
      <w:tr>
        <w:trPr/>
        <w:tc>
          <w:tcPr>
            <w:tcW w:w="248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Utilities</w:t>
            </w:r>
          </w:p>
        </w:tc>
        <w:tc>
          <w:tcPr>
            <w:tcW w:w="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202,739</w:t>
            </w:r>
          </w:p>
        </w:tc>
        <w:tc>
          <w:tcPr>
            <w:tcW w:w="170"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870</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2,929</w:t>
            </w:r>
          </w:p>
        </w:tc>
        <w:tc>
          <w:tcPr>
            <w:tcW w:w="242"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206,538</w:t>
            </w:r>
          </w:p>
        </w:tc>
        <w:tc>
          <w:tcPr>
            <w:tcW w:w="298" w:type="dxa"/>
            <w:tcBorders/>
            <w:shd w:fill="auto" w:val="clear"/>
            <w:vAlign w:val="center"/>
          </w:tcPr>
          <w:p>
            <w:pPr>
              <w:pStyle w:val="TableContents"/>
              <w:spacing w:before="0" w:after="0"/>
              <w:ind w:left="0" w:right="0" w:firstLine="100"/>
              <w:jc w:val="left"/>
              <w:rPr/>
            </w:pPr>
            <w:r>
              <w:rPr/>
              <w:t> </w:t>
            </w:r>
          </w:p>
        </w:tc>
      </w:tr>
      <w:tr>
        <w:trPr/>
        <w:tc>
          <w:tcPr>
            <w:tcW w:w="2485"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Gas Utilities</w:t>
            </w:r>
          </w:p>
        </w:tc>
        <w:tc>
          <w:tcPr>
            <w:tcW w:w="311"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619,030</w:t>
            </w:r>
          </w:p>
        </w:tc>
        <w:tc>
          <w:tcPr>
            <w:tcW w:w="170"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91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931</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05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1,319</w:t>
            </w:r>
          </w:p>
        </w:tc>
        <w:tc>
          <w:tcPr>
            <w:tcW w:w="242"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85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112</w:t>
            </w:r>
          </w:p>
        </w:tc>
        <w:tc>
          <w:tcPr>
            <w:tcW w:w="16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621,392</w:t>
            </w:r>
          </w:p>
        </w:tc>
        <w:tc>
          <w:tcPr>
            <w:tcW w:w="298" w:type="dxa"/>
            <w:tcBorders/>
            <w:shd w:fill="auto" w:val="clear"/>
            <w:vAlign w:val="center"/>
          </w:tcPr>
          <w:p>
            <w:pPr>
              <w:pStyle w:val="TableContents"/>
              <w:spacing w:before="0" w:after="0"/>
              <w:ind w:left="0" w:right="0" w:hanging="0"/>
              <w:jc w:val="left"/>
              <w:rPr/>
            </w:pPr>
            <w:r>
              <w:rPr/>
              <w:t> </w:t>
            </w:r>
          </w:p>
        </w:tc>
      </w:tr>
      <w:tr>
        <w:trPr/>
        <w:tc>
          <w:tcPr>
            <w:tcW w:w="248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Inter-company eliminations</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(4,248</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(4,360</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48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821,769</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823,570</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087" w:type="dxa"/>
        <w:jc w:val="left"/>
        <w:tblInd w:w="0" w:type="dxa"/>
        <w:tblCellMar>
          <w:top w:w="28" w:type="dxa"/>
          <w:left w:w="28" w:type="dxa"/>
          <w:bottom w:w="28" w:type="dxa"/>
          <w:right w:w="28" w:type="dxa"/>
        </w:tblCellMar>
      </w:tblPr>
      <w:tblGrid>
        <w:gridCol w:w="4126"/>
        <w:gridCol w:w="262"/>
        <w:gridCol w:w="970"/>
        <w:gridCol w:w="206"/>
        <w:gridCol w:w="262"/>
        <w:gridCol w:w="970"/>
        <w:gridCol w:w="291"/>
      </w:tblGrid>
      <w:tr>
        <w:trPr/>
        <w:tc>
          <w:tcPr>
            <w:tcW w:w="412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left"/>
              <w:rPr/>
            </w:pPr>
            <w:r>
              <w:rPr/>
              <w:t> </w:t>
            </w:r>
          </w:p>
        </w:tc>
        <w:tc>
          <w:tcPr>
            <w:tcW w:w="2670"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4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 (loss):</w:t>
            </w:r>
          </w:p>
        </w:tc>
        <w:tc>
          <w:tcPr>
            <w:tcW w:w="1232"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412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Utilities</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61,060</w:t>
            </w:r>
          </w:p>
        </w:tc>
        <w:tc>
          <w:tcPr>
            <w:tcW w:w="20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50,746</w:t>
            </w:r>
          </w:p>
        </w:tc>
        <w:tc>
          <w:tcPr>
            <w:tcW w:w="291" w:type="dxa"/>
            <w:tcBorders/>
            <w:shd w:fill="auto" w:val="clear"/>
            <w:vAlign w:val="center"/>
          </w:tcPr>
          <w:p>
            <w:pPr>
              <w:pStyle w:val="TableContents"/>
              <w:spacing w:before="0" w:after="0"/>
              <w:ind w:left="0" w:right="0" w:firstLine="100"/>
              <w:jc w:val="left"/>
              <w:rPr/>
            </w:pPr>
            <w:r>
              <w:rPr/>
              <w:t> </w:t>
            </w:r>
          </w:p>
        </w:tc>
      </w:tr>
      <w:tr>
        <w:trPr/>
        <w:tc>
          <w:tcPr>
            <w:tcW w:w="412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Gas Utilities</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114,625</w:t>
            </w:r>
          </w:p>
        </w:tc>
        <w:tc>
          <w:tcPr>
            <w:tcW w:w="20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123,540</w:t>
            </w:r>
          </w:p>
        </w:tc>
        <w:tc>
          <w:tcPr>
            <w:tcW w:w="291" w:type="dxa"/>
            <w:tcBorders/>
            <w:shd w:fill="auto" w:val="clear"/>
            <w:vAlign w:val="center"/>
          </w:tcPr>
          <w:p>
            <w:pPr>
              <w:pStyle w:val="TableContents"/>
              <w:spacing w:before="0" w:after="0"/>
              <w:ind w:left="0" w:right="0" w:firstLine="100"/>
              <w:jc w:val="left"/>
              <w:rPr/>
            </w:pPr>
            <w:r>
              <w:rPr/>
              <w:t> </w:t>
            </w:r>
          </w:p>
        </w:tc>
      </w:tr>
      <w:tr>
        <w:trPr/>
        <w:tc>
          <w:tcPr>
            <w:tcW w:w="412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Corporate and Other</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(802</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174,883</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173,353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283"/>
              <w:ind w:left="0" w:right="0" w:hanging="0"/>
              <w:rPr>
                <w:sz w:val="4"/>
                <w:szCs w:val="4"/>
              </w:rPr>
            </w:pPr>
            <w:r>
              <w:rPr>
                <w:sz w:val="4"/>
                <w:szCs w:val="4"/>
              </w:rPr>
            </w:r>
          </w:p>
        </w:tc>
        <w:tc>
          <w:tcPr>
            <w:tcW w:w="1232" w:type="dxa"/>
            <w:gridSpan w:val="2"/>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 net</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(43,504</w:t>
            </w:r>
          </w:p>
        </w:tc>
        <w:tc>
          <w:tcPr>
            <w:tcW w:w="2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(38,545</w:t>
            </w:r>
          </w:p>
        </w:tc>
        <w:tc>
          <w:tcPr>
            <w:tcW w:w="2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net</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w:t>
            </w:r>
          </w:p>
        </w:tc>
        <w:tc>
          <w:tcPr>
            <w:tcW w:w="20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704</w:t>
            </w:r>
          </w:p>
        </w:tc>
        <w:tc>
          <w:tcPr>
            <w:tcW w:w="2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(14,673</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(14,488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117,380</w:t>
            </w:r>
          </w:p>
        </w:tc>
        <w:tc>
          <w:tcPr>
            <w:tcW w:w="20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97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121,024</w:t>
            </w:r>
          </w:p>
        </w:tc>
        <w:tc>
          <w:tcPr>
            <w:tcW w:w="2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attributable to non-controlling interest</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(3,296</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available for common stock</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114,084</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117,526</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24</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Selected Balance Sheet Information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Accounts Receivable and Allowance for Credit Losses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Following is a summary of Accounts receivable, net included in the accompanying Consolidated Balance Sheets (in thousands) as of:</w:t>
      </w:r>
    </w:p>
    <w:p>
      <w:pPr>
        <w:pStyle w:val="TextBody"/>
        <w:spacing w:before="0" w:after="0"/>
        <w:jc w:val="left"/>
        <w:rPr/>
      </w:pPr>
      <w:r>
        <w:rPr/>
        <w:t> </w:t>
      </w:r>
    </w:p>
    <w:tbl>
      <w:tblPr>
        <w:tblW w:w="6363" w:type="dxa"/>
        <w:jc w:val="left"/>
        <w:tblInd w:w="0" w:type="dxa"/>
        <w:tblCellMar>
          <w:top w:w="28" w:type="dxa"/>
          <w:left w:w="28" w:type="dxa"/>
          <w:bottom w:w="28" w:type="dxa"/>
          <w:right w:w="28" w:type="dxa"/>
        </w:tblCellMar>
      </w:tblPr>
      <w:tblGrid>
        <w:gridCol w:w="2881"/>
        <w:gridCol w:w="293"/>
        <w:gridCol w:w="1087"/>
        <w:gridCol w:w="166"/>
        <w:gridCol w:w="367"/>
        <w:gridCol w:w="1358"/>
        <w:gridCol w:w="211"/>
      </w:tblGrid>
      <w:tr>
        <w:trPr/>
        <w:tc>
          <w:tcPr>
            <w:tcW w:w="288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Billed Accounts Receivable</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327,949</w:t>
            </w:r>
          </w:p>
        </w:tc>
        <w:tc>
          <w:tcPr>
            <w:tcW w:w="16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267,571</w:t>
            </w:r>
          </w:p>
        </w:tc>
        <w:tc>
          <w:tcPr>
            <w:tcW w:w="21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Unbilled Revenue</w:t>
            </w:r>
          </w:p>
        </w:tc>
        <w:tc>
          <w:tcPr>
            <w:tcW w:w="293"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154,571</w:t>
            </w:r>
          </w:p>
        </w:tc>
        <w:tc>
          <w:tcPr>
            <w:tcW w:w="16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243,574</w:t>
            </w:r>
          </w:p>
        </w:tc>
        <w:tc>
          <w:tcPr>
            <w:tcW w:w="21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Less: Allowance for Credit Losses</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(2,953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88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Account Receivable, net</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477,089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508,192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Changes to allowance for credit losses for the three months ended March 31, 2023 and 2022, respectively, were as follows (in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1"/>
        <w:gridCol w:w="456"/>
        <w:gridCol w:w="1238"/>
        <w:gridCol w:w="146"/>
        <w:gridCol w:w="591"/>
        <w:gridCol w:w="1604"/>
        <w:gridCol w:w="146"/>
        <w:gridCol w:w="613"/>
        <w:gridCol w:w="1229"/>
        <w:gridCol w:w="146"/>
        <w:gridCol w:w="460"/>
        <w:gridCol w:w="1382"/>
        <w:gridCol w:w="166"/>
        <w:gridCol w:w="348"/>
        <w:gridCol w:w="942"/>
        <w:gridCol w:w="197"/>
      </w:tblGrid>
      <w:tr>
        <w:trPr/>
        <w:tc>
          <w:tcPr>
            <w:tcW w:w="54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541" w:type="dxa"/>
            <w:tcBorders/>
            <w:shd w:fill="auto" w:val="clear"/>
            <w:vAlign w:val="center"/>
          </w:tcPr>
          <w:p>
            <w:pPr>
              <w:pStyle w:val="TableContents"/>
              <w:spacing w:before="0" w:after="0"/>
              <w:ind w:left="0" w:right="0" w:hanging="0"/>
              <w:jc w:val="left"/>
              <w:rPr/>
            </w:pPr>
            <w:r>
              <w:rPr/>
              <w:t> </w:t>
            </w:r>
          </w:p>
        </w:tc>
        <w:tc>
          <w:tcPr>
            <w:tcW w:w="16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Balance at Beginning of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Additions Charged to Costs and Expenses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Recoveries and Other 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Write-offs and Other Deductions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Balance at March 31,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2023</w:t>
            </w:r>
          </w:p>
        </w:tc>
        <w:tc>
          <w:tcPr>
            <w:tcW w:w="4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2,953</w:t>
            </w:r>
          </w:p>
        </w:tc>
        <w:tc>
          <w:tcPr>
            <w:tcW w:w="14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3,703</w:t>
            </w:r>
          </w:p>
        </w:tc>
        <w:tc>
          <w:tcPr>
            <w:tcW w:w="146" w:type="dxa"/>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2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641</w:t>
            </w:r>
          </w:p>
        </w:tc>
        <w:tc>
          <w:tcPr>
            <w:tcW w:w="146"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8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(1,866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5,431</w:t>
            </w:r>
          </w:p>
        </w:tc>
        <w:tc>
          <w:tcPr>
            <w:tcW w:w="197" w:type="dxa"/>
            <w:tcBorders/>
            <w:shd w:fill="auto" w:val="clear"/>
            <w:vAlign w:val="center"/>
          </w:tcPr>
          <w:p>
            <w:pPr>
              <w:pStyle w:val="TableContents"/>
              <w:spacing w:before="0" w:after="0"/>
              <w:ind w:left="0" w:right="0" w:hanging="0"/>
              <w:jc w:val="left"/>
              <w:rPr/>
            </w:pPr>
            <w:r>
              <w:rPr/>
              <w:t> </w:t>
            </w:r>
          </w:p>
        </w:tc>
      </w:tr>
      <w:tr>
        <w:trPr/>
        <w:tc>
          <w:tcPr>
            <w:tcW w:w="5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2022</w:t>
            </w:r>
          </w:p>
        </w:tc>
        <w:tc>
          <w:tcPr>
            <w:tcW w:w="4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3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2,113</w:t>
            </w:r>
          </w:p>
        </w:tc>
        <w:tc>
          <w:tcPr>
            <w:tcW w:w="14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60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3,416</w:t>
            </w:r>
          </w:p>
        </w:tc>
        <w:tc>
          <w:tcPr>
            <w:tcW w:w="146" w:type="dxa"/>
            <w:tcBorders/>
            <w:shd w:fill="auto" w:val="clear"/>
            <w:vAlign w:val="center"/>
          </w:tcPr>
          <w:p>
            <w:pPr>
              <w:pStyle w:val="TableContents"/>
              <w:spacing w:before="0" w:after="0"/>
              <w:ind w:left="0" w:right="0" w:hanging="0"/>
              <w:jc w:val="left"/>
              <w:rPr/>
            </w:pPr>
            <w:r>
              <w:rPr/>
              <w:t> </w:t>
            </w:r>
          </w:p>
        </w:tc>
        <w:tc>
          <w:tcPr>
            <w:tcW w:w="61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2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655</w:t>
            </w:r>
          </w:p>
        </w:tc>
        <w:tc>
          <w:tcPr>
            <w:tcW w:w="146" w:type="dxa"/>
            <w:tcBorders/>
            <w:shd w:fill="auto" w:val="clear"/>
            <w:vAlign w:val="center"/>
          </w:tcPr>
          <w:p>
            <w:pPr>
              <w:pStyle w:val="TableContents"/>
              <w:spacing w:before="0" w:after="0"/>
              <w:ind w:left="0" w:right="0" w:hanging="0"/>
              <w:jc w:val="left"/>
              <w:rPr/>
            </w:pPr>
            <w:r>
              <w:rPr/>
              <w:t> </w:t>
            </w:r>
          </w:p>
        </w:tc>
        <w:tc>
          <w:tcPr>
            <w:tcW w:w="460"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8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(1,698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42"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4,486</w:t>
            </w:r>
          </w:p>
        </w:tc>
        <w:tc>
          <w:tcPr>
            <w:tcW w:w="19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Materials, Supplies and Fuel</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amounts by major classification are included in Materials, supplies and fuel on the accompanying Consolidated Balance Sheets (in thousands) as of:</w:t>
      </w:r>
    </w:p>
    <w:p>
      <w:pPr>
        <w:pStyle w:val="TextBody"/>
        <w:spacing w:before="0" w:after="0"/>
        <w:jc w:val="left"/>
        <w:rPr/>
      </w:pPr>
      <w:r>
        <w:rPr/>
        <w:t> </w:t>
      </w:r>
    </w:p>
    <w:tbl>
      <w:tblPr>
        <w:tblW w:w="6448" w:type="dxa"/>
        <w:jc w:val="left"/>
        <w:tblInd w:w="0" w:type="dxa"/>
        <w:tblCellMar>
          <w:top w:w="28" w:type="dxa"/>
          <w:left w:w="28" w:type="dxa"/>
          <w:bottom w:w="28" w:type="dxa"/>
          <w:right w:w="28" w:type="dxa"/>
        </w:tblCellMar>
      </w:tblPr>
      <w:tblGrid>
        <w:gridCol w:w="2806"/>
        <w:gridCol w:w="293"/>
        <w:gridCol w:w="1087"/>
        <w:gridCol w:w="146"/>
        <w:gridCol w:w="367"/>
        <w:gridCol w:w="1358"/>
        <w:gridCol w:w="391"/>
      </w:tblGrid>
      <w:tr>
        <w:trPr/>
        <w:tc>
          <w:tcPr>
            <w:tcW w:w="280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Materials and supplies</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102,328</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99,734</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Fuel - Electric Utilities</w:t>
            </w:r>
          </w:p>
        </w:tc>
        <w:tc>
          <w:tcPr>
            <w:tcW w:w="293"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6,808</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3,115</w:t>
            </w:r>
          </w:p>
        </w:tc>
        <w:tc>
          <w:tcPr>
            <w:tcW w:w="39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Natural gas in storage</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104,572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80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materials, supplies and fuel</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129,960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207,421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Accrued Liabilities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amounts by major classification are included in Accrued liabilities on the accompanying Consolidated Balance Sheets (in thousands) as of:</w:t>
      </w:r>
    </w:p>
    <w:p>
      <w:pPr>
        <w:pStyle w:val="TextBody"/>
        <w:spacing w:before="0" w:after="0"/>
        <w:jc w:val="left"/>
        <w:rPr/>
      </w:pPr>
      <w:r>
        <w:rPr/>
        <w:t> </w:t>
      </w:r>
    </w:p>
    <w:tbl>
      <w:tblPr>
        <w:tblW w:w="8668" w:type="dxa"/>
        <w:jc w:val="left"/>
        <w:tblInd w:w="0" w:type="dxa"/>
        <w:tblCellMar>
          <w:top w:w="28" w:type="dxa"/>
          <w:left w:w="28" w:type="dxa"/>
          <w:bottom w:w="28" w:type="dxa"/>
          <w:right w:w="28" w:type="dxa"/>
        </w:tblCellMar>
      </w:tblPr>
      <w:tblGrid>
        <w:gridCol w:w="5026"/>
        <w:gridCol w:w="293"/>
        <w:gridCol w:w="1087"/>
        <w:gridCol w:w="146"/>
        <w:gridCol w:w="367"/>
        <w:gridCol w:w="1358"/>
        <w:gridCol w:w="391"/>
      </w:tblGrid>
      <w:tr>
        <w:trPr/>
        <w:tc>
          <w:tcPr>
            <w:tcW w:w="502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center"/>
          </w:tcPr>
          <w:p>
            <w:pPr>
              <w:pStyle w:val="TableContents"/>
              <w:spacing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employee compensation, benefits and withholdings</w:t>
            </w:r>
          </w:p>
        </w:tc>
        <w:tc>
          <w:tcPr>
            <w:tcW w:w="293"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48,555</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62,890</w:t>
            </w:r>
          </w:p>
        </w:tc>
        <w:tc>
          <w:tcPr>
            <w:tcW w:w="391" w:type="dxa"/>
            <w:tcBorders/>
            <w:shd w:fill="auto" w:val="clear"/>
            <w:vAlign w:val="center"/>
          </w:tcPr>
          <w:p>
            <w:pPr>
              <w:pStyle w:val="TableContents"/>
              <w:spacing w:before="0" w:after="0"/>
              <w:ind w:left="0" w:right="0" w:hanging="0"/>
              <w:jc w:val="left"/>
              <w:rPr/>
            </w:pPr>
            <w:r>
              <w:rPr/>
              <w:t> </w:t>
            </w:r>
          </w:p>
        </w:tc>
      </w:tr>
      <w:tr>
        <w:trPr/>
        <w:tc>
          <w:tcPr>
            <w:tcW w:w="50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property taxes</w:t>
            </w:r>
          </w:p>
        </w:tc>
        <w:tc>
          <w:tcPr>
            <w:tcW w:w="293"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54,694</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52,430</w:t>
            </w:r>
          </w:p>
        </w:tc>
        <w:tc>
          <w:tcPr>
            <w:tcW w:w="391" w:type="dxa"/>
            <w:tcBorders/>
            <w:shd w:fill="auto" w:val="clear"/>
            <w:vAlign w:val="center"/>
          </w:tcPr>
          <w:p>
            <w:pPr>
              <w:pStyle w:val="TableContents"/>
              <w:spacing w:before="0" w:after="0"/>
              <w:ind w:left="0" w:right="0" w:hanging="0"/>
              <w:jc w:val="left"/>
              <w:rPr/>
            </w:pPr>
            <w:r>
              <w:rPr/>
              <w:t> </w:t>
            </w:r>
          </w:p>
        </w:tc>
      </w:tr>
      <w:tr>
        <w:trPr/>
        <w:tc>
          <w:tcPr>
            <w:tcW w:w="50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Customer deposits and prepayments</w:t>
            </w:r>
          </w:p>
        </w:tc>
        <w:tc>
          <w:tcPr>
            <w:tcW w:w="293"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42,124</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47,655</w:t>
            </w:r>
          </w:p>
        </w:tc>
        <w:tc>
          <w:tcPr>
            <w:tcW w:w="391" w:type="dxa"/>
            <w:tcBorders/>
            <w:shd w:fill="auto" w:val="clear"/>
            <w:vAlign w:val="center"/>
          </w:tcPr>
          <w:p>
            <w:pPr>
              <w:pStyle w:val="TableContents"/>
              <w:spacing w:before="0" w:after="0"/>
              <w:ind w:left="0" w:right="0" w:hanging="0"/>
              <w:jc w:val="left"/>
              <w:rPr/>
            </w:pPr>
            <w:r>
              <w:rPr/>
              <w:t> </w:t>
            </w:r>
          </w:p>
        </w:tc>
      </w:tr>
      <w:tr>
        <w:trPr/>
        <w:tc>
          <w:tcPr>
            <w:tcW w:w="50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Accrued interest</w:t>
            </w:r>
          </w:p>
        </w:tc>
        <w:tc>
          <w:tcPr>
            <w:tcW w:w="293" w:type="dxa"/>
            <w:tcBorders/>
            <w:shd w:fill="auto" w:val="clear"/>
            <w:vAlign w:val="center"/>
          </w:tcPr>
          <w:p>
            <w:pPr>
              <w:pStyle w:val="TableContents"/>
              <w:spacing w:before="0" w:after="0"/>
              <w:ind w:left="0" w:right="0" w:hanging="0"/>
              <w:jc w:val="left"/>
              <w:rPr/>
            </w:pPr>
            <w:r>
              <w:rPr/>
              <w:t> </w:t>
            </w:r>
          </w:p>
        </w:tc>
        <w:tc>
          <w:tcPr>
            <w:tcW w:w="1087"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47,928</w:t>
            </w:r>
          </w:p>
        </w:tc>
        <w:tc>
          <w:tcPr>
            <w:tcW w:w="146" w:type="dxa"/>
            <w:tcBorders/>
            <w:shd w:fill="auto" w:val="clear"/>
            <w:vAlign w:val="center"/>
          </w:tcPr>
          <w:p>
            <w:pPr>
              <w:pStyle w:val="TableContents"/>
              <w:spacing w:before="0" w:after="0"/>
              <w:ind w:left="0" w:right="0" w:hanging="0"/>
              <w:jc w:val="left"/>
              <w:rPr/>
            </w:pPr>
            <w:r>
              <w:rPr/>
              <w:t> </w:t>
            </w:r>
          </w:p>
        </w:tc>
        <w:tc>
          <w:tcPr>
            <w:tcW w:w="367" w:type="dxa"/>
            <w:tcBorders/>
            <w:shd w:fill="auto" w:val="clear"/>
            <w:vAlign w:val="center"/>
          </w:tcPr>
          <w:p>
            <w:pPr>
              <w:pStyle w:val="TableContents"/>
              <w:spacing w:before="0" w:after="0"/>
              <w:ind w:left="0" w:right="0" w:hanging="0"/>
              <w:jc w:val="left"/>
              <w:rPr/>
            </w:pPr>
            <w:r>
              <w:rPr/>
              <w:t> </w:t>
            </w:r>
          </w:p>
        </w:tc>
        <w:tc>
          <w:tcPr>
            <w:tcW w:w="135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33,798</w:t>
            </w:r>
          </w:p>
        </w:tc>
        <w:tc>
          <w:tcPr>
            <w:tcW w:w="391" w:type="dxa"/>
            <w:tcBorders/>
            <w:shd w:fill="auto" w:val="clear"/>
            <w:vAlign w:val="center"/>
          </w:tcPr>
          <w:p>
            <w:pPr>
              <w:pStyle w:val="TableContents"/>
              <w:spacing w:before="0" w:after="0"/>
              <w:ind w:left="0" w:right="0" w:hanging="0"/>
              <w:jc w:val="left"/>
              <w:rPr/>
            </w:pPr>
            <w:r>
              <w:rPr/>
              <w:t> </w:t>
            </w:r>
          </w:p>
        </w:tc>
      </w:tr>
      <w:tr>
        <w:trPr/>
        <w:tc>
          <w:tcPr>
            <w:tcW w:w="50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(none of which is individually significant)</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35,560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46,684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02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accrued liabilities</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228,861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3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243,457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sans-serif" w:hAnsi="Arial;sans-serif"/>
          <w:b/>
          <w:sz w:val="18"/>
        </w:rPr>
      </w:pPr>
      <w:r>
        <w:rPr>
          <w:rFonts w:ascii="Arial;sans-serif" w:hAnsi="Arial;sans-serif"/>
          <w:b/>
          <w:sz w:val="18"/>
        </w:rPr>
        <w:t>Subsequent Events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Except as described in Notes </w:t>
      </w:r>
      <w:hyperlink w:anchor="fn2_regulatory_matters">
        <w:r>
          <w:rPr>
            <w:rStyle w:val="InternetLink"/>
            <w:rFonts w:ascii="Arial;sans-serif" w:hAnsi="Arial;sans-serif"/>
            <w:b w:val="false"/>
            <w:sz w:val="18"/>
            <w:u w:val="single"/>
          </w:rPr>
          <w:t>2</w:t>
        </w:r>
      </w:hyperlink>
      <w:r>
        <w:rPr>
          <w:rFonts w:ascii="Times New Roman" w:hAnsi="Times New Roman"/>
          <w:sz w:val="20"/>
        </w:rPr>
        <w:t xml:space="preserve"> </w:t>
      </w:r>
      <w:r>
        <w:rPr>
          <w:rFonts w:ascii="Arial;sans-serif" w:hAnsi="Arial;sans-serif"/>
          <w:b w:val="false"/>
          <w:sz w:val="18"/>
        </w:rPr>
        <w:t xml:space="preserve">and </w:t>
      </w:r>
      <w:hyperlink w:anchor="fn11_income_taxes">
        <w:r>
          <w:rPr>
            <w:rStyle w:val="InternetLink"/>
            <w:rFonts w:ascii="Arial;sans-serif" w:hAnsi="Arial;sans-serif"/>
            <w:b w:val="false"/>
            <w:sz w:val="18"/>
            <w:u w:val="single"/>
          </w:rPr>
          <w:t>11</w:t>
        </w:r>
      </w:hyperlink>
      <w:r>
        <w:rPr>
          <w:rFonts w:ascii="Arial;sans-serif" w:hAnsi="Arial;sans-serif"/>
          <w:b w:val="false"/>
          <w:sz w:val="18"/>
        </w:rPr>
        <w:t>, there have been no events subsequent to March 31, 2023, which would require recognition in the consolidated financial statements or disclosures.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25</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13" w:name="item2_mda"/>
      <w:bookmarkEnd w:id="13"/>
      <w:r>
        <w:rPr>
          <w:rFonts w:ascii="Arial;sans-serif" w:hAnsi="Arial;sans-serif"/>
          <w:b/>
          <w:sz w:val="18"/>
        </w:rPr>
        <w:t>ITEM 2. MANAGEMENT’S DISCUSSION AND ANALYSIS OF FINANCIAL CONDITION AND RESULTS OF OPERATIONS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discussions should be read in conjunction with the Notes contained herein and Management's Discussion and Analysis of Financial Condition and Results of Operations appearing in the 2022 Form 10-K.</w:t>
      </w:r>
    </w:p>
    <w:p>
      <w:pPr>
        <w:pStyle w:val="TextBody"/>
        <w:spacing w:before="0" w:after="0"/>
        <w:jc w:val="left"/>
        <w:rPr/>
      </w:pPr>
      <w:r>
        <w:rPr/>
        <w:t> </w:t>
      </w:r>
    </w:p>
    <w:p>
      <w:pPr>
        <w:pStyle w:val="TextBody"/>
        <w:spacing w:before="0" w:after="0"/>
        <w:jc w:val="center"/>
        <w:rPr>
          <w:rFonts w:ascii="Arial;sans-serif" w:hAnsi="Arial;sans-serif"/>
          <w:b/>
          <w:sz w:val="18"/>
        </w:rPr>
      </w:pPr>
      <w:bookmarkStart w:id="14" w:name="mda_exec_summary"/>
      <w:bookmarkEnd w:id="14"/>
      <w:r>
        <w:rPr>
          <w:rFonts w:ascii="Arial;sans-serif" w:hAnsi="Arial;sans-serif"/>
          <w:b/>
          <w:sz w:val="18"/>
        </w:rPr>
        <w:t>Executive Summary</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We are a customer-focused energy solutions provider with a mission of </w:t>
      </w:r>
      <w:r>
        <w:rPr>
          <w:rFonts w:ascii="Arial;sans-serif" w:hAnsi="Arial;sans-serif"/>
          <w:b w:val="false"/>
          <w:i/>
          <w:sz w:val="18"/>
        </w:rPr>
        <w:t>Improving Life with Energy</w:t>
      </w:r>
      <w:r>
        <w:rPr>
          <w:rFonts w:ascii="Times New Roman" w:hAnsi="Times New Roman"/>
          <w:sz w:val="20"/>
        </w:rPr>
        <w:t xml:space="preserve"> </w:t>
      </w:r>
      <w:r>
        <w:rPr>
          <w:rFonts w:ascii="Arial;sans-serif" w:hAnsi="Arial;sans-serif"/>
          <w:b w:val="false"/>
          <w:sz w:val="18"/>
        </w:rPr>
        <w:t xml:space="preserve">for more than 1.3 million customers and 800+ communities we serve. Our vision to be the </w:t>
      </w:r>
      <w:r>
        <w:rPr>
          <w:rFonts w:ascii="Arial;sans-serif" w:hAnsi="Arial;sans-serif"/>
          <w:b w:val="false"/>
          <w:i/>
          <w:sz w:val="18"/>
        </w:rPr>
        <w:t>Energy Partner of Choice</w:t>
      </w:r>
      <w:r>
        <w:rPr>
          <w:rFonts w:ascii="Times New Roman" w:hAnsi="Times New Roman"/>
          <w:sz w:val="20"/>
        </w:rPr>
        <w:t xml:space="preserve"> </w:t>
      </w:r>
      <w:r>
        <w:rPr>
          <w:rFonts w:ascii="Arial;sans-serif" w:hAnsi="Arial;sans-serif"/>
          <w:b w:val="false"/>
          <w:sz w:val="18"/>
        </w:rPr>
        <w:t>directs our strategy to invest in the safety, sustainability and growth of our eight-state service territory, including Arkansas, Colorado, Iowa, Kansas, Montana, Nebraska, South Dakota and Wyoming, and to meet our essential objective of providing safe, reliable and cost-effective electricity and natural gas.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have provided energy and served customers for 139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pStyle w:val="TextBody"/>
        <w:spacing w:before="0" w:after="0"/>
        <w:jc w:val="left"/>
        <w:rPr/>
      </w:pPr>
      <w:r>
        <w:rPr/>
        <w:t> </w:t>
      </w:r>
    </w:p>
    <w:p>
      <w:pPr>
        <w:pStyle w:val="TextBody"/>
        <w:spacing w:before="0" w:after="0"/>
        <w:jc w:val="center"/>
        <w:rPr>
          <w:rFonts w:ascii="Arial;sans-serif" w:hAnsi="Arial;sans-serif"/>
          <w:b/>
          <w:sz w:val="18"/>
        </w:rPr>
      </w:pPr>
      <w:bookmarkStart w:id="15" w:name="mda_recent_developments"/>
      <w:bookmarkEnd w:id="15"/>
      <w:r>
        <w:rPr>
          <w:rFonts w:ascii="Arial;sans-serif" w:hAnsi="Arial;sans-serif"/>
          <w:b/>
          <w:sz w:val="18"/>
        </w:rPr>
        <w:t>Recent Developments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Business Segment Recent Developments</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Electric Utilities</w:t>
      </w:r>
    </w:p>
    <w:p>
      <w:pPr>
        <w:pStyle w:val="TextBody"/>
        <w:spacing w:before="0" w:after="0"/>
        <w:jc w:val="left"/>
        <w:rPr/>
      </w:pPr>
      <w:r>
        <w:rPr/>
        <w:t> </w:t>
      </w:r>
    </w:p>
    <w:p>
      <w:pPr>
        <w:pStyle w:val="TextBody"/>
        <w:spacing w:before="0" w:after="0"/>
        <w:jc w:val="left"/>
        <w:rPr/>
      </w:pPr>
      <w:r>
        <w:rPr/>
        <w:t>•</w:t>
      </w:r>
    </w:p>
    <w:p>
      <w:pPr>
        <w:pStyle w:val="TextBody"/>
        <w:jc w:val="left"/>
        <w:rPr/>
      </w:pPr>
      <w:r>
        <w:rPr>
          <w:rFonts w:ascii="Arial;sans-serif" w:hAnsi="Arial;sans-serif"/>
          <w:b w:val="false"/>
          <w:sz w:val="18"/>
        </w:rPr>
        <w:t xml:space="preserve">See </w:t>
      </w:r>
      <w:hyperlink w:anchor="fn2_regulatory_matters">
        <w:r>
          <w:rPr>
            <w:rStyle w:val="InternetLink"/>
            <w:rFonts w:ascii="Arial;sans-serif" w:hAnsi="Arial;sans-serif"/>
            <w:b w:val="false"/>
            <w:sz w:val="18"/>
            <w:u w:val="single"/>
          </w:rPr>
          <w:t>Note 2</w:t>
        </w:r>
      </w:hyperlink>
      <w:r>
        <w:rPr/>
        <w:t xml:space="preserve"> </w:t>
      </w:r>
      <w:r>
        <w:rPr>
          <w:rFonts w:ascii="Arial;sans-serif" w:hAnsi="Arial;sans-serif"/>
          <w:b w:val="false"/>
          <w:sz w:val="18"/>
        </w:rPr>
        <w:t>of the Condensed Notes to Consolidated Financial Statements for recent rate review activity for Wyoming Electric.</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In March 2023, the CPUC approved a unanimous settlement for Colorado Electric's Clean Energy Plan filed May 25, 2022. The Clean Energy Plan is expected to add approximately 400 MW of new clean energy resources needed to reduce carbon emissions 80% by 2030.</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Gas Utilities</w:t>
      </w:r>
    </w:p>
    <w:p>
      <w:pPr>
        <w:pStyle w:val="TextBody"/>
        <w:spacing w:before="0" w:after="0"/>
        <w:jc w:val="left"/>
        <w:rPr/>
      </w:pPr>
      <w:r>
        <w:rPr/>
        <w:t> </w:t>
      </w:r>
    </w:p>
    <w:p>
      <w:pPr>
        <w:pStyle w:val="TextBody"/>
        <w:spacing w:before="0" w:after="0"/>
        <w:jc w:val="left"/>
        <w:rPr/>
      </w:pPr>
      <w:r>
        <w:rPr/>
        <w:t>•</w:t>
      </w:r>
    </w:p>
    <w:p>
      <w:pPr>
        <w:pStyle w:val="TextBody"/>
        <w:jc w:val="left"/>
        <w:rPr/>
      </w:pPr>
      <w:r>
        <w:rPr>
          <w:rFonts w:ascii="Arial;sans-serif" w:hAnsi="Arial;sans-serif"/>
          <w:b w:val="false"/>
          <w:sz w:val="18"/>
        </w:rPr>
        <w:t xml:space="preserve">See </w:t>
      </w:r>
      <w:hyperlink w:anchor="fn2_regulatory_matters">
        <w:r>
          <w:rPr>
            <w:rStyle w:val="InternetLink"/>
            <w:rFonts w:ascii="Arial;sans-serif" w:hAnsi="Arial;sans-serif"/>
            <w:b w:val="false"/>
            <w:sz w:val="18"/>
            <w:u w:val="single"/>
          </w:rPr>
          <w:t>Note 2</w:t>
        </w:r>
      </w:hyperlink>
      <w:r>
        <w:rPr/>
        <w:t xml:space="preserve"> </w:t>
      </w:r>
      <w:r>
        <w:rPr>
          <w:rFonts w:ascii="Arial;sans-serif" w:hAnsi="Arial;sans-serif"/>
          <w:b w:val="false"/>
          <w:sz w:val="18"/>
        </w:rPr>
        <w:t>of the Condensed Notes to Consolidated Financial Statements for recent rate review activity for RMNG.</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Corporate and Other</w:t>
      </w:r>
    </w:p>
    <w:p>
      <w:pPr>
        <w:pStyle w:val="TextBody"/>
        <w:spacing w:before="0" w:after="0"/>
        <w:jc w:val="left"/>
        <w:rPr/>
      </w:pPr>
      <w:r>
        <w:rPr/>
        <w:t> </w:t>
      </w:r>
    </w:p>
    <w:p>
      <w:pPr>
        <w:pStyle w:val="TextBody"/>
        <w:spacing w:before="0" w:after="0"/>
        <w:jc w:val="left"/>
        <w:rPr/>
      </w:pPr>
      <w:r>
        <w:rPr/>
        <w:t>•</w:t>
      </w:r>
    </w:p>
    <w:p>
      <w:pPr>
        <w:pStyle w:val="TextBody"/>
        <w:jc w:val="left"/>
        <w:rPr/>
      </w:pPr>
      <w:r>
        <w:rPr>
          <w:rFonts w:ascii="Arial;sans-serif" w:hAnsi="Arial;sans-serif"/>
          <w:b w:val="false"/>
          <w:sz w:val="18"/>
        </w:rPr>
        <w:t xml:space="preserve">On March 7, 2023, we completed a public debt offering of $350 million, 5.95% 5-year senior unsecured notes due March 15, 2028. The proceeds from the offering were used to repay notes outstanding under our commercial paper program and for other general corporate purposes. See </w:t>
      </w:r>
      <w:hyperlink w:anchor="fn5_financing">
        <w:r>
          <w:rPr>
            <w:rStyle w:val="InternetLink"/>
            <w:rFonts w:ascii="Arial;sans-serif" w:hAnsi="Arial;sans-serif"/>
            <w:b w:val="false"/>
            <w:sz w:val="18"/>
            <w:u w:val="single"/>
          </w:rPr>
          <w:t>Note 5</w:t>
        </w:r>
      </w:hyperlink>
      <w:r>
        <w:rPr/>
        <w:t xml:space="preserve"> </w:t>
      </w:r>
      <w:r>
        <w:rPr>
          <w:rFonts w:ascii="Arial;sans-serif" w:hAnsi="Arial;sans-serif"/>
          <w:b w:val="false"/>
          <w:sz w:val="18"/>
        </w:rPr>
        <w:t>of the Condensed Notes to Consolidated Financial Statements for further information.</w:t>
      </w:r>
    </w:p>
    <w:p>
      <w:pPr>
        <w:pStyle w:val="TextBody"/>
        <w:spacing w:before="0" w:after="0"/>
        <w:jc w:val="left"/>
        <w:rPr/>
      </w:pPr>
      <w:r>
        <w:rPr/>
        <w:t> </w:t>
      </w:r>
    </w:p>
    <w:p>
      <w:pPr>
        <w:pStyle w:val="TextBody"/>
        <w:spacing w:before="0" w:after="0"/>
        <w:jc w:val="center"/>
        <w:rPr>
          <w:rFonts w:ascii="Arial;sans-serif" w:hAnsi="Arial;sans-serif"/>
          <w:b/>
          <w:sz w:val="18"/>
        </w:rPr>
      </w:pPr>
      <w:bookmarkStart w:id="16" w:name="mda_results_of_ops"/>
      <w:bookmarkEnd w:id="16"/>
      <w:r>
        <w:rPr>
          <w:rFonts w:ascii="Arial;sans-serif" w:hAnsi="Arial;sans-serif"/>
          <w:b/>
          <w:sz w:val="18"/>
        </w:rPr>
        <w:t>Results of Operations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2023 and 2022, and our financial condition as of March 31, 2023 and December 31, 2022, are not necessarily indicative of the results of operations and financial condition to be expected as of or for any other period or for the entire year.</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Segment information does not include inter-company eliminations and all amounts are presented on a pre-tax basis unless otherwise indicated. Minor differences in amounts may result due to rounding.</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26</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17" w:name="mda_consol_summary"/>
      <w:bookmarkEnd w:id="17"/>
      <w:r>
        <w:rPr>
          <w:rFonts w:ascii="Arial;sans-serif" w:hAnsi="Arial;sans-serif"/>
          <w:b/>
          <w:sz w:val="18"/>
        </w:rPr>
        <w:t>Consolidated Summary and Overview</w:t>
      </w:r>
    </w:p>
    <w:p>
      <w:pPr>
        <w:pStyle w:val="TextBody"/>
        <w:spacing w:before="0" w:after="0"/>
        <w:jc w:val="left"/>
        <w:rPr/>
      </w:pPr>
      <w:r>
        <w:rPr/>
        <w:t> </w:t>
      </w:r>
    </w:p>
    <w:tbl>
      <w:tblPr>
        <w:tblW w:w="7970" w:type="dxa"/>
        <w:jc w:val="left"/>
        <w:tblInd w:w="0" w:type="dxa"/>
        <w:tblCellMar>
          <w:top w:w="28" w:type="dxa"/>
          <w:left w:w="28" w:type="dxa"/>
          <w:bottom w:w="28" w:type="dxa"/>
          <w:right w:w="28" w:type="dxa"/>
        </w:tblCellMar>
      </w:tblPr>
      <w:tblGrid>
        <w:gridCol w:w="4201"/>
        <w:gridCol w:w="341"/>
        <w:gridCol w:w="1264"/>
        <w:gridCol w:w="268"/>
        <w:gridCol w:w="341"/>
        <w:gridCol w:w="1264"/>
        <w:gridCol w:w="291"/>
      </w:tblGrid>
      <w:tr>
        <w:trPr/>
        <w:tc>
          <w:tcPr>
            <w:tcW w:w="420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201" w:type="dxa"/>
            <w:tcBorders/>
            <w:shd w:fill="auto" w:val="clear"/>
            <w:vAlign w:val="center"/>
          </w:tcPr>
          <w:p>
            <w:pPr>
              <w:pStyle w:val="TableContents"/>
              <w:spacing w:before="0" w:after="0"/>
              <w:ind w:left="0" w:right="0" w:hanging="0"/>
              <w:jc w:val="left"/>
              <w:rPr/>
            </w:pPr>
            <w:r>
              <w:rPr/>
              <w:t> </w:t>
            </w:r>
          </w:p>
        </w:tc>
        <w:tc>
          <w:tcPr>
            <w:tcW w:w="3478"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pPr>
            <w:r>
              <w:rPr/>
              <w:t> </w:t>
            </w:r>
          </w:p>
        </w:tc>
        <w:tc>
          <w:tcPr>
            <w:tcW w:w="3478"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 except per share amounts)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 (loss):</w:t>
            </w:r>
          </w:p>
        </w:tc>
        <w:tc>
          <w:tcPr>
            <w:tcW w:w="1605" w:type="dxa"/>
            <w:gridSpan w:val="2"/>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420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Utilities</w:t>
            </w:r>
          </w:p>
        </w:tc>
        <w:tc>
          <w:tcPr>
            <w:tcW w:w="3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61,060</w:t>
            </w:r>
          </w:p>
        </w:tc>
        <w:tc>
          <w:tcPr>
            <w:tcW w:w="268"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50,746</w:t>
            </w:r>
          </w:p>
        </w:tc>
        <w:tc>
          <w:tcPr>
            <w:tcW w:w="291" w:type="dxa"/>
            <w:tcBorders/>
            <w:shd w:fill="auto" w:val="clear"/>
            <w:vAlign w:val="center"/>
          </w:tcPr>
          <w:p>
            <w:pPr>
              <w:pStyle w:val="TableContents"/>
              <w:spacing w:before="0" w:after="0"/>
              <w:ind w:left="0" w:right="0" w:firstLine="100"/>
              <w:jc w:val="left"/>
              <w:rPr/>
            </w:pPr>
            <w:r>
              <w:rPr/>
              <w:t> </w:t>
            </w:r>
          </w:p>
        </w:tc>
      </w:tr>
      <w:tr>
        <w:trPr/>
        <w:tc>
          <w:tcPr>
            <w:tcW w:w="420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Gas Utilities</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114,625</w:t>
            </w:r>
          </w:p>
        </w:tc>
        <w:tc>
          <w:tcPr>
            <w:tcW w:w="268"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123,540</w:t>
            </w:r>
          </w:p>
        </w:tc>
        <w:tc>
          <w:tcPr>
            <w:tcW w:w="291" w:type="dxa"/>
            <w:tcBorders/>
            <w:shd w:fill="auto" w:val="clear"/>
            <w:vAlign w:val="center"/>
          </w:tcPr>
          <w:p>
            <w:pPr>
              <w:pStyle w:val="TableContents"/>
              <w:spacing w:before="0" w:after="0"/>
              <w:ind w:left="0" w:right="0" w:firstLine="100"/>
              <w:jc w:val="left"/>
              <w:rPr/>
            </w:pPr>
            <w:r>
              <w:rPr/>
              <w:t> </w:t>
            </w:r>
          </w:p>
        </w:tc>
      </w:tr>
      <w:tr>
        <w:trPr/>
        <w:tc>
          <w:tcPr>
            <w:tcW w:w="420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Corporate and Other</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(802</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174,883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173,353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283"/>
              <w:ind w:left="0" w:right="0" w:hanging="0"/>
              <w:rPr>
                <w:sz w:val="4"/>
                <w:szCs w:val="4"/>
              </w:rPr>
            </w:pPr>
            <w:r>
              <w:rPr>
                <w:sz w:val="4"/>
                <w:szCs w:val="4"/>
              </w:rPr>
            </w:r>
          </w:p>
        </w:tc>
        <w:tc>
          <w:tcPr>
            <w:tcW w:w="1605" w:type="dxa"/>
            <w:gridSpan w:val="2"/>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 net</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(43,504</w:t>
            </w:r>
          </w:p>
        </w:tc>
        <w:tc>
          <w:tcPr>
            <w:tcW w:w="26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(38,545</w:t>
            </w:r>
          </w:p>
        </w:tc>
        <w:tc>
          <w:tcPr>
            <w:tcW w:w="2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net</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w:t>
            </w:r>
          </w:p>
        </w:tc>
        <w:tc>
          <w:tcPr>
            <w:tcW w:w="268"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704</w:t>
            </w:r>
          </w:p>
        </w:tc>
        <w:tc>
          <w:tcPr>
            <w:tcW w:w="2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(14,673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(14,488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117,380</w:t>
            </w:r>
          </w:p>
        </w:tc>
        <w:tc>
          <w:tcPr>
            <w:tcW w:w="268" w:type="dxa"/>
            <w:tcBorders/>
            <w:shd w:fill="auto" w:val="clear"/>
            <w:vAlign w:val="center"/>
          </w:tcPr>
          <w:p>
            <w:pPr>
              <w:pStyle w:val="TableContents"/>
              <w:spacing w:before="0" w:after="0"/>
              <w:ind w:left="0" w:right="0" w:hanging="0"/>
              <w:jc w:val="left"/>
              <w:rPr/>
            </w:pPr>
            <w:r>
              <w:rPr/>
              <w:t> </w:t>
            </w:r>
          </w:p>
        </w:tc>
        <w:tc>
          <w:tcPr>
            <w:tcW w:w="341"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121,024</w:t>
            </w:r>
          </w:p>
        </w:tc>
        <w:tc>
          <w:tcPr>
            <w:tcW w:w="2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attributable to non-controlling interest</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(3,296</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(3,498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income available for common stock</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114,084</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117,526</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283"/>
              <w:ind w:left="0" w:right="0" w:hanging="0"/>
              <w:rPr>
                <w:sz w:val="4"/>
                <w:szCs w:val="4"/>
              </w:rPr>
            </w:pPr>
            <w:r>
              <w:rPr>
                <w:sz w:val="4"/>
                <w:szCs w:val="4"/>
              </w:rPr>
            </w:r>
          </w:p>
        </w:tc>
        <w:tc>
          <w:tcPr>
            <w:tcW w:w="1605" w:type="dxa"/>
            <w:gridSpan w:val="2"/>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420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earnings per share of common stock, Diluted</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1.73</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variance to the prior year included the following:</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Electric Utilities’ operating income increased $10 million primarily due to a one-time gain on the planned sale of Northern Iowa Windpower assets, new rates and rider recovery, and increased transmission services and off-system excess energy sales partially offset by higher generation-related expenses and employee costs;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Gas Utilities’ operating income decreased $8.9 million primarily due higher operating expenses and unfavorable mark-to-market adjustments on wholesale commodity contracts partially offset by new rates and rider recovery and retail customer growth and demand.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Interest expense increased $5.0 million due to higher interest rates;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Segment Operating Results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 discussion of operating results from our business segments follows.</w:t>
      </w:r>
    </w:p>
    <w:p>
      <w:pPr>
        <w:pStyle w:val="TextBody"/>
        <w:spacing w:before="0" w:after="0"/>
        <w:jc w:val="left"/>
        <w:rPr/>
      </w:pPr>
      <w:r>
        <w:rPr/>
        <w:t> </w:t>
      </w:r>
    </w:p>
    <w:p>
      <w:pPr>
        <w:pStyle w:val="TextBody"/>
        <w:spacing w:before="0" w:after="0"/>
        <w:jc w:val="left"/>
        <w:rPr>
          <w:rFonts w:ascii="Arial;sans-serif" w:hAnsi="Arial;sans-serif"/>
          <w:b/>
          <w:i/>
          <w:sz w:val="18"/>
        </w:rPr>
      </w:pPr>
      <w:bookmarkStart w:id="18" w:name="mda_non_gaap_fin_measures"/>
      <w:bookmarkEnd w:id="18"/>
      <w:r>
        <w:rPr>
          <w:rFonts w:ascii="Arial;sans-serif" w:hAnsi="Arial;sans-serif"/>
          <w:b/>
          <w:i/>
          <w:sz w:val="18"/>
        </w:rPr>
        <w:t>Non-GAAP Financial Measures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27</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19" w:name="mda_electric"/>
      <w:bookmarkEnd w:id="19"/>
      <w:r>
        <w:rPr>
          <w:rFonts w:ascii="Arial;sans-serif" w:hAnsi="Arial;sans-serif"/>
          <w:b/>
          <w:sz w:val="18"/>
        </w:rPr>
        <w:t>Electric Utilities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Operating results for the Electric Utilities were as follows (in thousands):</w:t>
      </w:r>
    </w:p>
    <w:p>
      <w:pPr>
        <w:pStyle w:val="TextBody"/>
        <w:spacing w:before="0" w:after="0"/>
        <w:jc w:val="left"/>
        <w:rPr/>
      </w:pPr>
      <w:r>
        <w:rPr/>
        <w:t> </w:t>
      </w:r>
    </w:p>
    <w:tbl>
      <w:tblPr>
        <w:tblW w:w="6845" w:type="dxa"/>
        <w:jc w:val="left"/>
        <w:tblInd w:w="0" w:type="dxa"/>
        <w:tblCellMar>
          <w:top w:w="28" w:type="dxa"/>
          <w:left w:w="28" w:type="dxa"/>
          <w:bottom w:w="28" w:type="dxa"/>
          <w:right w:w="28" w:type="dxa"/>
        </w:tblCellMar>
      </w:tblPr>
      <w:tblGrid>
        <w:gridCol w:w="3271"/>
        <w:gridCol w:w="211"/>
        <w:gridCol w:w="781"/>
        <w:gridCol w:w="146"/>
        <w:gridCol w:w="211"/>
        <w:gridCol w:w="781"/>
        <w:gridCol w:w="146"/>
        <w:gridCol w:w="211"/>
        <w:gridCol w:w="676"/>
        <w:gridCol w:w="411"/>
      </w:tblGrid>
      <w:tr>
        <w:trPr/>
        <w:tc>
          <w:tcPr>
            <w:tcW w:w="3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3163"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411" w:type="dxa"/>
            <w:tcBorders/>
            <w:shd w:fill="auto" w:val="cle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 regulated</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206,702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195,725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10,977</w:t>
            </w:r>
          </w:p>
        </w:tc>
        <w:tc>
          <w:tcPr>
            <w:tcW w:w="4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 non-regulated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1,194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revenue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218,709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12,171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 of fuel and purchased power:</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Electric - regulated</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54,650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51,479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3,171</w:t>
            </w:r>
          </w:p>
        </w:tc>
        <w:tc>
          <w:tcPr>
            <w:tcW w:w="4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 non-regulated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32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cost of fuel and purchased power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55,416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52,410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3,006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Electric Utility margin (non-GAAP)</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163,293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154,128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9,165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Operations and maintenance</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67,154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69,669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(2,515</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Depreciation and amortization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35,079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33,713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1,366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operating expenses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102,233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103,382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61,060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50,746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10,314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Electric Utility margin</w:t>
      </w:r>
      <w:r>
        <w:rPr>
          <w:rFonts w:ascii="Times New Roman" w:hAnsi="Times New Roman"/>
          <w:sz w:val="20"/>
        </w:rPr>
        <w:t xml:space="preserve"> </w:t>
      </w:r>
      <w:r>
        <w:rPr>
          <w:rFonts w:ascii="Arial;sans-serif" w:hAnsi="Arial;sans-serif"/>
          <w:b w:val="false"/>
          <w:sz w:val="18"/>
        </w:rPr>
        <w:t>increased as a result of the following:</w:t>
      </w:r>
    </w:p>
    <w:p>
      <w:pPr>
        <w:pStyle w:val="TextBody"/>
        <w:spacing w:before="0" w:after="0"/>
        <w:jc w:val="left"/>
        <w:rPr/>
      </w:pPr>
      <w:r>
        <w:rPr/>
        <w:t> </w:t>
      </w:r>
    </w:p>
    <w:tbl>
      <w:tblPr>
        <w:tblW w:w="6137" w:type="dxa"/>
        <w:jc w:val="left"/>
        <w:tblInd w:w="0" w:type="dxa"/>
        <w:tblCellMar>
          <w:top w:w="28" w:type="dxa"/>
          <w:left w:w="28" w:type="dxa"/>
          <w:bottom w:w="28" w:type="dxa"/>
          <w:right w:w="28" w:type="dxa"/>
        </w:tblCellMar>
      </w:tblPr>
      <w:tblGrid>
        <w:gridCol w:w="4876"/>
        <w:gridCol w:w="349"/>
        <w:gridCol w:w="701"/>
        <w:gridCol w:w="211"/>
      </w:tblGrid>
      <w:tr>
        <w:trPr/>
        <w:tc>
          <w:tcPr>
            <w:tcW w:w="487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7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millions)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New rates and rider recovery</w:t>
            </w:r>
          </w:p>
        </w:tc>
        <w:tc>
          <w:tcPr>
            <w:tcW w:w="3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Transmission services and off-system excess energy sales</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Integrated Generation </w:t>
            </w:r>
            <w:r>
              <w:rPr>
                <w:rFonts w:ascii="Arial;sans-serif" w:hAnsi="Arial;sans-serif"/>
                <w:b w:val="false"/>
                <w:sz w:val="12"/>
              </w:rPr>
              <w:t>(a)</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876" w:type="dxa"/>
            <w:tcBorders/>
            <w:shd w:fill="auto" w:val="clear"/>
            <w:vAlign w:val="center"/>
          </w:tcPr>
          <w:p>
            <w:pPr>
              <w:pStyle w:val="TableContents"/>
              <w:spacing w:before="0" w:after="283"/>
              <w:ind w:left="0" w:right="0" w:hanging="0"/>
              <w:rPr>
                <w:sz w:val="4"/>
                <w:szCs w:val="4"/>
              </w:rPr>
            </w:pPr>
            <w:r>
              <w:rPr>
                <w:sz w:val="4"/>
                <w:szCs w:val="4"/>
              </w:rPr>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283"/>
        <w:jc w:val="left"/>
        <w:rPr>
          <w:rFonts w:ascii="Arial;sans-serif" w:hAnsi="Arial;sans-serif"/>
          <w:b w:val="false"/>
          <w:sz w:val="16"/>
        </w:rPr>
      </w:pPr>
      <w:r>
        <w:rPr>
          <w:rFonts w:ascii="Arial;sans-serif" w:hAnsi="Arial;sans-serif"/>
          <w:b w:val="false"/>
          <w:sz w:val="16"/>
        </w:rPr>
        <w:t>Primarily driven by favorable mining contract pricing.</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Operations and maintenance expense</w:t>
      </w:r>
      <w:r>
        <w:rPr>
          <w:rFonts w:ascii="Times New Roman" w:hAnsi="Times New Roman"/>
          <w:sz w:val="20"/>
        </w:rPr>
        <w:t xml:space="preserve"> </w:t>
      </w:r>
      <w:r>
        <w:rPr>
          <w:rFonts w:ascii="Arial;sans-serif" w:hAnsi="Arial;sans-serif"/>
          <w:b w:val="false"/>
          <w:sz w:val="18"/>
        </w:rPr>
        <w:t>decreased primarily due to a one-time $7.7 million gain on the planned sale of Northern Iowa Windpower assets partially offset by $2.9 million of higher employee-related expenses and $2.9 million of higher Integrated Generation expenses driven by a planned outage and higher fuel and materials costs.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Depreciation and amortization</w:t>
      </w:r>
      <w:r>
        <w:rPr>
          <w:rFonts w:ascii="Times New Roman" w:hAnsi="Times New Roman"/>
          <w:sz w:val="20"/>
        </w:rPr>
        <w:t xml:space="preserve"> </w:t>
      </w:r>
      <w:r>
        <w:rPr>
          <w:rFonts w:ascii="Arial;sans-serif" w:hAnsi="Arial;sans-serif"/>
          <w:b w:val="false"/>
          <w:sz w:val="18"/>
        </w:rPr>
        <w:t>increased primarily due to a higher asset base driven by prior year capital expenditures.</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28</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Operating Statistics</w:t>
      </w:r>
    </w:p>
    <w:p>
      <w:pPr>
        <w:pStyle w:val="TextBody"/>
        <w:spacing w:before="0" w:after="0"/>
        <w:jc w:val="left"/>
        <w:rPr/>
      </w:pPr>
      <w:r>
        <w:rPr/>
        <w:t> </w:t>
      </w:r>
    </w:p>
    <w:tbl>
      <w:tblPr>
        <w:tblW w:w="9296" w:type="dxa"/>
        <w:jc w:val="left"/>
        <w:tblInd w:w="0" w:type="dxa"/>
        <w:tblCellMar>
          <w:top w:w="28" w:type="dxa"/>
          <w:left w:w="28" w:type="dxa"/>
          <w:bottom w:w="28" w:type="dxa"/>
          <w:right w:w="28" w:type="dxa"/>
        </w:tblCellMar>
      </w:tblPr>
      <w:tblGrid>
        <w:gridCol w:w="3421"/>
        <w:gridCol w:w="264"/>
        <w:gridCol w:w="979"/>
        <w:gridCol w:w="183"/>
        <w:gridCol w:w="264"/>
        <w:gridCol w:w="979"/>
        <w:gridCol w:w="146"/>
        <w:gridCol w:w="169"/>
        <w:gridCol w:w="1081"/>
        <w:gridCol w:w="169"/>
        <w:gridCol w:w="169"/>
        <w:gridCol w:w="1081"/>
        <w:gridCol w:w="391"/>
      </w:tblGrid>
      <w:tr>
        <w:trPr/>
        <w:tc>
          <w:tcPr>
            <w:tcW w:w="342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left"/>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Quantities Sold (MWh)</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3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Residential</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59,798</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62,249</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393,870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391,582</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Commercial</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62,072</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64,353</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510,790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490,418</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Industrial</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38,948</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35,408</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455,942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463,768</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Municipal</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4,267</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35,766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35,305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Subtotal Retail Revenue - Electric</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165,085</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166,585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1,396,368</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1,381,073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Contract Wholesale</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5,404</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5,923</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144,791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182,207</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Off-system/Power Marketing Wholesale</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16,124</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7,154</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256,856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160,441</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Other </w:t>
            </w:r>
            <w:r>
              <w:rPr>
                <w:rFonts w:ascii="Arial;sans-serif" w:hAnsi="Arial;sans-serif"/>
                <w:b w:val="false"/>
                <w:sz w:val="12"/>
              </w:rPr>
              <w:t>(a)</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20,089</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Regulated</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206,702</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195,725</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1,798,015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1,723,721</w:t>
            </w:r>
          </w:p>
        </w:tc>
        <w:tc>
          <w:tcPr>
            <w:tcW w:w="391" w:type="dxa"/>
            <w:tcBorders/>
            <w:shd w:fill="auto" w:val="cle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Non-Regulated </w:t>
            </w:r>
            <w:r>
              <w:rPr>
                <w:rFonts w:ascii="Arial;sans-serif" w:hAnsi="Arial;sans-serif"/>
                <w:b w:val="false"/>
                <w:sz w:val="12"/>
              </w:rPr>
              <w:t>(b)</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12,007</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54,346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89,094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42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Total Revenue and Quantities Sold</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218,709</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1,852,361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1,812,815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Other Uses, Losses or Generation, net </w:t>
            </w:r>
            <w:r>
              <w:rPr>
                <w:rFonts w:ascii="Arial;sans-serif" w:hAnsi="Arial;sans-serif"/>
                <w:b w:val="false"/>
                <w:sz w:val="12"/>
              </w:rPr>
              <w:t>(c)</w:t>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138,305</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113,286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Energy</w:t>
            </w:r>
          </w:p>
        </w:tc>
        <w:tc>
          <w:tcPr>
            <w:tcW w:w="1243" w:type="dxa"/>
            <w:gridSpan w:val="2"/>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243"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1,990,666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1,926,101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0"/>
        <w:jc w:val="left"/>
        <w:rPr>
          <w:rFonts w:ascii="Arial;sans-serif" w:hAnsi="Arial;sans-serif"/>
          <w:b w:val="false"/>
          <w:sz w:val="16"/>
        </w:rPr>
      </w:pPr>
      <w:r>
        <w:rPr>
          <w:rFonts w:ascii="Arial;sans-serif" w:hAnsi="Arial;sans-serif"/>
          <w:b w:val="false"/>
          <w:sz w:val="16"/>
        </w:rPr>
        <w:t>Primarily related to transmission revenues from the Common Use System.</w:t>
      </w:r>
    </w:p>
    <w:p>
      <w:pPr>
        <w:pStyle w:val="TextBody"/>
        <w:spacing w:before="0" w:after="0"/>
        <w:jc w:val="left"/>
        <w:rPr>
          <w:rFonts w:ascii="Arial" w:hAnsi="Arial"/>
          <w:b w:val="false"/>
          <w:sz w:val="16"/>
        </w:rPr>
      </w:pPr>
      <w:r>
        <w:rPr>
          <w:rFonts w:ascii="Arial" w:hAnsi="Arial"/>
          <w:b w:val="false"/>
          <w:sz w:val="16"/>
        </w:rPr>
        <w:t>(b)</w:t>
      </w:r>
    </w:p>
    <w:p>
      <w:pPr>
        <w:pStyle w:val="TextBody"/>
        <w:spacing w:before="0" w:after="0"/>
        <w:jc w:val="left"/>
        <w:rPr>
          <w:rFonts w:ascii="Arial;sans-serif" w:hAnsi="Arial;sans-serif"/>
          <w:b w:val="false"/>
          <w:sz w:val="16"/>
        </w:rPr>
      </w:pPr>
      <w:r>
        <w:rPr>
          <w:rFonts w:ascii="Arial;sans-serif" w:hAnsi="Arial;sans-serif"/>
          <w:b w:val="false"/>
          <w:sz w:val="16"/>
        </w:rPr>
        <w:t>Includes Integrated Generation and non-regulated services to our retail customers under the Service Guard Comfort Plan and Tech Services.</w:t>
      </w:r>
    </w:p>
    <w:p>
      <w:pPr>
        <w:pStyle w:val="TextBody"/>
        <w:spacing w:before="0" w:after="0"/>
        <w:jc w:val="left"/>
        <w:rPr>
          <w:rFonts w:ascii="Arial" w:hAnsi="Arial"/>
          <w:b w:val="false"/>
          <w:sz w:val="16"/>
        </w:rPr>
      </w:pPr>
      <w:r>
        <w:rPr>
          <w:rFonts w:ascii="Arial" w:hAnsi="Arial"/>
          <w:b w:val="false"/>
          <w:sz w:val="16"/>
        </w:rPr>
        <w:t>(c)</w:t>
      </w:r>
    </w:p>
    <w:p>
      <w:pPr>
        <w:pStyle w:val="TextBody"/>
        <w:jc w:val="left"/>
        <w:rPr>
          <w:rFonts w:ascii="Arial;sans-serif" w:hAnsi="Arial;sans-serif"/>
          <w:b w:val="false"/>
          <w:sz w:val="16"/>
        </w:rPr>
      </w:pPr>
      <w:r>
        <w:rPr>
          <w:rFonts w:ascii="Arial;sans-serif" w:hAnsi="Arial;sans-serif"/>
          <w:b w:val="false"/>
          <w:sz w:val="16"/>
        </w:rPr>
        <w:t>Includes company uses and line losses.</w:t>
      </w:r>
    </w:p>
    <w:p>
      <w:pPr>
        <w:pStyle w:val="TextBody"/>
        <w:spacing w:before="0" w:after="0"/>
        <w:jc w:val="left"/>
        <w:rPr/>
      </w:pPr>
      <w:r>
        <w:rPr/>
        <w:t> </w:t>
      </w:r>
    </w:p>
    <w:tbl>
      <w:tblPr>
        <w:tblW w:w="8846" w:type="dxa"/>
        <w:jc w:val="left"/>
        <w:tblInd w:w="0" w:type="dxa"/>
        <w:tblCellMar>
          <w:top w:w="28" w:type="dxa"/>
          <w:left w:w="28" w:type="dxa"/>
          <w:bottom w:w="28" w:type="dxa"/>
          <w:right w:w="28" w:type="dxa"/>
        </w:tblCellMar>
      </w:tblPr>
      <w:tblGrid>
        <w:gridCol w:w="2971"/>
        <w:gridCol w:w="264"/>
        <w:gridCol w:w="979"/>
        <w:gridCol w:w="183"/>
        <w:gridCol w:w="264"/>
        <w:gridCol w:w="979"/>
        <w:gridCol w:w="146"/>
        <w:gridCol w:w="169"/>
        <w:gridCol w:w="1081"/>
        <w:gridCol w:w="169"/>
        <w:gridCol w:w="169"/>
        <w:gridCol w:w="1081"/>
        <w:gridCol w:w="391"/>
      </w:tblGrid>
      <w:tr>
        <w:trPr/>
        <w:tc>
          <w:tcPr>
            <w:tcW w:w="297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Quantities Sold (MWh)</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2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Electric</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73,795</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75,445</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604,543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619,588</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South Dakota Electric</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86,614</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78,597</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708,821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644,223</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Electric</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46,671</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42,089</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484,651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459,910</w:t>
            </w:r>
          </w:p>
        </w:tc>
        <w:tc>
          <w:tcPr>
            <w:tcW w:w="3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Integrated Generation</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11,629</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54,346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89,094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7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Revenue and Quantities Sold</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218,709</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206,538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1,852,361</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1,812,815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891" w:type="dxa"/>
        <w:jc w:val="left"/>
        <w:tblInd w:w="0" w:type="dxa"/>
        <w:tblCellMar>
          <w:top w:w="28" w:type="dxa"/>
          <w:left w:w="28" w:type="dxa"/>
          <w:bottom w:w="28" w:type="dxa"/>
          <w:right w:w="28" w:type="dxa"/>
        </w:tblCellMar>
      </w:tblPr>
      <w:tblGrid>
        <w:gridCol w:w="4831"/>
        <w:gridCol w:w="169"/>
        <w:gridCol w:w="1081"/>
        <w:gridCol w:w="169"/>
        <w:gridCol w:w="169"/>
        <w:gridCol w:w="1081"/>
        <w:gridCol w:w="391"/>
      </w:tblGrid>
      <w:tr>
        <w:trPr/>
        <w:tc>
          <w:tcPr>
            <w:tcW w:w="483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831"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48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Quantities Generated and Purchased by Fuel Type (MWh)</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Generated:</w:t>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Coal</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674,947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663,438</w:t>
            </w:r>
          </w:p>
        </w:tc>
        <w:tc>
          <w:tcPr>
            <w:tcW w:w="391" w:type="dxa"/>
            <w:tcBorders/>
            <w:shd w:fill="auto" w:val="clear"/>
            <w:vAlign w:val="center"/>
          </w:tcPr>
          <w:p>
            <w:pPr>
              <w:pStyle w:val="TableContents"/>
              <w:spacing w:before="0" w:after="0"/>
              <w:ind w:left="0" w:right="0" w:firstLine="100"/>
              <w:jc w:val="left"/>
              <w:rPr/>
            </w:pPr>
            <w:r>
              <w:rPr/>
              <w:t> </w:t>
            </w:r>
          </w:p>
        </w:tc>
      </w:tr>
      <w:tr>
        <w:trPr/>
        <w:tc>
          <w:tcPr>
            <w:tcW w:w="4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Natural Gas and Oil</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501,066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296,422</w:t>
            </w:r>
          </w:p>
        </w:tc>
        <w:tc>
          <w:tcPr>
            <w:tcW w:w="391" w:type="dxa"/>
            <w:tcBorders/>
            <w:shd w:fill="auto" w:val="clear"/>
            <w:vAlign w:val="center"/>
          </w:tcPr>
          <w:p>
            <w:pPr>
              <w:pStyle w:val="TableContents"/>
              <w:spacing w:before="0" w:after="0"/>
              <w:ind w:left="0" w:right="0" w:firstLine="100"/>
              <w:jc w:val="left"/>
              <w:rPr/>
            </w:pPr>
            <w:r>
              <w:rPr/>
              <w:t> </w:t>
            </w:r>
          </w:p>
        </w:tc>
      </w:tr>
      <w:tr>
        <w:trPr/>
        <w:tc>
          <w:tcPr>
            <w:tcW w:w="4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Wind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230,724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253,568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Generated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1,406,737</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1,213,428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Purchased:</w:t>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Coal, Natural Gas, Oil and Other Market Purchases</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489,816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588,160</w:t>
            </w:r>
          </w:p>
        </w:tc>
        <w:tc>
          <w:tcPr>
            <w:tcW w:w="391" w:type="dxa"/>
            <w:tcBorders/>
            <w:shd w:fill="auto" w:val="clear"/>
            <w:vAlign w:val="center"/>
          </w:tcPr>
          <w:p>
            <w:pPr>
              <w:pStyle w:val="TableContents"/>
              <w:spacing w:before="0" w:after="0"/>
              <w:ind w:left="0" w:right="0" w:firstLine="100"/>
              <w:jc w:val="left"/>
              <w:rPr/>
            </w:pPr>
            <w:r>
              <w:rPr/>
              <w:t> </w:t>
            </w:r>
          </w:p>
        </w:tc>
      </w:tr>
      <w:tr>
        <w:trPr/>
        <w:tc>
          <w:tcPr>
            <w:tcW w:w="483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Wind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94,113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124,513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83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Purchased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583,929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712,673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283"/>
              <w:ind w:left="0" w:right="0" w:hanging="0"/>
              <w:rPr>
                <w:sz w:val="4"/>
                <w:szCs w:val="4"/>
              </w:rPr>
            </w:pPr>
            <w:r>
              <w:rPr>
                <w:sz w:val="4"/>
                <w:szCs w:val="4"/>
              </w:rPr>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8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Generated and Purchased</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1,990,666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1,926,101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6796" w:type="dxa"/>
        <w:jc w:val="left"/>
        <w:tblInd w:w="0" w:type="dxa"/>
        <w:tblCellMar>
          <w:top w:w="28" w:type="dxa"/>
          <w:left w:w="28" w:type="dxa"/>
          <w:bottom w:w="28" w:type="dxa"/>
          <w:right w:w="28" w:type="dxa"/>
        </w:tblCellMar>
      </w:tblPr>
      <w:tblGrid>
        <w:gridCol w:w="3736"/>
        <w:gridCol w:w="169"/>
        <w:gridCol w:w="1081"/>
        <w:gridCol w:w="169"/>
        <w:gridCol w:w="169"/>
        <w:gridCol w:w="1081"/>
        <w:gridCol w:w="391"/>
      </w:tblGrid>
      <w:tr>
        <w:trPr/>
        <w:tc>
          <w:tcPr>
            <w:tcW w:w="373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3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Quantities Generated and Purchased (MWh)</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Generated:</w:t>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Colorado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160,201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85,431</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South Dakota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564,044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455,605</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Wyoming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230,562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204,598</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Integrated Generation</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451,930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467,794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3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Generated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1,406,737</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1,213,428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Purchased:</w:t>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Colorado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197,624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300,397</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South Dakota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156,972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197,063</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Wyoming Electric</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209,793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190,805</w:t>
            </w:r>
          </w:p>
        </w:tc>
        <w:tc>
          <w:tcPr>
            <w:tcW w:w="391" w:type="dxa"/>
            <w:tcBorders/>
            <w:shd w:fill="auto" w:val="clear"/>
            <w:vAlign w:val="center"/>
          </w:tcPr>
          <w:p>
            <w:pPr>
              <w:pStyle w:val="TableContents"/>
              <w:spacing w:before="0" w:after="0"/>
              <w:ind w:left="0" w:right="0" w:firstLine="100"/>
              <w:jc w:val="left"/>
              <w:rPr/>
            </w:pPr>
            <w:r>
              <w:rPr/>
              <w:t> </w:t>
            </w:r>
          </w:p>
        </w:tc>
      </w:tr>
      <w:tr>
        <w:trPr/>
        <w:tc>
          <w:tcPr>
            <w:tcW w:w="37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Integrated Generation</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19,540</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24,408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3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Purchased</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583,929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712,673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283"/>
              <w:ind w:left="0" w:right="0" w:hanging="0"/>
              <w:rPr>
                <w:sz w:val="4"/>
                <w:szCs w:val="4"/>
              </w:rPr>
            </w:pPr>
            <w:r>
              <w:rPr>
                <w:sz w:val="4"/>
                <w:szCs w:val="4"/>
              </w:rPr>
            </w:r>
          </w:p>
        </w:tc>
        <w:tc>
          <w:tcPr>
            <w:tcW w:w="125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25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Generated and Purchased</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1,990,666</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1,926,101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29</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6995" w:type="dxa"/>
        <w:jc w:val="left"/>
        <w:tblInd w:w="0" w:type="dxa"/>
        <w:tblCellMar>
          <w:top w:w="28" w:type="dxa"/>
          <w:left w:w="28" w:type="dxa"/>
          <w:bottom w:w="28" w:type="dxa"/>
          <w:right w:w="28" w:type="dxa"/>
        </w:tblCellMar>
      </w:tblPr>
      <w:tblGrid>
        <w:gridCol w:w="1936"/>
        <w:gridCol w:w="616"/>
        <w:gridCol w:w="1891"/>
        <w:gridCol w:w="616"/>
        <w:gridCol w:w="1936"/>
      </w:tblGrid>
      <w:tr>
        <w:trPr/>
        <w:tc>
          <w:tcPr>
            <w:tcW w:w="193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pPr>
            <w:r>
              <w:rPr/>
              <w:t> </w:t>
            </w:r>
          </w:p>
        </w:tc>
        <w:tc>
          <w:tcPr>
            <w:tcW w:w="5059" w:type="dxa"/>
            <w:gridSpan w:val="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r>
      <w:tr>
        <w:trPr/>
        <w:tc>
          <w:tcPr>
            <w:tcW w:w="1936" w:type="dxa"/>
            <w:tcBorders/>
            <w:shd w:fill="auto" w:val="clear"/>
            <w:vAlign w:val="center"/>
          </w:tcPr>
          <w:p>
            <w:pPr>
              <w:pStyle w:val="TableContents"/>
              <w:spacing w:before="0" w:after="0"/>
              <w:ind w:left="0" w:right="0" w:hanging="0"/>
              <w:jc w:val="left"/>
              <w:rPr/>
            </w:pPr>
            <w:r>
              <w:rPr/>
              <w:t> </w:t>
            </w:r>
          </w:p>
        </w:tc>
        <w:tc>
          <w:tcPr>
            <w:tcW w:w="25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r>
      <w:tr>
        <w:trPr/>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Degree Days</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Actual</w:t>
            </w:r>
          </w:p>
        </w:tc>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 from Normal</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Actual</w:t>
            </w:r>
          </w:p>
        </w:tc>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 from Normal</w:t>
            </w:r>
          </w:p>
        </w:tc>
      </w:tr>
      <w:tr>
        <w:trPr/>
        <w:tc>
          <w:tcPr>
            <w:tcW w:w="193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Heating Degree Days:</w:t>
            </w:r>
          </w:p>
        </w:tc>
        <w:tc>
          <w:tcPr>
            <w:tcW w:w="616" w:type="dxa"/>
            <w:tcBorders/>
            <w:shd w:fill="auto" w:val="clear"/>
            <w:vAlign w:val="center"/>
          </w:tcPr>
          <w:p>
            <w:pPr>
              <w:pStyle w:val="TableContents"/>
              <w:spacing w:before="0" w:after="0"/>
              <w:ind w:left="0" w:right="0" w:hanging="0"/>
              <w:jc w:val="left"/>
              <w:rPr/>
            </w:pPr>
            <w:r>
              <w:rPr/>
              <w:t> </w:t>
            </w:r>
          </w:p>
        </w:tc>
        <w:tc>
          <w:tcPr>
            <w:tcW w:w="1891"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left"/>
              <w:rPr/>
            </w:pPr>
            <w:r>
              <w:rPr/>
              <w:t> </w:t>
            </w:r>
          </w:p>
        </w:tc>
        <w:tc>
          <w:tcPr>
            <w:tcW w:w="1936" w:type="dxa"/>
            <w:tcBorders/>
            <w:shd w:fill="auto" w:val="clear"/>
            <w:vAlign w:val="center"/>
          </w:tcPr>
          <w:p>
            <w:pPr>
              <w:pStyle w:val="TableContents"/>
              <w:spacing w:before="0" w:after="0"/>
              <w:ind w:left="0" w:right="0" w:firstLine="100"/>
              <w:jc w:val="left"/>
              <w:rPr/>
            </w:pPr>
            <w:r>
              <w:rPr/>
              <w:t> </w:t>
            </w:r>
          </w:p>
        </w:tc>
      </w:tr>
      <w:tr>
        <w:trPr/>
        <w:tc>
          <w:tcPr>
            <w:tcW w:w="19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Colorado Electric</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2,751</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8%</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2,715</w:t>
            </w:r>
          </w:p>
        </w:tc>
        <w:tc>
          <w:tcPr>
            <w:tcW w:w="1936" w:type="dxa"/>
            <w:tcBorders/>
            <w:shd w:fill="auto" w:val="clear"/>
            <w:vAlign w:val="center"/>
          </w:tcPr>
          <w:p>
            <w:pPr>
              <w:pStyle w:val="TableContents"/>
              <w:spacing w:before="0" w:after="0"/>
              <w:ind w:left="0" w:right="0" w:firstLine="100"/>
              <w:jc w:val="center"/>
              <w:rPr>
                <w:rFonts w:ascii="Arial;sans-serif" w:hAnsi="Arial;sans-serif"/>
                <w:b w:val="false"/>
                <w:sz w:val="18"/>
              </w:rPr>
            </w:pPr>
            <w:r>
              <w:rPr>
                <w:rFonts w:ascii="Arial;sans-serif" w:hAnsi="Arial;sans-serif"/>
                <w:b w:val="false"/>
                <w:sz w:val="18"/>
              </w:rPr>
              <w:t>8%</w:t>
            </w:r>
          </w:p>
        </w:tc>
      </w:tr>
      <w:tr>
        <w:trPr/>
        <w:tc>
          <w:tcPr>
            <w:tcW w:w="19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South Dakota Electric</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3,446</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3,248</w:t>
            </w:r>
          </w:p>
        </w:tc>
        <w:tc>
          <w:tcPr>
            <w:tcW w:w="1936" w:type="dxa"/>
            <w:tcBorders/>
            <w:shd w:fill="auto" w:val="clear"/>
            <w:vAlign w:val="center"/>
          </w:tcPr>
          <w:p>
            <w:pPr>
              <w:pStyle w:val="TableContents"/>
              <w:spacing w:before="0" w:after="0"/>
              <w:ind w:left="0" w:right="0" w:firstLine="100"/>
              <w:jc w:val="center"/>
              <w:rPr>
                <w:rFonts w:ascii="Arial;sans-serif" w:hAnsi="Arial;sans-serif"/>
                <w:b w:val="false"/>
                <w:sz w:val="18"/>
              </w:rPr>
            </w:pPr>
            <w:r>
              <w:rPr>
                <w:rFonts w:ascii="Arial;sans-serif" w:hAnsi="Arial;sans-serif"/>
                <w:b w:val="false"/>
                <w:sz w:val="18"/>
              </w:rPr>
              <w:t>(1)%</w:t>
            </w:r>
          </w:p>
        </w:tc>
      </w:tr>
      <w:tr>
        <w:trPr/>
        <w:tc>
          <w:tcPr>
            <w:tcW w:w="193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Wyoming Electric</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3,301</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3,132</w:t>
            </w:r>
          </w:p>
        </w:tc>
        <w:tc>
          <w:tcPr>
            <w:tcW w:w="1936" w:type="dxa"/>
            <w:tcBorders/>
            <w:shd w:fill="auto" w:val="clear"/>
            <w:vAlign w:val="center"/>
          </w:tcPr>
          <w:p>
            <w:pPr>
              <w:pStyle w:val="TableContents"/>
              <w:spacing w:before="0" w:after="0"/>
              <w:ind w:left="0" w:right="0" w:firstLine="200"/>
              <w:jc w:val="center"/>
              <w:rPr>
                <w:rFonts w:ascii="Arial;sans-serif" w:hAnsi="Arial;sans-serif"/>
                <w:b w:val="false"/>
                <w:sz w:val="18"/>
              </w:rPr>
            </w:pPr>
            <w:r>
              <w:rPr>
                <w:rFonts w:ascii="Arial;sans-serif" w:hAnsi="Arial;sans-serif"/>
                <w:b w:val="false"/>
                <w:sz w:val="18"/>
              </w:rPr>
              <w:t>4%</w:t>
            </w:r>
          </w:p>
        </w:tc>
      </w:tr>
      <w:tr>
        <w:trPr/>
        <w:tc>
          <w:tcPr>
            <w:tcW w:w="1936" w:type="dxa"/>
            <w:tcBorders/>
            <w:shd w:fill="auto" w:val="clear"/>
            <w:vAlign w:val="center"/>
          </w:tcPr>
          <w:p>
            <w:pPr>
              <w:pStyle w:val="TableContents"/>
              <w:spacing w:before="0" w:after="0"/>
              <w:ind w:left="200" w:right="0" w:hanging="0"/>
              <w:jc w:val="left"/>
              <w:rPr>
                <w:rFonts w:ascii="Times New Roman" w:hAnsi="Times New Roman"/>
                <w:sz w:val="18"/>
              </w:rPr>
            </w:pPr>
            <w:r>
              <w:rPr>
                <w:rFonts w:ascii="Arial;sans-serif" w:hAnsi="Arial;sans-serif"/>
                <w:b w:val="false"/>
                <w:sz w:val="18"/>
              </w:rPr>
              <w:t xml:space="preserve">Combined </w:t>
            </w:r>
            <w:r>
              <w:rPr>
                <w:rFonts w:ascii="Arial;sans-serif" w:hAnsi="Arial;sans-serif"/>
                <w:b w:val="false"/>
                <w:sz w:val="12"/>
              </w:rPr>
              <w:t>(a)</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3,099</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7%</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2,981</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283"/>
        <w:jc w:val="left"/>
        <w:rPr>
          <w:rFonts w:ascii="Arial;sans-serif" w:hAnsi="Arial;sans-serif"/>
          <w:b w:val="false"/>
          <w:sz w:val="16"/>
        </w:rPr>
      </w:pPr>
      <w:r>
        <w:rPr>
          <w:rFonts w:ascii="Arial;sans-serif" w:hAnsi="Arial;sans-serif"/>
          <w:b w:val="false"/>
          <w:sz w:val="16"/>
        </w:rPr>
        <w:t>Degree days are calculated based on a weighted average of total customers by state.</w:t>
      </w:r>
    </w:p>
    <w:p>
      <w:pPr>
        <w:pStyle w:val="TextBody"/>
        <w:spacing w:before="0" w:after="0"/>
        <w:jc w:val="left"/>
        <w:rPr/>
      </w:pPr>
      <w:r>
        <w:rPr/>
        <w:t> </w:t>
      </w:r>
    </w:p>
    <w:tbl>
      <w:tblPr>
        <w:tblW w:w="7471" w:type="dxa"/>
        <w:jc w:val="left"/>
        <w:tblInd w:w="0" w:type="dxa"/>
        <w:tblCellMar>
          <w:top w:w="28" w:type="dxa"/>
          <w:left w:w="28" w:type="dxa"/>
          <w:bottom w:w="28" w:type="dxa"/>
          <w:right w:w="28" w:type="dxa"/>
        </w:tblCellMar>
      </w:tblPr>
      <w:tblGrid>
        <w:gridCol w:w="4756"/>
        <w:gridCol w:w="1311"/>
        <w:gridCol w:w="1404"/>
      </w:tblGrid>
      <w:tr>
        <w:trPr/>
        <w:tc>
          <w:tcPr>
            <w:tcW w:w="4756"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before="0" w:after="0"/>
              <w:ind w:left="0" w:right="0" w:hanging="0"/>
              <w:jc w:val="left"/>
              <w:rPr/>
            </w:pPr>
            <w:r>
              <w:rPr/>
              <w:t> </w:t>
            </w:r>
          </w:p>
        </w:tc>
        <w:tc>
          <w:tcPr>
            <w:tcW w:w="2715" w:type="dxa"/>
            <w:gridSpan w:val="2"/>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r>
      <w:tr>
        <w:trPr/>
        <w:tc>
          <w:tcPr>
            <w:tcW w:w="4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Contracted generating facilities Availability by fuel type </w:t>
            </w:r>
            <w:r>
              <w:rPr>
                <w:rFonts w:ascii="Arial;sans-serif" w:hAnsi="Arial;sans-serif"/>
                <w:b w:val="false"/>
                <w:sz w:val="12"/>
              </w:rPr>
              <w:t>(a)</w:t>
            </w:r>
          </w:p>
        </w:tc>
        <w:tc>
          <w:tcPr>
            <w:tcW w:w="1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Coal</w:t>
            </w:r>
          </w:p>
        </w:tc>
        <w:tc>
          <w:tcPr>
            <w:tcW w:w="13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92.7%</w:t>
            </w:r>
          </w:p>
        </w:tc>
        <w:tc>
          <w:tcPr>
            <w:tcW w:w="140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90.6%</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Natural gas and diesel oil</w:t>
            </w:r>
          </w:p>
        </w:tc>
        <w:tc>
          <w:tcPr>
            <w:tcW w:w="13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94.3%</w:t>
            </w:r>
          </w:p>
        </w:tc>
        <w:tc>
          <w:tcPr>
            <w:tcW w:w="140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95.3%</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Wind</w:t>
            </w:r>
          </w:p>
        </w:tc>
        <w:tc>
          <w:tcPr>
            <w:tcW w:w="13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92.5%</w:t>
            </w:r>
          </w:p>
        </w:tc>
        <w:tc>
          <w:tcPr>
            <w:tcW w:w="140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95.6%</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Total Availability</w:t>
            </w:r>
          </w:p>
        </w:tc>
        <w:tc>
          <w:tcPr>
            <w:tcW w:w="13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93.6%</w:t>
            </w:r>
          </w:p>
        </w:tc>
        <w:tc>
          <w:tcPr>
            <w:tcW w:w="140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94.1%</w:t>
            </w:r>
          </w:p>
        </w:tc>
      </w:tr>
      <w:tr>
        <w:trPr/>
        <w:tc>
          <w:tcPr>
            <w:tcW w:w="4756" w:type="dxa"/>
            <w:tcBorders/>
            <w:shd w:fill="auto" w:val="clear"/>
            <w:vAlign w:val="center"/>
          </w:tcPr>
          <w:p>
            <w:pPr>
              <w:pStyle w:val="TableContents"/>
              <w:spacing w:before="0" w:after="283"/>
              <w:ind w:left="0" w:right="0" w:hanging="0"/>
              <w:rPr>
                <w:sz w:val="4"/>
                <w:szCs w:val="4"/>
              </w:rPr>
            </w:pPr>
            <w:r>
              <w:rPr>
                <w:sz w:val="4"/>
                <w:szCs w:val="4"/>
              </w:rPr>
            </w:r>
          </w:p>
        </w:tc>
        <w:tc>
          <w:tcPr>
            <w:tcW w:w="1311" w:type="dxa"/>
            <w:tcBorders/>
            <w:shd w:fill="auto" w:val="clear"/>
            <w:vAlign w:val="center"/>
          </w:tcPr>
          <w:p>
            <w:pPr>
              <w:pStyle w:val="TableContents"/>
              <w:spacing w:before="0" w:after="0"/>
              <w:ind w:left="0" w:right="0" w:hanging="0"/>
              <w:jc w:val="center"/>
              <w:rPr/>
            </w:pPr>
            <w:r>
              <w:rPr/>
              <w:t> </w:t>
            </w:r>
          </w:p>
        </w:tc>
        <w:tc>
          <w:tcPr>
            <w:tcW w:w="1404" w:type="dxa"/>
            <w:tcBorders/>
            <w:shd w:fill="auto" w:val="cle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Wind Capacity Factor</w:t>
            </w:r>
          </w:p>
        </w:tc>
        <w:tc>
          <w:tcPr>
            <w:tcW w:w="13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48.1%</w:t>
            </w:r>
          </w:p>
        </w:tc>
        <w:tc>
          <w:tcPr>
            <w:tcW w:w="1404"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42.0%</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283"/>
        <w:jc w:val="left"/>
        <w:rPr>
          <w:rFonts w:ascii="Arial;sans-serif" w:hAnsi="Arial;sans-serif"/>
          <w:b w:val="false"/>
          <w:sz w:val="16"/>
        </w:rPr>
      </w:pPr>
      <w:r>
        <w:rPr>
          <w:rFonts w:ascii="Arial;sans-serif" w:hAnsi="Arial;sans-serif"/>
          <w:b w:val="false"/>
          <w:sz w:val="16"/>
        </w:rPr>
        <w:t>Availability and Wind Capacity Factor are calculated using a weighted average based on capacity of our generating fleet.</w:t>
      </w:r>
    </w:p>
    <w:p>
      <w:pPr>
        <w:pStyle w:val="TextBody"/>
        <w:spacing w:before="0" w:after="0"/>
        <w:jc w:val="left"/>
        <w:rPr/>
      </w:pPr>
      <w:r>
        <w:rPr/>
        <w:t> </w:t>
      </w:r>
    </w:p>
    <w:p>
      <w:pPr>
        <w:pStyle w:val="TextBody"/>
        <w:spacing w:before="0" w:after="0"/>
        <w:jc w:val="left"/>
        <w:rPr>
          <w:rFonts w:ascii="Arial;sans-serif" w:hAnsi="Arial;sans-serif"/>
          <w:b/>
          <w:sz w:val="18"/>
        </w:rPr>
      </w:pPr>
      <w:bookmarkStart w:id="20" w:name="mda_gas"/>
      <w:bookmarkEnd w:id="20"/>
      <w:r>
        <w:rPr>
          <w:rFonts w:ascii="Arial;sans-serif" w:hAnsi="Arial;sans-serif"/>
          <w:b/>
          <w:sz w:val="18"/>
        </w:rPr>
        <w:t>Gas Utilities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Operating results for the Gas Utilities were as follows (in thousands):</w:t>
      </w:r>
    </w:p>
    <w:p>
      <w:pPr>
        <w:pStyle w:val="TextBody"/>
        <w:spacing w:before="0" w:after="0"/>
        <w:jc w:val="left"/>
        <w:rPr/>
      </w:pPr>
      <w:r>
        <w:rPr/>
        <w:t> </w:t>
      </w:r>
    </w:p>
    <w:tbl>
      <w:tblPr>
        <w:tblW w:w="6170" w:type="dxa"/>
        <w:jc w:val="left"/>
        <w:tblInd w:w="0" w:type="dxa"/>
        <w:tblCellMar>
          <w:top w:w="28" w:type="dxa"/>
          <w:left w:w="28" w:type="dxa"/>
          <w:bottom w:w="28" w:type="dxa"/>
          <w:right w:w="28" w:type="dxa"/>
        </w:tblCellMar>
      </w:tblPr>
      <w:tblGrid>
        <w:gridCol w:w="2596"/>
        <w:gridCol w:w="211"/>
        <w:gridCol w:w="781"/>
        <w:gridCol w:w="146"/>
        <w:gridCol w:w="211"/>
        <w:gridCol w:w="781"/>
        <w:gridCol w:w="146"/>
        <w:gridCol w:w="211"/>
        <w:gridCol w:w="676"/>
        <w:gridCol w:w="411"/>
      </w:tblGrid>
      <w:tr>
        <w:trPr/>
        <w:tc>
          <w:tcPr>
            <w:tcW w:w="25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left"/>
              <w:rPr/>
            </w:pPr>
            <w:r>
              <w:rPr/>
              <w:t> </w:t>
            </w:r>
          </w:p>
        </w:tc>
        <w:tc>
          <w:tcPr>
            <w:tcW w:w="316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259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Natural gas - regulated</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674,773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596,458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78,315</w:t>
            </w:r>
          </w:p>
        </w:tc>
        <w:tc>
          <w:tcPr>
            <w:tcW w:w="411" w:type="dxa"/>
            <w:tcBorders/>
            <w:shd w:fill="auto" w:val="clear"/>
            <w:vAlign w:val="center"/>
          </w:tcPr>
          <w:p>
            <w:pPr>
              <w:pStyle w:val="TableContents"/>
              <w:spacing w:before="0" w:after="0"/>
              <w:ind w:left="0" w:right="0" w:firstLine="100"/>
              <w:jc w:val="left"/>
              <w:rPr/>
            </w:pPr>
            <w:r>
              <w:rPr/>
              <w:t> </w:t>
            </w:r>
          </w:p>
        </w:tc>
      </w:tr>
      <w:tr>
        <w:trPr/>
        <w:tc>
          <w:tcPr>
            <w:tcW w:w="259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 non-regulated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32,143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24,934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7,209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revenue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706,916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621,392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85,524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Cost of natural gas sold:</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100"/>
              <w:jc w:val="left"/>
              <w:rPr/>
            </w:pPr>
            <w:r>
              <w:rPr/>
              <w:t> </w:t>
            </w:r>
          </w:p>
        </w:tc>
      </w:tr>
      <w:tr>
        <w:trPr/>
        <w:tc>
          <w:tcPr>
            <w:tcW w:w="259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Natural gas - regulated</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454,107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383,712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70,395</w:t>
            </w:r>
          </w:p>
        </w:tc>
        <w:tc>
          <w:tcPr>
            <w:tcW w:w="411" w:type="dxa"/>
            <w:tcBorders/>
            <w:shd w:fill="auto" w:val="clear"/>
            <w:vAlign w:val="center"/>
          </w:tcPr>
          <w:p>
            <w:pPr>
              <w:pStyle w:val="TableContents"/>
              <w:spacing w:before="0" w:after="0"/>
              <w:ind w:left="0" w:right="0" w:firstLine="100"/>
              <w:jc w:val="left"/>
              <w:rPr/>
            </w:pPr>
            <w:r>
              <w:rPr/>
              <w:t> </w:t>
            </w:r>
          </w:p>
        </w:tc>
      </w:tr>
      <w:tr>
        <w:trPr/>
        <w:tc>
          <w:tcPr>
            <w:tcW w:w="2596"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Other - non-regulated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15,844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cost of natural gas sold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470,966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384,727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86,239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Gas Utility margin (non-GAAP)</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235,950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236,665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(715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596"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Operations and maintenance</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94,827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86,441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8,386</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Depreciation and amortization</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26,684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2596"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Total operating expenses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121,325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113,125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8,200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283"/>
              <w:ind w:left="0" w:right="0" w:hanging="0"/>
              <w:rPr>
                <w:sz w:val="4"/>
                <w:szCs w:val="4"/>
              </w:rPr>
            </w:pPr>
            <w:r>
              <w:rPr>
                <w:sz w:val="4"/>
                <w:szCs w:val="4"/>
              </w:rPr>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income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123,540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(8,915</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Gas Utility margin</w:t>
      </w:r>
      <w:r>
        <w:rPr>
          <w:rFonts w:ascii="Times New Roman" w:hAnsi="Times New Roman"/>
          <w:sz w:val="20"/>
        </w:rPr>
        <w:t xml:space="preserve"> </w:t>
      </w:r>
      <w:r>
        <w:rPr>
          <w:rFonts w:ascii="Arial;sans-serif" w:hAnsi="Arial;sans-serif"/>
          <w:b w:val="false"/>
          <w:sz w:val="18"/>
        </w:rPr>
        <w:t>decreased as a result of the following:</w:t>
      </w:r>
    </w:p>
    <w:p>
      <w:pPr>
        <w:pStyle w:val="TextBody"/>
        <w:spacing w:before="0" w:after="0"/>
        <w:jc w:val="left"/>
        <w:rPr/>
      </w:pPr>
      <w:r>
        <w:rPr/>
        <w:t> </w:t>
      </w:r>
    </w:p>
    <w:tbl>
      <w:tblPr>
        <w:tblW w:w="6377" w:type="dxa"/>
        <w:jc w:val="left"/>
        <w:tblInd w:w="0" w:type="dxa"/>
        <w:tblCellMar>
          <w:top w:w="28" w:type="dxa"/>
          <w:left w:w="28" w:type="dxa"/>
          <w:bottom w:w="28" w:type="dxa"/>
          <w:right w:w="28" w:type="dxa"/>
        </w:tblCellMar>
      </w:tblPr>
      <w:tblGrid>
        <w:gridCol w:w="5116"/>
        <w:gridCol w:w="349"/>
        <w:gridCol w:w="701"/>
        <w:gridCol w:w="211"/>
      </w:tblGrid>
      <w:tr>
        <w:trPr/>
        <w:tc>
          <w:tcPr>
            <w:tcW w:w="511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millions)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New rates and rider recovery</w:t>
            </w:r>
          </w:p>
        </w:tc>
        <w:tc>
          <w:tcPr>
            <w:tcW w:w="34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5.2</w:t>
            </w:r>
          </w:p>
        </w:tc>
        <w:tc>
          <w:tcPr>
            <w:tcW w:w="2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Non-residential retail growth and demand</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w:t>
            </w:r>
          </w:p>
        </w:tc>
        <w:tc>
          <w:tcPr>
            <w:tcW w:w="2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Residential growth and usage</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0.9</w:t>
            </w:r>
          </w:p>
        </w:tc>
        <w:tc>
          <w:tcPr>
            <w:tcW w:w="211" w:type="dxa"/>
            <w:tcBorders/>
            <w:shd w:fill="auto" w:val="clear"/>
            <w:vAlign w:val="center"/>
          </w:tcPr>
          <w:p>
            <w:pPr>
              <w:pStyle w:val="TableContents"/>
              <w:spacing w:before="0" w:after="0"/>
              <w:ind w:left="0" w:right="0" w:hanging="0"/>
              <w:jc w:val="left"/>
              <w:rPr/>
            </w:pPr>
            <w:r>
              <w:rPr/>
              <w:t> </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Mark-to-market on non-utility natural gas commodity contracts</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Weather</w:t>
            </w:r>
          </w:p>
        </w:tc>
        <w:tc>
          <w:tcPr>
            <w:tcW w:w="349" w:type="dxa"/>
            <w:tcBorders/>
            <w:shd w:fill="auto" w:val="clear"/>
            <w:vAlign w:val="center"/>
          </w:tcPr>
          <w:p>
            <w:pPr>
              <w:pStyle w:val="TableContents"/>
              <w:spacing w:before="0" w:after="0"/>
              <w:ind w:left="0" w:right="0" w:hanging="0"/>
              <w:jc w:val="left"/>
              <w:rPr/>
            </w:pPr>
            <w:r>
              <w:rPr/>
              <w:t> </w:t>
            </w:r>
          </w:p>
        </w:tc>
        <w:tc>
          <w:tcPr>
            <w:tcW w:w="70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11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116" w:type="dxa"/>
            <w:tcBorders/>
            <w:shd w:fill="auto" w:val="clear"/>
            <w:vAlign w:val="center"/>
          </w:tcPr>
          <w:p>
            <w:pPr>
              <w:pStyle w:val="TableContents"/>
              <w:spacing w:before="0" w:after="283"/>
              <w:ind w:left="0" w:right="0" w:hanging="0"/>
              <w:rPr>
                <w:sz w:val="4"/>
                <w:szCs w:val="4"/>
              </w:rPr>
            </w:pPr>
            <w:r>
              <w:rPr>
                <w:sz w:val="4"/>
                <w:szCs w:val="4"/>
              </w:rPr>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Operations and maintenance expense</w:t>
      </w:r>
      <w:r>
        <w:rPr>
          <w:rFonts w:ascii="Times New Roman" w:hAnsi="Times New Roman"/>
          <w:sz w:val="20"/>
        </w:rPr>
        <w:t xml:space="preserve"> </w:t>
      </w:r>
      <w:r>
        <w:rPr>
          <w:rFonts w:ascii="Arial;sans-serif" w:hAnsi="Arial;sans-serif"/>
          <w:b w:val="false"/>
          <w:sz w:val="18"/>
        </w:rPr>
        <w:t>increased primarily due to $6.3 million of higher employee-related expenses and $1.7 million of higher materials and outside services expenses.</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u w:val="single"/>
        </w:rPr>
        <w:t>Depreciation and amortization</w:t>
      </w:r>
      <w:r>
        <w:rPr>
          <w:rFonts w:ascii="Times New Roman" w:hAnsi="Times New Roman"/>
          <w:sz w:val="20"/>
        </w:rPr>
        <w:t xml:space="preserve"> </w:t>
      </w:r>
      <w:r>
        <w:rPr>
          <w:rFonts w:ascii="Arial;sans-serif" w:hAnsi="Arial;sans-serif"/>
          <w:b w:val="false"/>
          <w:sz w:val="18"/>
        </w:rPr>
        <w:t>was comparable to the same period in the prior year.</w:t>
      </w:r>
    </w:p>
    <w:p>
      <w:pPr>
        <w:pStyle w:val="TextBody"/>
        <w:spacing w:before="0" w:after="0"/>
        <w:jc w:val="center"/>
        <w:rPr>
          <w:rFonts w:ascii="Arial;sans-serif" w:hAnsi="Arial;sans-serif"/>
          <w:b w:val="false"/>
          <w:sz w:val="18"/>
        </w:rPr>
      </w:pPr>
      <w:r>
        <w:rPr>
          <w:rFonts w:ascii="Arial;sans-serif" w:hAnsi="Arial;sans-serif"/>
          <w:b w:val="false"/>
          <w:sz w:val="18"/>
        </w:rPr>
        <w:t>30</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Operating Statistics</w:t>
      </w:r>
    </w:p>
    <w:p>
      <w:pPr>
        <w:pStyle w:val="TextBody"/>
        <w:spacing w:before="0" w:after="0"/>
        <w:jc w:val="left"/>
        <w:rPr/>
      </w:pPr>
      <w:r>
        <w:rPr/>
        <w:t> </w:t>
      </w:r>
    </w:p>
    <w:tbl>
      <w:tblPr>
        <w:tblW w:w="9270" w:type="dxa"/>
        <w:jc w:val="left"/>
        <w:tblInd w:w="0" w:type="dxa"/>
        <w:tblCellMar>
          <w:top w:w="28" w:type="dxa"/>
          <w:left w:w="28" w:type="dxa"/>
          <w:bottom w:w="28" w:type="dxa"/>
          <w:right w:w="28" w:type="dxa"/>
        </w:tblCellMar>
      </w:tblPr>
      <w:tblGrid>
        <w:gridCol w:w="2971"/>
        <w:gridCol w:w="264"/>
        <w:gridCol w:w="979"/>
        <w:gridCol w:w="183"/>
        <w:gridCol w:w="264"/>
        <w:gridCol w:w="979"/>
        <w:gridCol w:w="146"/>
        <w:gridCol w:w="185"/>
        <w:gridCol w:w="1319"/>
        <w:gridCol w:w="185"/>
        <w:gridCol w:w="185"/>
        <w:gridCol w:w="1319"/>
        <w:gridCol w:w="291"/>
      </w:tblGrid>
      <w:tr>
        <w:trPr/>
        <w:tc>
          <w:tcPr>
            <w:tcW w:w="297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9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Quantities Sold and Transported (Dth)</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3193"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2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Residential</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428,576</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376,044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29,935,584</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31,814,250</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Commercial</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182,523</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158,642</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14,004,072</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14,631,703</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Industrial</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9,199</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9,238</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1,038,433</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1,164,583</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1,444</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Total Distribution</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621,742</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546,696</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44,978,089</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47,610,536</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Transportation and Transmission</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53,031</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49,762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47,179,540</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45,045,203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Total Regulated</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674,773</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596,458</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92,157,629</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92,655,739</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Non-regulated Services </w:t>
            </w:r>
            <w:r>
              <w:rPr>
                <w:rFonts w:ascii="Arial;sans-serif" w:hAnsi="Arial;sans-serif"/>
                <w:b w:val="false"/>
                <w:sz w:val="12"/>
              </w:rPr>
              <w:t>(a)</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32,143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24,934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Total Revenue and Quantities Sold</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706,916</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621,392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92,157,629</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92,655,739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283"/>
        <w:jc w:val="left"/>
        <w:rPr>
          <w:rFonts w:ascii="Arial;sans-serif" w:hAnsi="Arial;sans-serif"/>
          <w:b w:val="false"/>
          <w:sz w:val="16"/>
        </w:rPr>
      </w:pPr>
      <w:r>
        <w:rPr>
          <w:rFonts w:ascii="Arial;sans-serif" w:hAnsi="Arial;sans-serif"/>
          <w:b w:val="false"/>
          <w:sz w:val="16"/>
        </w:rPr>
        <w:t>Includes Black Hills Energy Services and non-regulated services under the Service Guard Comfort Plan, Tech Services and HomeServe.</w:t>
      </w:r>
    </w:p>
    <w:p>
      <w:pPr>
        <w:pStyle w:val="TextBody"/>
        <w:spacing w:before="0" w:after="0"/>
        <w:jc w:val="left"/>
        <w:rPr/>
      </w:pPr>
      <w:r>
        <w:rPr/>
        <w:t> </w:t>
      </w:r>
    </w:p>
    <w:tbl>
      <w:tblPr>
        <w:tblW w:w="9270" w:type="dxa"/>
        <w:jc w:val="left"/>
        <w:tblInd w:w="0" w:type="dxa"/>
        <w:tblCellMar>
          <w:top w:w="28" w:type="dxa"/>
          <w:left w:w="28" w:type="dxa"/>
          <w:bottom w:w="28" w:type="dxa"/>
          <w:right w:w="28" w:type="dxa"/>
        </w:tblCellMar>
      </w:tblPr>
      <w:tblGrid>
        <w:gridCol w:w="2971"/>
        <w:gridCol w:w="264"/>
        <w:gridCol w:w="979"/>
        <w:gridCol w:w="183"/>
        <w:gridCol w:w="264"/>
        <w:gridCol w:w="979"/>
        <w:gridCol w:w="146"/>
        <w:gridCol w:w="185"/>
        <w:gridCol w:w="1319"/>
        <w:gridCol w:w="185"/>
        <w:gridCol w:w="185"/>
        <w:gridCol w:w="1319"/>
        <w:gridCol w:w="291"/>
      </w:tblGrid>
      <w:tr>
        <w:trPr/>
        <w:tc>
          <w:tcPr>
            <w:tcW w:w="297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Revenue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9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Quantities Sold and Transported (Dth)</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pPr>
            <w:r>
              <w:rPr/>
              <w:t> </w:t>
            </w:r>
          </w:p>
        </w:tc>
        <w:tc>
          <w:tcPr>
            <w:tcW w:w="2669"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3193" w:type="dxa"/>
            <w:gridSpan w:val="5"/>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29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Arkansas Gas</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126,637</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127,809</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11,475,750</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12,927,736</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Gas</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144,886</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120,053</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14,055,294</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13,418,684</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Iowa Gas</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125,457</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120,579</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14,291,408</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15,376,182</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Kansas Gas</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72,221</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58,851</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11,173,502</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10,989,067</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Nebraska Gas</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164,950</w:t>
            </w:r>
          </w:p>
        </w:tc>
        <w:tc>
          <w:tcPr>
            <w:tcW w:w="183"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7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134,234</w:t>
            </w:r>
          </w:p>
        </w:tc>
        <w:tc>
          <w:tcPr>
            <w:tcW w:w="146"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27,080,790</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319"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27,335,774</w:t>
            </w:r>
          </w:p>
        </w:tc>
        <w:tc>
          <w:tcPr>
            <w:tcW w:w="2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Gas</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72,765</w:t>
            </w:r>
          </w:p>
        </w:tc>
        <w:tc>
          <w:tcPr>
            <w:tcW w:w="1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59,866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14,080,885</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12,608,296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971" w:type="dxa"/>
            <w:tcBorders/>
            <w:shd w:fill="auto" w:val="clear"/>
            <w:vAlign w:val="center"/>
          </w:tcPr>
          <w:p>
            <w:pPr>
              <w:pStyle w:val="TableContents"/>
              <w:spacing w:before="0" w:after="0"/>
              <w:ind w:left="100" w:right="0" w:hanging="0"/>
              <w:jc w:val="left"/>
              <w:rPr>
                <w:rFonts w:ascii="Arial;sans-serif" w:hAnsi="Arial;sans-serif"/>
                <w:b w:val="false"/>
                <w:sz w:val="18"/>
              </w:rPr>
            </w:pPr>
            <w:r>
              <w:rPr>
                <w:rFonts w:ascii="Arial;sans-serif" w:hAnsi="Arial;sans-serif"/>
                <w:b w:val="false"/>
                <w:sz w:val="18"/>
              </w:rPr>
              <w:t>Total Revenue and Quantities Sold</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706,916</w:t>
            </w:r>
          </w:p>
        </w:tc>
        <w:tc>
          <w:tcPr>
            <w:tcW w:w="1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9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621,392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92,157,629</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92,655,739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6950" w:type="dxa"/>
        <w:jc w:val="left"/>
        <w:tblInd w:w="0" w:type="dxa"/>
        <w:tblCellMar>
          <w:top w:w="28" w:type="dxa"/>
          <w:left w:w="28" w:type="dxa"/>
          <w:bottom w:w="28" w:type="dxa"/>
          <w:right w:w="28" w:type="dxa"/>
        </w:tblCellMar>
      </w:tblPr>
      <w:tblGrid>
        <w:gridCol w:w="1891"/>
        <w:gridCol w:w="616"/>
        <w:gridCol w:w="1891"/>
        <w:gridCol w:w="616"/>
        <w:gridCol w:w="1936"/>
      </w:tblGrid>
      <w:tr>
        <w:trPr/>
        <w:tc>
          <w:tcPr>
            <w:tcW w:w="189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left"/>
              <w:rPr/>
            </w:pPr>
            <w:r>
              <w:rPr/>
              <w:t> </w:t>
            </w:r>
          </w:p>
        </w:tc>
        <w:tc>
          <w:tcPr>
            <w:tcW w:w="5059" w:type="dxa"/>
            <w:gridSpan w:val="4"/>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r>
      <w:tr>
        <w:trPr/>
        <w:tc>
          <w:tcPr>
            <w:tcW w:w="1891" w:type="dxa"/>
            <w:tcBorders/>
            <w:shd w:fill="auto" w:val="clear"/>
            <w:vAlign w:val="center"/>
          </w:tcPr>
          <w:p>
            <w:pPr>
              <w:pStyle w:val="TableContents"/>
              <w:spacing w:before="0" w:after="0"/>
              <w:ind w:left="0" w:right="0" w:hanging="0"/>
              <w:jc w:val="left"/>
              <w:rPr/>
            </w:pPr>
            <w:r>
              <w:rPr/>
              <w:t> </w:t>
            </w:r>
          </w:p>
        </w:tc>
        <w:tc>
          <w:tcPr>
            <w:tcW w:w="25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2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r>
      <w:tr>
        <w:trPr/>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Heating Degree Days</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Actual</w:t>
            </w:r>
          </w:p>
        </w:tc>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 from Normal</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Actual</w:t>
            </w:r>
          </w:p>
        </w:tc>
        <w:tc>
          <w:tcPr>
            <w:tcW w:w="19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 from Normal</w:t>
            </w:r>
          </w:p>
        </w:tc>
      </w:tr>
      <w:tr>
        <w:trPr/>
        <w:tc>
          <w:tcPr>
            <w:tcW w:w="189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Arkansas Gas </w:t>
            </w:r>
            <w:r>
              <w:rPr>
                <w:rFonts w:ascii="Arial;sans-serif" w:hAnsi="Arial;sans-serif"/>
                <w:b w:val="false"/>
                <w:sz w:val="12"/>
              </w:rPr>
              <w:t>(a)</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1,666</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(18)%</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2,099</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18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Colorado Gas</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3,087</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10%</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2,946</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1%</w:t>
            </w:r>
          </w:p>
        </w:tc>
      </w:tr>
      <w:tr>
        <w:trPr/>
        <w:tc>
          <w:tcPr>
            <w:tcW w:w="18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Iowa Gas</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3,247</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3,579</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6%</w:t>
            </w:r>
          </w:p>
        </w:tc>
      </w:tr>
      <w:tr>
        <w:trPr/>
        <w:tc>
          <w:tcPr>
            <w:tcW w:w="189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Kansas Gas </w:t>
            </w:r>
            <w:r>
              <w:rPr>
                <w:rFonts w:ascii="Arial;sans-serif" w:hAnsi="Arial;sans-serif"/>
                <w:b w:val="false"/>
                <w:sz w:val="12"/>
              </w:rPr>
              <w:t>(a)</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2,373</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2,584</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5%</w:t>
            </w:r>
          </w:p>
        </w:tc>
      </w:tr>
      <w:tr>
        <w:trPr/>
        <w:tc>
          <w:tcPr>
            <w:tcW w:w="18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Nebraska Gas</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3,054</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3,041</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189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Wyoming Gas</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3,624</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21%</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3,272</w:t>
            </w:r>
          </w:p>
        </w:tc>
        <w:tc>
          <w:tcPr>
            <w:tcW w:w="1936" w:type="dxa"/>
            <w:tcBorders/>
            <w:shd w:fill="auto" w:val="clear"/>
            <w:vAlign w:val="center"/>
          </w:tcPr>
          <w:p>
            <w:pPr>
              <w:pStyle w:val="TableContents"/>
              <w:spacing w:before="0" w:after="0"/>
              <w:ind w:left="0" w:right="0" w:firstLine="100"/>
              <w:jc w:val="center"/>
              <w:rPr>
                <w:rFonts w:ascii="Arial;sans-serif" w:hAnsi="Arial;sans-serif"/>
                <w:b w:val="false"/>
                <w:sz w:val="18"/>
              </w:rPr>
            </w:pPr>
            <w:r>
              <w:rPr>
                <w:rFonts w:ascii="Arial;sans-serif" w:hAnsi="Arial;sans-serif"/>
                <w:b w:val="false"/>
                <w:sz w:val="18"/>
              </w:rPr>
              <w:t>3%</w:t>
            </w:r>
          </w:p>
        </w:tc>
      </w:tr>
      <w:tr>
        <w:trPr/>
        <w:tc>
          <w:tcPr>
            <w:tcW w:w="1891" w:type="dxa"/>
            <w:tcBorders/>
            <w:shd w:fill="auto" w:val="clear"/>
            <w:vAlign w:val="center"/>
          </w:tcPr>
          <w:p>
            <w:pPr>
              <w:pStyle w:val="TableContents"/>
              <w:spacing w:before="0" w:after="0"/>
              <w:ind w:left="100" w:right="0" w:hanging="0"/>
              <w:jc w:val="left"/>
              <w:rPr>
                <w:rFonts w:ascii="Times New Roman" w:hAnsi="Times New Roman"/>
                <w:sz w:val="18"/>
              </w:rPr>
            </w:pPr>
            <w:r>
              <w:rPr>
                <w:rFonts w:ascii="Arial;sans-serif" w:hAnsi="Arial;sans-serif"/>
                <w:b w:val="false"/>
                <w:sz w:val="18"/>
              </w:rPr>
              <w:t xml:space="preserve">Combined </w:t>
            </w:r>
            <w:r>
              <w:rPr>
                <w:rFonts w:ascii="Arial;sans-serif" w:hAnsi="Arial;sans-serif"/>
                <w:b w:val="false"/>
                <w:sz w:val="12"/>
              </w:rPr>
              <w:t>(b)</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3,196</w:t>
            </w:r>
          </w:p>
        </w:tc>
        <w:tc>
          <w:tcPr>
            <w:tcW w:w="189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4%</w:t>
            </w:r>
          </w:p>
        </w:tc>
        <w:tc>
          <w:tcPr>
            <w:tcW w:w="6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3,165</w:t>
            </w:r>
          </w:p>
        </w:tc>
        <w:tc>
          <w:tcPr>
            <w:tcW w:w="193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0"/>
        <w:jc w:val="left"/>
        <w:rPr>
          <w:rFonts w:ascii="Arial;sans-serif" w:hAnsi="Arial;sans-serif"/>
          <w:b w:val="false"/>
          <w:sz w:val="16"/>
        </w:rPr>
      </w:pPr>
      <w:r>
        <w:rPr>
          <w:rFonts w:ascii="Arial;sans-serif" w:hAnsi="Arial;sans-serif"/>
          <w:b w:val="false"/>
          <w:sz w:val="16"/>
        </w:rPr>
        <w:t>Arkansas Gas and Kansas Gas have weather normalization mechanisms that mitigate the weather impact on gross margins.</w:t>
      </w:r>
    </w:p>
    <w:p>
      <w:pPr>
        <w:pStyle w:val="TextBody"/>
        <w:spacing w:before="0" w:after="0"/>
        <w:jc w:val="left"/>
        <w:rPr>
          <w:rFonts w:ascii="Arial" w:hAnsi="Arial"/>
          <w:b w:val="false"/>
          <w:sz w:val="16"/>
        </w:rPr>
      </w:pPr>
      <w:r>
        <w:rPr>
          <w:rFonts w:ascii="Arial" w:hAnsi="Arial"/>
          <w:b w:val="false"/>
          <w:sz w:val="16"/>
        </w:rPr>
        <w:t>(b)</w:t>
      </w:r>
    </w:p>
    <w:p>
      <w:pPr>
        <w:pStyle w:val="TextBody"/>
        <w:jc w:val="left"/>
        <w:rPr>
          <w:rFonts w:ascii="Arial;sans-serif" w:hAnsi="Arial;sans-serif"/>
          <w:b w:val="false"/>
          <w:sz w:val="16"/>
        </w:rPr>
      </w:pPr>
      <w:r>
        <w:rPr>
          <w:rFonts w:ascii="Arial;sans-serif" w:hAnsi="Arial;sans-serif"/>
          <w:b w:val="false"/>
          <w:sz w:val="16"/>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pStyle w:val="TextBody"/>
        <w:spacing w:before="0" w:after="0"/>
        <w:jc w:val="left"/>
        <w:rPr/>
      </w:pPr>
      <w:r>
        <w:rPr/>
        <w:t> </w:t>
      </w:r>
    </w:p>
    <w:p>
      <w:pPr>
        <w:pStyle w:val="TextBody"/>
        <w:spacing w:before="0" w:after="0"/>
        <w:jc w:val="left"/>
        <w:rPr>
          <w:rFonts w:ascii="Arial;sans-serif" w:hAnsi="Arial;sans-serif"/>
          <w:b/>
          <w:sz w:val="18"/>
        </w:rPr>
      </w:pPr>
      <w:bookmarkStart w:id="21" w:name="mda_corp_other"/>
      <w:bookmarkEnd w:id="21"/>
      <w:r>
        <w:rPr>
          <w:rFonts w:ascii="Arial;sans-serif" w:hAnsi="Arial;sans-serif"/>
          <w:b/>
          <w:sz w:val="18"/>
        </w:rPr>
        <w:t>Corporate and Other</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Corporate and Other operating results were as follows (in thousands):</w:t>
      </w:r>
    </w:p>
    <w:p>
      <w:pPr>
        <w:pStyle w:val="TextBody"/>
        <w:spacing w:before="0" w:after="0"/>
        <w:jc w:val="left"/>
        <w:rPr/>
      </w:pPr>
      <w:r>
        <w:rPr/>
        <w:t> </w:t>
      </w:r>
    </w:p>
    <w:tbl>
      <w:tblPr>
        <w:tblW w:w="4408" w:type="dxa"/>
        <w:jc w:val="left"/>
        <w:tblInd w:w="0" w:type="dxa"/>
        <w:tblCellMar>
          <w:top w:w="28" w:type="dxa"/>
          <w:left w:w="28" w:type="dxa"/>
          <w:bottom w:w="28" w:type="dxa"/>
          <w:right w:w="28" w:type="dxa"/>
        </w:tblCellMar>
      </w:tblPr>
      <w:tblGrid>
        <w:gridCol w:w="1426"/>
        <w:gridCol w:w="240"/>
        <w:gridCol w:w="547"/>
        <w:gridCol w:w="188"/>
        <w:gridCol w:w="240"/>
        <w:gridCol w:w="547"/>
        <w:gridCol w:w="188"/>
        <w:gridCol w:w="280"/>
        <w:gridCol w:w="561"/>
        <w:gridCol w:w="191"/>
      </w:tblGrid>
      <w:tr>
        <w:trPr/>
        <w:tc>
          <w:tcPr>
            <w:tcW w:w="14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left"/>
              <w:rPr/>
            </w:pPr>
            <w:r>
              <w:rPr/>
              <w:t> </w:t>
            </w:r>
          </w:p>
        </w:tc>
        <w:tc>
          <w:tcPr>
            <w:tcW w:w="2791"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center"/>
              <w:rPr/>
            </w:pPr>
            <w:r>
              <w:rPr/>
              <w:t> </w:t>
            </w:r>
          </w:p>
        </w:tc>
        <w:tc>
          <w:tcPr>
            <w:tcW w:w="7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Operating (loss)</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(802</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(933</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5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Operating loss was comparable to the same period in the prior year.</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31</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22" w:name="mda_below_the_line_exp"/>
      <w:bookmarkEnd w:id="22"/>
      <w:r>
        <w:rPr>
          <w:rFonts w:ascii="Arial;sans-serif" w:hAnsi="Arial;sans-serif"/>
          <w:b/>
          <w:sz w:val="18"/>
        </w:rPr>
        <w:t>Consolidated Interest Expense, Other Income and Income Tax Expense</w:t>
      </w:r>
    </w:p>
    <w:p>
      <w:pPr>
        <w:pStyle w:val="TextBody"/>
        <w:spacing w:before="0" w:after="0"/>
        <w:jc w:val="left"/>
        <w:rPr/>
      </w:pPr>
      <w:r>
        <w:rPr/>
        <w:t> </w:t>
      </w:r>
    </w:p>
    <w:tbl>
      <w:tblPr>
        <w:tblW w:w="5710" w:type="dxa"/>
        <w:jc w:val="left"/>
        <w:tblInd w:w="0" w:type="dxa"/>
        <w:tblCellMar>
          <w:top w:w="28" w:type="dxa"/>
          <w:left w:w="28" w:type="dxa"/>
          <w:bottom w:w="28" w:type="dxa"/>
          <w:right w:w="28" w:type="dxa"/>
        </w:tblCellMar>
      </w:tblPr>
      <w:tblGrid>
        <w:gridCol w:w="2431"/>
        <w:gridCol w:w="211"/>
        <w:gridCol w:w="736"/>
        <w:gridCol w:w="166"/>
        <w:gridCol w:w="211"/>
        <w:gridCol w:w="736"/>
        <w:gridCol w:w="166"/>
        <w:gridCol w:w="211"/>
        <w:gridCol w:w="631"/>
        <w:gridCol w:w="211"/>
      </w:tblGrid>
      <w:tr>
        <w:trPr/>
        <w:tc>
          <w:tcPr>
            <w:tcW w:w="24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left"/>
              <w:rPr/>
            </w:pPr>
            <w:r>
              <w:rPr/>
              <w:t> </w:t>
            </w:r>
          </w:p>
        </w:tc>
        <w:tc>
          <w:tcPr>
            <w:tcW w:w="3068"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left"/>
              <w:rPr/>
            </w:pPr>
            <w:r>
              <w:rPr/>
              <w:t> </w:t>
            </w:r>
          </w:p>
        </w:tc>
        <w:tc>
          <w:tcPr>
            <w:tcW w:w="306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(in thousands)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Interest expense, net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(43,504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(38,545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(4,959</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674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704</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43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Income tax (expense)</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(14,673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(14,488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(185</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Interest Expense, net</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increase in Interest expense, net was due to higher interest rates.</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Other Income, net</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Other income, net was comparable to the same period in the prior year.</w:t>
      </w:r>
    </w:p>
    <w:p>
      <w:pPr>
        <w:pStyle w:val="TextBody"/>
        <w:spacing w:before="0" w:after="0"/>
        <w:jc w:val="left"/>
        <w:rPr/>
      </w:pPr>
      <w:r>
        <w:rPr/>
        <w:t> </w:t>
      </w:r>
    </w:p>
    <w:p>
      <w:pPr>
        <w:pStyle w:val="TextBody"/>
        <w:spacing w:before="0" w:after="0"/>
        <w:jc w:val="left"/>
        <w:rPr>
          <w:rFonts w:ascii="Arial;sans-serif" w:hAnsi="Arial;sans-serif"/>
          <w:b w:val="false"/>
          <w:i/>
          <w:sz w:val="18"/>
        </w:rPr>
      </w:pPr>
      <w:r>
        <w:rPr>
          <w:rFonts w:ascii="Arial;sans-serif" w:hAnsi="Arial;sans-serif"/>
          <w:b w:val="false"/>
          <w:i/>
          <w:sz w:val="18"/>
        </w:rPr>
        <w:t>Income Tax Expense</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Income tax expense and the effective tax rate were comparable to the same period in the prior year.</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32</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bookmarkStart w:id="23" w:name="mda_liquidity"/>
      <w:bookmarkEnd w:id="23"/>
      <w:r>
        <w:rPr>
          <w:rFonts w:ascii="Arial;sans-serif" w:hAnsi="Arial;sans-serif"/>
          <w:b/>
          <w:sz w:val="18"/>
        </w:rPr>
        <w:t>Liquidity and Capital Resources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There have been no material changes in Liquidity and Capital Resources from those reported in Item 7 of our 2022 Annual Report on Form 10-K except as described below.</w:t>
      </w:r>
    </w:p>
    <w:p>
      <w:pPr>
        <w:pStyle w:val="TextBody"/>
        <w:spacing w:before="0" w:after="0"/>
        <w:jc w:val="left"/>
        <w:rPr/>
      </w:pPr>
      <w:r>
        <w:rPr/>
        <w:t> </w:t>
      </w:r>
    </w:p>
    <w:p>
      <w:pPr>
        <w:pStyle w:val="TextBody"/>
        <w:spacing w:before="0" w:after="0"/>
        <w:jc w:val="left"/>
        <w:rPr>
          <w:rFonts w:ascii="Arial;sans-serif" w:hAnsi="Arial;sans-serif"/>
          <w:b/>
          <w:sz w:val="18"/>
        </w:rPr>
      </w:pPr>
      <w:bookmarkStart w:id="24" w:name="mda_liq_cashflow_act"/>
      <w:bookmarkEnd w:id="24"/>
      <w:r>
        <w:rPr>
          <w:rFonts w:ascii="Arial;sans-serif" w:hAnsi="Arial;sans-serif"/>
          <w:b/>
          <w:sz w:val="18"/>
        </w:rPr>
        <w:t>CASH FLOW ACTIVITIES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tables summarize our cash flows for the three months ended March 31, (in thousands):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Operating Activities:</w:t>
      </w:r>
    </w:p>
    <w:p>
      <w:pPr>
        <w:pStyle w:val="TextBody"/>
        <w:spacing w:before="0" w:after="0"/>
        <w:jc w:val="left"/>
        <w:rPr/>
      </w:pPr>
      <w:r>
        <w:rPr/>
        <w:t> </w:t>
      </w:r>
    </w:p>
    <w:tbl>
      <w:tblPr>
        <w:tblW w:w="8460" w:type="dxa"/>
        <w:jc w:val="left"/>
        <w:tblInd w:w="0" w:type="dxa"/>
        <w:tblCellMar>
          <w:top w:w="28" w:type="dxa"/>
          <w:left w:w="28" w:type="dxa"/>
          <w:bottom w:w="28" w:type="dxa"/>
          <w:right w:w="28" w:type="dxa"/>
        </w:tblCellMar>
      </w:tblPr>
      <w:tblGrid>
        <w:gridCol w:w="4621"/>
        <w:gridCol w:w="211"/>
        <w:gridCol w:w="841"/>
        <w:gridCol w:w="166"/>
        <w:gridCol w:w="211"/>
        <w:gridCol w:w="781"/>
        <w:gridCol w:w="166"/>
        <w:gridCol w:w="211"/>
        <w:gridCol w:w="841"/>
        <w:gridCol w:w="411"/>
      </w:tblGrid>
      <w:tr>
        <w:trPr/>
        <w:tc>
          <w:tcPr>
            <w:tcW w:w="46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621" w:type="dxa"/>
            <w:tcBorders/>
            <w:shd w:fill="auto" w:val="clear"/>
            <w:vAlign w:val="center"/>
          </w:tcPr>
          <w:p>
            <w:pPr>
              <w:pStyle w:val="TableContents"/>
              <w:spacing w:before="0" w:after="0"/>
              <w:ind w:left="0" w:right="0" w:hanging="0"/>
              <w:jc w:val="left"/>
              <w:rPr/>
            </w:pPr>
            <w:r>
              <w:rPr/>
              <w:t> </w:t>
            </w:r>
          </w:p>
        </w:tc>
        <w:tc>
          <w:tcPr>
            <w:tcW w:w="3428"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411" w:type="dxa"/>
            <w:tcBorders/>
            <w:shd w:fill="auto" w:val="clear"/>
            <w:vAlign w:val="center"/>
          </w:tcPr>
          <w:p>
            <w:pPr>
              <w:pStyle w:val="TableContents"/>
              <w:spacing w:before="0" w:after="0"/>
              <w:ind w:left="0" w:right="0" w:hanging="0"/>
              <w:jc w:val="center"/>
              <w:rPr/>
            </w:pPr>
            <w:r>
              <w:rPr/>
              <w:t> </w:t>
            </w:r>
          </w:p>
        </w:tc>
      </w:tr>
      <w:tr>
        <w:trPr/>
        <w:tc>
          <w:tcPr>
            <w:tcW w:w="4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Cash earnings (net income plus non-cash adjustments)</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198,280</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208,572</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(10,292</w:t>
            </w:r>
          </w:p>
        </w:tc>
        <w:tc>
          <w:tcPr>
            <w:tcW w:w="4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6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Changes in certain operating assets and liabilities:</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receivable and other current assets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104,851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(36,246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141,097</w:t>
            </w:r>
          </w:p>
        </w:tc>
        <w:tc>
          <w:tcPr>
            <w:tcW w:w="411" w:type="dxa"/>
            <w:tcBorders/>
            <w:shd w:fill="auto" w:val="clear"/>
            <w:vAlign w:val="center"/>
          </w:tcPr>
          <w:p>
            <w:pPr>
              <w:pStyle w:val="TableContents"/>
              <w:spacing w:before="0" w:after="0"/>
              <w:ind w:left="0" w:right="0" w:firstLine="200"/>
              <w:jc w:val="left"/>
              <w:rPr/>
            </w:pPr>
            <w:r>
              <w:rPr/>
              <w:t> </w:t>
            </w:r>
          </w:p>
        </w:tc>
      </w:tr>
      <w:tr>
        <w:trPr/>
        <w:tc>
          <w:tcPr>
            <w:tcW w:w="46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Accounts payable and accrued liabilities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(127,233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(8,422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(118,811</w:t>
            </w:r>
          </w:p>
        </w:tc>
        <w:tc>
          <w:tcPr>
            <w:tcW w:w="411" w:type="dxa"/>
            <w:tcBorders/>
            <w:shd w:fill="auto" w:val="clear"/>
            <w:vAlign w:val="center"/>
          </w:tcPr>
          <w:p>
            <w:pPr>
              <w:pStyle w:val="TableContents"/>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4621" w:type="dxa"/>
            <w:tcBorders/>
            <w:shd w:fill="auto" w:val="clear"/>
            <w:vAlign w:val="center"/>
          </w:tcPr>
          <w:p>
            <w:pPr>
              <w:pStyle w:val="TableContents"/>
              <w:spacing w:before="0" w:after="0"/>
              <w:ind w:left="200" w:right="0" w:hanging="0"/>
              <w:jc w:val="left"/>
              <w:rPr>
                <w:rFonts w:ascii="Arial;sans-serif" w:hAnsi="Arial;sans-serif"/>
                <w:b w:val="false"/>
                <w:sz w:val="18"/>
              </w:rPr>
            </w:pPr>
            <w:r>
              <w:rPr>
                <w:rFonts w:ascii="Arial;sans-serif" w:hAnsi="Arial;sans-serif"/>
                <w:b w:val="false"/>
                <w:sz w:val="18"/>
              </w:rPr>
              <w:t>Regulatory assets and liabilities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154,666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98,528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56,138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621" w:type="dxa"/>
            <w:tcBorders/>
            <w:shd w:fill="auto" w:val="clear"/>
            <w:vAlign w:val="center"/>
          </w:tcPr>
          <w:p>
            <w:pPr>
              <w:pStyle w:val="TableContents"/>
              <w:spacing w:before="0" w:after="283"/>
              <w:ind w:left="0" w:right="0" w:firstLine="100"/>
              <w:rPr>
                <w:sz w:val="4"/>
                <w:szCs w:val="4"/>
              </w:rPr>
            </w:pPr>
            <w:r>
              <w:rPr>
                <w:sz w:val="4"/>
                <w:szCs w:val="4"/>
              </w:rPr>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132,284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53,860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78,424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operating activities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(3,508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62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(used in) operating activities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328,745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264,121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64,624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Net cash provided by (used in) operating activities was $65 million higher than the same period in 2022. The variance to the prior year was primarily attributable to:</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earnings (net income plus non-cash adjustments) were $10 million lower for the three months ended March 31, 2023 compared to the same period in the prior year primarily due to higher operating expenses and higher interest expense.</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Net inflows from changes in certain operating assets and liabilities were $78 million higher, primarily attributable to:</w:t>
      </w:r>
    </w:p>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o</w:t>
      </w:r>
    </w:p>
    <w:p>
      <w:pPr>
        <w:pStyle w:val="TextBody"/>
        <w:jc w:val="left"/>
        <w:rPr>
          <w:rFonts w:ascii="Arial;sans-serif" w:hAnsi="Arial;sans-serif"/>
          <w:b w:val="false"/>
          <w:sz w:val="18"/>
        </w:rPr>
      </w:pPr>
      <w:r>
        <w:rPr>
          <w:rFonts w:ascii="Arial;sans-serif" w:hAnsi="Arial;sans-serif"/>
          <w:b w:val="false"/>
          <w:sz w:val="18"/>
        </w:rPr>
        <w:t>Cash inflows increased by $141 million as a result of changes in accounts receivable and other current assets primarily driven by higher collections on pass-through revenues and lower natural gas in storage inventories driven by fluctuations in commodity prices and timing of injections and withdrawals;</w:t>
      </w:r>
    </w:p>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o</w:t>
      </w:r>
    </w:p>
    <w:p>
      <w:pPr>
        <w:pStyle w:val="TextBody"/>
        <w:jc w:val="left"/>
        <w:rPr>
          <w:rFonts w:ascii="Arial;sans-serif" w:hAnsi="Arial;sans-serif"/>
          <w:b w:val="false"/>
          <w:sz w:val="18"/>
        </w:rPr>
      </w:pPr>
      <w:r>
        <w:rPr>
          <w:rFonts w:ascii="Arial;sans-serif" w:hAnsi="Arial;sans-serif"/>
          <w:b w:val="false"/>
          <w:sz w:val="18"/>
        </w:rPr>
        <w:t>Cash outflows increased by $119 million as a result of decreases in accounts payable and accrued liabilities primarily driven by fluctuations in commodity prices, payment timing of natural gas and power purchases and changes in other working capital requirements; and</w:t>
      </w:r>
    </w:p>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o</w:t>
      </w:r>
    </w:p>
    <w:p>
      <w:pPr>
        <w:pStyle w:val="TextBody"/>
        <w:jc w:val="left"/>
        <w:rPr>
          <w:rFonts w:ascii="Arial;sans-serif" w:hAnsi="Arial;sans-serif"/>
          <w:b w:val="false"/>
          <w:sz w:val="18"/>
        </w:rPr>
      </w:pPr>
      <w:r>
        <w:rPr>
          <w:rFonts w:ascii="Arial;sans-serif" w:hAnsi="Arial;sans-serif"/>
          <w:b w:val="false"/>
          <w:sz w:val="18"/>
        </w:rPr>
        <w:t>Cash inflows increased by $56 million as a result of changes in our regulatory assets and liabilities primarily due to higher recoveries of deferred gas and fuel cost adjustments driven by fluctuations in commodity prices and higher recoveries of Winter Storm Uri incremental and carrying costs from customers.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outflows increased by $3.5 million for other operating activities.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Investing Activities:</w:t>
      </w:r>
    </w:p>
    <w:p>
      <w:pPr>
        <w:pStyle w:val="TextBody"/>
        <w:spacing w:before="0" w:after="0"/>
        <w:jc w:val="left"/>
        <w:rPr/>
      </w:pPr>
      <w:r>
        <w:rPr/>
        <w:t> </w:t>
      </w:r>
    </w:p>
    <w:tbl>
      <w:tblPr>
        <w:tblW w:w="7655" w:type="dxa"/>
        <w:jc w:val="left"/>
        <w:tblInd w:w="0" w:type="dxa"/>
        <w:tblCellMar>
          <w:top w:w="28" w:type="dxa"/>
          <w:left w:w="28" w:type="dxa"/>
          <w:bottom w:w="28" w:type="dxa"/>
          <w:right w:w="28" w:type="dxa"/>
        </w:tblCellMar>
      </w:tblPr>
      <w:tblGrid>
        <w:gridCol w:w="4141"/>
        <w:gridCol w:w="211"/>
        <w:gridCol w:w="841"/>
        <w:gridCol w:w="166"/>
        <w:gridCol w:w="211"/>
        <w:gridCol w:w="841"/>
        <w:gridCol w:w="166"/>
        <w:gridCol w:w="211"/>
        <w:gridCol w:w="676"/>
        <w:gridCol w:w="191"/>
      </w:tblGrid>
      <w:tr>
        <w:trPr/>
        <w:tc>
          <w:tcPr>
            <w:tcW w:w="4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left"/>
              <w:rPr/>
            </w:pPr>
            <w:r>
              <w:rPr/>
              <w:t> </w:t>
            </w:r>
          </w:p>
        </w:tc>
        <w:tc>
          <w:tcPr>
            <w:tcW w:w="3323"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4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Capital expenditures</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(119,105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(136,779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17,674</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investing activities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17,600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18,665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(used in) investing activities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(101,505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(137,844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36,339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33</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Net cash used in investing activities was $36 million lower than the same period in 2022. The variance to the prior year was primarily attributable to:</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outflows decreased by $18 million as a result of lower capital expenditures which were driven by lower programmatic safety, reliability and integrity spending at our Gas and Electric Utilities; 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inflows increased by $19 million for other investing activities primarily due to proceeds from the sale of Northern Iowa Windpower assets.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Financing Activities:</w:t>
      </w:r>
    </w:p>
    <w:p>
      <w:pPr>
        <w:pStyle w:val="TextBody"/>
        <w:spacing w:before="0" w:after="0"/>
        <w:jc w:val="left"/>
        <w:rPr/>
      </w:pPr>
      <w:r>
        <w:rPr/>
        <w:t> </w:t>
      </w:r>
    </w:p>
    <w:tbl>
      <w:tblPr>
        <w:tblW w:w="7855" w:type="dxa"/>
        <w:jc w:val="left"/>
        <w:tblInd w:w="0" w:type="dxa"/>
        <w:tblCellMar>
          <w:top w:w="28" w:type="dxa"/>
          <w:left w:w="28" w:type="dxa"/>
          <w:bottom w:w="28" w:type="dxa"/>
          <w:right w:w="28" w:type="dxa"/>
        </w:tblCellMar>
      </w:tblPr>
      <w:tblGrid>
        <w:gridCol w:w="4156"/>
        <w:gridCol w:w="211"/>
        <w:gridCol w:w="841"/>
        <w:gridCol w:w="166"/>
        <w:gridCol w:w="211"/>
        <w:gridCol w:w="841"/>
        <w:gridCol w:w="166"/>
        <w:gridCol w:w="211"/>
        <w:gridCol w:w="841"/>
        <w:gridCol w:w="211"/>
      </w:tblGrid>
      <w:tr>
        <w:trPr/>
        <w:tc>
          <w:tcPr>
            <w:tcW w:w="41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pPr>
            <w:r>
              <w:rPr/>
              <w:t> </w:t>
            </w:r>
          </w:p>
        </w:tc>
        <w:tc>
          <w:tcPr>
            <w:tcW w:w="3488" w:type="dxa"/>
            <w:gridSpan w:val="8"/>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Three Months Ended 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4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Variance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Dividends paid on common stock</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(41,362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(38,533</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(2,829</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Common stock issued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27,383</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3,791</w:t>
            </w:r>
          </w:p>
        </w:tc>
        <w:tc>
          <w:tcPr>
            <w:tcW w:w="16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23,592</w:t>
            </w:r>
          </w:p>
        </w:tc>
        <w:tc>
          <w:tcPr>
            <w:tcW w:w="21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Short-term and long-term debt (repayments), net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(185,600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(78,700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(106,900</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Distributions to non-controlling interests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(4,494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(4,420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(74</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Other financing activities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(4,144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15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Net cash provided by (used in) financing activities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(209,095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(118,740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(90,355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spacing w:before="0" w:after="0"/>
        <w:jc w:val="left"/>
        <w:rPr/>
      </w:pPr>
      <w:r>
        <w:rPr/>
        <w:t> </w:t>
      </w:r>
    </w:p>
    <w:p>
      <w:pPr>
        <w:pStyle w:val="TextBody"/>
        <w:spacing w:before="0" w:after="0"/>
        <w:jc w:val="left"/>
        <w:rPr>
          <w:rFonts w:ascii="Arial;sans-serif" w:hAnsi="Arial;sans-serif"/>
          <w:b w:val="false"/>
          <w:sz w:val="18"/>
          <w:u w:val="single"/>
        </w:rPr>
      </w:pPr>
      <w:r>
        <w:rPr>
          <w:rFonts w:ascii="Arial;sans-serif" w:hAnsi="Arial;sans-serif"/>
          <w:b w:val="false"/>
          <w:sz w:val="18"/>
          <w:u w:val="single"/>
        </w:rPr>
        <w:t>Three Months Ended March 31, 2023 Compared to the Three Months Ended March 31, 2022</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Net cash used in financing activities was $90 million higher than the same period in 2022. The variance to the prior year was primarily attributable to:</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outflows increased $107 million due to short-term debt repayments in excess of short-term and long-term borrowings.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inflows increased $24 million due to higher issuances of common stock; 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outflows increased $2.8 million due to increased dividends paid on common stock.</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Cash outflows increased by $4.1 million for other financing activities.</w:t>
      </w:r>
    </w:p>
    <w:p>
      <w:pPr>
        <w:pStyle w:val="TextBody"/>
        <w:spacing w:before="0" w:after="0"/>
        <w:jc w:val="left"/>
        <w:rPr/>
      </w:pPr>
      <w:r>
        <w:rPr/>
        <w:t> </w:t>
      </w:r>
    </w:p>
    <w:p>
      <w:pPr>
        <w:pStyle w:val="TextBody"/>
        <w:spacing w:before="0" w:after="0"/>
        <w:jc w:val="left"/>
        <w:rPr>
          <w:rFonts w:ascii="Arial;sans-serif" w:hAnsi="Arial;sans-serif"/>
          <w:b/>
          <w:sz w:val="18"/>
        </w:rPr>
      </w:pPr>
      <w:bookmarkStart w:id="25" w:name="mda_liq_cap_resources"/>
      <w:bookmarkEnd w:id="25"/>
      <w:r>
        <w:rPr>
          <w:rFonts w:ascii="Arial;sans-serif" w:hAnsi="Arial;sans-serif"/>
          <w:b/>
          <w:sz w:val="18"/>
        </w:rPr>
        <w:t>CAPITAL RESOURCES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Short-term Debt</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See </w:t>
      </w:r>
      <w:hyperlink w:anchor="fn5_financing">
        <w:r>
          <w:rPr>
            <w:rStyle w:val="InternetLink"/>
            <w:rFonts w:ascii="Arial;sans-serif" w:hAnsi="Arial;sans-serif"/>
            <w:b w:val="false"/>
            <w:sz w:val="18"/>
            <w:u w:val="single"/>
          </w:rPr>
          <w:t>Note 5</w:t>
        </w:r>
      </w:hyperlink>
      <w:r>
        <w:rPr>
          <w:rFonts w:ascii="Times New Roman" w:hAnsi="Times New Roman"/>
          <w:sz w:val="20"/>
        </w:rPr>
        <w:t xml:space="preserve"> </w:t>
      </w:r>
      <w:r>
        <w:rPr>
          <w:rFonts w:ascii="Arial;sans-serif" w:hAnsi="Arial;sans-serif"/>
          <w:b w:val="false"/>
          <w:sz w:val="18"/>
        </w:rPr>
        <w:t>for information on our Revolving Credit Facility and CP Program.</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Covenant Requirements</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The Revolving Credit Facility and Wyoming Electric’s financing agreements contain covenant requirements. We were in compliance with these covenants as of March 31, 2023. See </w:t>
      </w:r>
      <w:hyperlink w:anchor="fn5_financing">
        <w:r>
          <w:rPr>
            <w:rStyle w:val="InternetLink"/>
            <w:rFonts w:ascii="Arial;sans-serif" w:hAnsi="Arial;sans-serif"/>
            <w:b w:val="false"/>
            <w:sz w:val="18"/>
            <w:u w:val="single"/>
          </w:rPr>
          <w:t>Note 5</w:t>
        </w:r>
      </w:hyperlink>
      <w:r>
        <w:rPr>
          <w:rFonts w:ascii="Times New Roman" w:hAnsi="Times New Roman"/>
          <w:sz w:val="20"/>
        </w:rPr>
        <w:t xml:space="preserve"> </w:t>
      </w:r>
      <w:r>
        <w:rPr>
          <w:rFonts w:ascii="Arial;sans-serif" w:hAnsi="Arial;sans-serif"/>
          <w:b w:val="false"/>
          <w:sz w:val="18"/>
        </w:rPr>
        <w:t>of the Condensed Notes to Consolidated Financial Statements for more information.</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Equity</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See </w:t>
      </w:r>
      <w:hyperlink w:anchor="fn5_financing">
        <w:r>
          <w:rPr>
            <w:rStyle w:val="InternetLink"/>
            <w:rFonts w:ascii="Arial;sans-serif" w:hAnsi="Arial;sans-serif"/>
            <w:b w:val="false"/>
            <w:sz w:val="18"/>
            <w:u w:val="single"/>
          </w:rPr>
          <w:t>Note 5</w:t>
        </w:r>
      </w:hyperlink>
      <w:r>
        <w:rPr>
          <w:rFonts w:ascii="Times New Roman" w:hAnsi="Times New Roman"/>
          <w:sz w:val="20"/>
        </w:rPr>
        <w:t xml:space="preserve"> </w:t>
      </w:r>
      <w:r>
        <w:rPr>
          <w:rFonts w:ascii="Arial;sans-serif" w:hAnsi="Arial;sans-serif"/>
          <w:b w:val="false"/>
          <w:sz w:val="18"/>
        </w:rPr>
        <w:t>for information on our Equity issuances.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Future Financing Plans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We plan to re-finance a portion of our $525 million, 4.25%, senior unsecured notes due November 30, 2023, at or before maturity date. We also plan to renew our ATM and shelf registration at or before shelf expiration in August 2023.</w:t>
      </w:r>
    </w:p>
    <w:p>
      <w:pPr>
        <w:pStyle w:val="TextBody"/>
        <w:spacing w:before="0" w:after="0"/>
        <w:jc w:val="center"/>
        <w:rPr>
          <w:rFonts w:ascii="Arial;sans-serif" w:hAnsi="Arial;sans-serif"/>
          <w:b w:val="false"/>
          <w:sz w:val="18"/>
        </w:rPr>
      </w:pPr>
      <w:r>
        <w:rPr>
          <w:rFonts w:ascii="Arial;sans-serif" w:hAnsi="Arial;sans-serif"/>
          <w:b w:val="false"/>
          <w:sz w:val="18"/>
        </w:rPr>
        <w:t>34</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26" w:name="mda_liq_credit_ratings"/>
      <w:bookmarkEnd w:id="26"/>
      <w:r>
        <w:rPr>
          <w:rFonts w:ascii="Arial;sans-serif" w:hAnsi="Arial;sans-serif"/>
          <w:b/>
          <w:sz w:val="18"/>
        </w:rPr>
        <w:t>CREDIT RATINGS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After assessing the current operating performance, liquidity and credit ratings of the Company, management believes that the Company will have access to the capital markets at prevailing market rates for companies with comparable credit ratings.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represents the credit ratings and outlook and risk profile of BHC at March 31, 2023:</w:t>
      </w:r>
    </w:p>
    <w:p>
      <w:pPr>
        <w:pStyle w:val="TextBody"/>
        <w:spacing w:before="0" w:after="0"/>
        <w:jc w:val="left"/>
        <w:rPr/>
      </w:pPr>
      <w:r>
        <w:rPr/>
        <w:t> </w:t>
      </w:r>
    </w:p>
    <w:tbl>
      <w:tblPr>
        <w:tblW w:w="4278" w:type="dxa"/>
        <w:jc w:val="left"/>
        <w:tblInd w:w="0" w:type="dxa"/>
        <w:tblCellMar>
          <w:top w:w="28" w:type="dxa"/>
          <w:left w:w="28" w:type="dxa"/>
          <w:bottom w:w="28" w:type="dxa"/>
          <w:right w:w="28" w:type="dxa"/>
        </w:tblCellMar>
      </w:tblPr>
      <w:tblGrid>
        <w:gridCol w:w="1321"/>
        <w:gridCol w:w="2176"/>
        <w:gridCol w:w="781"/>
      </w:tblGrid>
      <w:tr>
        <w:trPr/>
        <w:tc>
          <w:tcPr>
            <w:tcW w:w="1321" w:type="dxa"/>
            <w:tcBorders/>
            <w:shd w:fill="auto" w:val="clear"/>
            <w:vAlign w:val="center"/>
          </w:tcPr>
          <w:p>
            <w:pPr>
              <w:pStyle w:val="TableContents"/>
              <w:spacing w:before="0" w:after="283"/>
              <w:rPr>
                <w:sz w:val="4"/>
                <w:szCs w:val="4"/>
              </w:rPr>
            </w:pPr>
            <w:r>
              <w:rPr>
                <w:sz w:val="4"/>
                <w:szCs w:val="4"/>
              </w:rPr>
            </w:r>
          </w:p>
        </w:tc>
        <w:tc>
          <w:tcPr>
            <w:tcW w:w="217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r>
      <w:tr>
        <w:trPr/>
        <w:tc>
          <w:tcPr>
            <w:tcW w:w="1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Rating Agency</w:t>
            </w:r>
          </w:p>
        </w:tc>
        <w:tc>
          <w:tcPr>
            <w:tcW w:w="2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Senior Unsecured Rating</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Outlook</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S&amp;P </w:t>
            </w:r>
            <w:r>
              <w:rPr>
                <w:rFonts w:ascii="Arial;sans-serif" w:hAnsi="Arial;sans-serif"/>
                <w:b w:val="false"/>
                <w:sz w:val="12"/>
              </w:rPr>
              <w:t>(a)</w:t>
            </w:r>
          </w:p>
        </w:tc>
        <w:tc>
          <w:tcPr>
            <w:tcW w:w="217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BBB+</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Stable</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Moody's </w:t>
            </w:r>
            <w:r>
              <w:rPr>
                <w:rFonts w:ascii="Arial;sans-serif" w:hAnsi="Arial;sans-serif"/>
                <w:b w:val="false"/>
                <w:sz w:val="12"/>
              </w:rPr>
              <w:t>(b)</w:t>
            </w:r>
          </w:p>
        </w:tc>
        <w:tc>
          <w:tcPr>
            <w:tcW w:w="217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Baa2</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Stable</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Fitch </w:t>
            </w:r>
            <w:r>
              <w:rPr>
                <w:rFonts w:ascii="Arial;sans-serif" w:hAnsi="Arial;sans-serif"/>
                <w:b w:val="false"/>
                <w:sz w:val="12"/>
              </w:rPr>
              <w:t>(c)</w:t>
            </w:r>
          </w:p>
        </w:tc>
        <w:tc>
          <w:tcPr>
            <w:tcW w:w="217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BBB+</w:t>
            </w:r>
          </w:p>
        </w:tc>
        <w:tc>
          <w:tcPr>
            <w:tcW w:w="78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Stable</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0"/>
        <w:jc w:val="left"/>
        <w:rPr>
          <w:rFonts w:ascii="Arial;sans-serif" w:hAnsi="Arial;sans-serif"/>
          <w:b w:val="false"/>
          <w:sz w:val="16"/>
        </w:rPr>
      </w:pPr>
      <w:r>
        <w:rPr>
          <w:rFonts w:ascii="Arial;sans-serif" w:hAnsi="Arial;sans-serif"/>
          <w:b w:val="false"/>
          <w:sz w:val="16"/>
        </w:rPr>
        <w:t>On February 17, 2023, S&amp;P reported BBB+ rating and maintained a Stable outlook.</w:t>
      </w:r>
    </w:p>
    <w:p>
      <w:pPr>
        <w:pStyle w:val="TextBody"/>
        <w:spacing w:before="0" w:after="0"/>
        <w:jc w:val="left"/>
        <w:rPr>
          <w:rFonts w:ascii="Arial" w:hAnsi="Arial"/>
          <w:b w:val="false"/>
          <w:sz w:val="16"/>
        </w:rPr>
      </w:pPr>
      <w:r>
        <w:rPr>
          <w:rFonts w:ascii="Arial" w:hAnsi="Arial"/>
          <w:b w:val="false"/>
          <w:sz w:val="16"/>
        </w:rPr>
        <w:t>(b)</w:t>
      </w:r>
    </w:p>
    <w:p>
      <w:pPr>
        <w:pStyle w:val="TextBody"/>
        <w:spacing w:before="0" w:after="0"/>
        <w:jc w:val="left"/>
        <w:rPr>
          <w:rFonts w:ascii="Arial;sans-serif" w:hAnsi="Arial;sans-serif"/>
          <w:b w:val="false"/>
          <w:sz w:val="16"/>
        </w:rPr>
      </w:pPr>
      <w:r>
        <w:rPr>
          <w:rFonts w:ascii="Arial;sans-serif" w:hAnsi="Arial;sans-serif"/>
          <w:b w:val="false"/>
          <w:sz w:val="16"/>
        </w:rPr>
        <w:t>On December 20, 2022, Moody’s reported Baa2 rating and maintained a Stable outlook.</w:t>
      </w:r>
    </w:p>
    <w:p>
      <w:pPr>
        <w:pStyle w:val="TextBody"/>
        <w:spacing w:before="0" w:after="0"/>
        <w:jc w:val="left"/>
        <w:rPr>
          <w:rFonts w:ascii="Arial" w:hAnsi="Arial"/>
          <w:b w:val="false"/>
          <w:sz w:val="16"/>
        </w:rPr>
      </w:pPr>
      <w:r>
        <w:rPr>
          <w:rFonts w:ascii="Arial" w:hAnsi="Arial"/>
          <w:b w:val="false"/>
          <w:sz w:val="16"/>
        </w:rPr>
        <w:t>(c)</w:t>
      </w:r>
    </w:p>
    <w:p>
      <w:pPr>
        <w:pStyle w:val="TextBody"/>
        <w:jc w:val="left"/>
        <w:rPr>
          <w:rFonts w:ascii="Arial;sans-serif" w:hAnsi="Arial;sans-serif"/>
          <w:b w:val="false"/>
          <w:sz w:val="16"/>
        </w:rPr>
      </w:pPr>
      <w:r>
        <w:rPr>
          <w:rFonts w:ascii="Arial;sans-serif" w:hAnsi="Arial;sans-serif"/>
          <w:b w:val="false"/>
          <w:sz w:val="16"/>
        </w:rPr>
        <w:t>On October 6, 2022, Fitch reported BBB+ rating and maintained a Stable outlook.</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represents the credit ratings of South Dakota Electric at March 31, 2023:</w:t>
      </w:r>
    </w:p>
    <w:p>
      <w:pPr>
        <w:pStyle w:val="TextBody"/>
        <w:spacing w:before="0" w:after="0"/>
        <w:jc w:val="left"/>
        <w:rPr/>
      </w:pPr>
      <w:r>
        <w:rPr/>
        <w:t> </w:t>
      </w:r>
    </w:p>
    <w:tbl>
      <w:tblPr>
        <w:tblW w:w="3332" w:type="dxa"/>
        <w:jc w:val="left"/>
        <w:tblInd w:w="0" w:type="dxa"/>
        <w:tblCellMar>
          <w:top w:w="28" w:type="dxa"/>
          <w:left w:w="28" w:type="dxa"/>
          <w:bottom w:w="28" w:type="dxa"/>
          <w:right w:w="28" w:type="dxa"/>
        </w:tblCellMar>
      </w:tblPr>
      <w:tblGrid>
        <w:gridCol w:w="1321"/>
        <w:gridCol w:w="2011"/>
      </w:tblGrid>
      <w:tr>
        <w:trPr/>
        <w:tc>
          <w:tcPr>
            <w:tcW w:w="1321"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1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Rating Agency</w:t>
            </w:r>
          </w:p>
        </w:tc>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Senior Secured Rating</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S&amp;P </w:t>
            </w:r>
            <w:r>
              <w:rPr>
                <w:rFonts w:ascii="Arial;sans-serif" w:hAnsi="Arial;sans-serif"/>
                <w:b w:val="false"/>
                <w:sz w:val="12"/>
              </w:rPr>
              <w:t>(a)</w:t>
            </w:r>
          </w:p>
        </w:tc>
        <w:tc>
          <w:tcPr>
            <w:tcW w:w="20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Fitch </w:t>
            </w:r>
            <w:r>
              <w:rPr>
                <w:rFonts w:ascii="Arial;sans-serif" w:hAnsi="Arial;sans-serif"/>
                <w:b w:val="false"/>
                <w:sz w:val="12"/>
              </w:rPr>
              <w:t>(b)</w:t>
            </w:r>
          </w:p>
        </w:tc>
        <w:tc>
          <w:tcPr>
            <w:tcW w:w="201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spacing w:before="0" w:after="0"/>
        <w:jc w:val="left"/>
        <w:rPr>
          <w:rFonts w:ascii="Arial;sans-serif" w:hAnsi="Arial;sans-serif"/>
          <w:b w:val="false"/>
          <w:sz w:val="16"/>
        </w:rPr>
      </w:pPr>
      <w:r>
        <w:rPr>
          <w:rFonts w:ascii="Arial;sans-serif" w:hAnsi="Arial;sans-serif"/>
          <w:b w:val="false"/>
          <w:sz w:val="16"/>
        </w:rPr>
        <w:t>On February 17, 2023, S&amp;P reported A rating.</w:t>
      </w:r>
    </w:p>
    <w:p>
      <w:pPr>
        <w:pStyle w:val="TextBody"/>
        <w:spacing w:before="0" w:after="0"/>
        <w:jc w:val="left"/>
        <w:rPr>
          <w:rFonts w:ascii="Arial" w:hAnsi="Arial"/>
          <w:b w:val="false"/>
          <w:sz w:val="16"/>
        </w:rPr>
      </w:pPr>
      <w:r>
        <w:rPr>
          <w:rFonts w:ascii="Arial" w:hAnsi="Arial"/>
          <w:b w:val="false"/>
          <w:sz w:val="16"/>
        </w:rPr>
        <w:t>(b)</w:t>
      </w:r>
    </w:p>
    <w:p>
      <w:pPr>
        <w:pStyle w:val="TextBody"/>
        <w:jc w:val="left"/>
        <w:rPr>
          <w:rFonts w:ascii="Arial;sans-serif" w:hAnsi="Arial;sans-serif"/>
          <w:b w:val="false"/>
          <w:sz w:val="16"/>
        </w:rPr>
      </w:pPr>
      <w:r>
        <w:rPr>
          <w:rFonts w:ascii="Arial;sans-serif" w:hAnsi="Arial;sans-serif"/>
          <w:b w:val="false"/>
          <w:sz w:val="16"/>
        </w:rPr>
        <w:t>On October 6, 2022, Fitch reported A rating.</w:t>
      </w:r>
    </w:p>
    <w:p>
      <w:pPr>
        <w:pStyle w:val="TextBody"/>
        <w:spacing w:before="0" w:after="0"/>
        <w:jc w:val="left"/>
        <w:rPr/>
      </w:pPr>
      <w:r>
        <w:rPr/>
        <w:t> </w:t>
      </w:r>
    </w:p>
    <w:p>
      <w:pPr>
        <w:pStyle w:val="TextBody"/>
        <w:spacing w:before="0" w:after="0"/>
        <w:jc w:val="left"/>
        <w:rPr>
          <w:rFonts w:ascii="Arial;sans-serif" w:hAnsi="Arial;sans-serif"/>
          <w:b/>
          <w:sz w:val="18"/>
        </w:rPr>
      </w:pPr>
      <w:bookmarkStart w:id="27" w:name="mda_liq_cap_require"/>
      <w:bookmarkEnd w:id="27"/>
      <w:r>
        <w:rPr>
          <w:rFonts w:ascii="Arial;sans-serif" w:hAnsi="Arial;sans-serif"/>
          <w:b/>
          <w:sz w:val="18"/>
        </w:rPr>
        <w:t>CAPITAL REQUIREMENTS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Capital Expenditures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96"/>
        <w:gridCol w:w="1078"/>
        <w:gridCol w:w="2163"/>
        <w:gridCol w:w="146"/>
        <w:gridCol w:w="239"/>
        <w:gridCol w:w="478"/>
        <w:gridCol w:w="146"/>
        <w:gridCol w:w="211"/>
        <w:gridCol w:w="421"/>
        <w:gridCol w:w="146"/>
        <w:gridCol w:w="211"/>
        <w:gridCol w:w="421"/>
        <w:gridCol w:w="146"/>
        <w:gridCol w:w="211"/>
        <w:gridCol w:w="421"/>
        <w:gridCol w:w="146"/>
        <w:gridCol w:w="211"/>
        <w:gridCol w:w="421"/>
        <w:gridCol w:w="193"/>
      </w:tblGrid>
      <w:tr>
        <w:trPr/>
        <w:tc>
          <w:tcPr>
            <w:tcW w:w="279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796" w:type="dxa"/>
            <w:tcBorders/>
            <w:shd w:fill="auto" w:val="clear"/>
            <w:vAlign w:val="center"/>
          </w:tcPr>
          <w:p>
            <w:pPr>
              <w:pStyle w:val="TableContents"/>
              <w:spacing w:before="0" w:after="0"/>
              <w:ind w:left="0" w:right="0" w:hanging="0"/>
              <w:jc w:val="left"/>
              <w:rPr/>
            </w:pPr>
            <w:r>
              <w:rPr/>
              <w:t> </w:t>
            </w:r>
          </w:p>
        </w:tc>
        <w:tc>
          <w:tcPr>
            <w:tcW w:w="32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Actual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82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Forecasted</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Capital Expenditures by Segment</w:t>
            </w:r>
          </w:p>
        </w:tc>
        <w:tc>
          <w:tcPr>
            <w:tcW w:w="32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Three Months Ended March 31, 2023 </w:t>
            </w:r>
            <w:r>
              <w:rPr>
                <w:rFonts w:ascii="Arial;sans-serif" w:hAnsi="Arial;sans-serif"/>
                <w:b w:val="false"/>
                <w:sz w:val="12"/>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2023 </w:t>
            </w:r>
            <w:r>
              <w:rPr>
                <w:rFonts w:ascii="Arial;sans-serif" w:hAnsi="Arial;sans-serif"/>
                <w:b w:val="false"/>
                <w:sz w:val="12"/>
              </w:rP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2027</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96" w:type="dxa"/>
            <w:tcBorders/>
            <w:shd w:fill="auto" w:val="clear"/>
            <w:vAlign w:val="center"/>
          </w:tcPr>
          <w:p>
            <w:pPr>
              <w:pStyle w:val="TableContents"/>
              <w:spacing w:before="0" w:after="0"/>
              <w:ind w:left="0" w:right="0" w:hanging="0"/>
              <w:jc w:val="left"/>
              <w:rPr>
                <w:rFonts w:ascii="Arial;sans-serif" w:hAnsi="Arial;sans-serif"/>
                <w:b w:val="false"/>
                <w:i/>
                <w:sz w:val="18"/>
              </w:rPr>
            </w:pPr>
            <w:r>
              <w:rPr>
                <w:rFonts w:ascii="Arial;sans-serif" w:hAnsi="Arial;sans-serif"/>
                <w:b w:val="false"/>
                <w:i/>
                <w:sz w:val="18"/>
              </w:rPr>
              <w:t>(in millions)</w:t>
            </w:r>
          </w:p>
        </w:tc>
        <w:tc>
          <w:tcPr>
            <w:tcW w:w="324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r>
      <w:tr>
        <w:trPr/>
        <w:tc>
          <w:tcPr>
            <w:tcW w:w="27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Electric Utilities</w:t>
            </w:r>
          </w:p>
        </w:tc>
        <w:tc>
          <w:tcPr>
            <w:tcW w:w="1078"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212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348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268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163</w:t>
            </w:r>
          </w:p>
        </w:tc>
        <w:tc>
          <w:tcPr>
            <w:tcW w:w="193" w:type="dxa"/>
            <w:tcBorders/>
            <w:shd w:fill="auto" w:val="clear"/>
            <w:vAlign w:val="center"/>
          </w:tcPr>
          <w:p>
            <w:pPr>
              <w:pStyle w:val="TableContents"/>
              <w:spacing w:before="0" w:after="0"/>
              <w:ind w:left="0" w:right="0" w:hanging="0"/>
              <w:jc w:val="left"/>
              <w:rPr/>
            </w:pPr>
            <w:r>
              <w:rPr/>
              <w:t> </w:t>
            </w:r>
          </w:p>
        </w:tc>
      </w:tr>
      <w:tr>
        <w:trPr/>
        <w:tc>
          <w:tcPr>
            <w:tcW w:w="27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Gas Utilities</w:t>
            </w:r>
          </w:p>
        </w:tc>
        <w:tc>
          <w:tcPr>
            <w:tcW w:w="1078" w:type="dxa"/>
            <w:tcBorders/>
            <w:shd w:fill="auto" w:val="clear"/>
            <w:vAlign w:val="center"/>
          </w:tcPr>
          <w:p>
            <w:pPr>
              <w:pStyle w:val="TableContents"/>
              <w:spacing w:before="0" w:after="0"/>
              <w:ind w:left="0" w:right="0" w:hanging="0"/>
              <w:jc w:val="left"/>
              <w:rPr/>
            </w:pPr>
            <w:r>
              <w:rPr/>
              <w:t> </w:t>
            </w:r>
          </w:p>
        </w:tc>
        <w:tc>
          <w:tcPr>
            <w:tcW w:w="21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55</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4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386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452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393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444</w:t>
            </w:r>
          </w:p>
        </w:tc>
        <w:tc>
          <w:tcPr>
            <w:tcW w:w="193" w:type="dxa"/>
            <w:tcBorders/>
            <w:shd w:fill="auto" w:val="clear"/>
            <w:vAlign w:val="center"/>
          </w:tcPr>
          <w:p>
            <w:pPr>
              <w:pStyle w:val="TableContents"/>
              <w:spacing w:before="0" w:after="0"/>
              <w:ind w:left="0" w:right="0" w:hanging="0"/>
              <w:jc w:val="left"/>
              <w:rPr/>
            </w:pPr>
            <w:r>
              <w:rPr/>
              <w:t> </w:t>
            </w:r>
          </w:p>
        </w:tc>
      </w:tr>
      <w:tr>
        <w:trPr/>
        <w:tc>
          <w:tcPr>
            <w:tcW w:w="2796"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Corporate and Other</w:t>
            </w:r>
          </w:p>
        </w:tc>
        <w:tc>
          <w:tcPr>
            <w:tcW w:w="1078" w:type="dxa"/>
            <w:tcBorders/>
            <w:shd w:fill="auto" w:val="clear"/>
            <w:vAlign w:val="center"/>
          </w:tcPr>
          <w:p>
            <w:pPr>
              <w:pStyle w:val="TableContents"/>
              <w:spacing w:before="0" w:after="0"/>
              <w:ind w:left="0" w:right="0" w:hanging="0"/>
              <w:jc w:val="left"/>
              <w:rPr/>
            </w:pPr>
            <w:r>
              <w:rPr/>
              <w:t> </w:t>
            </w:r>
          </w:p>
        </w:tc>
        <w:tc>
          <w:tcPr>
            <w:tcW w:w="2163"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478"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18</w:t>
            </w:r>
          </w:p>
        </w:tc>
        <w:tc>
          <w:tcPr>
            <w:tcW w:w="193" w:type="dxa"/>
            <w:tcBorders/>
            <w:shd w:fill="auto" w:val="clear"/>
            <w:vAlign w:val="center"/>
          </w:tcPr>
          <w:p>
            <w:pPr>
              <w:pStyle w:val="TableContents"/>
              <w:spacing w:before="0" w:after="0"/>
              <w:ind w:left="0" w:right="0" w:hanging="0"/>
              <w:jc w:val="left"/>
              <w:rPr/>
            </w:pPr>
            <w:r>
              <w:rPr/>
              <w:t> </w:t>
            </w:r>
          </w:p>
        </w:tc>
      </w:tr>
      <w:tr>
        <w:trPr/>
        <w:tc>
          <w:tcPr>
            <w:tcW w:w="2796" w:type="dxa"/>
            <w:tcBorders/>
            <w:shd w:fill="auto" w:val="clear"/>
            <w:vAlign w:val="center"/>
          </w:tcPr>
          <w:p>
            <w:pPr>
              <w:pStyle w:val="TableContents"/>
              <w:spacing w:before="0" w:after="0"/>
              <w:ind w:left="0" w:right="0" w:hanging="0"/>
              <w:jc w:val="left"/>
              <w:rPr>
                <w:rFonts w:ascii="Times New Roman" w:hAnsi="Times New Roman"/>
                <w:sz w:val="18"/>
              </w:rPr>
            </w:pPr>
            <w:r>
              <w:rPr>
                <w:rFonts w:ascii="Arial;sans-serif" w:hAnsi="Arial;sans-serif"/>
                <w:b w:val="false"/>
                <w:sz w:val="18"/>
              </w:rPr>
              <w:t xml:space="preserve">Incremental Projects </w:t>
            </w:r>
            <w:r>
              <w:rPr>
                <w:rFonts w:ascii="Arial;sans-serif" w:hAnsi="Arial;sans-serif"/>
                <w:b w:val="false"/>
                <w:sz w:val="12"/>
              </w:rPr>
              <w:t>(c)</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75</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96" w:type="dxa"/>
            <w:tcBorders/>
            <w:shd w:fill="auto" w:val="cle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21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700</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Arial" w:hAnsi="Arial"/>
          <w:b w:val="false"/>
          <w:sz w:val="16"/>
        </w:rPr>
      </w:pPr>
      <w:r>
        <w:rPr>
          <w:rFonts w:ascii="Arial" w:hAnsi="Arial"/>
          <w:b w:val="false"/>
          <w:sz w:val="16"/>
        </w:rPr>
        <w:t>(a)</w:t>
      </w:r>
    </w:p>
    <w:p>
      <w:pPr>
        <w:pStyle w:val="TextBody"/>
        <w:spacing w:before="0" w:after="0"/>
        <w:jc w:val="left"/>
        <w:rPr/>
      </w:pPr>
      <w:r>
        <w:rPr>
          <w:rFonts w:ascii="Arial;sans-serif" w:hAnsi="Arial;sans-serif"/>
          <w:b w:val="false"/>
          <w:sz w:val="16"/>
        </w:rPr>
        <w:t xml:space="preserve">Includes accruals for property, plant and equipment as disclosed in supplemental cash flow information in the </w:t>
      </w:r>
      <w:hyperlink w:anchor="stmt_cash_flows">
        <w:r>
          <w:rPr>
            <w:rStyle w:val="InternetLink"/>
            <w:rFonts w:ascii="Arial;sans-serif" w:hAnsi="Arial;sans-serif"/>
            <w:b w:val="false"/>
            <w:sz w:val="16"/>
            <w:u w:val="single"/>
          </w:rPr>
          <w:t>Consolidated Statements of Cash Flows</w:t>
        </w:r>
      </w:hyperlink>
      <w:r>
        <w:rPr/>
        <w:t xml:space="preserve"> </w:t>
      </w:r>
      <w:r>
        <w:rPr>
          <w:rFonts w:ascii="Arial;sans-serif" w:hAnsi="Arial;sans-serif"/>
          <w:b w:val="false"/>
          <w:sz w:val="16"/>
        </w:rPr>
        <w:t>in the Consolidated Financial Statements.</w:t>
      </w:r>
    </w:p>
    <w:p>
      <w:pPr>
        <w:pStyle w:val="TextBody"/>
        <w:spacing w:before="0" w:after="0"/>
        <w:jc w:val="left"/>
        <w:rPr>
          <w:rFonts w:ascii="Arial" w:hAnsi="Arial"/>
          <w:b w:val="false"/>
          <w:sz w:val="16"/>
        </w:rPr>
      </w:pPr>
      <w:r>
        <w:rPr>
          <w:rFonts w:ascii="Arial" w:hAnsi="Arial"/>
          <w:b w:val="false"/>
          <w:sz w:val="16"/>
        </w:rPr>
        <w:t>(b)</w:t>
      </w:r>
    </w:p>
    <w:p>
      <w:pPr>
        <w:pStyle w:val="TextBody"/>
        <w:spacing w:before="0" w:after="0"/>
        <w:jc w:val="left"/>
        <w:rPr>
          <w:rFonts w:ascii="Arial;sans-serif" w:hAnsi="Arial;sans-serif"/>
          <w:b w:val="false"/>
          <w:sz w:val="16"/>
        </w:rPr>
      </w:pPr>
      <w:r>
        <w:rPr>
          <w:rFonts w:ascii="Arial;sans-serif" w:hAnsi="Arial;sans-serif"/>
          <w:b w:val="false"/>
          <w:sz w:val="16"/>
        </w:rPr>
        <w:t>Includes actual capital expenditures for the three months ended March 31, 2023.</w:t>
      </w:r>
    </w:p>
    <w:p>
      <w:pPr>
        <w:pStyle w:val="TextBody"/>
        <w:spacing w:before="0" w:after="0"/>
        <w:jc w:val="left"/>
        <w:rPr>
          <w:rFonts w:ascii="Arial" w:hAnsi="Arial"/>
          <w:b w:val="false"/>
          <w:sz w:val="16"/>
        </w:rPr>
      </w:pPr>
      <w:r>
        <w:rPr>
          <w:rFonts w:ascii="Arial" w:hAnsi="Arial"/>
          <w:b w:val="false"/>
          <w:sz w:val="16"/>
        </w:rPr>
        <w:t>(c)</w:t>
      </w:r>
    </w:p>
    <w:p>
      <w:pPr>
        <w:pStyle w:val="TextBody"/>
        <w:jc w:val="left"/>
        <w:rPr>
          <w:rFonts w:ascii="Arial;sans-serif" w:hAnsi="Arial;sans-serif"/>
          <w:b w:val="false"/>
          <w:sz w:val="16"/>
        </w:rPr>
      </w:pPr>
      <w:r>
        <w:rPr>
          <w:rFonts w:ascii="Arial;sans-serif" w:hAnsi="Arial;sans-serif"/>
          <w:b w:val="false"/>
          <w:sz w:val="16"/>
        </w:rPr>
        <w:t>These represent projects that are being evaluated by our segments for timing, cost and other factors.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Dividends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Dividends paid on our common stock totaled $41 million for the three months ended March 31, 2023, or $0.625 per share per quarter. On April 24, 2023, our board of directors declared a quarterly dividend of $0.625 per share payable June 1, 2023, equivalent to an annual dividend of $2.50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Funding Status of Employee Benefit Plans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Based on the fair value of assets and estimated discount rate used to value benefit obligations as of March 31, 2023, we estimate the unfunded status of our employee benefit plans to be approximately $32 million compared to $35 million at December 31, 2022. We have implemented various de-risking strategies including lump sum buyouts, the purchase of annuities and the reduction of return-seeking assets over time to a more liability-hedged portfolio. As a result, recent capital markets volatility had a limited impact to our funded status and does not require interim re-measurement of our pension plan assets or defined benefit obligations.</w:t>
      </w:r>
    </w:p>
    <w:p>
      <w:pPr>
        <w:pStyle w:val="TextBody"/>
        <w:spacing w:before="0" w:after="0"/>
        <w:jc w:val="left"/>
        <w:rPr/>
      </w:pPr>
      <w:r>
        <w:rPr/>
        <w:t> </w:t>
      </w:r>
    </w:p>
    <w:p>
      <w:pPr>
        <w:pStyle w:val="TextBody"/>
        <w:spacing w:before="0" w:after="0"/>
        <w:jc w:val="center"/>
        <w:rPr>
          <w:rFonts w:ascii="Arial;sans-serif" w:hAnsi="Arial;sans-serif"/>
          <w:b/>
          <w:sz w:val="18"/>
        </w:rPr>
      </w:pPr>
      <w:bookmarkStart w:id="28" w:name="mda_critical_acct_est"/>
      <w:bookmarkEnd w:id="28"/>
      <w:r>
        <w:rPr>
          <w:rFonts w:ascii="Arial;sans-serif" w:hAnsi="Arial;sans-serif"/>
          <w:b/>
          <w:sz w:val="18"/>
        </w:rPr>
        <w:t>Critical Accounting Estimates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A summary of our critical accounting estimates is included in our 2022 Annual Report on Form 10-K. There were no material changes made as of March 31, 2023.</w:t>
      </w:r>
    </w:p>
    <w:p>
      <w:pPr>
        <w:pStyle w:val="TextBody"/>
        <w:spacing w:before="0" w:after="0"/>
        <w:jc w:val="center"/>
        <w:rPr>
          <w:rFonts w:ascii="Arial;sans-serif" w:hAnsi="Arial;sans-serif"/>
          <w:b w:val="false"/>
          <w:sz w:val="18"/>
        </w:rPr>
      </w:pPr>
      <w:r>
        <w:rPr>
          <w:rFonts w:ascii="Arial;sans-serif" w:hAnsi="Arial;sans-serif"/>
          <w:b w:val="false"/>
          <w:sz w:val="18"/>
        </w:rPr>
        <w:t>35</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bookmarkStart w:id="29" w:name="mda_new_acctg_pronounce"/>
      <w:bookmarkEnd w:id="29"/>
      <w:r>
        <w:rPr>
          <w:rFonts w:ascii="Arial;sans-serif" w:hAnsi="Arial;sans-serif"/>
          <w:b/>
          <w:sz w:val="18"/>
        </w:rPr>
        <w:t>New Accounting Pronouncements</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Other than the pronouncements reported in our 2022 Annual Report on Form 10-K and those discussed in </w:t>
      </w:r>
      <w:hyperlink w:anchor="fn1_mgmt_stmt">
        <w:r>
          <w:rPr>
            <w:rStyle w:val="InternetLink"/>
            <w:rFonts w:ascii="Arial;sans-serif" w:hAnsi="Arial;sans-serif"/>
            <w:b w:val="false"/>
            <w:sz w:val="18"/>
            <w:u w:val="single"/>
          </w:rPr>
          <w:t>Note 1</w:t>
        </w:r>
      </w:hyperlink>
      <w:r>
        <w:rPr>
          <w:rFonts w:ascii="Times New Roman" w:hAnsi="Times New Roman"/>
          <w:sz w:val="20"/>
        </w:rPr>
        <w:t xml:space="preserve"> </w:t>
      </w:r>
      <w:r>
        <w:rPr>
          <w:rFonts w:ascii="Arial;sans-serif" w:hAnsi="Arial;sans-serif"/>
          <w:b w:val="false"/>
          <w:sz w:val="18"/>
        </w:rPr>
        <w:t>of the Condensed Notes to Consolidated Financial Statements, there have been no new accounting pronouncements that are expected to have a material effect on our financial position, results of operations or cash flows.</w:t>
      </w:r>
    </w:p>
    <w:p>
      <w:pPr>
        <w:pStyle w:val="TextBody"/>
        <w:spacing w:before="0" w:after="0"/>
        <w:jc w:val="left"/>
        <w:rPr/>
      </w:pPr>
      <w:r>
        <w:rPr/>
        <w:t> </w:t>
      </w:r>
    </w:p>
    <w:p>
      <w:pPr>
        <w:pStyle w:val="TextBody"/>
        <w:spacing w:before="0" w:after="0"/>
        <w:jc w:val="left"/>
        <w:rPr>
          <w:rFonts w:ascii="Arial;sans-serif" w:hAnsi="Arial;sans-serif"/>
          <w:b/>
          <w:sz w:val="18"/>
        </w:rPr>
      </w:pPr>
      <w:bookmarkStart w:id="30" w:name="item3_quan_qual_discl"/>
      <w:bookmarkEnd w:id="30"/>
      <w:r>
        <w:rPr>
          <w:rFonts w:ascii="Arial;sans-serif" w:hAnsi="Arial;sans-serif"/>
          <w:b/>
          <w:sz w:val="18"/>
        </w:rPr>
        <w:t>ITEM 3. QUANTITATIVE AND QUALITATIVE DISCLOSURES ABOUT MARKET RISK</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There have been no material changes to our quantitative and qualitative disclosures about market risk previously disclosed in Item 7A of our 2022 Annual Report on Form 10-K.</w:t>
      </w:r>
    </w:p>
    <w:p>
      <w:pPr>
        <w:pStyle w:val="TextBody"/>
        <w:spacing w:before="0" w:after="0"/>
        <w:jc w:val="left"/>
        <w:rPr/>
      </w:pPr>
      <w:r>
        <w:rPr/>
        <w:t> </w:t>
      </w:r>
    </w:p>
    <w:p>
      <w:pPr>
        <w:pStyle w:val="TextBody"/>
        <w:spacing w:before="0" w:after="0"/>
        <w:jc w:val="left"/>
        <w:rPr>
          <w:rFonts w:ascii="Arial;sans-serif" w:hAnsi="Arial;sans-serif"/>
          <w:b/>
          <w:sz w:val="18"/>
        </w:rPr>
      </w:pPr>
      <w:bookmarkStart w:id="31" w:name="item4_controls_procedures"/>
      <w:bookmarkEnd w:id="31"/>
      <w:r>
        <w:rPr>
          <w:rFonts w:ascii="Arial;sans-serif" w:hAnsi="Arial;sans-serif"/>
          <w:b/>
          <w:sz w:val="18"/>
        </w:rPr>
        <w:t>ITEM 4. CONTROLS AND PROCEDURES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Our Chief Executive Officer and Chief Financial Officer evaluated the effectiveness of our disclosure controls and procedures (as defined in Rules 13a-15(e) and 15d-15(e) of the Securities Exchange Act of 1934, as amended (the “Exchange Act”)) as of March 31, 2023. Based on their evaluation, they have concluded that our disclosure controls and procedures were effective at March 31, 2023.</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Changes in Internal Control over Financial Reporting</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During the quarter ended March 31, 2023, there have been no changes in our internal controls over financial reporting that have materially affected or are reasonably likely to materially affect our internal control over financial reporting.</w:t>
      </w:r>
    </w:p>
    <w:p>
      <w:pPr>
        <w:pStyle w:val="TextBody"/>
        <w:spacing w:before="0" w:after="0"/>
        <w:jc w:val="left"/>
        <w:rPr/>
      </w:pPr>
      <w:r>
        <w:rPr/>
        <w:t> </w:t>
      </w:r>
    </w:p>
    <w:p>
      <w:pPr>
        <w:pStyle w:val="TextBody"/>
        <w:spacing w:before="0" w:after="0"/>
        <w:jc w:val="left"/>
        <w:rPr>
          <w:rFonts w:ascii="Arial;sans-serif" w:hAnsi="Arial;sans-serif"/>
          <w:b/>
          <w:sz w:val="18"/>
        </w:rPr>
      </w:pPr>
      <w:bookmarkStart w:id="32" w:name="partii_other_info"/>
      <w:bookmarkEnd w:id="32"/>
      <w:r>
        <w:rPr>
          <w:rFonts w:ascii="Arial;sans-serif" w:hAnsi="Arial;sans-serif"/>
          <w:b/>
          <w:sz w:val="18"/>
        </w:rPr>
        <w:t>PART II. OTHER INFORMATION</w:t>
      </w:r>
    </w:p>
    <w:p>
      <w:pPr>
        <w:pStyle w:val="TextBody"/>
        <w:spacing w:before="0" w:after="0"/>
        <w:jc w:val="left"/>
        <w:rPr/>
      </w:pPr>
      <w:r>
        <w:rPr/>
        <w:t> </w:t>
      </w:r>
    </w:p>
    <w:p>
      <w:pPr>
        <w:pStyle w:val="TextBody"/>
        <w:spacing w:before="0" w:after="0"/>
        <w:jc w:val="left"/>
        <w:rPr>
          <w:rFonts w:ascii="Arial;sans-serif" w:hAnsi="Arial;sans-serif"/>
          <w:b/>
          <w:sz w:val="18"/>
        </w:rPr>
      </w:pPr>
      <w:bookmarkStart w:id="33" w:name="partii_item1_legal_proceed"/>
      <w:bookmarkEnd w:id="33"/>
      <w:r>
        <w:rPr>
          <w:rFonts w:ascii="Arial;sans-serif" w:hAnsi="Arial;sans-serif"/>
          <w:b/>
          <w:sz w:val="18"/>
        </w:rPr>
        <w:t>ITEM 1. LEGAL PROCEEDINGS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For information regarding legal proceedings, see Note 3 in Item 8 of our 2022 Annual Report on Form 10-K.</w:t>
      </w:r>
    </w:p>
    <w:p>
      <w:pPr>
        <w:pStyle w:val="TextBody"/>
        <w:spacing w:before="0" w:after="0"/>
        <w:jc w:val="left"/>
        <w:rPr/>
      </w:pPr>
      <w:r>
        <w:rPr/>
        <w:t> </w:t>
      </w:r>
    </w:p>
    <w:p>
      <w:pPr>
        <w:pStyle w:val="TextBody"/>
        <w:spacing w:before="0" w:after="0"/>
        <w:jc w:val="left"/>
        <w:rPr>
          <w:rFonts w:ascii="Arial;sans-serif" w:hAnsi="Arial;sans-serif"/>
          <w:b/>
          <w:sz w:val="18"/>
        </w:rPr>
      </w:pPr>
      <w:bookmarkStart w:id="34" w:name="partii_item1a_risk_factors"/>
      <w:bookmarkEnd w:id="34"/>
      <w:r>
        <w:rPr>
          <w:rFonts w:ascii="Arial;sans-serif" w:hAnsi="Arial;sans-serif"/>
          <w:b/>
          <w:sz w:val="18"/>
        </w:rPr>
        <w:t>ITEM 1A. RISK FACTORS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There are no material changes to the risk factors previously disclosed in Item 1A of Part I in our 2022 Annual Report on Form 10-K.</w:t>
      </w:r>
    </w:p>
    <w:p>
      <w:pPr>
        <w:pStyle w:val="TextBody"/>
        <w:spacing w:before="0" w:after="0"/>
        <w:jc w:val="left"/>
        <w:rPr/>
      </w:pPr>
      <w:r>
        <w:rPr/>
        <w:t> </w:t>
      </w:r>
    </w:p>
    <w:p>
      <w:pPr>
        <w:pStyle w:val="TextBody"/>
        <w:spacing w:before="0" w:after="0"/>
        <w:jc w:val="left"/>
        <w:rPr>
          <w:rFonts w:ascii="Arial;sans-serif" w:hAnsi="Arial;sans-serif"/>
          <w:b/>
          <w:sz w:val="18"/>
        </w:rPr>
      </w:pPr>
      <w:bookmarkStart w:id="35" w:name="partii_item2_unreg_sales"/>
      <w:bookmarkEnd w:id="35"/>
      <w:r>
        <w:rPr>
          <w:rFonts w:ascii="Arial;sans-serif" w:hAnsi="Arial;sans-serif"/>
          <w:b/>
          <w:sz w:val="18"/>
        </w:rPr>
        <w:t>ITEM 2. UNREGISTERED SALES OF EQUITY SECURITIES AND USE OF PROCEEDS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following table contains monthly information about our acquisitions of equity securities for the three months ended March 31, 2023:</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25"/>
        <w:gridCol w:w="257"/>
        <w:gridCol w:w="1191"/>
        <w:gridCol w:w="146"/>
        <w:gridCol w:w="312"/>
        <w:gridCol w:w="850"/>
        <w:gridCol w:w="146"/>
        <w:gridCol w:w="1078"/>
        <w:gridCol w:w="1230"/>
        <w:gridCol w:w="146"/>
        <w:gridCol w:w="1368"/>
        <w:gridCol w:w="1561"/>
        <w:gridCol w:w="495"/>
      </w:tblGrid>
      <w:tr>
        <w:trPr/>
        <w:tc>
          <w:tcPr>
            <w:tcW w:w="142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14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Period</w:t>
            </w:r>
          </w:p>
        </w:tc>
        <w:tc>
          <w:tcPr>
            <w:tcW w:w="14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Arial;sans-serif" w:hAnsi="Arial;sans-serif"/>
                <w:b w:val="false"/>
                <w:sz w:val="18"/>
              </w:rPr>
              <w:t xml:space="preserve">Total Number of Shares Purchased </w:t>
            </w:r>
            <w:r>
              <w:rPr>
                <w:rFonts w:ascii="Arial;sans-serif" w:hAnsi="Arial;sans-serif"/>
                <w:b w:val="false"/>
                <w:sz w:val="12"/>
              </w:rP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Average Price 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Total Number of Shares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Maximum Number (or Approximate Dollar Value) of Shares That May Yet Be Purchased Under the Plans or Programs</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January 1, 2023 - January 31, 2023</w:t>
            </w:r>
          </w:p>
        </w:tc>
        <w:tc>
          <w:tcPr>
            <w:tcW w:w="257" w:type="dxa"/>
            <w:tcBorders/>
            <w:shd w:fill="auto" w:val="clear"/>
            <w:vAlign w:val="center"/>
          </w:tcPr>
          <w:p>
            <w:pPr>
              <w:pStyle w:val="TableContents"/>
              <w:spacing w:before="0" w:after="0"/>
              <w:ind w:left="0" w:right="0" w:hanging="0"/>
              <w:jc w:val="left"/>
              <w:rPr/>
            </w:pPr>
            <w:r>
              <w:rPr/>
              <w:t> </w:t>
            </w:r>
          </w:p>
        </w:tc>
        <w:tc>
          <w:tcPr>
            <w:tcW w:w="11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70.33</w:t>
            </w:r>
          </w:p>
        </w:tc>
        <w:tc>
          <w:tcPr>
            <w:tcW w:w="146"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left"/>
              <w:rPr/>
            </w:pPr>
            <w:r>
              <w:rPr/>
              <w:t> </w:t>
            </w:r>
          </w:p>
        </w:tc>
        <w:tc>
          <w:tcPr>
            <w:tcW w:w="12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368" w:type="dxa"/>
            <w:tcBorders/>
            <w:shd w:fill="auto" w:val="clear"/>
            <w:vAlign w:val="center"/>
          </w:tcPr>
          <w:p>
            <w:pPr>
              <w:pStyle w:val="TableContents"/>
              <w:spacing w:before="0" w:after="0"/>
              <w:ind w:left="0" w:right="0" w:hanging="0"/>
              <w:jc w:val="left"/>
              <w:rPr/>
            </w:pPr>
            <w:r>
              <w:rPr/>
              <w:t> </w:t>
            </w:r>
          </w:p>
        </w:tc>
        <w:tc>
          <w:tcPr>
            <w:tcW w:w="15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95" w:type="dxa"/>
            <w:tcBorders/>
            <w:shd w:fill="auto" w:val="clear"/>
            <w:vAlign w:val="center"/>
          </w:tcPr>
          <w:p>
            <w:pPr>
              <w:pStyle w:val="TableContents"/>
              <w:spacing w:before="0" w:after="0"/>
              <w:ind w:left="0" w:right="0" w:hanging="0"/>
              <w:jc w:val="left"/>
              <w:rPr/>
            </w:pPr>
            <w:r>
              <w:rPr/>
              <w:t> </w:t>
            </w:r>
          </w:p>
        </w:tc>
      </w:tr>
      <w:tr>
        <w:trPr/>
        <w:tc>
          <w:tcPr>
            <w:tcW w:w="14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February 1, 2023 - February 28, 2023</w:t>
            </w:r>
          </w:p>
        </w:tc>
        <w:tc>
          <w:tcPr>
            <w:tcW w:w="257" w:type="dxa"/>
            <w:tcBorders/>
            <w:shd w:fill="auto" w:val="clear"/>
            <w:vAlign w:val="center"/>
          </w:tcPr>
          <w:p>
            <w:pPr>
              <w:pStyle w:val="TableContents"/>
              <w:spacing w:before="0" w:after="0"/>
              <w:ind w:left="0" w:right="0" w:hanging="0"/>
              <w:jc w:val="left"/>
              <w:rPr/>
            </w:pPr>
            <w:r>
              <w:rPr/>
              <w:t> </w:t>
            </w:r>
          </w:p>
        </w:tc>
        <w:tc>
          <w:tcPr>
            <w:tcW w:w="119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12,235</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64.14</w:t>
            </w:r>
          </w:p>
        </w:tc>
        <w:tc>
          <w:tcPr>
            <w:tcW w:w="146" w:type="dxa"/>
            <w:tcBorders/>
            <w:shd w:fill="auto" w:val="clear"/>
            <w:vAlign w:val="center"/>
          </w:tcPr>
          <w:p>
            <w:pPr>
              <w:pStyle w:val="TableContents"/>
              <w:spacing w:before="0" w:after="0"/>
              <w:ind w:left="0" w:right="0" w:hanging="0"/>
              <w:jc w:val="left"/>
              <w:rPr/>
            </w:pPr>
            <w:r>
              <w:rPr/>
              <w:t> </w:t>
            </w:r>
          </w:p>
        </w:tc>
        <w:tc>
          <w:tcPr>
            <w:tcW w:w="1078" w:type="dxa"/>
            <w:tcBorders/>
            <w:shd w:fill="auto" w:val="clear"/>
            <w:vAlign w:val="center"/>
          </w:tcPr>
          <w:p>
            <w:pPr>
              <w:pStyle w:val="TableContents"/>
              <w:spacing w:before="0" w:after="0"/>
              <w:ind w:left="0" w:right="0" w:hanging="0"/>
              <w:jc w:val="left"/>
              <w:rPr/>
            </w:pPr>
            <w:r>
              <w:rPr/>
              <w:t> </w:t>
            </w:r>
          </w:p>
        </w:tc>
        <w:tc>
          <w:tcPr>
            <w:tcW w:w="1230"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368" w:type="dxa"/>
            <w:tcBorders/>
            <w:shd w:fill="auto" w:val="clear"/>
            <w:vAlign w:val="center"/>
          </w:tcPr>
          <w:p>
            <w:pPr>
              <w:pStyle w:val="TableContents"/>
              <w:spacing w:before="0" w:after="0"/>
              <w:ind w:left="0" w:right="0" w:hanging="0"/>
              <w:jc w:val="left"/>
              <w:rPr/>
            </w:pPr>
            <w:r>
              <w:rPr/>
              <w:t> </w:t>
            </w:r>
          </w:p>
        </w:tc>
        <w:tc>
          <w:tcPr>
            <w:tcW w:w="1561"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95" w:type="dxa"/>
            <w:tcBorders/>
            <w:shd w:fill="auto" w:val="clear"/>
            <w:vAlign w:val="center"/>
          </w:tcPr>
          <w:p>
            <w:pPr>
              <w:pStyle w:val="TableContents"/>
              <w:spacing w:before="0" w:after="0"/>
              <w:ind w:left="0" w:right="0" w:hanging="0"/>
              <w:jc w:val="left"/>
              <w:rPr/>
            </w:pPr>
            <w:r>
              <w:rPr/>
              <w:t> </w:t>
            </w:r>
          </w:p>
        </w:tc>
      </w:tr>
      <w:tr>
        <w:trPr/>
        <w:tc>
          <w:tcPr>
            <w:tcW w:w="1425"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March 1, 2023 - March 31, 2023</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61.15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425" w:type="dxa"/>
            <w:tcBorders/>
            <w:shd w:fill="auto" w:val="clear"/>
            <w:vAlign w:val="center"/>
          </w:tcPr>
          <w:p>
            <w:pPr>
              <w:pStyle w:val="TableContents"/>
              <w:spacing w:before="0" w:after="0"/>
              <w:ind w:left="300" w:right="0" w:hanging="0"/>
              <w:jc w:val="left"/>
              <w:rPr>
                <w:rFonts w:ascii="Arial;sans-serif" w:hAnsi="Arial;sans-serif"/>
                <w:b w:val="false"/>
                <w:sz w:val="18"/>
              </w:rPr>
            </w:pPr>
            <w:r>
              <w:rPr>
                <w:rFonts w:ascii="Arial;sans-serif" w:hAnsi="Arial;sans-serif"/>
                <w:b w:val="false"/>
                <w:sz w:val="18"/>
              </w:rPr>
              <w:t>Total</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12,238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64.14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6" w:space="1" w:color="000000"/>
        </w:pBdr>
        <w:spacing w:before="0" w:after="0"/>
        <w:jc w:val="left"/>
        <w:rPr/>
      </w:pPr>
      <w:r>
        <w:rPr/>
        <w:t> </w:t>
      </w:r>
    </w:p>
    <w:p>
      <w:pPr>
        <w:pStyle w:val="TextBody"/>
        <w:spacing w:before="40" w:after="0"/>
        <w:jc w:val="left"/>
        <w:rPr>
          <w:rFonts w:ascii="Arial" w:hAnsi="Arial"/>
          <w:b w:val="false"/>
          <w:sz w:val="16"/>
        </w:rPr>
      </w:pPr>
      <w:r>
        <w:rPr>
          <w:rFonts w:ascii="Arial" w:hAnsi="Arial"/>
          <w:b w:val="false"/>
          <w:sz w:val="16"/>
        </w:rPr>
        <w:t>(a)</w:t>
      </w:r>
    </w:p>
    <w:p>
      <w:pPr>
        <w:pStyle w:val="TextBody"/>
        <w:spacing w:before="40" w:after="283"/>
        <w:jc w:val="left"/>
        <w:rPr>
          <w:rFonts w:ascii="Arial;sans-serif" w:hAnsi="Arial;sans-serif"/>
          <w:b w:val="false"/>
          <w:sz w:val="16"/>
        </w:rPr>
      </w:pPr>
      <w:r>
        <w:rPr>
          <w:rFonts w:ascii="Arial;sans-serif" w:hAnsi="Arial;sans-serif"/>
          <w:b w:val="false"/>
          <w:sz w:val="16"/>
        </w:rPr>
        <w:t>Shares were acquired under the share withholding provisions of the Amended and Restated 2015 Omnibus Incentive Plan for payment of taxes associated with the vesting of various equity compensation plans.</w:t>
      </w:r>
    </w:p>
    <w:p>
      <w:pPr>
        <w:pStyle w:val="TextBody"/>
        <w:spacing w:before="0" w:after="0"/>
        <w:jc w:val="left"/>
        <w:rPr/>
      </w:pPr>
      <w:r>
        <w:rPr/>
        <w:t> </w:t>
      </w:r>
    </w:p>
    <w:p>
      <w:pPr>
        <w:pStyle w:val="TextBody"/>
        <w:spacing w:before="0" w:after="0"/>
        <w:jc w:val="left"/>
        <w:rPr>
          <w:rFonts w:ascii="Arial;sans-serif" w:hAnsi="Arial;sans-serif"/>
          <w:b/>
          <w:sz w:val="18"/>
        </w:rPr>
      </w:pPr>
      <w:bookmarkStart w:id="36" w:name="partii_item4_mine_safety"/>
      <w:bookmarkEnd w:id="36"/>
      <w:r>
        <w:rPr>
          <w:rFonts w:ascii="Arial;sans-serif" w:hAnsi="Arial;sans-serif"/>
          <w:b/>
          <w:sz w:val="18"/>
        </w:rPr>
        <w:t>ITEM 4. MINE SAFETY DISCLOSURES</w:t>
      </w:r>
    </w:p>
    <w:p>
      <w:pPr>
        <w:pStyle w:val="TextBody"/>
        <w:spacing w:before="0" w:after="0"/>
        <w:jc w:val="left"/>
        <w:rPr/>
      </w:pPr>
      <w:r>
        <w:rPr/>
        <w:t> </w:t>
      </w:r>
    </w:p>
    <w:p>
      <w:pPr>
        <w:pStyle w:val="TextBody"/>
        <w:spacing w:before="0" w:after="0"/>
        <w:jc w:val="left"/>
        <w:rPr/>
      </w:pPr>
      <w:r>
        <w:rPr>
          <w:rFonts w:ascii="Arial;sans-serif" w:hAnsi="Arial;sans-serif"/>
          <w:b w:val="false"/>
          <w:sz w:val="18"/>
        </w:rPr>
        <w:t xml:space="preserve">Information concerning mine safety violations or other regulatory matters required by Sections 1503(a) of the Dodd-Frank Wall Street Reform and Consumer Protection Act is included in </w:t>
      </w:r>
      <w:hyperlink w:anchor="bkh-ex95.htm">
        <w:r>
          <w:rPr>
            <w:rStyle w:val="InternetLink"/>
            <w:rFonts w:ascii="Arial;sans-serif" w:hAnsi="Arial;sans-serif"/>
            <w:b w:val="false"/>
            <w:sz w:val="18"/>
            <w:u w:val="single"/>
          </w:rPr>
          <w:t>Exhibit 95</w:t>
        </w:r>
      </w:hyperlink>
      <w:r>
        <w:rPr>
          <w:rFonts w:ascii="Arial;sans-serif" w:hAnsi="Arial;sans-serif"/>
          <w:b w:val="false"/>
          <w:sz w:val="18"/>
        </w:rPr>
        <w:t>.</w:t>
      </w:r>
    </w:p>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36</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sz w:val="18"/>
        </w:rPr>
      </w:pPr>
      <w:bookmarkStart w:id="37" w:name="partii_item6_exhibits"/>
      <w:bookmarkEnd w:id="37"/>
      <w:r>
        <w:rPr>
          <w:rFonts w:ascii="Arial;sans-serif" w:hAnsi="Arial;sans-serif"/>
          <w:b/>
          <w:sz w:val="18"/>
        </w:rPr>
        <w:t>ITEM 6. EXHIBITS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Exhibits filed herewithin are designated by an asterisk (*). All exhibits not so designated are incorporated by reference to a prior filing, as indicated. Items constituting a board of director or management compensatory plan are designated by a cross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74"/>
        <w:gridCol w:w="9031"/>
      </w:tblGrid>
      <w:tr>
        <w:trPr/>
        <w:tc>
          <w:tcPr>
            <w:tcW w:w="1174" w:type="dxa"/>
            <w:tcBorders/>
            <w:shd w:fill="auto" w:val="clear"/>
            <w:vAlign w:val="center"/>
          </w:tcPr>
          <w:p>
            <w:pPr>
              <w:pStyle w:val="TableContents"/>
              <w:spacing w:before="0" w:after="283"/>
              <w:rPr>
                <w:sz w:val="4"/>
                <w:szCs w:val="4"/>
              </w:rPr>
            </w:pPr>
            <w:r>
              <w:rPr>
                <w:sz w:val="4"/>
                <w:szCs w:val="4"/>
              </w:rPr>
            </w:r>
          </w:p>
        </w:tc>
        <w:tc>
          <w:tcPr>
            <w:tcW w:w="9031" w:type="dxa"/>
            <w:tcBorders/>
            <w:shd w:fill="auto" w:val="clear"/>
            <w:vAlign w:val="center"/>
          </w:tcPr>
          <w:p>
            <w:pPr>
              <w:pStyle w:val="TableContents"/>
              <w:spacing w:before="0" w:after="283"/>
              <w:rPr>
                <w:sz w:val="4"/>
                <w:szCs w:val="4"/>
              </w:rPr>
            </w:pPr>
            <w:r>
              <w:rPr>
                <w:sz w:val="4"/>
                <w:szCs w:val="4"/>
              </w:rPr>
            </w:r>
          </w:p>
        </w:tc>
      </w:tr>
      <w:tr>
        <w:trPr/>
        <w:tc>
          <w:tcPr>
            <w:tcW w:w="1174" w:type="dxa"/>
            <w:tcBorders>
              <w:bottom w:val="single" w:sz="8" w:space="0" w:color="000000"/>
            </w:tcBorders>
            <w:shd w:fill="auto" w:val="clear"/>
            <w:tcMar>
              <w:top w:w="0" w:type="dxa"/>
              <w:left w:w="0" w:type="dxa"/>
              <w:right w:w="0" w:type="dxa"/>
            </w:tcMar>
            <w:vAlign w:val="center"/>
          </w:tcPr>
          <w:p>
            <w:pPr>
              <w:pStyle w:val="TableContents"/>
              <w:spacing w:before="53" w:after="30"/>
              <w:ind w:left="0" w:right="0" w:hanging="0"/>
              <w:jc w:val="center"/>
              <w:rPr>
                <w:rFonts w:ascii="Arial;sans-serif" w:hAnsi="Arial;sans-serif"/>
                <w:b/>
                <w:sz w:val="18"/>
              </w:rPr>
            </w:pPr>
            <w:r>
              <w:rPr>
                <w:rFonts w:ascii="Arial;sans-serif" w:hAnsi="Arial;sans-serif"/>
                <w:b/>
                <w:sz w:val="18"/>
              </w:rPr>
              <w:t>Exhibit Number</w:t>
            </w:r>
          </w:p>
        </w:tc>
        <w:tc>
          <w:tcPr>
            <w:tcW w:w="903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Description</w:t>
            </w:r>
          </w:p>
        </w:tc>
      </w:tr>
      <w:tr>
        <w:trPr/>
        <w:tc>
          <w:tcPr>
            <w:tcW w:w="117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0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4.1</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r:id="rId2">
              <w:r>
                <w:rPr>
                  <w:rStyle w:val="InternetLink"/>
                  <w:rFonts w:ascii="Arial;sans-serif" w:hAnsi="Arial;sans-serif"/>
                  <w:b w:val="false"/>
                  <w:sz w:val="18"/>
                  <w:u w:val="single"/>
                </w:rPr>
                <w:t>Eleventh Supplemental Indenture dated as of March 7, 2023 (filed as Exhibit 4.1 to the Registrant's Form 8-K filed on March 7, 2023).</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10_1.htm">
              <w:r>
                <w:rPr>
                  <w:rStyle w:val="InternetLink"/>
                  <w:rFonts w:ascii="Arial;sans-serif" w:hAnsi="Arial;sans-serif"/>
                  <w:b w:val="false"/>
                  <w:sz w:val="18"/>
                  <w:u w:val="single"/>
                </w:rPr>
                <w:t>Letter Agreement between Black Hills Corporation and Jennifer C. Landis</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31.1*</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31_1.htm">
              <w:r>
                <w:rPr>
                  <w:rStyle w:val="InternetLink"/>
                  <w:rFonts w:ascii="Arial;sans-serif" w:hAnsi="Arial;sans-serif"/>
                  <w:b w:val="false"/>
                  <w:sz w:val="18"/>
                  <w:u w:val="single"/>
                </w:rPr>
                <w:t>Certification of Chief Executive Officer pursuant to Rule 13a - 14(a) of the Securities Exchange Act of 1934, as adopted pursuant to Section 302 of the Sarbanes - Oxley Act of 2002.</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31.2*</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31_2.htm">
              <w:r>
                <w:rPr>
                  <w:rStyle w:val="InternetLink"/>
                  <w:rFonts w:ascii="Arial;sans-serif" w:hAnsi="Arial;sans-serif"/>
                  <w:b w:val="false"/>
                  <w:sz w:val="18"/>
                  <w:u w:val="single"/>
                </w:rPr>
                <w:t>Certification of Chief Financial Officer pursuant to Rule 13a - 14(a) of the Securities Exchange Act of 1934, as adopted pursuant to Section 302 of the Sarbanes - Oxley Act of 2002.</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32.1*</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32_1.htm">
              <w:r>
                <w:rPr>
                  <w:rStyle w:val="InternetLink"/>
                  <w:rFonts w:ascii="Arial;sans-serif" w:hAnsi="Arial;sans-serif"/>
                  <w:b w:val="false"/>
                  <w:sz w:val="18"/>
                  <w:u w:val="single"/>
                </w:rPr>
                <w:t>Certification of Chief Executive Officer pursuant to 18 U.S.C. Section 1350, as adopted pursuant to Section 906 of the Sarbanes - Oxley Act of 2002.</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32.2*</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32_2.htm">
              <w:r>
                <w:rPr>
                  <w:rStyle w:val="InternetLink"/>
                  <w:rFonts w:ascii="Arial;sans-serif" w:hAnsi="Arial;sans-serif"/>
                  <w:b w:val="false"/>
                  <w:sz w:val="18"/>
                  <w:u w:val="single"/>
                </w:rPr>
                <w:t>Certification of Chief Financial Officer pursuant to 18 U.S.C. Section 1350, as adopted pursuant to Section 906 of the Sarbanes - Oxley Act of 2002.</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95*</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pPr>
            <w:hyperlink w:anchor="bkh-ex95.htm">
              <w:r>
                <w:rPr>
                  <w:rStyle w:val="InternetLink"/>
                  <w:rFonts w:ascii="Arial;sans-serif" w:hAnsi="Arial;sans-serif"/>
                  <w:b w:val="false"/>
                  <w:sz w:val="18"/>
                  <w:u w:val="single"/>
                </w:rPr>
                <w:t>Mine Safety and Health Administration Safety Data.</w:t>
              </w:r>
            </w:hyperlink>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101.INS*</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Instance Document - the instance document does not appear in the Interactive Data File because its XBRL tags are embedded within the Inline XBRL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101.SCH*</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Taxonomy Extension Schema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101.CAL*</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Taxonomy Extension Calculation Linkbase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101.DEF*</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Taxonomy Extension Definition Linkbase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101.LAB*</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Taxonomy Extension Label Linkbase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101.PRE*</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XBRL Taxonomy Extension Presentation Linkbase Document</w:t>
            </w:r>
          </w:p>
        </w:tc>
      </w:tr>
      <w:tr>
        <w:trPr/>
        <w:tc>
          <w:tcPr>
            <w:tcW w:w="1174"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104*</w:t>
            </w:r>
          </w:p>
        </w:tc>
        <w:tc>
          <w:tcPr>
            <w:tcW w:w="9031" w:type="dxa"/>
            <w:tcBorders/>
            <w:shd w:fill="auto" w:val="clear"/>
            <w:tcMar>
              <w:top w:w="0" w:type="dxa"/>
              <w:left w:w="0" w:type="dxa"/>
              <w:bottom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Cover Page Interactive Data File (formatted as inline XBRL and contained in Exhibit 101)</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37</w:t>
      </w:r>
    </w:p>
    <w:p>
      <w:pPr>
        <w:pStyle w:val="HorizontalLine"/>
        <w:rPr/>
      </w:pPr>
      <w:r>
        <w:rPr/>
      </w:r>
    </w:p>
    <w:p>
      <w:pPr>
        <w:pStyle w:val="TextBody"/>
        <w:spacing w:before="0" w:after="0"/>
        <w:jc w:val="left"/>
        <w:rPr/>
      </w:pPr>
      <w:hyperlink w:anchor="toc_page">
        <w:r>
          <w:rPr>
            <w:rStyle w:val="InternetLink"/>
            <w:rFonts w:ascii="Arial;sans-serif" w:hAnsi="Arial;sans-serif"/>
            <w:b/>
            <w:sz w:val="18"/>
            <w:u w:val="single"/>
          </w:rPr>
          <w:t>Table of Contents</w:t>
        </w:r>
      </w:hyperlink>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sz w:val="18"/>
        </w:rPr>
      </w:pPr>
      <w:bookmarkStart w:id="38" w:name="signatures"/>
      <w:bookmarkEnd w:id="38"/>
      <w:r>
        <w:rPr>
          <w:rFonts w:ascii="Arial;sans-serif" w:hAnsi="Arial;sans-serif"/>
          <w:b/>
          <w:sz w:val="18"/>
        </w:rPr>
        <w:t>SIGNATURES</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BLACK HILLS CORPORATION</w:t>
      </w:r>
    </w:p>
    <w:p>
      <w:pPr>
        <w:pStyle w:val="TextBody"/>
        <w:spacing w:before="0" w:after="0"/>
        <w:jc w:val="left"/>
        <w:rPr/>
      </w:pPr>
      <w:r>
        <w:rPr/>
        <w:t> </w:t>
      </w:r>
    </w:p>
    <w:tbl>
      <w:tblPr>
        <w:tblW w:w="5748" w:type="dxa"/>
        <w:jc w:val="left"/>
        <w:tblInd w:w="0" w:type="dxa"/>
        <w:tblCellMar>
          <w:top w:w="28" w:type="dxa"/>
          <w:left w:w="28" w:type="dxa"/>
          <w:bottom w:w="28" w:type="dxa"/>
          <w:right w:w="28" w:type="dxa"/>
        </w:tblCellMar>
      </w:tblPr>
      <w:tblGrid>
        <w:gridCol w:w="661"/>
        <w:gridCol w:w="1111"/>
        <w:gridCol w:w="3976"/>
      </w:tblGrid>
      <w:tr>
        <w:trPr/>
        <w:tc>
          <w:tcPr>
            <w:tcW w:w="66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3976" w:type="dxa"/>
            <w:tcBorders/>
            <w:shd w:fill="auto" w:val="clear"/>
            <w:vAlign w:val="center"/>
          </w:tcPr>
          <w:p>
            <w:pPr>
              <w:pStyle w:val="TableContents"/>
              <w:spacing w:before="0" w:after="283"/>
              <w:rPr>
                <w:sz w:val="4"/>
                <w:szCs w:val="4"/>
              </w:rPr>
            </w:pPr>
            <w:r>
              <w:rPr>
                <w:sz w:val="4"/>
                <w:szCs w:val="4"/>
              </w:rPr>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bottom w:val="single" w:sz="8" w:space="0" w:color="000000"/>
            </w:tcBorders>
            <w:shd w:fill="auto" w:val="clear"/>
            <w:tcMar>
              <w:top w:w="0" w:type="dxa"/>
              <w:left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/s/ Linden R. Evans</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33" w:after="30"/>
              <w:ind w:left="0" w:right="0" w:hanging="0"/>
              <w:jc w:val="left"/>
              <w:rPr>
                <w:rFonts w:ascii="Arial;sans-serif" w:hAnsi="Arial;sans-serif"/>
                <w:b w:val="false"/>
                <w:sz w:val="18"/>
              </w:rPr>
            </w:pPr>
            <w:r>
              <w:rPr>
                <w:rFonts w:ascii="Arial;sans-serif" w:hAnsi="Arial;sans-serif"/>
                <w:b w:val="false"/>
                <w:sz w:val="18"/>
              </w:rPr>
              <w:t>Linden R. Evans, President and</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53" w:after="30"/>
              <w:ind w:left="0" w:right="0" w:hanging="0"/>
              <w:jc w:val="left"/>
              <w:rPr/>
            </w:pPr>
            <w:r>
              <w:rPr/>
              <w:t>  </w:t>
            </w:r>
            <w:r>
              <w:rPr>
                <w:rFonts w:ascii="Arial;sans-serif" w:hAnsi="Arial;sans-serif"/>
                <w:b w:val="false"/>
                <w:sz w:val="18"/>
              </w:rPr>
              <w:t>Chief Executive Officer</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0" w:after="0"/>
              <w:ind w:left="0" w:right="0" w:hanging="0"/>
              <w:jc w:val="left"/>
              <w:rPr/>
            </w:pPr>
            <w:r>
              <w:rPr/>
              <w:t> </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bottom w:val="single" w:sz="8" w:space="0" w:color="000000"/>
            </w:tcBorders>
            <w:shd w:fill="auto" w:val="clear"/>
            <w:tcMar>
              <w:top w:w="0" w:type="dxa"/>
              <w:left w:w="0" w:type="dxa"/>
              <w:right w:w="0" w:type="dxa"/>
            </w:tcM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/s/ Kimberly F. Nooney</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33" w:after="30"/>
              <w:ind w:left="0" w:right="0" w:hanging="0"/>
              <w:jc w:val="left"/>
              <w:rPr>
                <w:rFonts w:ascii="Arial;sans-serif" w:hAnsi="Arial;sans-serif"/>
                <w:b w:val="false"/>
                <w:sz w:val="18"/>
              </w:rPr>
            </w:pPr>
            <w:r>
              <w:rPr>
                <w:rFonts w:ascii="Arial;sans-serif" w:hAnsi="Arial;sans-serif"/>
                <w:b w:val="false"/>
                <w:sz w:val="18"/>
              </w:rPr>
              <w:t>Kimberly F. Nooney, Senior Vice President and</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53" w:after="30"/>
              <w:ind w:left="0" w:right="0" w:hanging="0"/>
              <w:jc w:val="left"/>
              <w:rPr/>
            </w:pPr>
            <w:r>
              <w:rPr/>
              <w:t>  </w:t>
            </w:r>
            <w:r>
              <w:rPr>
                <w:rFonts w:ascii="Arial;sans-serif" w:hAnsi="Arial;sans-serif"/>
                <w:b w:val="false"/>
                <w:sz w:val="18"/>
              </w:rPr>
              <w:t>Chief Financial Officer</w:t>
            </w:r>
          </w:p>
        </w:tc>
      </w:tr>
      <w:tr>
        <w:trPr/>
        <w:tc>
          <w:tcPr>
            <w:tcW w:w="661" w:type="dxa"/>
            <w:tcBorders/>
            <w:shd w:fill="auto" w:val="clear"/>
            <w:vAlign w:val="center"/>
          </w:tcPr>
          <w:p>
            <w:pPr>
              <w:pStyle w:val="TableContents"/>
              <w:spacing w:before="0" w:after="0"/>
              <w:ind w:left="0" w:right="0" w:hanging="0"/>
              <w:jc w:val="left"/>
              <w:rPr/>
            </w:pPr>
            <w:r>
              <w:rPr/>
              <w:t> </w:t>
            </w:r>
          </w:p>
        </w:tc>
        <w:tc>
          <w:tcPr>
            <w:tcW w:w="1111" w:type="dxa"/>
            <w:tcBorders/>
            <w:shd w:fill="auto" w:val="clear"/>
            <w:vAlign w:val="center"/>
          </w:tcPr>
          <w:p>
            <w:pPr>
              <w:pStyle w:val="TableContents"/>
              <w:spacing w:before="0" w:after="0"/>
              <w:ind w:left="0" w:right="0" w:hanging="0"/>
              <w:jc w:val="left"/>
              <w:rPr/>
            </w:pPr>
            <w:r>
              <w:rPr/>
              <w:t> </w:t>
            </w:r>
          </w:p>
        </w:tc>
        <w:tc>
          <w:tcPr>
            <w:tcW w:w="3976" w:type="dxa"/>
            <w:tcBorders/>
            <w:shd w:fill="auto" w:val="clear"/>
            <w:vAlign w:val="center"/>
          </w:tcPr>
          <w:p>
            <w:pPr>
              <w:pStyle w:val="TableContents"/>
              <w:spacing w:before="0" w:after="0"/>
              <w:ind w:left="0" w:right="0" w:hanging="0"/>
              <w:jc w:val="left"/>
              <w:rPr/>
            </w:pPr>
            <w:r>
              <w:rPr/>
              <w:t> </w:t>
            </w:r>
          </w:p>
        </w:tc>
      </w:tr>
      <w:tr>
        <w:trPr/>
        <w:tc>
          <w:tcPr>
            <w:tcW w:w="661" w:type="dxa"/>
            <w:tcBorders/>
            <w:shd w:fill="auto" w:val="cle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Dated:</w:t>
            </w:r>
          </w:p>
        </w:tc>
        <w:tc>
          <w:tcPr>
            <w:tcW w:w="1111" w:type="dxa"/>
            <w:tcBorders/>
            <w:shd w:fill="auto" w:val="clear"/>
            <w:vAlign w:val="center"/>
          </w:tcPr>
          <w:p>
            <w:pPr>
              <w:pStyle w:val="TableContents"/>
              <w:spacing w:before="53" w:after="30"/>
              <w:ind w:left="0" w:right="0" w:hanging="0"/>
              <w:jc w:val="left"/>
              <w:rPr>
                <w:rFonts w:ascii="Arial;sans-serif" w:hAnsi="Arial;sans-serif"/>
                <w:b w:val="false"/>
                <w:sz w:val="18"/>
              </w:rPr>
            </w:pPr>
            <w:r>
              <w:rPr>
                <w:rFonts w:ascii="Arial;sans-serif" w:hAnsi="Arial;sans-serif"/>
                <w:b w:val="false"/>
                <w:sz w:val="18"/>
              </w:rPr>
              <w:t>May 4, 2023</w:t>
            </w:r>
          </w:p>
        </w:tc>
        <w:tc>
          <w:tcPr>
            <w:tcW w:w="397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18"/>
        </w:rPr>
      </w:pPr>
      <w:r>
        <w:rPr>
          <w:rFonts w:ascii="Arial;sans-serif" w:hAnsi="Arial;sans-serif"/>
          <w:b w:val="false"/>
          <w:sz w:val="18"/>
        </w:rPr>
        <w:t>38</w:t>
      </w:r>
    </w:p>
    <w:p>
      <w:pPr>
        <w:pStyle w:val="HorizontalLine"/>
        <w:rPr/>
      </w:pPr>
      <w:r>
        <w:rPr/>
      </w:r>
      <w:r>
        <w:br w:type="page"/>
      </w:r>
    </w:p>
    <w:p>
      <w:pPr>
        <w:pStyle w:val="TextBody"/>
        <w:spacing w:before="0" w:after="0"/>
        <w:jc w:val="both"/>
        <w:rPr/>
      </w:pPr>
      <w:bookmarkStart w:id="39" w:name="bkh-ex10_1.htm"/>
      <w:bookmarkStart w:id="40" w:name="ksbkhex10_1"/>
      <w:bookmarkEnd w:id="39"/>
      <w:bookmarkEnd w:id="40"/>
      <w:r>
        <w:rPr/>
        <w:drawing>
          <wp:inline distT="0" distB="0" distL="0" distR="0">
            <wp:extent cx="663892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6638925" cy="885825"/>
                    </a:xfrm>
                    <a:prstGeom prst="rect">
                      <a:avLst/>
                    </a:prstGeom>
                  </pic:spPr>
                </pic:pic>
              </a:graphicData>
            </a:graphic>
          </wp:inline>
        </w:drawing>
      </w:r>
      <w:r>
        <w:rPr/>
        <w:t> </w:t>
      </w:r>
    </w:p>
    <w:tbl>
      <w:tblPr>
        <w:tblW w:w="4082" w:type="dxa"/>
        <w:jc w:val="left"/>
        <w:tblInd w:w="0" w:type="dxa"/>
        <w:tblCellMar>
          <w:top w:w="28" w:type="dxa"/>
          <w:left w:w="28" w:type="dxa"/>
          <w:bottom w:w="28" w:type="dxa"/>
          <w:right w:w="28" w:type="dxa"/>
        </w:tblCellMar>
      </w:tblPr>
      <w:tblGrid>
        <w:gridCol w:w="1831"/>
        <w:gridCol w:w="2251"/>
      </w:tblGrid>
      <w:tr>
        <w:trPr/>
        <w:tc>
          <w:tcPr>
            <w:tcW w:w="1831"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before="0" w:after="0"/>
              <w:ind w:left="0" w:right="0" w:hanging="0"/>
              <w:jc w:val="left"/>
              <w:rPr>
                <w:rFonts w:ascii="Arial;sans-serif" w:hAnsi="Arial;sans-serif"/>
                <w:b/>
                <w:sz w:val="22"/>
              </w:rPr>
            </w:pPr>
            <w:r>
              <w:rPr>
                <w:rFonts w:ascii="Arial;sans-serif" w:hAnsi="Arial;sans-serif"/>
                <w:b/>
                <w:sz w:val="22"/>
              </w:rPr>
              <w:t>Linden R. Evans</w:t>
            </w:r>
          </w:p>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President and CEO</w:t>
            </w:r>
          </w:p>
        </w:tc>
        <w:tc>
          <w:tcPr>
            <w:tcW w:w="2251" w:type="dxa"/>
            <w:tcBorders/>
            <w:shd w:fill="auto" w:val="clear"/>
            <w:vAlign w:val="center"/>
          </w:tcPr>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7001 Mount Rushmore Road</w:t>
            </w:r>
          </w:p>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Rapid City, SD 57702</w:t>
            </w:r>
          </w:p>
          <w:p>
            <w:pPr>
              <w:pStyle w:val="TableContents"/>
              <w:spacing w:before="0" w:after="0"/>
              <w:ind w:left="0" w:right="0" w:hanging="0"/>
              <w:jc w:val="right"/>
              <w:rPr>
                <w:rFonts w:ascii="Arial;sans-serif" w:hAnsi="Arial;sans-serif"/>
                <w:b w:val="false"/>
                <w:sz w:val="16"/>
              </w:rPr>
            </w:pPr>
            <w:r>
              <w:rPr>
                <w:rFonts w:ascii="Arial;sans-serif" w:hAnsi="Arial;sans-serif"/>
                <w:b w:val="false"/>
                <w:sz w:val="16"/>
              </w:rPr>
              <w:t>P: 605-721-2020</w:t>
            </w:r>
          </w:p>
        </w:tc>
      </w:tr>
    </w:tbl>
    <w:p>
      <w:pPr>
        <w:pStyle w:val="TextBody"/>
        <w:spacing w:before="0" w:after="0"/>
        <w:jc w:val="both"/>
        <w:rPr/>
      </w:pPr>
      <w:r>
        <w:rPr/>
        <w:t> </w:t>
      </w:r>
    </w:p>
    <w:p>
      <w:pPr>
        <w:pStyle w:val="TextBody"/>
        <w:spacing w:before="0" w:after="160"/>
        <w:jc w:val="both"/>
        <w:rPr>
          <w:rFonts w:ascii="Times New Roman" w:hAnsi="Times New Roman"/>
          <w:sz w:val="20"/>
        </w:rPr>
      </w:pPr>
      <w:r>
        <w:rPr>
          <w:rFonts w:ascii="Times New Roman;serif" w:hAnsi="Times New Roman;serif"/>
          <w:b w:val="false"/>
          <w:sz w:val="24"/>
        </w:rPr>
        <w:t>February 8</w:t>
      </w:r>
      <w:r>
        <w:rPr>
          <w:rFonts w:ascii="Times New Roman;serif" w:hAnsi="Times New Roman;serif"/>
          <w:b w:val="false"/>
          <w:sz w:val="16"/>
        </w:rPr>
        <w:t>th</w:t>
      </w:r>
      <w:r>
        <w:rPr>
          <w:rFonts w:ascii="Times New Roman" w:hAnsi="Times New Roman"/>
          <w:sz w:val="20"/>
        </w:rPr>
        <w:t xml:space="preserve"> </w:t>
      </w:r>
      <w:r>
        <w:rPr>
          <w:rFonts w:ascii="Times New Roman;serif" w:hAnsi="Times New Roman;serif"/>
          <w:b w:val="false"/>
          <w:sz w:val="24"/>
        </w:rPr>
        <w:t>, 2023</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4"/>
          <w:u w:val="single"/>
        </w:rPr>
        <w:t>HAND DELIVERED</w:t>
      </w:r>
      <w:r>
        <w:rPr>
          <w:rFonts w:ascii="Times New Roman" w:hAnsi="Times New Roman"/>
          <w:sz w:val="20"/>
        </w:rPr>
        <w:t xml:space="preserve">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Jennifer Landis</w:t>
      </w:r>
    </w:p>
    <w:p>
      <w:pPr>
        <w:pStyle w:val="TextBody"/>
        <w:spacing w:before="0" w:after="0"/>
        <w:jc w:val="both"/>
        <w:rPr>
          <w:rFonts w:ascii="Times New Roman;serif" w:hAnsi="Times New Roman;serif"/>
          <w:b w:val="false"/>
          <w:sz w:val="24"/>
        </w:rPr>
      </w:pPr>
      <w:r>
        <w:rPr>
          <w:rFonts w:ascii="Times New Roman;serif" w:hAnsi="Times New Roman;serif"/>
          <w:b w:val="false"/>
          <w:sz w:val="24"/>
        </w:rPr>
        <w:t>7001 Mt. Rushmore Rd.</w:t>
      </w:r>
    </w:p>
    <w:p>
      <w:pPr>
        <w:pStyle w:val="TextBody"/>
        <w:spacing w:before="0" w:after="240"/>
        <w:jc w:val="both"/>
        <w:rPr>
          <w:rFonts w:ascii="Times New Roman" w:hAnsi="Times New Roman"/>
          <w:sz w:val="20"/>
        </w:rPr>
      </w:pPr>
      <w:r>
        <w:rPr>
          <w:rFonts w:ascii="Times New Roman;serif" w:hAnsi="Times New Roman;serif"/>
          <w:b w:val="false"/>
          <w:sz w:val="24"/>
        </w:rPr>
        <w:t>Rapid City, South Dakota 57702</w:t>
      </w:r>
      <w:r>
        <w:rPr>
          <w:rFonts w:ascii="Times New Roman" w:hAnsi="Times New Roman"/>
          <w:sz w:val="20"/>
        </w:rPr>
        <w:t xml:space="preserve"> </w:t>
      </w:r>
    </w:p>
    <w:p>
      <w:pPr>
        <w:pStyle w:val="TextBody"/>
        <w:spacing w:before="0" w:after="160"/>
        <w:jc w:val="both"/>
        <w:rPr>
          <w:rFonts w:ascii="Times New Roman;serif" w:hAnsi="Times New Roman;serif"/>
          <w:b w:val="false"/>
          <w:sz w:val="24"/>
        </w:rPr>
      </w:pPr>
      <w:r>
        <w:rPr>
          <w:rFonts w:ascii="Times New Roman;serif" w:hAnsi="Times New Roman;serif"/>
          <w:b w:val="false"/>
          <w:sz w:val="24"/>
        </w:rPr>
        <w:t>Dear Jenn:</w:t>
      </w:r>
    </w:p>
    <w:p>
      <w:pPr>
        <w:pStyle w:val="TextBody"/>
        <w:spacing w:before="0" w:after="160"/>
        <w:jc w:val="both"/>
        <w:rPr>
          <w:rFonts w:ascii="Times New Roman" w:hAnsi="Times New Roman"/>
          <w:sz w:val="20"/>
        </w:rPr>
      </w:pPr>
      <w:r>
        <w:rPr>
          <w:rFonts w:ascii="Times New Roman;serif" w:hAnsi="Times New Roman;serif"/>
          <w:b w:val="false"/>
          <w:sz w:val="24"/>
        </w:rPr>
        <w:t>Per our discussions, you and Black Hills Corporation (“</w:t>
      </w:r>
      <w:r>
        <w:rPr>
          <w:rFonts w:ascii="Times New Roman;serif" w:hAnsi="Times New Roman;serif"/>
          <w:b/>
          <w:i/>
          <w:sz w:val="24"/>
        </w:rPr>
        <w:t>BHC</w:t>
      </w:r>
      <w:r>
        <w:rPr>
          <w:rFonts w:ascii="Times New Roman" w:hAnsi="Times New Roman"/>
          <w:sz w:val="20"/>
        </w:rPr>
        <w:t>”</w:t>
      </w:r>
      <w:r>
        <w:rPr>
          <w:rFonts w:ascii="Times New Roman;serif" w:hAnsi="Times New Roman;serif"/>
          <w:b w:val="false"/>
          <w:sz w:val="24"/>
        </w:rPr>
        <w:t>) have mutually agreed to amicably conclude your employment relationship with BHC. The purpose of this letter agreement (“</w:t>
      </w:r>
      <w:r>
        <w:rPr>
          <w:rFonts w:ascii="Times New Roman;serif" w:hAnsi="Times New Roman;serif"/>
          <w:b/>
          <w:i/>
          <w:sz w:val="24"/>
        </w:rPr>
        <w:t>Transition Letter</w:t>
      </w:r>
      <w:r>
        <w:rPr>
          <w:rFonts w:ascii="Times New Roman" w:hAnsi="Times New Roman"/>
          <w:sz w:val="20"/>
        </w:rPr>
        <w:t>”</w:t>
      </w:r>
      <w:r>
        <w:rPr>
          <w:rFonts w:ascii="Times New Roman;serif" w:hAnsi="Times New Roman;serif"/>
          <w:b w:val="false"/>
          <w:sz w:val="24"/>
        </w:rPr>
        <w:t>) is to formalize the terms of your separation from employment with BHC.</w:t>
      </w:r>
    </w:p>
    <w:p>
      <w:pPr>
        <w:pStyle w:val="TextBody"/>
        <w:spacing w:before="0" w:after="160"/>
        <w:jc w:val="both"/>
        <w:rPr>
          <w:rFonts w:ascii="Times New Roman;serif" w:hAnsi="Times New Roman;serif"/>
          <w:b/>
          <w:sz w:val="24"/>
        </w:rPr>
      </w:pPr>
      <w:r>
        <w:rPr>
          <w:rFonts w:ascii="Times New Roman;serif" w:hAnsi="Times New Roman;serif"/>
          <w:b/>
          <w:sz w:val="24"/>
        </w:rPr>
        <w:t>Employment During the Transition Period</w:t>
      </w:r>
    </w:p>
    <w:p>
      <w:pPr>
        <w:pStyle w:val="TextBody"/>
        <w:spacing w:before="0" w:after="0"/>
        <w:jc w:val="both"/>
        <w:rPr>
          <w:rFonts w:ascii="Times New Roman" w:hAnsi="Times New Roman"/>
          <w:sz w:val="20"/>
        </w:rPr>
      </w:pPr>
      <w:r>
        <w:rPr>
          <w:rFonts w:ascii="Times New Roman;serif" w:hAnsi="Times New Roman;serif"/>
          <w:b w:val="false"/>
          <w:sz w:val="24"/>
        </w:rPr>
        <w:t>BHC agrees to continue your employment, and you accept continued employment with BHC, for the period (the “</w:t>
      </w:r>
      <w:r>
        <w:rPr>
          <w:rFonts w:ascii="Times New Roman;serif" w:hAnsi="Times New Roman;serif"/>
          <w:b/>
          <w:i/>
          <w:sz w:val="24"/>
        </w:rPr>
        <w:t>Transition Period</w:t>
      </w:r>
      <w:r>
        <w:rPr>
          <w:rFonts w:ascii="Times New Roman" w:hAnsi="Times New Roman"/>
          <w:sz w:val="20"/>
        </w:rPr>
        <w:t>”</w:t>
      </w:r>
      <w:r>
        <w:rPr>
          <w:rFonts w:ascii="Times New Roman;serif" w:hAnsi="Times New Roman;serif"/>
          <w:b w:val="false"/>
          <w:sz w:val="24"/>
        </w:rPr>
        <w:t>) commencing as of today (the “</w:t>
      </w:r>
      <w:r>
        <w:rPr>
          <w:rFonts w:ascii="Times New Roman;serif" w:hAnsi="Times New Roman;serif"/>
          <w:b/>
          <w:i/>
          <w:sz w:val="24"/>
        </w:rPr>
        <w:t>Effective Date</w:t>
      </w:r>
      <w:r>
        <w:rPr>
          <w:rFonts w:ascii="Times New Roman" w:hAnsi="Times New Roman"/>
          <w:sz w:val="20"/>
        </w:rPr>
        <w:t>”</w:t>
      </w:r>
      <w:r>
        <w:rPr>
          <w:rFonts w:ascii="Times New Roman;serif" w:hAnsi="Times New Roman;serif"/>
          <w:b w:val="false"/>
          <w:sz w:val="24"/>
        </w:rPr>
        <w:t>) and continuing through the earlier of (a) April 3, 2023 (the “</w:t>
      </w:r>
      <w:r>
        <w:rPr>
          <w:rFonts w:ascii="Times New Roman;serif" w:hAnsi="Times New Roman;serif"/>
          <w:b/>
          <w:i/>
          <w:sz w:val="24"/>
        </w:rPr>
        <w:t>Anticipated Separation Date</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r>
        <w:rPr>
          <w:rFonts w:ascii="Times New Roman;serif" w:hAnsi="Times New Roman;serif"/>
          <w:b w:val="false"/>
          <w:sz w:val="24"/>
        </w:rPr>
        <w:t>or (b) the date on which your employment is earlier terminated as provided below. The effective date of the termination of your employment with BHC for any reason is referred to herein as the “</w:t>
      </w:r>
      <w:r>
        <w:rPr>
          <w:rFonts w:ascii="Times New Roman;serif" w:hAnsi="Times New Roman;serif"/>
          <w:b/>
          <w:i/>
          <w:sz w:val="24"/>
        </w:rPr>
        <w:t>Separation Date</w:t>
      </w:r>
      <w:r>
        <w:rPr>
          <w:rFonts w:ascii="Times New Roman;serif" w:hAnsi="Times New Roman;serif"/>
          <w:b w:val="false"/>
          <w:sz w:val="24"/>
        </w:rPr>
        <w:t>.” Unless your employment is terminated before the Anticipated Separation Date as a result of you deciding to end your employment for any reason or BHC terminating your employment for Cause (as defined below), your Separation Date will be the Anticipated Separation Date. For purposes of this Transition Letter, “</w:t>
      </w:r>
      <w:r>
        <w:rPr>
          <w:rFonts w:ascii="Times New Roman;serif" w:hAnsi="Times New Roman;serif"/>
          <w:b/>
          <w:i/>
          <w:sz w:val="24"/>
        </w:rPr>
        <w:t>Cause</w:t>
      </w:r>
      <w:r>
        <w:rPr>
          <w:rFonts w:ascii="Times New Roman" w:hAnsi="Times New Roman"/>
          <w:sz w:val="20"/>
        </w:rPr>
        <w:t xml:space="preserve">” </w:t>
      </w:r>
      <w:r>
        <w:rPr>
          <w:rFonts w:ascii="Times New Roman;serif" w:hAnsi="Times New Roman;serif"/>
          <w:b w:val="false"/>
          <w:sz w:val="24"/>
        </w:rPr>
        <w:t>means (a) the willful refusal or failure by you to perform your employment duties during the Transition Period; (b) your material violation of any BHC policy; or (c) your willful engagement in material dishonesty or illegal conduct.</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During the Transition Period, you acknowledge and agree that your duties, authority and responsibilities for BHC will be limited to you: (a) providing such transition duties as may be requested by BHC from time to time, (b) reasonably cooperating with BHC with respect to the transition of your duties related to your separation from employment with BHC, including without limitation being involved in BHC’s search process for BHC’s next Chief Human Resources Officer, (c) following all applicable written policies and procedures adopted by BHC, including without limitation policies related to business ethics, conflict of interest, confidentiality and protection of trade secrets, and (d) not engaging in any activity during the Transition Period that is detrimental or is reasonably likely to be detrimental to BHC’s legitimate business interests. You expressly acknowledge you are voluntarily agreeing to the scope of duties, authority and responsibilities identified in this Transition Letter.</w:t>
      </w:r>
    </w:p>
    <w:p>
      <w:pPr>
        <w:pStyle w:val="TextBody"/>
        <w:spacing w:before="0" w:after="0"/>
        <w:jc w:val="both"/>
        <w:rPr/>
      </w:pPr>
      <w:r>
        <w:rPr/>
        <w:t>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While you are employed by BHC during the Transition Period, (a) BHC will continue to pay you your base salary as of the Effective Date ($348,000 annualized), payable in accordance with BHC’s normal payroll policies and procedures, (b) you will remain eligible to earn and receive your 2022 short-term incentive payment, (c) you will remain eligible to earn and receive any payout earned under your 2020-2022 PSU award, (d) you will remain eligible for the vesting of RSUs, and (e) you will remain eligible to participate in all employee benefit plans and programs generally available from time to time to BHC employees through your Separation Date (with your group health benefits ending on the last day of the month in which the Separation Date occurs), to the extent you continue to meet the eligibility requirements for each individual plan or program and subject to the provisions, rules, and regulations of, or applicable to, the plan or program. During or after the Transition Period, you are not be eligible for any additional compensation from BHC, including but not limited to, any bonus or other incentive compensation, other than the compensation specified above or the Separation Payments and Benefits (as defined below), subject to the terms and conditions of this Transition Letter and the Release (as defined below).</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Upon termination of your employment with BHC, or at any earlier time upon request from BHC, you must deliver promptly to BHC all BHC property that is in your possession or under your control.</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By signing this Transition Letter, you are unconditionally and irrevocably tendering your resignation from any and all positions held by you as a corporate officer or similar role of BHC or any subsidiary or affiliate of BHC, with such resignation effective as of the Separation Date.</w:t>
      </w:r>
    </w:p>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serif" w:hAnsi="Times New Roman;serif"/>
          <w:b/>
          <w:sz w:val="24"/>
        </w:rPr>
      </w:pPr>
      <w:r>
        <w:rPr>
          <w:rFonts w:ascii="Times New Roman;serif" w:hAnsi="Times New Roman;serif"/>
          <w:b/>
          <w:sz w:val="24"/>
        </w:rPr>
        <w:t>Separation Payments and Benefits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If: (1) you remain employed by BHC through the Anticipated Separation Date, (2) you execute and deliver to BHC the enclosed Separation and Release Agreement (“</w:t>
      </w:r>
      <w:r>
        <w:rPr>
          <w:rFonts w:ascii="Times New Roman;serif" w:hAnsi="Times New Roman;serif"/>
          <w:b/>
          <w:i/>
          <w:sz w:val="24"/>
        </w:rPr>
        <w:t>Release</w:t>
      </w:r>
      <w:r>
        <w:rPr>
          <w:rFonts w:ascii="Times New Roman" w:hAnsi="Times New Roman"/>
          <w:sz w:val="20"/>
        </w:rPr>
        <w:t>”</w:t>
      </w:r>
      <w:r>
        <w:rPr>
          <w:rFonts w:ascii="Times New Roman;serif" w:hAnsi="Times New Roman;serif"/>
          <w:b w:val="false"/>
          <w:sz w:val="24"/>
        </w:rPr>
        <w:t>) after the Separation Date and before expiration of the consideration period identified in the Release, (3) you do not revoke the Release during the revocation period identified in the Release, and (4) you comply with all terms of this Transition Letter and the Release, including you remaining in strict compliance with any obligations that survive the Separation Date (as identified in the Release), then BHC will provide you with the Separation Payments and Benefits (as defined below). If you do not satisfy any of the conditions identified in (1)-(4) above, then you will not receive the Separation Payments and Benefits.</w:t>
      </w:r>
    </w:p>
    <w:p>
      <w:pPr>
        <w:pStyle w:val="TextBody"/>
        <w:spacing w:before="0" w:after="0"/>
        <w:jc w:val="both"/>
        <w:rPr/>
      </w:pPr>
      <w:r>
        <w:rPr/>
        <w:t> </w:t>
      </w:r>
    </w:p>
    <w:p>
      <w:pPr>
        <w:pStyle w:val="TextBody"/>
        <w:spacing w:before="0" w:after="0"/>
        <w:jc w:val="both"/>
        <w:rPr/>
      </w:pPr>
      <w:r>
        <w:rPr/>
        <w:t>“</w:t>
      </w:r>
      <w:r>
        <w:rPr>
          <w:rFonts w:ascii="Times New Roman;serif" w:hAnsi="Times New Roman;serif"/>
          <w:b/>
          <w:i/>
          <w:sz w:val="24"/>
        </w:rPr>
        <w:t>Separation Payments and Benefits</w:t>
      </w:r>
      <w:r>
        <w:rPr>
          <w:rFonts w:ascii="Times New Roman" w:hAnsi="Times New Roman"/>
          <w:sz w:val="20"/>
        </w:rPr>
        <w:t xml:space="preserve">” </w:t>
      </w:r>
      <w:r>
        <w:rPr>
          <w:rFonts w:ascii="Times New Roman;serif" w:hAnsi="Times New Roman;serif"/>
          <w:b w:val="false"/>
          <w:sz w:val="24"/>
        </w:rPr>
        <w:t>means the following:</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1. The sum of (a) $438,600.00, less applicable withholdings, payable to you in substantially equal installments in accordance with BHC’s ordinary payroll schedule during the twelve (12) month period immediately following the Separation Date; provided, however, the first installment will be delayed until BHC’s first regular payroll date that is after the expiration of the 7-day rescission period identified in the Release and will include payment for any installments that otherwise would have been paid from the Separation Date through such first installment date but for such delay;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2. Payment of an additional $27,000.00, less applicable withholdings, payable to you in monthly installments of $1,500.00 during the eighteen (18) month period immediately following the Separation Date; provided the first installment will be delayed until BHC’s first regular payroll date that is after the expiration of the 7-day rescission period identified in the Release and will include payment for any installments that otherwise would have been paid from the Separation Date through such first installment date but for such delay; and</w:t>
      </w:r>
    </w:p>
    <w:p>
      <w:pPr>
        <w:pStyle w:val="TextBody"/>
        <w:spacing w:before="0" w:after="0"/>
        <w:jc w:val="both"/>
        <w:rPr/>
      </w:pPr>
      <w:r>
        <w:rPr/>
        <w:t>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3. Outplacement services of up to $15,000.00, to be provided by a vendor selected by BHC and to be paid directly by BHC; provided that such outplacement services will expire effective December 31, 2023.</w:t>
      </w:r>
    </w:p>
    <w:p>
      <w:pPr>
        <w:pStyle w:val="TextBody"/>
        <w:spacing w:before="0" w:after="0"/>
        <w:jc w:val="both"/>
        <w:rPr/>
      </w:pPr>
      <w:r>
        <w:rPr/>
        <w:t> </w:t>
      </w:r>
    </w:p>
    <w:p>
      <w:pPr>
        <w:pStyle w:val="TextBody"/>
        <w:spacing w:before="0" w:after="0"/>
        <w:jc w:val="both"/>
        <w:rPr>
          <w:rFonts w:ascii="Times New Roman;serif" w:hAnsi="Times New Roman;serif"/>
          <w:b/>
          <w:sz w:val="24"/>
        </w:rPr>
      </w:pPr>
      <w:r>
        <w:rPr>
          <w:rFonts w:ascii="Times New Roman;serif" w:hAnsi="Times New Roman;serif"/>
          <w:b/>
          <w:sz w:val="24"/>
        </w:rPr>
        <w:t>Miscellaneous</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Except as expressly otherwise provided herein and in the Release, this Transition Letter contains the complete, entire understanding of the parties to this Transition Letter related to your separation from employment. In executing this Transition Letter, no party relies on any term, condition, promise or representation other than those expressed in this Transition Letter. This Transition Letter supersedes all prior and contemporaneous oral and written agreements and discussions with respect to the subject matter hereof; provided, however, that nothing in this Transition Letter supersedes or replaces any of the terms of any BHC policy or any written agreement between you and BHC addressing non-disclosure of confidential information, which remains in effect in accordance with their terms. This Transition Letter may be amended or modified only by an agreement in writing signed by you and an authorized officer of BHC.</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This Transition Letter is governed by and will be construed and enforced in accordance with the laws of the State of South Dakota.</w:t>
      </w:r>
      <w:r>
        <w:rPr>
          <w:rFonts w:ascii="Times New Roman" w:hAnsi="Times New Roman"/>
          <w:sz w:val="20"/>
        </w:rPr>
        <w:t xml:space="preserve"> </w:t>
      </w:r>
    </w:p>
    <w:p>
      <w:pPr>
        <w:pStyle w:val="TextBody"/>
        <w:spacing w:before="0" w:after="0"/>
        <w:jc w:val="both"/>
        <w:rPr/>
      </w:pPr>
      <w:r>
        <w:rPr/>
        <w:t> </w:t>
      </w:r>
    </w:p>
    <w:p>
      <w:pPr>
        <w:pStyle w:val="TextBody"/>
        <w:spacing w:before="0" w:after="160"/>
        <w:jc w:val="both"/>
        <w:rPr>
          <w:rFonts w:ascii="Times New Roman;serif" w:hAnsi="Times New Roman;serif"/>
          <w:b w:val="false"/>
          <w:sz w:val="24"/>
        </w:rPr>
      </w:pPr>
      <w:r>
        <w:rPr>
          <w:rFonts w:ascii="Times New Roman;serif" w:hAnsi="Times New Roman;serif"/>
          <w:b w:val="false"/>
          <w:sz w:val="24"/>
        </w:rPr>
        <w:t>By countersigning this Transition Letter, you are acknowledging and agreeing that you are not entitled to, and will not be entitled to, any compensation or benefits of any kind or description from BHC except as described in this Transition Letter.</w:t>
      </w:r>
    </w:p>
    <w:p>
      <w:pPr>
        <w:pStyle w:val="TextBody"/>
        <w:spacing w:before="0" w:after="160"/>
        <w:jc w:val="left"/>
        <w:rPr>
          <w:rFonts w:ascii="Times New Roman" w:hAnsi="Times New Roman"/>
          <w:sz w:val="20"/>
        </w:rPr>
      </w:pPr>
      <w:r>
        <w:rPr>
          <w:rFonts w:ascii="Times New Roman;serif" w:hAnsi="Times New Roman;serif"/>
          <w:b w:val="false"/>
          <w:sz w:val="24"/>
        </w:rPr>
        <w:t>We thank you for your contributions to BHC and wish you the best on your future endeavors.</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Sincerely,</w:t>
      </w:r>
    </w:p>
    <w:p>
      <w:pPr>
        <w:pStyle w:val="TextBody"/>
        <w:spacing w:before="0" w:after="0"/>
        <w:jc w:val="left"/>
        <w:rPr/>
      </w:pPr>
      <w:r>
        <w:rPr/>
        <w:t> </w:t>
      </w:r>
    </w:p>
    <w:tbl>
      <w:tblPr>
        <w:tblW w:w="1531" w:type="dxa"/>
        <w:jc w:val="left"/>
        <w:tblInd w:w="0" w:type="dxa"/>
        <w:tblCellMar>
          <w:top w:w="28" w:type="dxa"/>
          <w:left w:w="28" w:type="dxa"/>
          <w:bottom w:w="28" w:type="dxa"/>
          <w:right w:w="28" w:type="dxa"/>
        </w:tblCellMar>
      </w:tblPr>
      <w:tblGrid>
        <w:gridCol w:w="1531"/>
      </w:tblGrid>
      <w:tr>
        <w:trPr/>
        <w:tc>
          <w:tcPr>
            <w:tcW w:w="1531" w:type="dxa"/>
            <w:tcBorders/>
            <w:shd w:fill="auto" w:val="clear"/>
            <w:vAlign w:val="center"/>
          </w:tcPr>
          <w:p>
            <w:pPr>
              <w:pStyle w:val="TableContents"/>
              <w:spacing w:before="0" w:after="283"/>
              <w:rPr>
                <w:sz w:val="4"/>
                <w:szCs w:val="4"/>
              </w:rPr>
            </w:pPr>
            <w:r>
              <w:rPr>
                <w:sz w:val="4"/>
                <w:szCs w:val="4"/>
              </w:rPr>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/s/ Linn Evans</w:t>
            </w:r>
          </w:p>
        </w:tc>
      </w:tr>
    </w:tbl>
    <w:p>
      <w:pPr>
        <w:pStyle w:val="TextBody"/>
        <w:spacing w:before="0" w:after="0"/>
        <w:jc w:val="left"/>
        <w:rPr>
          <w:rFonts w:ascii="Times New Roman;serif" w:hAnsi="Times New Roman;serif"/>
          <w:b w:val="false"/>
          <w:sz w:val="24"/>
        </w:rPr>
      </w:pPr>
      <w:r>
        <w:rPr>
          <w:rFonts w:ascii="Times New Roman;serif" w:hAnsi="Times New Roman;serif"/>
          <w:b w:val="false"/>
          <w:sz w:val="24"/>
        </w:rPr>
        <w:t>Linn Evans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President &amp; Chief Executive Officer</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Enclosure: Separation and Release Agreement</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By signing below, I voluntarily agree to the separation of my employment with BHC in accordance with the terms and conditions set forth in this Transition Letter.</w:t>
      </w:r>
    </w:p>
    <w:p>
      <w:pPr>
        <w:pStyle w:val="TextBody"/>
        <w:spacing w:before="0" w:after="0"/>
        <w:jc w:val="left"/>
        <w:rPr/>
      </w:pPr>
      <w:r>
        <w:rPr/>
        <w:t> </w:t>
      </w:r>
    </w:p>
    <w:tbl>
      <w:tblPr>
        <w:tblW w:w="3778" w:type="dxa"/>
        <w:jc w:val="left"/>
        <w:tblInd w:w="0" w:type="dxa"/>
        <w:tblCellMar>
          <w:top w:w="28" w:type="dxa"/>
          <w:left w:w="28" w:type="dxa"/>
          <w:bottom w:w="28" w:type="dxa"/>
          <w:right w:w="28" w:type="dxa"/>
        </w:tblCellMar>
      </w:tblPr>
      <w:tblGrid>
        <w:gridCol w:w="1846"/>
        <w:gridCol w:w="146"/>
        <w:gridCol w:w="178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r>
      <w:tr>
        <w:trPr/>
        <w:tc>
          <w:tcPr>
            <w:tcW w:w="1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Jennifer Landis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February 8, 2023</w:t>
            </w:r>
          </w:p>
        </w:tc>
      </w:tr>
      <w:tr>
        <w:trPr/>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Print Name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Date</w:t>
            </w:r>
          </w:p>
        </w:tc>
      </w:tr>
      <w:tr>
        <w:trPr/>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/s/ Jennifer Landis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Jennifer Landis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41" w:name="bkh-ex31_1.htm"/>
      <w:bookmarkStart w:id="42" w:name="ksbkhex31_1"/>
      <w:bookmarkEnd w:id="41"/>
      <w:bookmarkEnd w:id="42"/>
      <w:r>
        <w:rPr/>
        <w:t> </w:t>
      </w:r>
    </w:p>
    <w:p>
      <w:pPr>
        <w:pStyle w:val="TextBody"/>
        <w:spacing w:before="0" w:after="0"/>
        <w:jc w:val="right"/>
        <w:rPr>
          <w:rFonts w:ascii="Arial;sans-serif" w:hAnsi="Arial;sans-serif"/>
          <w:b/>
          <w:sz w:val="18"/>
        </w:rPr>
      </w:pPr>
      <w:r>
        <w:rPr>
          <w:rFonts w:ascii="Arial;sans-serif" w:hAnsi="Arial;sans-serif"/>
          <w:b/>
          <w:sz w:val="18"/>
        </w:rPr>
        <w:t>Exhibit 31.1</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CERTIFICATION</w:t>
      </w:r>
    </w:p>
    <w:p>
      <w:pPr>
        <w:pStyle w:val="TextBody"/>
        <w:spacing w:before="0" w:after="0"/>
        <w:jc w:val="center"/>
        <w:rPr/>
      </w:pPr>
      <w:r>
        <w:rPr/>
        <w:t> </w:t>
      </w:r>
    </w:p>
    <w:p>
      <w:pPr>
        <w:pStyle w:val="TextBody"/>
        <w:spacing w:before="0" w:after="0"/>
        <w:jc w:val="left"/>
        <w:rPr>
          <w:rFonts w:ascii="Arial;sans-serif" w:hAnsi="Arial;sans-serif"/>
          <w:b w:val="false"/>
          <w:sz w:val="18"/>
        </w:rPr>
      </w:pPr>
      <w:r>
        <w:rPr>
          <w:rFonts w:ascii="Arial;sans-serif" w:hAnsi="Arial;sans-serif"/>
          <w:b w:val="false"/>
          <w:sz w:val="18"/>
        </w:rPr>
        <w:t>I, Linden R. Evans, certify that: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1.</w:t>
      </w:r>
    </w:p>
    <w:p>
      <w:pPr>
        <w:pStyle w:val="TextBody"/>
        <w:jc w:val="left"/>
        <w:rPr>
          <w:rFonts w:ascii="Arial;sans-serif" w:hAnsi="Arial;sans-serif"/>
          <w:b w:val="false"/>
          <w:sz w:val="18"/>
        </w:rPr>
      </w:pPr>
      <w:r>
        <w:rPr>
          <w:rFonts w:ascii="Arial;sans-serif" w:hAnsi="Arial;sans-serif"/>
          <w:b w:val="false"/>
          <w:sz w:val="18"/>
        </w:rPr>
        <w:t>I have reviewed this Quarterly Report on Form 10-Q of Black Hills Corporation;</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2.</w:t>
      </w:r>
    </w:p>
    <w:p>
      <w:pPr>
        <w:pStyle w:val="TextBody"/>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3.</w:t>
      </w:r>
    </w:p>
    <w:p>
      <w:pPr>
        <w:pStyle w:val="TextBody"/>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4.</w:t>
      </w:r>
    </w:p>
    <w:p>
      <w:pPr>
        <w:pStyle w:val="TextBody"/>
        <w:jc w:val="left"/>
        <w:rPr>
          <w:rFonts w:ascii="Arial;sans-serif" w:hAnsi="Arial;sans-serif"/>
          <w:b w:val="false"/>
          <w:sz w:val="18"/>
        </w:rPr>
      </w:pPr>
      <w:r>
        <w:rPr>
          <w:rFonts w:ascii="Arial;sans-serif" w:hAnsi="Arial;sans-serif"/>
          <w:b w:val="false"/>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a)</w:t>
      </w:r>
    </w:p>
    <w:p>
      <w:pPr>
        <w:pStyle w:val="TextBody"/>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b)</w:t>
      </w:r>
    </w:p>
    <w:p>
      <w:pPr>
        <w:pStyle w:val="TextBody"/>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c)</w:t>
      </w:r>
    </w:p>
    <w:p>
      <w:pPr>
        <w:pStyle w:val="TextBody"/>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d)</w:t>
      </w:r>
    </w:p>
    <w:p>
      <w:pPr>
        <w:pStyle w:val="TextBody"/>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5.</w:t>
      </w:r>
    </w:p>
    <w:p>
      <w:pPr>
        <w:pStyle w:val="TextBody"/>
        <w:jc w:val="left"/>
        <w:rPr>
          <w:rFonts w:ascii="Arial;sans-serif" w:hAnsi="Arial;sans-serif"/>
          <w:b w:val="false"/>
          <w:sz w:val="18"/>
        </w:rPr>
      </w:pPr>
      <w:r>
        <w:rPr>
          <w:rFonts w:ascii="Arial;sans-serif" w:hAnsi="Arial;sans-serif"/>
          <w:b w:val="false"/>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a)</w:t>
      </w:r>
    </w:p>
    <w:p>
      <w:pPr>
        <w:pStyle w:val="TextBody"/>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b)</w:t>
      </w:r>
    </w:p>
    <w:p>
      <w:pPr>
        <w:pStyle w:val="TextBody"/>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787" w:type="dxa"/>
        <w:jc w:val="left"/>
        <w:tblInd w:w="0" w:type="dxa"/>
        <w:tblCellMar>
          <w:top w:w="28" w:type="dxa"/>
          <w:left w:w="28" w:type="dxa"/>
          <w:bottom w:w="28" w:type="dxa"/>
          <w:right w:w="28" w:type="dxa"/>
        </w:tblCellMar>
      </w:tblPr>
      <w:tblGrid>
        <w:gridCol w:w="1606"/>
        <w:gridCol w:w="3181"/>
      </w:tblGrid>
      <w:tr>
        <w:trPr/>
        <w:tc>
          <w:tcPr>
            <w:tcW w:w="160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4, 2023</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Linden R. Evans</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Linden R. Evans</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43" w:name="bkh-ex31_2.htm"/>
      <w:bookmarkStart w:id="44" w:name="ksbkhex31_2"/>
      <w:bookmarkEnd w:id="43"/>
      <w:bookmarkEnd w:id="44"/>
      <w:r>
        <w:rPr/>
        <w:t> </w:t>
      </w:r>
    </w:p>
    <w:p>
      <w:pPr>
        <w:pStyle w:val="TextBody"/>
        <w:spacing w:before="0" w:after="0"/>
        <w:jc w:val="right"/>
        <w:rPr>
          <w:rFonts w:ascii="Arial;sans-serif" w:hAnsi="Arial;sans-serif"/>
          <w:b/>
          <w:sz w:val="18"/>
        </w:rPr>
      </w:pPr>
      <w:r>
        <w:rPr>
          <w:rFonts w:ascii="Arial;sans-serif" w:hAnsi="Arial;sans-serif"/>
          <w:b/>
          <w:sz w:val="18"/>
        </w:rPr>
        <w:t>Exhibit 31.2</w:t>
      </w:r>
    </w:p>
    <w:p>
      <w:pPr>
        <w:pStyle w:val="TextBody"/>
        <w:spacing w:before="0" w:after="0"/>
        <w:jc w:val="center"/>
        <w:rPr/>
      </w:pPr>
      <w:r>
        <w:rPr/>
        <w:t> </w:t>
      </w:r>
    </w:p>
    <w:p>
      <w:pPr>
        <w:pStyle w:val="TextBody"/>
        <w:spacing w:before="0" w:after="0"/>
        <w:jc w:val="center"/>
        <w:rPr>
          <w:rFonts w:ascii="Arial;sans-serif" w:hAnsi="Arial;sans-serif"/>
          <w:b/>
          <w:sz w:val="18"/>
        </w:rPr>
      </w:pPr>
      <w:r>
        <w:rPr>
          <w:rFonts w:ascii="Arial;sans-serif" w:hAnsi="Arial;sans-serif"/>
          <w:b/>
          <w:sz w:val="18"/>
        </w:rPr>
        <w:t>CERTIFICATION</w:t>
      </w:r>
    </w:p>
    <w:p>
      <w:pPr>
        <w:pStyle w:val="TextBody"/>
        <w:spacing w:before="0" w:after="0"/>
        <w:jc w:val="center"/>
        <w:rPr/>
      </w:pPr>
      <w:r>
        <w:rPr/>
        <w:t> </w:t>
      </w:r>
    </w:p>
    <w:p>
      <w:pPr>
        <w:pStyle w:val="TextBody"/>
        <w:spacing w:before="0" w:after="0"/>
        <w:jc w:val="left"/>
        <w:rPr>
          <w:rFonts w:ascii="Arial;sans-serif" w:hAnsi="Arial;sans-serif"/>
          <w:b w:val="false"/>
          <w:sz w:val="18"/>
        </w:rPr>
      </w:pPr>
      <w:r>
        <w:rPr>
          <w:rFonts w:ascii="Arial;sans-serif" w:hAnsi="Arial;sans-serif"/>
          <w:b w:val="false"/>
          <w:sz w:val="18"/>
        </w:rPr>
        <w:t>I, Kimberly F. Nooney, certify that: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1.</w:t>
      </w:r>
    </w:p>
    <w:p>
      <w:pPr>
        <w:pStyle w:val="TextBody"/>
        <w:jc w:val="left"/>
        <w:rPr>
          <w:rFonts w:ascii="Arial;sans-serif" w:hAnsi="Arial;sans-serif"/>
          <w:b w:val="false"/>
          <w:sz w:val="18"/>
        </w:rPr>
      </w:pPr>
      <w:r>
        <w:rPr>
          <w:rFonts w:ascii="Arial;sans-serif" w:hAnsi="Arial;sans-serif"/>
          <w:b w:val="false"/>
          <w:sz w:val="18"/>
        </w:rPr>
        <w:t>I have reviewed this Quarterly Report on Form 10-Q of Black Hills Corporation;</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2.</w:t>
      </w:r>
    </w:p>
    <w:p>
      <w:pPr>
        <w:pStyle w:val="TextBody"/>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3.</w:t>
      </w:r>
    </w:p>
    <w:p>
      <w:pPr>
        <w:pStyle w:val="TextBody"/>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4.</w:t>
      </w:r>
    </w:p>
    <w:p>
      <w:pPr>
        <w:pStyle w:val="TextBody"/>
        <w:jc w:val="left"/>
        <w:rPr>
          <w:rFonts w:ascii="Arial;sans-serif" w:hAnsi="Arial;sans-serif"/>
          <w:b w:val="false"/>
          <w:sz w:val="18"/>
        </w:rPr>
      </w:pPr>
      <w:r>
        <w:rPr>
          <w:rFonts w:ascii="Arial;sans-serif" w:hAnsi="Arial;sans-serif"/>
          <w:b w:val="false"/>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a)</w:t>
      </w:r>
    </w:p>
    <w:p>
      <w:pPr>
        <w:pStyle w:val="TextBody"/>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b)</w:t>
      </w:r>
    </w:p>
    <w:p>
      <w:pPr>
        <w:pStyle w:val="TextBody"/>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c)</w:t>
      </w:r>
    </w:p>
    <w:p>
      <w:pPr>
        <w:pStyle w:val="TextBody"/>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d)</w:t>
      </w:r>
    </w:p>
    <w:p>
      <w:pPr>
        <w:pStyle w:val="TextBody"/>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5.</w:t>
      </w:r>
    </w:p>
    <w:p>
      <w:pPr>
        <w:pStyle w:val="TextBody"/>
        <w:jc w:val="left"/>
        <w:rPr>
          <w:rFonts w:ascii="Arial;sans-serif" w:hAnsi="Arial;sans-serif"/>
          <w:b w:val="false"/>
          <w:sz w:val="18"/>
        </w:rPr>
      </w:pPr>
      <w:r>
        <w:rPr>
          <w:rFonts w:ascii="Arial;sans-serif" w:hAnsi="Arial;sans-serif"/>
          <w:b w:val="false"/>
          <w:sz w:val="18"/>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a)</w:t>
      </w:r>
    </w:p>
    <w:p>
      <w:pPr>
        <w:pStyle w:val="TextBody"/>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b)</w:t>
      </w:r>
    </w:p>
    <w:p>
      <w:pPr>
        <w:pStyle w:val="TextBody"/>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732" w:type="dxa"/>
        <w:jc w:val="left"/>
        <w:tblInd w:w="0" w:type="dxa"/>
        <w:tblCellMar>
          <w:top w:w="28" w:type="dxa"/>
          <w:left w:w="28" w:type="dxa"/>
          <w:bottom w:w="28" w:type="dxa"/>
          <w:right w:w="28" w:type="dxa"/>
        </w:tblCellMar>
      </w:tblPr>
      <w:tblGrid>
        <w:gridCol w:w="1606"/>
        <w:gridCol w:w="4126"/>
      </w:tblGrid>
      <w:tr>
        <w:trPr/>
        <w:tc>
          <w:tcPr>
            <w:tcW w:w="1606" w:type="dxa"/>
            <w:tcBorders/>
            <w:shd w:fill="auto" w:val="clear"/>
            <w:vAlign w:val="center"/>
          </w:tcPr>
          <w:p>
            <w:pPr>
              <w:pStyle w:val="TableContents"/>
              <w:spacing w:before="0" w:after="283"/>
              <w:rPr>
                <w:sz w:val="4"/>
                <w:szCs w:val="4"/>
              </w:rPr>
            </w:pPr>
            <w:r>
              <w:rPr>
                <w:sz w:val="4"/>
                <w:szCs w:val="4"/>
              </w:rPr>
            </w:r>
          </w:p>
        </w:tc>
        <w:tc>
          <w:tcPr>
            <w:tcW w:w="4126"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4, 2023</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Kimberly F. Nooney</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Kimberly F. Nooney</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Senior Vice President and Chief Financial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45" w:name="bkh-ex32_1.htm"/>
      <w:bookmarkStart w:id="46" w:name="ksbkhex32_1"/>
      <w:bookmarkEnd w:id="45"/>
      <w:bookmarkEnd w:id="46"/>
      <w:r>
        <w:rPr/>
        <w:t> </w:t>
      </w:r>
    </w:p>
    <w:p>
      <w:pPr>
        <w:pStyle w:val="TextBody"/>
        <w:spacing w:before="0" w:after="0"/>
        <w:jc w:val="right"/>
        <w:rPr>
          <w:rFonts w:ascii="Arial;sans-serif" w:hAnsi="Arial;sans-serif"/>
          <w:b/>
          <w:sz w:val="18"/>
        </w:rPr>
      </w:pPr>
      <w:r>
        <w:rPr>
          <w:rFonts w:ascii="Arial;sans-serif" w:hAnsi="Arial;sans-serif"/>
          <w:b/>
          <w:sz w:val="18"/>
        </w:rPr>
        <w:t>Exhibit 32.1</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CERTIFICATION PURSUANT TO</w:t>
      </w:r>
    </w:p>
    <w:p>
      <w:pPr>
        <w:pStyle w:val="TextBody"/>
        <w:spacing w:before="0" w:after="0"/>
        <w:jc w:val="center"/>
        <w:rPr>
          <w:rFonts w:ascii="Arial;sans-serif" w:hAnsi="Arial;sans-serif"/>
          <w:b w:val="false"/>
          <w:sz w:val="18"/>
        </w:rPr>
      </w:pPr>
      <w:r>
        <w:rPr>
          <w:rFonts w:ascii="Arial;sans-serif" w:hAnsi="Arial;sans-serif"/>
          <w:b w:val="false"/>
          <w:sz w:val="18"/>
        </w:rPr>
        <w:t>18 U.S.C. SECTION 1350,</w:t>
      </w:r>
    </w:p>
    <w:p>
      <w:pPr>
        <w:pStyle w:val="TextBody"/>
        <w:spacing w:before="0" w:after="0"/>
        <w:jc w:val="center"/>
        <w:rPr>
          <w:rFonts w:ascii="Arial;sans-serif" w:hAnsi="Arial;sans-serif"/>
          <w:b w:val="false"/>
          <w:sz w:val="18"/>
        </w:rPr>
      </w:pPr>
      <w:r>
        <w:rPr>
          <w:rFonts w:ascii="Arial;sans-serif" w:hAnsi="Arial;sans-serif"/>
          <w:b w:val="false"/>
          <w:sz w:val="18"/>
        </w:rPr>
        <w:t>AS ADOPTED PURSUANT TO</w:t>
      </w:r>
    </w:p>
    <w:p>
      <w:pPr>
        <w:pStyle w:val="TextBody"/>
        <w:spacing w:before="0" w:after="0"/>
        <w:jc w:val="center"/>
        <w:rPr>
          <w:rFonts w:ascii="Arial;sans-serif" w:hAnsi="Arial;sans-serif"/>
          <w:b w:val="false"/>
          <w:sz w:val="18"/>
        </w:rPr>
      </w:pPr>
      <w:r>
        <w:rPr>
          <w:rFonts w:ascii="Arial;sans-serif" w:hAnsi="Arial;sans-serif"/>
          <w:b w:val="false"/>
          <w:sz w:val="18"/>
        </w:rPr>
        <w:t>SECTION 906 OF THE SARBANES-OXLEY ACT OF 2002</w:t>
      </w:r>
    </w:p>
    <w:p>
      <w:pPr>
        <w:pStyle w:val="TextBody"/>
        <w:spacing w:before="0" w:after="0"/>
        <w:jc w:val="center"/>
        <w:rPr/>
      </w:pPr>
      <w:r>
        <w:rPr/>
        <w:t> </w:t>
      </w:r>
    </w:p>
    <w:p>
      <w:pPr>
        <w:pStyle w:val="TextBody"/>
        <w:spacing w:before="0" w:after="0"/>
        <w:jc w:val="left"/>
        <w:rPr>
          <w:rFonts w:ascii="Arial;sans-serif" w:hAnsi="Arial;sans-serif"/>
          <w:b w:val="false"/>
          <w:sz w:val="18"/>
        </w:rPr>
      </w:pPr>
      <w:r>
        <w:rPr>
          <w:rFonts w:ascii="Arial;sans-serif" w:hAnsi="Arial;sans-serif"/>
          <w:b w:val="false"/>
          <w:sz w:val="18"/>
        </w:rPr>
        <w:t>In connection with the Quarterly Report of Black Hills Corporation (the “Company”) on Form 10-Q for the period ended March 31, 2023 as filed with the Securities and Exchange Commission on the date hereof (the “Report”), I, Linden R. Evans, President and Chief Executive Officer of the Company, certify, pursuant to 18 U.S.C. ss. 1350, as adopted pursuant to ss. 906 of the Sarbanes-Oxley Act of 2002, that: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(1)</w:t>
      </w:r>
    </w:p>
    <w:p>
      <w:pPr>
        <w:pStyle w:val="TextBody"/>
        <w:jc w:val="left"/>
        <w:rPr>
          <w:rFonts w:ascii="Arial;sans-serif" w:hAnsi="Arial;sans-serif"/>
          <w:b w:val="false"/>
          <w:sz w:val="18"/>
        </w:rPr>
      </w:pPr>
      <w:r>
        <w:rPr>
          <w:rFonts w:ascii="Arial;sans-serif" w:hAnsi="Arial;sans-serif"/>
          <w:b w:val="false"/>
          <w:sz w:val="18"/>
        </w:rPr>
        <w:t xml:space="preserve">The Report fully complies with the requirements of Section 13 (a) or </w:t>
      </w:r>
    </w:p>
    <w:p>
      <w:pPr>
        <w:pStyle w:val="TextBody"/>
        <w:spacing w:before="0" w:after="0"/>
        <w:jc w:val="left"/>
        <w:rPr>
          <w:rFonts w:ascii="Arial;sans-serif" w:hAnsi="Arial;sans-serif"/>
          <w:b w:val="false"/>
          <w:sz w:val="18"/>
        </w:rPr>
      </w:pPr>
      <w:r>
        <w:rPr>
          <w:rFonts w:ascii="Arial;sans-serif" w:hAnsi="Arial;sans-serif"/>
          <w:b w:val="false"/>
          <w:sz w:val="18"/>
        </w:rPr>
        <w:t>15 (d) of the Securities Exchange Act of 1934;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(2)</w:t>
      </w:r>
    </w:p>
    <w:p>
      <w:pPr>
        <w:pStyle w:val="TextBody"/>
        <w:jc w:val="left"/>
        <w:rPr>
          <w:rFonts w:ascii="Arial;sans-serif" w:hAnsi="Arial;sans-serif"/>
          <w:b w:val="false"/>
          <w:sz w:val="18"/>
        </w:rPr>
      </w:pPr>
      <w:r>
        <w:rPr>
          <w:rFonts w:ascii="Arial;sans-serif" w:hAnsi="Arial;sans-serif"/>
          <w:b w:val="false"/>
          <w:sz w:val="18"/>
        </w:rPr>
        <w:t>The information contained in the Report fairly presents, in all material</w:t>
      </w:r>
    </w:p>
    <w:p>
      <w:pPr>
        <w:pStyle w:val="TextBody"/>
        <w:spacing w:before="0" w:after="0"/>
        <w:jc w:val="left"/>
        <w:rPr>
          <w:rFonts w:ascii="Arial;sans-serif" w:hAnsi="Arial;sans-serif"/>
          <w:b w:val="false"/>
          <w:sz w:val="18"/>
        </w:rPr>
      </w:pPr>
      <w:r>
        <w:rPr>
          <w:rFonts w:ascii="Arial;sans-serif" w:hAnsi="Arial;sans-serif"/>
          <w:b w:val="false"/>
          <w:sz w:val="18"/>
        </w:rPr>
        <w:t>respects, the financial condition and results of operations of the Company.</w:t>
      </w:r>
    </w:p>
    <w:p>
      <w:pPr>
        <w:pStyle w:val="TextBody"/>
        <w:spacing w:before="0" w:after="0"/>
        <w:jc w:val="left"/>
        <w:rPr/>
      </w:pPr>
      <w:r>
        <w:rPr/>
        <w:t> </w:t>
      </w:r>
    </w:p>
    <w:p>
      <w:pPr>
        <w:pStyle w:val="TextBody"/>
        <w:spacing w:before="0" w:after="0"/>
        <w:jc w:val="left"/>
        <w:rPr/>
      </w:pPr>
      <w:r>
        <w:rPr/>
        <w:t> </w:t>
      </w:r>
    </w:p>
    <w:tbl>
      <w:tblPr>
        <w:tblW w:w="4933" w:type="dxa"/>
        <w:jc w:val="left"/>
        <w:tblInd w:w="0" w:type="dxa"/>
        <w:tblCellMar>
          <w:top w:w="28" w:type="dxa"/>
          <w:left w:w="28" w:type="dxa"/>
          <w:bottom w:w="28" w:type="dxa"/>
          <w:right w:w="28" w:type="dxa"/>
        </w:tblCellMar>
      </w:tblPr>
      <w:tblGrid>
        <w:gridCol w:w="1606"/>
        <w:gridCol w:w="146"/>
        <w:gridCol w:w="318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4,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Linden R. Evans</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Linden R. Evans</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pPr>
      <w:bookmarkStart w:id="47" w:name="bkh-ex32_2.htm"/>
      <w:bookmarkStart w:id="48" w:name="ksbkhex32_2"/>
      <w:bookmarkEnd w:id="47"/>
      <w:bookmarkEnd w:id="48"/>
      <w:r>
        <w:rPr/>
        <w:t> </w:t>
      </w:r>
    </w:p>
    <w:p>
      <w:pPr>
        <w:pStyle w:val="TextBody"/>
        <w:spacing w:before="0" w:after="0"/>
        <w:jc w:val="right"/>
        <w:rPr>
          <w:rFonts w:ascii="Arial;sans-serif" w:hAnsi="Arial;sans-serif"/>
          <w:b/>
          <w:sz w:val="18"/>
        </w:rPr>
      </w:pPr>
      <w:r>
        <w:rPr>
          <w:rFonts w:ascii="Arial;sans-serif" w:hAnsi="Arial;sans-serif"/>
          <w:b/>
          <w:sz w:val="18"/>
        </w:rPr>
        <w:t>Exhibit 32.2</w:t>
      </w:r>
    </w:p>
    <w:p>
      <w:pPr>
        <w:pStyle w:val="TextBody"/>
        <w:spacing w:before="0" w:after="0"/>
        <w:jc w:val="right"/>
        <w:rPr/>
      </w:pPr>
      <w:r>
        <w:rPr/>
        <w:t> </w:t>
      </w:r>
    </w:p>
    <w:p>
      <w:pPr>
        <w:pStyle w:val="TextBody"/>
        <w:spacing w:before="0" w:after="0"/>
        <w:jc w:val="right"/>
        <w:rPr/>
      </w:pPr>
      <w:r>
        <w:rPr/>
        <w:t> </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rFonts w:ascii="Arial;sans-serif" w:hAnsi="Arial;sans-serif"/>
          <w:b w:val="false"/>
          <w:sz w:val="18"/>
        </w:rPr>
      </w:pPr>
      <w:r>
        <w:rPr>
          <w:rFonts w:ascii="Arial;sans-serif" w:hAnsi="Arial;sans-serif"/>
          <w:b w:val="false"/>
          <w:sz w:val="18"/>
        </w:rPr>
        <w:t>CERTIFICATION PURSUANT TO</w:t>
      </w:r>
    </w:p>
    <w:p>
      <w:pPr>
        <w:pStyle w:val="TextBody"/>
        <w:spacing w:before="0" w:after="0"/>
        <w:jc w:val="center"/>
        <w:rPr>
          <w:rFonts w:ascii="Arial;sans-serif" w:hAnsi="Arial;sans-serif"/>
          <w:b w:val="false"/>
          <w:sz w:val="18"/>
        </w:rPr>
      </w:pPr>
      <w:r>
        <w:rPr>
          <w:rFonts w:ascii="Arial;sans-serif" w:hAnsi="Arial;sans-serif"/>
          <w:b w:val="false"/>
          <w:sz w:val="18"/>
        </w:rPr>
        <w:t>18 U.S.C. SECTION 1350,</w:t>
      </w:r>
    </w:p>
    <w:p>
      <w:pPr>
        <w:pStyle w:val="TextBody"/>
        <w:spacing w:before="0" w:after="0"/>
        <w:jc w:val="center"/>
        <w:rPr>
          <w:rFonts w:ascii="Arial;sans-serif" w:hAnsi="Arial;sans-serif"/>
          <w:b w:val="false"/>
          <w:sz w:val="18"/>
        </w:rPr>
      </w:pPr>
      <w:r>
        <w:rPr>
          <w:rFonts w:ascii="Arial;sans-serif" w:hAnsi="Arial;sans-serif"/>
          <w:b w:val="false"/>
          <w:sz w:val="18"/>
        </w:rPr>
        <w:t>AS ADOPTED PURSUANT TO</w:t>
      </w:r>
    </w:p>
    <w:p>
      <w:pPr>
        <w:pStyle w:val="TextBody"/>
        <w:spacing w:before="0" w:after="0"/>
        <w:jc w:val="center"/>
        <w:rPr>
          <w:rFonts w:ascii="Arial;sans-serif" w:hAnsi="Arial;sans-serif"/>
          <w:b w:val="false"/>
          <w:sz w:val="18"/>
        </w:rPr>
      </w:pPr>
      <w:r>
        <w:rPr>
          <w:rFonts w:ascii="Arial;sans-serif" w:hAnsi="Arial;sans-serif"/>
          <w:b w:val="false"/>
          <w:sz w:val="18"/>
        </w:rPr>
        <w:t>SECTION 906 OF THE SARBANES-OXLEY ACT OF 2002</w:t>
      </w:r>
    </w:p>
    <w:p>
      <w:pPr>
        <w:pStyle w:val="TextBody"/>
        <w:spacing w:before="0" w:after="0"/>
        <w:jc w:val="center"/>
        <w:rPr/>
      </w:pPr>
      <w:r>
        <w:rPr/>
        <w:t> </w:t>
      </w:r>
    </w:p>
    <w:p>
      <w:pPr>
        <w:pStyle w:val="TextBody"/>
        <w:spacing w:before="0" w:after="0"/>
        <w:jc w:val="left"/>
        <w:rPr>
          <w:rFonts w:ascii="Arial;sans-serif" w:hAnsi="Arial;sans-serif"/>
          <w:b w:val="false"/>
          <w:sz w:val="18"/>
        </w:rPr>
      </w:pPr>
      <w:r>
        <w:rPr>
          <w:rFonts w:ascii="Arial;sans-serif" w:hAnsi="Arial;sans-serif"/>
          <w:b w:val="false"/>
          <w:sz w:val="18"/>
        </w:rPr>
        <w:t>In connection with the Quarterly Report of Black Hills Corporation (the “Company”) on Form 10-Q for the period ended March 31, 2023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(1)</w:t>
      </w:r>
    </w:p>
    <w:p>
      <w:pPr>
        <w:pStyle w:val="TextBody"/>
        <w:jc w:val="left"/>
        <w:rPr>
          <w:rFonts w:ascii="Arial;sans-serif" w:hAnsi="Arial;sans-serif"/>
          <w:b w:val="false"/>
          <w:sz w:val="18"/>
        </w:rPr>
      </w:pPr>
      <w:r>
        <w:rPr>
          <w:rFonts w:ascii="Arial;sans-serif" w:hAnsi="Arial;sans-serif"/>
          <w:b w:val="false"/>
          <w:sz w:val="18"/>
        </w:rPr>
        <w:t xml:space="preserve">The Report fully complies with the requirements of Section 13 (a) or </w:t>
      </w:r>
    </w:p>
    <w:p>
      <w:pPr>
        <w:pStyle w:val="TextBody"/>
        <w:spacing w:before="0" w:after="0"/>
        <w:jc w:val="left"/>
        <w:rPr>
          <w:rFonts w:ascii="Arial;sans-serif" w:hAnsi="Arial;sans-serif"/>
          <w:b w:val="false"/>
          <w:sz w:val="18"/>
        </w:rPr>
      </w:pPr>
      <w:r>
        <w:rPr>
          <w:rFonts w:ascii="Arial;sans-serif" w:hAnsi="Arial;sans-serif"/>
          <w:b w:val="false"/>
          <w:sz w:val="18"/>
        </w:rPr>
        <w:t>15 (d) of the Securities Exchange Act of 1934; and</w:t>
      </w:r>
    </w:p>
    <w:p>
      <w:pPr>
        <w:pStyle w:val="TextBody"/>
        <w:spacing w:before="0" w:after="0"/>
        <w:jc w:val="left"/>
        <w:rPr/>
      </w:pPr>
      <w:r>
        <w:rPr/>
        <w:t> </w:t>
      </w:r>
    </w:p>
    <w:p>
      <w:pPr>
        <w:pStyle w:val="TextBody"/>
        <w:spacing w:before="0" w:after="0"/>
        <w:jc w:val="left"/>
        <w:rPr>
          <w:rFonts w:ascii="Arial" w:hAnsi="Arial"/>
          <w:b w:val="false"/>
          <w:sz w:val="18"/>
        </w:rPr>
      </w:pPr>
      <w:r>
        <w:rPr>
          <w:rFonts w:ascii="Arial" w:hAnsi="Arial"/>
          <w:b w:val="false"/>
          <w:sz w:val="18"/>
        </w:rPr>
        <w:t>(2)</w:t>
      </w:r>
    </w:p>
    <w:p>
      <w:pPr>
        <w:pStyle w:val="TextBody"/>
        <w:jc w:val="left"/>
        <w:rPr>
          <w:rFonts w:ascii="Arial;sans-serif" w:hAnsi="Arial;sans-serif"/>
          <w:b w:val="false"/>
          <w:sz w:val="18"/>
        </w:rPr>
      </w:pPr>
      <w:r>
        <w:rPr>
          <w:rFonts w:ascii="Arial;sans-serif" w:hAnsi="Arial;sans-serif"/>
          <w:b w:val="false"/>
          <w:sz w:val="18"/>
        </w:rPr>
        <w:t>The information contained in the Report fairly presents, in all material</w:t>
      </w:r>
    </w:p>
    <w:p>
      <w:pPr>
        <w:pStyle w:val="TextBody"/>
        <w:spacing w:before="0" w:after="0"/>
        <w:jc w:val="left"/>
        <w:rPr>
          <w:rFonts w:ascii="Arial;sans-serif" w:hAnsi="Arial;sans-serif"/>
          <w:b w:val="false"/>
          <w:sz w:val="18"/>
        </w:rPr>
      </w:pPr>
      <w:r>
        <w:rPr>
          <w:rFonts w:ascii="Arial;sans-serif" w:hAnsi="Arial;sans-serif"/>
          <w:b w:val="false"/>
          <w:sz w:val="18"/>
        </w:rPr>
        <w:t>respects, the financial condition and results of operations of the Company.</w:t>
      </w:r>
    </w:p>
    <w:p>
      <w:pPr>
        <w:pStyle w:val="TextBody"/>
        <w:spacing w:before="0" w:after="0"/>
        <w:jc w:val="left"/>
        <w:rPr/>
      </w:pPr>
      <w:r>
        <w:rPr/>
        <w:t> </w:t>
      </w:r>
    </w:p>
    <w:p>
      <w:pPr>
        <w:pStyle w:val="TextBody"/>
        <w:spacing w:before="0" w:after="0"/>
        <w:jc w:val="left"/>
        <w:rPr/>
      </w:pPr>
      <w:r>
        <w:rPr/>
        <w:t> </w:t>
      </w:r>
    </w:p>
    <w:tbl>
      <w:tblPr>
        <w:tblW w:w="5878" w:type="dxa"/>
        <w:jc w:val="left"/>
        <w:tblInd w:w="0" w:type="dxa"/>
        <w:tblCellMar>
          <w:top w:w="28" w:type="dxa"/>
          <w:left w:w="28" w:type="dxa"/>
          <w:bottom w:w="28" w:type="dxa"/>
          <w:right w:w="28" w:type="dxa"/>
        </w:tblCellMar>
      </w:tblPr>
      <w:tblGrid>
        <w:gridCol w:w="1606"/>
        <w:gridCol w:w="146"/>
        <w:gridCol w:w="4126"/>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26"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Date: May 4,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 Kimberly F. Nooney</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Kimberly F. Nooney</w:t>
            </w:r>
          </w:p>
        </w:tc>
      </w:tr>
      <w:tr>
        <w:trPr/>
        <w:tc>
          <w:tcPr>
            <w:tcW w:w="1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Senior Vice President and Chief Financial Officer</w:t>
            </w:r>
          </w:p>
        </w:tc>
      </w:tr>
    </w:tbl>
    <w:p>
      <w:pPr>
        <w:pStyle w:val="TextBody"/>
        <w:spacing w:before="0" w:after="0"/>
        <w:jc w:val="left"/>
        <w:rPr/>
      </w:pPr>
      <w:r>
        <w:rPr/>
        <w:t> </w:t>
      </w:r>
    </w:p>
    <w:p>
      <w:pPr>
        <w:pStyle w:val="HorizontalLine"/>
        <w:rPr/>
      </w:pPr>
      <w:r>
        <w:rPr/>
      </w:r>
      <w:r>
        <w:br w:type="page"/>
      </w:r>
    </w:p>
    <w:p>
      <w:pPr>
        <w:pStyle w:val="TextBody"/>
        <w:spacing w:before="200" w:after="200"/>
        <w:jc w:val="left"/>
        <w:rPr/>
      </w:pPr>
      <w:bookmarkStart w:id="49" w:name="bkh-ex95.htm"/>
      <w:bookmarkStart w:id="50" w:name="ksbkhex95"/>
      <w:bookmarkEnd w:id="49"/>
      <w:bookmarkEnd w:id="50"/>
      <w:r>
        <w:rPr/>
        <w:t> </w:t>
      </w:r>
    </w:p>
    <w:p>
      <w:pPr>
        <w:pStyle w:val="TextBody"/>
        <w:spacing w:before="0" w:after="0"/>
        <w:jc w:val="right"/>
        <w:rPr>
          <w:rFonts w:ascii="Arial;sans-serif" w:hAnsi="Arial;sans-serif"/>
          <w:b/>
          <w:sz w:val="18"/>
        </w:rPr>
      </w:pPr>
      <w:bookmarkStart w:id="51" w:name="ex_95"/>
      <w:bookmarkEnd w:id="51"/>
      <w:r>
        <w:rPr>
          <w:rFonts w:ascii="Arial;sans-serif" w:hAnsi="Arial;sans-serif"/>
          <w:b/>
          <w:sz w:val="18"/>
        </w:rPr>
        <w:t>Exhibit 95</w:t>
      </w:r>
    </w:p>
    <w:p>
      <w:pPr>
        <w:pStyle w:val="TextBody"/>
        <w:spacing w:before="0" w:after="0"/>
        <w:jc w:val="right"/>
        <w:rPr/>
      </w:pPr>
      <w:r>
        <w:rPr/>
        <w:t> </w:t>
      </w:r>
    </w:p>
    <w:p>
      <w:pPr>
        <w:pStyle w:val="TextBody"/>
        <w:spacing w:before="0" w:after="0"/>
        <w:jc w:val="left"/>
        <w:rPr>
          <w:rFonts w:ascii="Arial;sans-serif" w:hAnsi="Arial;sans-serif"/>
          <w:b w:val="false"/>
          <w:sz w:val="18"/>
        </w:rPr>
      </w:pPr>
      <w:r>
        <w:rPr>
          <w:rFonts w:ascii="Arial;sans-serif" w:hAnsi="Arial;sans-serif"/>
          <w:b w:val="false"/>
          <w:sz w:val="18"/>
        </w:rPr>
        <w:t>Information concerning mine safety violations or other regulatory matters required by Sections 1503(a) of Dodd-Frank is included below.</w:t>
      </w:r>
    </w:p>
    <w:p>
      <w:pPr>
        <w:pStyle w:val="TextBody"/>
        <w:spacing w:before="0" w:after="0"/>
        <w:jc w:val="left"/>
        <w:rPr/>
      </w:pPr>
      <w:r>
        <w:rPr/>
        <w:t> </w:t>
      </w:r>
    </w:p>
    <w:p>
      <w:pPr>
        <w:pStyle w:val="TextBody"/>
        <w:spacing w:before="0" w:after="0"/>
        <w:jc w:val="left"/>
        <w:rPr>
          <w:rFonts w:ascii="Arial;sans-serif" w:hAnsi="Arial;sans-serif"/>
          <w:b/>
          <w:sz w:val="18"/>
        </w:rPr>
      </w:pPr>
      <w:r>
        <w:rPr>
          <w:rFonts w:ascii="Arial;sans-serif" w:hAnsi="Arial;sans-serif"/>
          <w:b/>
          <w:sz w:val="18"/>
        </w:rPr>
        <w:t>Mine Safety and Health Administration Safety Data</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2023.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Total number of orders issued under section 104(b) of the Mine Act;</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Total number of citations and orders for unwarrantable failure of the mine operator to comply with mandatory health and safety standards under section 104(d) of the Mine Act;</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Total number of imminent danger orders issued under section 107(a) of the Mine Act; and</w:t>
      </w:r>
    </w:p>
    <w:p>
      <w:pPr>
        <w:pStyle w:val="TextBody"/>
        <w:spacing w:before="0" w:after="0"/>
        <w:jc w:val="left"/>
        <w:rPr/>
      </w:pPr>
      <w:r>
        <w:rPr/>
        <w:t> </w:t>
      </w:r>
    </w:p>
    <w:p>
      <w:pPr>
        <w:pStyle w:val="TextBody"/>
        <w:spacing w:before="0" w:after="0"/>
        <w:jc w:val="left"/>
        <w:rPr/>
      </w:pPr>
      <w:r>
        <w:rPr/>
        <w:t>•</w:t>
      </w:r>
    </w:p>
    <w:p>
      <w:pPr>
        <w:pStyle w:val="TextBody"/>
        <w:jc w:val="left"/>
        <w:rPr>
          <w:rFonts w:ascii="Arial;sans-serif" w:hAnsi="Arial;sans-serif"/>
          <w:b w:val="false"/>
          <w:sz w:val="18"/>
        </w:rPr>
      </w:pPr>
      <w:r>
        <w:rPr>
          <w:rFonts w:ascii="Arial;sans-serif" w:hAnsi="Arial;sans-serif"/>
          <w:b w:val="false"/>
          <w:sz w:val="18"/>
        </w:rPr>
        <w:t>Total dollar value of proposed assessments from MSHA under the Mine Act.</w:t>
      </w:r>
    </w:p>
    <w:p>
      <w:pPr>
        <w:pStyle w:val="TextBody"/>
        <w:spacing w:before="0" w:after="0"/>
        <w:jc w:val="left"/>
        <w:rPr/>
      </w:pPr>
      <w:r>
        <w:rPr/>
        <w:t> </w:t>
      </w:r>
    </w:p>
    <w:p>
      <w:pPr>
        <w:pStyle w:val="TextBody"/>
        <w:spacing w:before="0" w:after="0"/>
        <w:jc w:val="left"/>
        <w:rPr>
          <w:rFonts w:ascii="Arial;sans-serif" w:hAnsi="Arial;sans-serif"/>
          <w:b w:val="false"/>
          <w:sz w:val="18"/>
        </w:rPr>
      </w:pPr>
      <w:r>
        <w:rPr>
          <w:rFonts w:ascii="Arial;sans-serif" w:hAnsi="Arial;sans-serif"/>
          <w:b w:val="false"/>
          <w:sz w:val="18"/>
        </w:rPr>
        <w:t>The table below sets forth the total number of citations and/or orders issued by MSHA to BHE – Wyodak Mine under the indicated provisions of the Mine Act, together with the total dollar value of proposed MSHA assessments received during the three months ended March 31, 2023 and legal actions pending before the Federal Mine Safety and Health Review Commission, together with the Administrative Law Judges thereof, for BHE – Wyodak Mine, our only mining complex. All citations were abated within 24 hours of issue.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38"/>
        <w:gridCol w:w="555"/>
        <w:gridCol w:w="414"/>
        <w:gridCol w:w="689"/>
        <w:gridCol w:w="741"/>
        <w:gridCol w:w="710"/>
        <w:gridCol w:w="756"/>
        <w:gridCol w:w="304"/>
        <w:gridCol w:w="584"/>
        <w:gridCol w:w="227"/>
        <w:gridCol w:w="840"/>
        <w:gridCol w:w="940"/>
        <w:gridCol w:w="452"/>
        <w:gridCol w:w="337"/>
        <w:gridCol w:w="430"/>
        <w:gridCol w:w="322"/>
        <w:gridCol w:w="433"/>
        <w:gridCol w:w="433"/>
      </w:tblGrid>
      <w:tr>
        <w:trPr/>
        <w:tc>
          <w:tcPr>
            <w:tcW w:w="1038"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r>
      <w:tr>
        <w:trPr/>
        <w:tc>
          <w:tcPr>
            <w:tcW w:w="1038"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Mine/ MSHA</w:t>
            </w:r>
          </w:p>
          <w:p>
            <w:pPr>
              <w:pStyle w:val="TableContents"/>
              <w:spacing w:before="0" w:after="0"/>
              <w:ind w:left="0" w:right="0" w:hanging="0"/>
              <w:jc w:val="center"/>
              <w:rPr>
                <w:rFonts w:ascii="Arial;sans-serif" w:hAnsi="Arial;sans-serif"/>
                <w:b/>
                <w:sz w:val="14"/>
              </w:rPr>
            </w:pPr>
            <w:r>
              <w:rPr>
                <w:rFonts w:ascii="Arial;sans-serif" w:hAnsi="Arial;sans-serif"/>
                <w:b/>
                <w:sz w:val="14"/>
              </w:rPr>
              <w:t>Identification Number</w:t>
            </w:r>
          </w:p>
        </w:tc>
        <w:tc>
          <w:tcPr>
            <w:tcW w:w="969" w:type="dxa"/>
            <w:gridSpan w:val="2"/>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Mine Act Section 104 S&amp;S Citations issued during three months ended March 31, 2023</w:t>
            </w:r>
          </w:p>
        </w:tc>
        <w:tc>
          <w:tcPr>
            <w:tcW w:w="689" w:type="dxa"/>
            <w:tcBorders/>
            <w:shd w:fill="auto" w:val="clear"/>
            <w:vAlign w:val="center"/>
          </w:tcPr>
          <w:p>
            <w:pPr>
              <w:pStyle w:val="TableContents"/>
              <w:spacing w:before="0" w:after="20"/>
              <w:ind w:left="0" w:right="0" w:hanging="0"/>
              <w:jc w:val="center"/>
              <w:rPr>
                <w:rFonts w:ascii="Arial;sans-serif" w:hAnsi="Arial;sans-serif"/>
                <w:b/>
                <w:sz w:val="14"/>
              </w:rPr>
            </w:pPr>
            <w:r>
              <w:rPr>
                <w:rFonts w:ascii="Arial;sans-serif" w:hAnsi="Arial;sans-serif"/>
                <w:b/>
                <w:sz w:val="14"/>
              </w:rPr>
              <w:t>Mine Act Section 104(b) Orders (#)</w:t>
            </w:r>
          </w:p>
        </w:tc>
        <w:tc>
          <w:tcPr>
            <w:tcW w:w="741"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Mine Act Section 104(d) Citations and Orders (#)</w:t>
            </w:r>
          </w:p>
        </w:tc>
        <w:tc>
          <w:tcPr>
            <w:tcW w:w="710"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Mine Act Section 110(b)(2) Violations (#)</w:t>
            </w:r>
          </w:p>
        </w:tc>
        <w:tc>
          <w:tcPr>
            <w:tcW w:w="756"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Mine Act Section 107(a) Imminent Danger Orders (#)</w:t>
            </w:r>
          </w:p>
        </w:tc>
        <w:tc>
          <w:tcPr>
            <w:tcW w:w="1115" w:type="dxa"/>
            <w:gridSpan w:val="3"/>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Total Dollar Value of Proposed MSHA Assessments (a)</w:t>
            </w:r>
          </w:p>
        </w:tc>
        <w:tc>
          <w:tcPr>
            <w:tcW w:w="840"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Total Number of Mining Related Fatalities (#)</w:t>
            </w:r>
          </w:p>
        </w:tc>
        <w:tc>
          <w:tcPr>
            <w:tcW w:w="940"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Received Notice of Potential to Have Pattern Under Section 104(e) (yes/no)</w:t>
            </w:r>
          </w:p>
        </w:tc>
        <w:tc>
          <w:tcPr>
            <w:tcW w:w="789" w:type="dxa"/>
            <w:gridSpan w:val="2"/>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Legal Actions Pending as of Last Day of Period (#) (b)</w:t>
            </w:r>
          </w:p>
        </w:tc>
        <w:tc>
          <w:tcPr>
            <w:tcW w:w="752" w:type="dxa"/>
            <w:gridSpan w:val="2"/>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Legal Actions Initiated During Period (#)</w:t>
            </w:r>
          </w:p>
        </w:tc>
        <w:tc>
          <w:tcPr>
            <w:tcW w:w="866" w:type="dxa"/>
            <w:gridSpan w:val="2"/>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Legal Actions Resolved During Period (#)</w:t>
            </w:r>
          </w:p>
        </w:tc>
      </w:tr>
      <w:tr>
        <w:trPr/>
        <w:tc>
          <w:tcPr>
            <w:tcW w:w="1038" w:type="dxa"/>
            <w:tcBorders/>
            <w:shd w:fill="auto" w:val="clear"/>
            <w:vAlign w:val="center"/>
          </w:tcPr>
          <w:p>
            <w:pPr>
              <w:pStyle w:val="TableContents"/>
              <w:spacing w:before="0" w:after="20"/>
              <w:ind w:left="0" w:right="0" w:hanging="0"/>
              <w:jc w:val="left"/>
              <w:rPr>
                <w:rFonts w:ascii="Arial;sans-serif" w:hAnsi="Arial;sans-serif"/>
                <w:b w:val="false"/>
                <w:sz w:val="16"/>
              </w:rPr>
            </w:pPr>
            <w:r>
              <w:rPr>
                <w:rFonts w:ascii="Arial;sans-serif" w:hAnsi="Arial;sans-serif"/>
                <w:b w:val="false"/>
                <w:sz w:val="16"/>
              </w:rPr>
              <w:t>Wyodak Coal Mine - 4800083</w:t>
            </w:r>
          </w:p>
        </w:tc>
        <w:tc>
          <w:tcPr>
            <w:tcW w:w="555"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414" w:type="dxa"/>
            <w:tcBorders/>
            <w:shd w:fill="auto" w:val="clear"/>
            <w:vAlign w:val="center"/>
          </w:tcPr>
          <w:p>
            <w:pPr>
              <w:pStyle w:val="TableContents"/>
              <w:spacing w:before="0" w:after="0"/>
              <w:ind w:left="0" w:right="0" w:hanging="0"/>
              <w:jc w:val="left"/>
              <w:rPr/>
            </w:pPr>
            <w:r>
              <w:rPr/>
              <w:t> </w:t>
            </w:r>
          </w:p>
        </w:tc>
        <w:tc>
          <w:tcPr>
            <w:tcW w:w="689"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741"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710"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756"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304" w:type="dxa"/>
            <w:tcBorders/>
            <w:shd w:fill="auto" w:val="clear"/>
            <w:vAlign w:val="center"/>
          </w:tcPr>
          <w:p>
            <w:pPr>
              <w:pStyle w:val="TableContents"/>
              <w:spacing w:before="0" w:after="20"/>
              <w:ind w:left="0" w:right="0" w:hanging="0"/>
              <w:jc w:val="left"/>
              <w:rPr>
                <w:rFonts w:ascii="Arial;sans-serif" w:hAnsi="Arial;sans-serif"/>
                <w:b w:val="false"/>
                <w:sz w:val="16"/>
              </w:rPr>
            </w:pPr>
            <w:r>
              <w:rPr>
                <w:rFonts w:ascii="Arial;sans-serif" w:hAnsi="Arial;sans-serif"/>
                <w:b w:val="false"/>
                <w:sz w:val="16"/>
              </w:rPr>
              <w:t>$</w:t>
            </w:r>
          </w:p>
        </w:tc>
        <w:tc>
          <w:tcPr>
            <w:tcW w:w="584"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906</w:t>
            </w:r>
          </w:p>
        </w:tc>
        <w:tc>
          <w:tcPr>
            <w:tcW w:w="227"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940"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No</w:t>
            </w:r>
          </w:p>
        </w:tc>
        <w:tc>
          <w:tcPr>
            <w:tcW w:w="452"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337" w:type="dxa"/>
            <w:tcBorders/>
            <w:shd w:fill="auto" w:val="clear"/>
            <w:vAlign w:val="center"/>
          </w:tcPr>
          <w:p>
            <w:pPr>
              <w:pStyle w:val="TableContents"/>
              <w:spacing w:before="0" w:after="0"/>
              <w:ind w:left="0" w:right="0" w:hanging="0"/>
              <w:jc w:val="center"/>
              <w:rPr/>
            </w:pPr>
            <w:r>
              <w:rPr/>
              <w:t> </w:t>
            </w:r>
          </w:p>
        </w:tc>
        <w:tc>
          <w:tcPr>
            <w:tcW w:w="430"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322" w:type="dxa"/>
            <w:tcBorders/>
            <w:shd w:fill="auto" w:val="clear"/>
            <w:vAlign w:val="center"/>
          </w:tcPr>
          <w:p>
            <w:pPr>
              <w:pStyle w:val="TableContents"/>
              <w:spacing w:before="0" w:after="0"/>
              <w:ind w:left="0" w:right="0" w:hanging="0"/>
              <w:jc w:val="left"/>
              <w:rPr/>
            </w:pPr>
            <w:r>
              <w:rPr/>
              <w:t> </w:t>
            </w:r>
          </w:p>
        </w:tc>
        <w:tc>
          <w:tcPr>
            <w:tcW w:w="433" w:type="dxa"/>
            <w:tcBorders/>
            <w:shd w:fill="auto" w:val="clear"/>
            <w:vAlign w:val="center"/>
          </w:tcPr>
          <w:p>
            <w:pPr>
              <w:pStyle w:val="TableContents"/>
              <w:spacing w:before="0" w:after="20"/>
              <w:ind w:left="0" w:right="0" w:hanging="0"/>
              <w:jc w:val="center"/>
              <w:rPr>
                <w:rFonts w:ascii="Arial;sans-serif" w:hAnsi="Arial;sans-serif"/>
                <w:b w:val="false"/>
                <w:sz w:val="16"/>
              </w:rPr>
            </w:pPr>
            <w:r>
              <w:rPr>
                <w:rFonts w:ascii="Arial;sans-serif" w:hAnsi="Arial;sans-serif"/>
                <w:b w:val="false"/>
                <w:sz w:val="16"/>
              </w:rPr>
              <w:t>0</w:t>
            </w:r>
          </w:p>
        </w:tc>
        <w:tc>
          <w:tcPr>
            <w:tcW w:w="433" w:type="dxa"/>
            <w:tcBorders/>
            <w:shd w:fill="auto" w:val="clear"/>
            <w:vAlign w:val="center"/>
          </w:tcPr>
          <w:p>
            <w:pPr>
              <w:pStyle w:val="TableContents"/>
              <w:spacing w:before="0" w:after="0"/>
              <w:ind w:left="0" w:right="0" w:hanging="0"/>
              <w:jc w:val="center"/>
              <w:rPr/>
            </w:pPr>
            <w:r>
              <w:rPr/>
              <w:t> </w:t>
            </w:r>
          </w:p>
        </w:tc>
      </w:tr>
    </w:tbl>
    <w:p>
      <w:pPr>
        <w:pStyle w:val="TextBody"/>
        <w:pBdr>
          <w:bottom w:val="single" w:sz="6" w:space="1" w:color="000000"/>
        </w:pBdr>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(a)</w:t>
      </w:r>
    </w:p>
    <w:p>
      <w:pPr>
        <w:pStyle w:val="TextBody"/>
        <w:jc w:val="left"/>
        <w:rPr>
          <w:rFonts w:ascii="Arial;sans-serif" w:hAnsi="Arial;sans-serif"/>
          <w:b w:val="false"/>
          <w:sz w:val="16"/>
        </w:rPr>
      </w:pPr>
      <w:r>
        <w:rPr>
          <w:rFonts w:ascii="Arial;sans-serif" w:hAnsi="Arial;sans-serif"/>
          <w:b w:val="false"/>
          <w:sz w:val="16"/>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pStyle w:val="TextBody"/>
        <w:spacing w:before="200" w:after="200"/>
        <w:jc w:val="center"/>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charset w:val="00"/>
    <w:family w:val="auto"/>
    <w:pitch w:val="default"/>
  </w:font>
  <w:font w:name="Wingdings">
    <w:altName w:val="serif"/>
    <w:charset w:val="00"/>
    <w:family w:val="auto"/>
    <w:pitch w:val="default"/>
  </w:font>
  <w:font w:name="Arial">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464/000095017023006487/bkh-ex4_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17840</Words>
  <CharactersWithSpaces>115388</CharactersWithSpaces>
  <Paragraphs>7069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