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01.xml.htm"/>
      <w:bookmarkStart w:id="1" w:name="ksprimary_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MILLS STEVEN RICHARD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RAPID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BLACK HILLS CORP /SD/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BKH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840"/>
        <w:gridCol w:w="449"/>
        <w:gridCol w:w="612"/>
        <w:gridCol w:w="1445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1,921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29,622.2309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8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134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68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2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22,105.2207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22,105.2207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Trust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Non-employee Director Restricted Stock Unit Grant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1 for 1 conversion ratio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Derivative security is exercisable upon retirement under terms of the agreement.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Derivative security expires upon retirement under terms of the agreement.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/s/Travis Frederickson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millspoa.txt"/>
      <w:bookmarkStart w:id="3" w:name="ksmillspoa"/>
      <w:bookmarkEnd w:id="2"/>
      <w:bookmarkEnd w:id="3"/>
      <w:r>
        <w:rPr/>
        <w:t>CONFIRMING STATEMENT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statement confirms that the undersigned has authorized and designated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each of Brian G. Iverson, Amy K. Koenig, and Tom D. Stevens, signing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singly, to execute and file on the undersigned's behalf all Forms 3, 4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5 (including any amendments thereto) that the undersigned may be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file with the U.S. Securities and Exchange Commission as a result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ownership of or transactions in securities of Black Hills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(the "Company"). The authority of Brian G. Iverson, Amy K.</w:t>
      </w:r>
    </w:p>
    <w:p>
      <w:pPr>
        <w:pStyle w:val="PreformattedText"/>
        <w:bidi w:val="0"/>
        <w:spacing w:before="0" w:after="0"/>
        <w:jc w:val="left"/>
        <w:rPr/>
      </w:pPr>
      <w:r>
        <w:rPr/>
        <w:t>Koenig, and Tom D. Stevens, under this Statement shall continue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 and 5 with regard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ownership of or transactions in securities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Company, unless earlier revoked in writing. The execution of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confirming statement hereby revokes all prior authorizations.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acknowledges that Brian G. Iverson, Amy K. Koenig, and Tom D.</w:t>
      </w:r>
    </w:p>
    <w:p>
      <w:pPr>
        <w:pStyle w:val="PreformattedText"/>
        <w:bidi w:val="0"/>
        <w:spacing w:before="0" w:after="0"/>
        <w:jc w:val="left"/>
        <w:rPr/>
      </w:pPr>
      <w:r>
        <w:rPr/>
        <w:t>Stevens, are not assuming, nor is the Company assuming,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responsibilities to comply with Section 16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1934, amended.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Date: April 23, 2024            /s/ Steven R. Mills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 xml:space="preserve">                                </w:t>
      </w:r>
      <w:r>
        <w:rPr/>
        <w:t>Name: Steven R. Mills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0727" TargetMode="External"/><Relationship Id="rId5" Type="http://schemas.openxmlformats.org/officeDocument/2006/relationships/hyperlink" Target="http://www.sec.gov/cgi-bin/browse-edgar?action=getcompany&amp;CIK=00011304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797</Words>
  <Characters>4295</Characters>
  <CharactersWithSpaces>5045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