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167" w:lineRule="exact"/>
        <w:rPr>
          <w:sz w:val="24"/>
          <w:szCs w:val="24"/>
          <w:color w:val="auto"/>
        </w:rPr>
      </w:pPr>
    </w:p>
    <w:p>
      <w:pPr>
        <w:jc w:val="center"/>
        <w:ind w:left="3780" w:right="1400" w:hanging="2379"/>
        <w:spacing w:after="0" w:line="276" w:lineRule="auto"/>
        <w:tabs>
          <w:tab w:leader="none" w:pos="159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September 30, 2023</w:t>
      </w:r>
    </w:p>
    <w:p>
      <w:pPr>
        <w:spacing w:after="0" w:line="144" w:lineRule="exact"/>
        <w:rPr>
          <w:sz w:val="24"/>
          <w:szCs w:val="24"/>
          <w:color w:val="auto"/>
        </w:rPr>
      </w:pPr>
    </w:p>
    <w:p>
      <w:pPr>
        <w:ind w:left="3540" w:right="1360" w:hanging="2164"/>
        <w:spacing w:after="0" w:line="276" w:lineRule="auto"/>
        <w:tabs>
          <w:tab w:leader="none" w:pos="160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 to 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001-31303</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175" w:lineRule="exact"/>
        <w:rPr>
          <w:sz w:val="24"/>
          <w:szCs w:val="24"/>
          <w:color w:val="auto"/>
        </w:rPr>
      </w:pPr>
    </w:p>
    <w:p>
      <w:pPr>
        <w:ind w:left="2960"/>
        <w:spacing w:after="0"/>
        <w:tabs>
          <w:tab w:leader="none" w:pos="5500" w:val="left"/>
        </w:tabs>
        <w:rPr>
          <w:sz w:val="20"/>
          <w:szCs w:val="20"/>
          <w:color w:val="auto"/>
        </w:rPr>
      </w:pPr>
      <w:r>
        <w:rPr>
          <w:rFonts w:ascii="Arial" w:cs="Arial" w:eastAsia="Arial" w:hAnsi="Arial"/>
          <w:sz w:val="16"/>
          <w:szCs w:val="16"/>
          <w:color w:val="auto"/>
        </w:rPr>
        <w:t>Incorporated in South Dakota</w:t>
      </w:r>
      <w:r>
        <w:rPr>
          <w:sz w:val="20"/>
          <w:szCs w:val="20"/>
          <w:color w:val="auto"/>
        </w:rPr>
        <w:tab/>
      </w:r>
      <w:r>
        <w:rPr>
          <w:rFonts w:ascii="Arial" w:cs="Arial" w:eastAsia="Arial" w:hAnsi="Arial"/>
          <w:sz w:val="16"/>
          <w:szCs w:val="16"/>
          <w:color w:val="auto"/>
        </w:rPr>
        <w:t>IRS Identification Number 46-0458824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7001 Mount Rushmore Road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Rapid City, South Dakota 57702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(605) 721-1700</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155" w:lineRule="exact"/>
        <w:rPr>
          <w:sz w:val="24"/>
          <w:szCs w:val="24"/>
          <w:color w:val="auto"/>
        </w:rPr>
      </w:pPr>
    </w:p>
    <w:p>
      <w:pPr>
        <w:jc w:val="both"/>
        <w:ind w:right="40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ind w:right="420"/>
        <w:spacing w:after="0" w:line="21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480" w:type="dxa"/>
        <w:tblCellMar>
          <w:top w:w="0" w:type="dxa"/>
          <w:left w:w="0" w:type="dxa"/>
          <w:bottom w:w="0" w:type="dxa"/>
          <w:right w:w="0" w:type="dxa"/>
        </w:tblCellMar>
      </w:tblPr>
      <w:tr>
        <w:trPr>
          <w:trHeight w:val="272"/>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520"/>
              <w:spacing w:after="0"/>
              <w:rPr>
                <w:sz w:val="20"/>
                <w:szCs w:val="20"/>
                <w:color w:val="auto"/>
              </w:rPr>
            </w:pPr>
            <w:r>
              <w:rPr>
                <w:rFonts w:ascii="Arial" w:cs="Arial" w:eastAsia="Arial" w:hAnsi="Arial"/>
                <w:sz w:val="16"/>
                <w:szCs w:val="16"/>
                <w:color w:val="auto"/>
              </w:rPr>
              <w:t>x</w:t>
            </w:r>
          </w:p>
        </w:tc>
        <w:tc>
          <w:tcPr>
            <w:tcW w:w="2620" w:type="dxa"/>
            <w:vAlign w:val="bottom"/>
          </w:tcPr>
          <w:p>
            <w:pPr>
              <w:ind w:left="2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99"/>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ind w:left="2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20" w:type="dxa"/>
            <w:vAlign w:val="bottom"/>
          </w:tcPr>
          <w:p>
            <w:pPr>
              <w:ind w:left="24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2" w:lineRule="exact"/>
        <w:rPr>
          <w:sz w:val="24"/>
          <w:szCs w:val="24"/>
          <w:color w:val="auto"/>
        </w:rPr>
      </w:pPr>
    </w:p>
    <w:p>
      <w:pPr>
        <w:spacing w:after="0" w:line="27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1" w:lineRule="exact"/>
        <w:rPr>
          <w:sz w:val="24"/>
          <w:szCs w:val="24"/>
          <w:color w:val="auto"/>
        </w:rPr>
      </w:pPr>
    </w:p>
    <w:p>
      <w:pPr>
        <w:spacing w:after="0" w:line="184" w:lineRule="exact"/>
        <w:tabs>
          <w:tab w:leader="none" w:pos="87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29" w:right="339" w:bottom="1440" w:gutter="0" w:footer="0" w:header="0"/>
        </w:sectPr>
      </w:pPr>
    </w:p>
    <w:p>
      <w:pPr>
        <w:spacing w:after="0" w:line="113" w:lineRule="exact"/>
        <w:rPr>
          <w:sz w:val="24"/>
          <w:szCs w:val="24"/>
          <w:color w:val="auto"/>
        </w:rPr>
      </w:pPr>
    </w:p>
    <w:p>
      <w:pPr>
        <w:ind w:left="24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Name of each exchange on which registered</w:t>
      </w:r>
    </w:p>
    <w:p>
      <w:pPr>
        <w:spacing w:after="0" w:line="113" w:lineRule="exact"/>
        <w:rPr>
          <w:sz w:val="24"/>
          <w:szCs w:val="24"/>
          <w:color w:val="auto"/>
        </w:rPr>
      </w:pPr>
    </w:p>
    <w:p>
      <w:pPr>
        <w:sectPr>
          <w:pgSz w:w="11900" w:h="16838" w:orient="portrait"/>
          <w:cols w:equalWidth="0" w:num="3">
            <w:col w:w="4360" w:space="720"/>
            <w:col w:w="1420" w:space="720"/>
            <w:col w:w="4020"/>
          </w:cols>
          <w:pgMar w:left="320" w:top="229" w:right="33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840" w:space="720"/>
            <w:col w:w="1600" w:space="720"/>
            <w:col w:w="3360"/>
          </w:cols>
          <w:pgMar w:left="320" w:top="229" w:right="3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jc w:val="center"/>
              <w:ind w:left="2459"/>
              <w:spacing w:after="0"/>
              <w:rPr>
                <w:sz w:val="20"/>
                <w:szCs w:val="20"/>
                <w:color w:val="auto"/>
              </w:rPr>
            </w:pPr>
            <w:r>
              <w:rPr>
                <w:rFonts w:ascii="Arial" w:cs="Arial" w:eastAsia="Arial" w:hAnsi="Arial"/>
                <w:sz w:val="16"/>
                <w:szCs w:val="16"/>
                <w:color w:val="auto"/>
                <w:w w:val="99"/>
              </w:rPr>
              <w:t>Class</w:t>
            </w:r>
          </w:p>
        </w:tc>
        <w:tc>
          <w:tcPr>
            <w:tcW w:w="5540" w:type="dxa"/>
            <w:vAlign w:val="bottom"/>
          </w:tcPr>
          <w:p>
            <w:pPr>
              <w:ind w:left="440"/>
              <w:spacing w:after="0"/>
              <w:rPr>
                <w:sz w:val="20"/>
                <w:szCs w:val="20"/>
                <w:color w:val="auto"/>
              </w:rPr>
            </w:pPr>
            <w:r>
              <w:rPr>
                <w:rFonts w:ascii="Arial" w:cs="Arial" w:eastAsia="Arial" w:hAnsi="Arial"/>
                <w:sz w:val="16"/>
                <w:szCs w:val="16"/>
                <w:color w:val="auto"/>
              </w:rPr>
              <w:t>Outstanding at October 31, 2023</w:t>
            </w:r>
          </w:p>
        </w:tc>
      </w:tr>
      <w:tr>
        <w:trPr>
          <w:trHeight w:val="297"/>
        </w:trPr>
        <w:tc>
          <w:tcPr>
            <w:tcW w:w="5700" w:type="dxa"/>
            <w:vAlign w:val="bottom"/>
          </w:tcPr>
          <w:p>
            <w:pPr>
              <w:jc w:val="center"/>
              <w:ind w:left="2439"/>
              <w:spacing w:after="0"/>
              <w:rPr>
                <w:sz w:val="20"/>
                <w:szCs w:val="20"/>
                <w:color w:val="auto"/>
              </w:rPr>
            </w:pPr>
            <w:r>
              <w:rPr>
                <w:rFonts w:ascii="Arial" w:cs="Arial" w:eastAsia="Arial" w:hAnsi="Arial"/>
                <w:sz w:val="16"/>
                <w:szCs w:val="16"/>
                <w:color w:val="auto"/>
              </w:rPr>
              <w:t>Common stock, $1.00 par value</w:t>
            </w:r>
          </w:p>
        </w:tc>
        <w:tc>
          <w:tcPr>
            <w:tcW w:w="5540" w:type="dxa"/>
            <w:vAlign w:val="bottom"/>
          </w:tcPr>
          <w:p>
            <w:pPr>
              <w:ind w:left="780"/>
              <w:spacing w:after="0"/>
              <w:rPr>
                <w:sz w:val="20"/>
                <w:szCs w:val="20"/>
                <w:color w:val="auto"/>
              </w:rPr>
            </w:pPr>
            <w:r>
              <w:rPr>
                <w:rFonts w:ascii="Arial" w:cs="Arial" w:eastAsia="Arial" w:hAnsi="Arial"/>
                <w:sz w:val="16"/>
                <w:szCs w:val="16"/>
                <w:color w:val="auto"/>
              </w:rPr>
              <w:t>67,991,643 shares</w:t>
            </w:r>
          </w:p>
        </w:tc>
      </w:tr>
      <w:tr>
        <w:trPr>
          <w:trHeight w:val="580"/>
        </w:trPr>
        <w:tc>
          <w:tcPr>
            <w:tcW w:w="570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60" w:type="dxa"/>
            <w:vAlign w:val="bottom"/>
            <w:gridSpan w:val="12"/>
          </w:tcPr>
          <w:p>
            <w:pPr>
              <w:jc w:val="center"/>
              <w:ind w:right="3140"/>
              <w:spacing w:after="0"/>
              <w:rPr>
                <w:sz w:val="20"/>
                <w:szCs w:val="20"/>
                <w:color w:val="auto"/>
              </w:rPr>
            </w:pPr>
            <w:r>
              <w:rPr>
                <w:rFonts w:ascii="Arial" w:cs="Arial" w:eastAsia="Arial" w:hAnsi="Arial"/>
                <w:sz w:val="16"/>
                <w:szCs w:val="16"/>
                <w:b w:val="1"/>
                <w:bCs w:val="1"/>
                <w:color w:val="auto"/>
              </w:rPr>
              <w:t>TABLE OF CONTENTS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3"/>
        </w:trPr>
        <w:tc>
          <w:tcPr>
            <w:tcW w:w="9680" w:type="dxa"/>
            <w:vAlign w:val="bottom"/>
            <w:gridSpan w:val="55"/>
          </w:tcPr>
          <w:p>
            <w:pPr>
              <w:spacing w:after="0"/>
              <w:rPr>
                <w:sz w:val="24"/>
                <w:szCs w:val="24"/>
                <w:color w:val="auto"/>
              </w:rPr>
            </w:pPr>
          </w:p>
        </w:tc>
        <w:tc>
          <w:tcPr>
            <w:tcW w:w="1540" w:type="dxa"/>
            <w:vAlign w:val="bottom"/>
            <w:tcBorders>
              <w:bottom w:val="single" w:sz="8" w:color="auto"/>
            </w:tcBorders>
            <w:gridSpan w:val="6"/>
          </w:tcPr>
          <w:p>
            <w:pPr>
              <w:ind w:left="580"/>
              <w:spacing w:after="0"/>
              <w:rPr>
                <w:sz w:val="20"/>
                <w:szCs w:val="20"/>
                <w:color w:val="auto"/>
              </w:rPr>
            </w:pPr>
            <w:r>
              <w:rPr>
                <w:rFonts w:ascii="Arial" w:cs="Arial" w:eastAsia="Arial" w:hAnsi="Arial"/>
                <w:sz w:val="16"/>
                <w:szCs w:val="16"/>
                <w:color w:val="auto"/>
              </w:rPr>
              <w:t>Page</w:t>
            </w:r>
          </w:p>
        </w:tc>
        <w:tc>
          <w:tcPr>
            <w:tcW w:w="20" w:type="dxa"/>
            <w:vAlign w:val="bottom"/>
          </w:tcPr>
          <w:p>
            <w:pPr>
              <w:spacing w:after="0"/>
              <w:rPr>
                <w:sz w:val="24"/>
                <w:szCs w:val="24"/>
                <w:color w:val="auto"/>
              </w:rPr>
            </w:pPr>
          </w:p>
        </w:tc>
      </w:tr>
      <w:tr>
        <w:trPr>
          <w:trHeight w:val="162"/>
        </w:trPr>
        <w:tc>
          <w:tcPr>
            <w:tcW w:w="20" w:type="dxa"/>
            <w:vAlign w:val="bottom"/>
            <w:shd w:val="clear" w:color="auto" w:fill="CFF0FC"/>
          </w:tcPr>
          <w:p>
            <w:pPr>
              <w:spacing w:after="0"/>
              <w:rPr>
                <w:sz w:val="14"/>
                <w:szCs w:val="14"/>
                <w:color w:val="auto"/>
              </w:rPr>
            </w:pPr>
          </w:p>
        </w:tc>
        <w:tc>
          <w:tcPr>
            <w:tcW w:w="9660" w:type="dxa"/>
            <w:vAlign w:val="bottom"/>
            <w:gridSpan w:val="54"/>
            <w:shd w:val="clear" w:color="auto" w:fill="CFF0FC"/>
          </w:tcPr>
          <w:p>
            <w:pPr>
              <w:spacing w:after="0" w:line="162" w:lineRule="exact"/>
              <w:rPr>
                <w:sz w:val="20"/>
                <w:szCs w:val="20"/>
                <w:color w:val="auto"/>
              </w:rPr>
            </w:pPr>
            <w:r>
              <w:rPr>
                <w:rFonts w:ascii="Arial" w:cs="Arial" w:eastAsia="Arial" w:hAnsi="Arial"/>
                <w:sz w:val="16"/>
                <w:szCs w:val="16"/>
                <w:color w:val="0000FF"/>
              </w:rPr>
              <w:t>Glossary of Terms and Abbreviations</w:t>
            </w: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3</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640" w:type="dxa"/>
            <w:vAlign w:val="bottom"/>
            <w:tcBorders>
              <w:top w:val="single" w:sz="8" w:color="0000FF"/>
            </w:tcBorders>
            <w:gridSpan w:val="12"/>
            <w:shd w:val="clear" w:color="auto" w:fill="CFF0FC"/>
          </w:tcPr>
          <w:p>
            <w:pPr>
              <w:spacing w:after="0" w:line="20" w:lineRule="exact"/>
              <w:rPr>
                <w:sz w:val="1"/>
                <w:szCs w:val="1"/>
                <w:color w:val="auto"/>
              </w:rPr>
            </w:pPr>
          </w:p>
        </w:tc>
        <w:tc>
          <w:tcPr>
            <w:tcW w:w="7760" w:type="dxa"/>
            <w:vAlign w:val="bottom"/>
            <w:tcBorders>
              <w:top w:val="single" w:sz="8" w:color="CFF0FC"/>
            </w:tcBorders>
            <w:gridSpan w:val="45"/>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gridSpan w:val="3"/>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8"/>
          </w:tcPr>
          <w:p>
            <w:pPr>
              <w:spacing w:after="0" w:line="162" w:lineRule="exact"/>
              <w:rPr>
                <w:sz w:val="20"/>
                <w:szCs w:val="20"/>
                <w:color w:val="auto"/>
              </w:rPr>
            </w:pPr>
            <w:r>
              <w:rPr>
                <w:rFonts w:ascii="Arial" w:cs="Arial" w:eastAsia="Arial" w:hAnsi="Arial"/>
                <w:sz w:val="16"/>
                <w:szCs w:val="16"/>
                <w:color w:val="0000FF"/>
              </w:rPr>
              <w:t>Forward-Looking Information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gridSpan w:val="5"/>
          </w:tcPr>
          <w:p>
            <w:pPr>
              <w:jc w:val="center"/>
              <w:ind w:left="619"/>
              <w:spacing w:after="0" w:line="162" w:lineRule="exact"/>
              <w:rPr>
                <w:sz w:val="20"/>
                <w:szCs w:val="20"/>
                <w:color w:val="auto"/>
              </w:rPr>
            </w:pPr>
            <w:r>
              <w:rPr>
                <w:rFonts w:ascii="Arial" w:cs="Arial" w:eastAsia="Arial" w:hAnsi="Arial"/>
                <w:sz w:val="16"/>
                <w:szCs w:val="16"/>
                <w:color w:val="0000FF"/>
                <w:w w:val="89"/>
              </w:rPr>
              <w:t>6</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0" w:type="dxa"/>
            <w:vAlign w:val="bottom"/>
            <w:gridSpan w:val="2"/>
          </w:tcPr>
          <w:p>
            <w:pPr>
              <w:spacing w:after="0"/>
              <w:rPr>
                <w:sz w:val="19"/>
                <w:szCs w:val="19"/>
                <w:color w:val="auto"/>
              </w:rPr>
            </w:pPr>
          </w:p>
        </w:tc>
        <w:tc>
          <w:tcPr>
            <w:tcW w:w="2060" w:type="dxa"/>
            <w:vAlign w:val="bottom"/>
            <w:tcBorders>
              <w:top w:val="single" w:sz="8" w:color="0000FF"/>
            </w:tcBorders>
            <w:gridSpan w:val="6"/>
          </w:tcPr>
          <w:p>
            <w:pPr>
              <w:spacing w:after="0"/>
              <w:rPr>
                <w:sz w:val="19"/>
                <w:szCs w:val="19"/>
                <w:color w:val="auto"/>
              </w:rPr>
            </w:pPr>
          </w:p>
        </w:tc>
        <w:tc>
          <w:tcPr>
            <w:tcW w:w="8320" w:type="dxa"/>
            <w:vAlign w:val="bottom"/>
            <w:gridSpan w:val="50"/>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740" w:type="dxa"/>
            <w:vAlign w:val="bottom"/>
            <w:gridSpan w:val="3"/>
          </w:tcPr>
          <w:p>
            <w:pPr>
              <w:spacing w:after="0"/>
              <w:rPr>
                <w:sz w:val="19"/>
                <w:szCs w:val="19"/>
                <w:color w:val="auto"/>
              </w:rPr>
            </w:pPr>
          </w:p>
        </w:tc>
      </w:tr>
      <w:tr>
        <w:trPr>
          <w:trHeight w:val="183"/>
        </w:trPr>
        <w:tc>
          <w:tcPr>
            <w:tcW w:w="9680" w:type="dxa"/>
            <w:vAlign w:val="bottom"/>
            <w:gridSpan w:val="55"/>
            <w:shd w:val="clear" w:color="auto" w:fill="CFF0FC"/>
          </w:tcPr>
          <w:p>
            <w:pPr>
              <w:ind w:left="20"/>
              <w:spacing w:after="0" w:line="162" w:lineRule="exact"/>
              <w:rPr>
                <w:sz w:val="20"/>
                <w:szCs w:val="20"/>
                <w:color w:val="auto"/>
              </w:rPr>
            </w:pPr>
            <w:r>
              <w:rPr>
                <w:rFonts w:ascii="Arial" w:cs="Arial" w:eastAsia="Arial" w:hAnsi="Arial"/>
                <w:sz w:val="16"/>
                <w:szCs w:val="16"/>
                <w:color w:val="0000FF"/>
              </w:rPr>
              <w:t>PART I. FINANCIAL INFORMATION</w:t>
            </w: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7</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03"/>
        </w:trPr>
        <w:tc>
          <w:tcPr>
            <w:tcW w:w="20" w:type="dxa"/>
            <w:vAlign w:val="bottom"/>
            <w:tcBorders>
              <w:top w:val="single" w:sz="8" w:color="CFF0FC"/>
            </w:tcBorders>
          </w:tcPr>
          <w:p>
            <w:pPr>
              <w:spacing w:after="0"/>
              <w:rPr>
                <w:sz w:val="17"/>
                <w:szCs w:val="17"/>
                <w:color w:val="auto"/>
              </w:rPr>
            </w:pPr>
          </w:p>
        </w:tc>
        <w:tc>
          <w:tcPr>
            <w:tcW w:w="2620" w:type="dxa"/>
            <w:vAlign w:val="bottom"/>
            <w:tcBorders>
              <w:top w:val="single" w:sz="8" w:color="0000FF"/>
            </w:tcBorders>
            <w:gridSpan w:val="11"/>
          </w:tcPr>
          <w:p>
            <w:pPr>
              <w:spacing w:after="0"/>
              <w:rPr>
                <w:sz w:val="17"/>
                <w:szCs w:val="17"/>
                <w:color w:val="auto"/>
              </w:rPr>
            </w:pPr>
          </w:p>
        </w:tc>
        <w:tc>
          <w:tcPr>
            <w:tcW w:w="7780" w:type="dxa"/>
            <w:vAlign w:val="bottom"/>
            <w:tcBorders>
              <w:top w:val="single" w:sz="8" w:color="CFF0FC"/>
            </w:tcBorders>
            <w:gridSpan w:val="46"/>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Borders>
              <w:top w:val="single" w:sz="8" w:color="CFF0FC"/>
            </w:tcBorders>
            <w:gridSpan w:val="3"/>
          </w:tcPr>
          <w:p>
            <w:pPr>
              <w:spacing w:after="0"/>
              <w:rPr>
                <w:sz w:val="17"/>
                <w:szCs w:val="17"/>
                <w:color w:val="auto"/>
              </w:rPr>
            </w:pPr>
          </w:p>
        </w:tc>
      </w:tr>
      <w:tr>
        <w:trPr>
          <w:trHeight w:val="162"/>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1.</w:t>
            </w:r>
          </w:p>
        </w:tc>
        <w:tc>
          <w:tcPr>
            <w:tcW w:w="2380" w:type="dxa"/>
            <w:vAlign w:val="bottom"/>
            <w:gridSpan w:val="30"/>
            <w:shd w:val="clear" w:color="auto" w:fill="CFF0FC"/>
          </w:tcPr>
          <w:p>
            <w:pPr>
              <w:spacing w:after="0" w:line="162" w:lineRule="exact"/>
              <w:rPr>
                <w:sz w:val="20"/>
                <w:szCs w:val="20"/>
                <w:color w:val="auto"/>
              </w:rPr>
            </w:pPr>
            <w:r>
              <w:rPr>
                <w:rFonts w:ascii="Arial" w:cs="Arial" w:eastAsia="Arial" w:hAnsi="Arial"/>
                <w:sz w:val="16"/>
                <w:szCs w:val="16"/>
                <w:color w:val="0000FF"/>
              </w:rPr>
              <w:t>Financial Statements - unaudited</w:t>
            </w:r>
          </w:p>
        </w:tc>
        <w:tc>
          <w:tcPr>
            <w:tcW w:w="5600" w:type="dxa"/>
            <w:vAlign w:val="bottom"/>
            <w:gridSpan w:val="21"/>
            <w:shd w:val="clear" w:color="auto" w:fill="CFF0FC"/>
          </w:tcPr>
          <w:p>
            <w:pPr>
              <w:spacing w:after="0"/>
              <w:rPr>
                <w:sz w:val="14"/>
                <w:szCs w:val="14"/>
                <w:color w:val="auto"/>
              </w:rPr>
            </w:pP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7</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700" w:type="dxa"/>
            <w:vAlign w:val="bottom"/>
            <w:tcBorders>
              <w:top w:val="single" w:sz="8" w:color="CFF0FC"/>
            </w:tcBorders>
            <w:gridSpan w:val="4"/>
            <w:shd w:val="clear" w:color="auto" w:fill="CFF0FC"/>
          </w:tcPr>
          <w:p>
            <w:pPr>
              <w:spacing w:after="0" w:line="20" w:lineRule="exact"/>
              <w:rPr>
                <w:sz w:val="1"/>
                <w:szCs w:val="1"/>
                <w:color w:val="auto"/>
              </w:rPr>
            </w:pPr>
          </w:p>
        </w:tc>
        <w:tc>
          <w:tcPr>
            <w:tcW w:w="2380" w:type="dxa"/>
            <w:vAlign w:val="bottom"/>
            <w:tcBorders>
              <w:top w:val="single" w:sz="8" w:color="0000FF"/>
            </w:tcBorders>
            <w:gridSpan w:val="30"/>
            <w:shd w:val="clear" w:color="auto" w:fill="CFF0FC"/>
          </w:tcPr>
          <w:p>
            <w:pPr>
              <w:spacing w:after="0" w:line="20" w:lineRule="exact"/>
              <w:rPr>
                <w:sz w:val="1"/>
                <w:szCs w:val="1"/>
                <w:color w:val="auto"/>
              </w:rPr>
            </w:pPr>
          </w:p>
        </w:tc>
        <w:tc>
          <w:tcPr>
            <w:tcW w:w="6340" w:type="dxa"/>
            <w:vAlign w:val="bottom"/>
            <w:tcBorders>
              <w:top w:val="single" w:sz="8" w:color="CFF0FC"/>
            </w:tcBorders>
            <w:gridSpan w:val="24"/>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gridSpan w:val="3"/>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1"/>
          </w:tcPr>
          <w:p>
            <w:pPr>
              <w:ind w:left="140"/>
              <w:spacing w:after="0" w:line="162" w:lineRule="exact"/>
              <w:rPr>
                <w:sz w:val="20"/>
                <w:szCs w:val="20"/>
                <w:color w:val="auto"/>
              </w:rPr>
            </w:pPr>
            <w:r>
              <w:rPr>
                <w:rFonts w:ascii="Arial" w:cs="Arial" w:eastAsia="Arial" w:hAnsi="Arial"/>
                <w:sz w:val="16"/>
                <w:szCs w:val="16"/>
                <w:color w:val="0000FF"/>
              </w:rPr>
              <w:t>Consolidated Statements of Income</w:t>
            </w:r>
          </w:p>
        </w:tc>
        <w:tc>
          <w:tcPr>
            <w:tcW w:w="860" w:type="dxa"/>
            <w:vAlign w:val="bottom"/>
            <w:gridSpan w:val="5"/>
          </w:tcPr>
          <w:p>
            <w:pPr>
              <w:jc w:val="center"/>
              <w:ind w:left="619"/>
              <w:spacing w:after="0" w:line="162" w:lineRule="exact"/>
              <w:rPr>
                <w:sz w:val="20"/>
                <w:szCs w:val="20"/>
                <w:color w:val="auto"/>
              </w:rPr>
            </w:pPr>
            <w:r>
              <w:rPr>
                <w:rFonts w:ascii="Arial" w:cs="Arial" w:eastAsia="Arial" w:hAnsi="Arial"/>
                <w:sz w:val="16"/>
                <w:szCs w:val="16"/>
                <w:color w:val="0000FF"/>
                <w:w w:val="89"/>
              </w:rPr>
              <w:t>7</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840" w:type="dxa"/>
            <w:vAlign w:val="bottom"/>
            <w:gridSpan w:val="5"/>
          </w:tcPr>
          <w:p>
            <w:pPr>
              <w:spacing w:after="0" w:line="20" w:lineRule="exact"/>
              <w:rPr>
                <w:sz w:val="1"/>
                <w:szCs w:val="1"/>
                <w:color w:val="auto"/>
              </w:rPr>
            </w:pPr>
          </w:p>
        </w:tc>
        <w:tc>
          <w:tcPr>
            <w:tcW w:w="2560" w:type="dxa"/>
            <w:vAlign w:val="bottom"/>
            <w:tcBorders>
              <w:top w:val="single" w:sz="8" w:color="0000FF"/>
            </w:tcBorders>
            <w:gridSpan w:val="36"/>
          </w:tcPr>
          <w:p>
            <w:pPr>
              <w:spacing w:after="0" w:line="20" w:lineRule="exact"/>
              <w:rPr>
                <w:sz w:val="1"/>
                <w:szCs w:val="1"/>
                <w:color w:val="auto"/>
              </w:rPr>
            </w:pPr>
          </w:p>
        </w:tc>
        <w:tc>
          <w:tcPr>
            <w:tcW w:w="6020" w:type="dxa"/>
            <w:vAlign w:val="bottom"/>
            <w:gridSpan w:val="17"/>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Consolidated Statements of Comprehensive Income</w:t>
            </w: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8</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840" w:type="dxa"/>
            <w:vAlign w:val="bottom"/>
            <w:tcBorders>
              <w:top w:val="single" w:sz="8" w:color="CFF0FC"/>
            </w:tcBorders>
            <w:gridSpan w:val="5"/>
            <w:shd w:val="clear" w:color="auto" w:fill="CFF0FC"/>
          </w:tcPr>
          <w:p>
            <w:pPr>
              <w:spacing w:after="0" w:line="20" w:lineRule="exact"/>
              <w:rPr>
                <w:sz w:val="1"/>
                <w:szCs w:val="1"/>
                <w:color w:val="auto"/>
              </w:rPr>
            </w:pPr>
          </w:p>
        </w:tc>
        <w:tc>
          <w:tcPr>
            <w:tcW w:w="3740" w:type="dxa"/>
            <w:vAlign w:val="bottom"/>
            <w:tcBorders>
              <w:top w:val="single" w:sz="8" w:color="0000FF"/>
            </w:tcBorders>
            <w:gridSpan w:val="43"/>
            <w:shd w:val="clear" w:color="auto" w:fill="CFF0FC"/>
          </w:tcPr>
          <w:p>
            <w:pPr>
              <w:spacing w:after="0" w:line="20" w:lineRule="exact"/>
              <w:rPr>
                <w:sz w:val="1"/>
                <w:szCs w:val="1"/>
                <w:color w:val="auto"/>
              </w:rPr>
            </w:pPr>
          </w:p>
        </w:tc>
        <w:tc>
          <w:tcPr>
            <w:tcW w:w="4840" w:type="dxa"/>
            <w:vAlign w:val="bottom"/>
            <w:tcBorders>
              <w:top w:val="single" w:sz="8" w:color="CFF0FC"/>
            </w:tcBorders>
            <w:gridSpan w:val="10"/>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gridSpan w:val="3"/>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1"/>
          </w:tcPr>
          <w:p>
            <w:pPr>
              <w:ind w:left="140"/>
              <w:spacing w:after="0" w:line="162" w:lineRule="exact"/>
              <w:rPr>
                <w:sz w:val="20"/>
                <w:szCs w:val="20"/>
                <w:color w:val="auto"/>
              </w:rPr>
            </w:pPr>
            <w:r>
              <w:rPr>
                <w:rFonts w:ascii="Arial" w:cs="Arial" w:eastAsia="Arial" w:hAnsi="Arial"/>
                <w:sz w:val="16"/>
                <w:szCs w:val="16"/>
                <w:color w:val="0000FF"/>
              </w:rPr>
              <w:t>Consolidated Balance Sheets</w:t>
            </w:r>
          </w:p>
        </w:tc>
        <w:tc>
          <w:tcPr>
            <w:tcW w:w="860" w:type="dxa"/>
            <w:vAlign w:val="bottom"/>
            <w:gridSpan w:val="5"/>
          </w:tcPr>
          <w:p>
            <w:pPr>
              <w:jc w:val="center"/>
              <w:ind w:left="619"/>
              <w:spacing w:after="0" w:line="162" w:lineRule="exact"/>
              <w:rPr>
                <w:sz w:val="20"/>
                <w:szCs w:val="20"/>
                <w:color w:val="auto"/>
              </w:rPr>
            </w:pPr>
            <w:r>
              <w:rPr>
                <w:rFonts w:ascii="Arial" w:cs="Arial" w:eastAsia="Arial" w:hAnsi="Arial"/>
                <w:sz w:val="16"/>
                <w:szCs w:val="16"/>
                <w:color w:val="0000FF"/>
                <w:w w:val="89"/>
              </w:rPr>
              <w:t>9</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840" w:type="dxa"/>
            <w:vAlign w:val="bottom"/>
            <w:gridSpan w:val="5"/>
          </w:tcPr>
          <w:p>
            <w:pPr>
              <w:spacing w:after="0" w:line="20" w:lineRule="exact"/>
              <w:rPr>
                <w:sz w:val="1"/>
                <w:szCs w:val="1"/>
                <w:color w:val="auto"/>
              </w:rPr>
            </w:pPr>
          </w:p>
        </w:tc>
        <w:tc>
          <w:tcPr>
            <w:tcW w:w="2120" w:type="dxa"/>
            <w:vAlign w:val="bottom"/>
            <w:tcBorders>
              <w:top w:val="single" w:sz="8" w:color="0000FF"/>
            </w:tcBorders>
            <w:gridSpan w:val="27"/>
          </w:tcPr>
          <w:p>
            <w:pPr>
              <w:spacing w:after="0" w:line="20" w:lineRule="exact"/>
              <w:rPr>
                <w:sz w:val="1"/>
                <w:szCs w:val="1"/>
                <w:color w:val="auto"/>
              </w:rPr>
            </w:pPr>
          </w:p>
        </w:tc>
        <w:tc>
          <w:tcPr>
            <w:tcW w:w="6460" w:type="dxa"/>
            <w:vAlign w:val="bottom"/>
            <w:gridSpan w:val="26"/>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Consolidated Statements of Cash Flows</w:t>
            </w: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11</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840" w:type="dxa"/>
            <w:vAlign w:val="bottom"/>
            <w:tcBorders>
              <w:top w:val="single" w:sz="8" w:color="CFF0FC"/>
            </w:tcBorders>
            <w:gridSpan w:val="5"/>
            <w:shd w:val="clear" w:color="auto" w:fill="CFF0FC"/>
          </w:tcPr>
          <w:p>
            <w:pPr>
              <w:spacing w:after="0" w:line="20" w:lineRule="exact"/>
              <w:rPr>
                <w:sz w:val="1"/>
                <w:szCs w:val="1"/>
                <w:color w:val="auto"/>
              </w:rPr>
            </w:pPr>
          </w:p>
        </w:tc>
        <w:tc>
          <w:tcPr>
            <w:tcW w:w="2880" w:type="dxa"/>
            <w:vAlign w:val="bottom"/>
            <w:tcBorders>
              <w:top w:val="single" w:sz="8" w:color="0000FF"/>
            </w:tcBorders>
            <w:gridSpan w:val="38"/>
            <w:shd w:val="clear" w:color="auto" w:fill="CFF0FC"/>
          </w:tcPr>
          <w:p>
            <w:pPr>
              <w:spacing w:after="0" w:line="20" w:lineRule="exact"/>
              <w:rPr>
                <w:sz w:val="1"/>
                <w:szCs w:val="1"/>
                <w:color w:val="auto"/>
              </w:rPr>
            </w:pPr>
          </w:p>
        </w:tc>
        <w:tc>
          <w:tcPr>
            <w:tcW w:w="5660" w:type="dxa"/>
            <w:vAlign w:val="bottom"/>
            <w:tcBorders>
              <w:top w:val="single" w:sz="8" w:color="CFF0FC"/>
            </w:tcBorders>
            <w:gridSpan w:val="14"/>
            <w:shd w:val="clear" w:color="auto" w:fill="CFF0FC"/>
          </w:tcPr>
          <w:p>
            <w:pPr>
              <w:spacing w:after="0" w:line="20" w:lineRule="exact"/>
              <w:rPr>
                <w:sz w:val="1"/>
                <w:szCs w:val="1"/>
                <w:color w:val="auto"/>
              </w:rPr>
            </w:pPr>
          </w:p>
        </w:tc>
        <w:tc>
          <w:tcPr>
            <w:tcW w:w="160" w:type="dxa"/>
            <w:vAlign w:val="bottom"/>
            <w:tcBorders>
              <w:top w:val="single" w:sz="8" w:color="0000FF"/>
            </w:tcBorders>
            <w:gridSpan w:val="3"/>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1"/>
          </w:tcPr>
          <w:p>
            <w:pPr>
              <w:ind w:left="140"/>
              <w:spacing w:after="0" w:line="162" w:lineRule="exact"/>
              <w:rPr>
                <w:sz w:val="20"/>
                <w:szCs w:val="20"/>
                <w:color w:val="auto"/>
              </w:rPr>
            </w:pPr>
            <w:r>
              <w:rPr>
                <w:rFonts w:ascii="Arial" w:cs="Arial" w:eastAsia="Arial" w:hAnsi="Arial"/>
                <w:sz w:val="16"/>
                <w:szCs w:val="16"/>
                <w:color w:val="0000FF"/>
              </w:rPr>
              <w:t>Consolidated Statements of Equity</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12</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840" w:type="dxa"/>
            <w:vAlign w:val="bottom"/>
            <w:gridSpan w:val="5"/>
          </w:tcPr>
          <w:p>
            <w:pPr>
              <w:spacing w:after="0" w:line="20" w:lineRule="exact"/>
              <w:rPr>
                <w:sz w:val="1"/>
                <w:szCs w:val="1"/>
                <w:color w:val="auto"/>
              </w:rPr>
            </w:pPr>
          </w:p>
        </w:tc>
        <w:tc>
          <w:tcPr>
            <w:tcW w:w="2480" w:type="dxa"/>
            <w:vAlign w:val="bottom"/>
            <w:tcBorders>
              <w:top w:val="single" w:sz="8" w:color="0000FF"/>
            </w:tcBorders>
            <w:gridSpan w:val="33"/>
          </w:tcPr>
          <w:p>
            <w:pPr>
              <w:spacing w:after="0" w:line="20" w:lineRule="exact"/>
              <w:rPr>
                <w:sz w:val="1"/>
                <w:szCs w:val="1"/>
                <w:color w:val="auto"/>
              </w:rPr>
            </w:pPr>
          </w:p>
        </w:tc>
        <w:tc>
          <w:tcPr>
            <w:tcW w:w="6040" w:type="dxa"/>
            <w:vAlign w:val="bottom"/>
            <w:gridSpan w:val="18"/>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Condensed Notes to Consolidated Financial Statements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14</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4020" w:type="dxa"/>
            <w:vAlign w:val="bottom"/>
            <w:tcBorders>
              <w:top w:val="single" w:sz="8" w:color="0000FF"/>
            </w:tcBorders>
            <w:gridSpan w:val="45"/>
          </w:tcPr>
          <w:p>
            <w:pPr>
              <w:ind w:left="80"/>
              <w:spacing w:after="0" w:line="162" w:lineRule="exact"/>
              <w:rPr>
                <w:sz w:val="20"/>
                <w:szCs w:val="20"/>
                <w:color w:val="auto"/>
              </w:rPr>
            </w:pPr>
            <w:r>
              <w:rPr>
                <w:rFonts w:ascii="Arial" w:cs="Arial" w:eastAsia="Arial" w:hAnsi="Arial"/>
                <w:sz w:val="16"/>
                <w:szCs w:val="16"/>
                <w:color w:val="0000FF"/>
              </w:rPr>
              <w:t>Note 1. Management’s Statement</w:t>
            </w:r>
          </w:p>
        </w:tc>
        <w:tc>
          <w:tcPr>
            <w:tcW w:w="3820" w:type="dxa"/>
            <w:vAlign w:val="bottom"/>
            <w:tcBorders>
              <w:top w:val="single" w:sz="8" w:color="CFF0FC"/>
            </w:tcBorders>
            <w:gridSpan w:val="5"/>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14</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2440" w:type="dxa"/>
            <w:vAlign w:val="bottom"/>
            <w:tcBorders>
              <w:top w:val="single" w:sz="8" w:color="0000FF"/>
            </w:tcBorders>
            <w:gridSpan w:val="34"/>
          </w:tcPr>
          <w:p>
            <w:pPr>
              <w:spacing w:after="0" w:line="20" w:lineRule="exact"/>
              <w:rPr>
                <w:sz w:val="1"/>
                <w:szCs w:val="1"/>
                <w:color w:val="auto"/>
              </w:rPr>
            </w:pPr>
          </w:p>
        </w:tc>
        <w:tc>
          <w:tcPr>
            <w:tcW w:w="6000" w:type="dxa"/>
            <w:vAlign w:val="bottom"/>
            <w:gridSpan w:val="16"/>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5"/>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2.</w:t>
            </w:r>
          </w:p>
        </w:tc>
        <w:tc>
          <w:tcPr>
            <w:tcW w:w="7160" w:type="dxa"/>
            <w:vAlign w:val="bottom"/>
            <w:gridSpan w:val="45"/>
            <w:shd w:val="clear" w:color="auto" w:fill="CFF0FC"/>
          </w:tcPr>
          <w:p>
            <w:pPr>
              <w:spacing w:after="0" w:line="162" w:lineRule="exact"/>
              <w:rPr>
                <w:sz w:val="20"/>
                <w:szCs w:val="20"/>
                <w:color w:val="auto"/>
              </w:rPr>
            </w:pPr>
            <w:r>
              <w:rPr>
                <w:rFonts w:ascii="Arial" w:cs="Arial" w:eastAsia="Arial" w:hAnsi="Arial"/>
                <w:sz w:val="16"/>
                <w:szCs w:val="16"/>
                <w:color w:val="0000FF"/>
              </w:rPr>
              <w:t>Regulatory Matters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14</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1980" w:type="dxa"/>
            <w:vAlign w:val="bottom"/>
            <w:tcBorders>
              <w:top w:val="single" w:sz="8" w:color="0000FF"/>
            </w:tcBorders>
            <w:gridSpan w:val="23"/>
            <w:shd w:val="clear" w:color="auto" w:fill="CFF0FC"/>
          </w:tcPr>
          <w:p>
            <w:pPr>
              <w:spacing w:after="0" w:line="20" w:lineRule="exact"/>
              <w:rPr>
                <w:sz w:val="1"/>
                <w:szCs w:val="1"/>
                <w:color w:val="auto"/>
              </w:rPr>
            </w:pPr>
          </w:p>
        </w:tc>
        <w:tc>
          <w:tcPr>
            <w:tcW w:w="6460" w:type="dxa"/>
            <w:vAlign w:val="bottom"/>
            <w:tcBorders>
              <w:top w:val="single" w:sz="8" w:color="CFF0FC"/>
            </w:tcBorders>
            <w:gridSpan w:val="27"/>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40" w:type="dxa"/>
            <w:vAlign w:val="bottom"/>
            <w:gridSpan w:val="50"/>
          </w:tcPr>
          <w:p>
            <w:pPr>
              <w:ind w:left="80"/>
              <w:spacing w:after="0" w:line="162" w:lineRule="exact"/>
              <w:rPr>
                <w:sz w:val="20"/>
                <w:szCs w:val="20"/>
                <w:color w:val="auto"/>
              </w:rPr>
            </w:pPr>
            <w:r>
              <w:rPr>
                <w:rFonts w:ascii="Arial" w:cs="Arial" w:eastAsia="Arial" w:hAnsi="Arial"/>
                <w:sz w:val="16"/>
                <w:szCs w:val="16"/>
                <w:color w:val="0000FF"/>
              </w:rPr>
              <w:t>Note 3. Commitments, Contingencies and Guarantees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15</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3920" w:type="dxa"/>
            <w:vAlign w:val="bottom"/>
            <w:tcBorders>
              <w:top w:val="single" w:sz="8" w:color="0000FF"/>
            </w:tcBorders>
            <w:gridSpan w:val="43"/>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40" w:type="dxa"/>
            <w:vAlign w:val="bottom"/>
            <w:gridSpan w:val="50"/>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4. Revenue</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16</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1260" w:type="dxa"/>
            <w:vAlign w:val="bottom"/>
            <w:tcBorders>
              <w:top w:val="single" w:sz="8" w:color="0000FF"/>
            </w:tcBorders>
            <w:gridSpan w:val="12"/>
            <w:shd w:val="clear" w:color="auto" w:fill="CFF0FC"/>
          </w:tcPr>
          <w:p>
            <w:pPr>
              <w:spacing w:after="0" w:line="20" w:lineRule="exact"/>
              <w:rPr>
                <w:sz w:val="1"/>
                <w:szCs w:val="1"/>
                <w:color w:val="auto"/>
              </w:rPr>
            </w:pPr>
          </w:p>
        </w:tc>
        <w:tc>
          <w:tcPr>
            <w:tcW w:w="7180" w:type="dxa"/>
            <w:vAlign w:val="bottom"/>
            <w:tcBorders>
              <w:top w:val="single" w:sz="8" w:color="CFF0FC"/>
            </w:tcBorders>
            <w:gridSpan w:val="38"/>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5"/>
          </w:tcPr>
          <w:p>
            <w:pPr>
              <w:ind w:left="80"/>
              <w:spacing w:after="0" w:line="162" w:lineRule="exact"/>
              <w:rPr>
                <w:sz w:val="20"/>
                <w:szCs w:val="20"/>
                <w:color w:val="auto"/>
              </w:rPr>
            </w:pPr>
            <w:r>
              <w:rPr>
                <w:rFonts w:ascii="Arial" w:cs="Arial" w:eastAsia="Arial" w:hAnsi="Arial"/>
                <w:sz w:val="16"/>
                <w:szCs w:val="16"/>
                <w:color w:val="0000FF"/>
              </w:rPr>
              <w:t>Note 5.</w:t>
            </w:r>
          </w:p>
        </w:tc>
        <w:tc>
          <w:tcPr>
            <w:tcW w:w="7160" w:type="dxa"/>
            <w:vAlign w:val="bottom"/>
            <w:gridSpan w:val="45"/>
          </w:tcPr>
          <w:p>
            <w:pPr>
              <w:spacing w:after="0" w:line="162" w:lineRule="exact"/>
              <w:rPr>
                <w:sz w:val="20"/>
                <w:szCs w:val="20"/>
                <w:color w:val="auto"/>
              </w:rPr>
            </w:pPr>
            <w:r>
              <w:rPr>
                <w:rFonts w:ascii="Arial" w:cs="Arial" w:eastAsia="Arial" w:hAnsi="Arial"/>
                <w:sz w:val="16"/>
                <w:szCs w:val="16"/>
                <w:color w:val="0000FF"/>
              </w:rPr>
              <w:t>Financing</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17</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1300" w:type="dxa"/>
            <w:vAlign w:val="bottom"/>
            <w:tcBorders>
              <w:top w:val="single" w:sz="8" w:color="0000FF"/>
            </w:tcBorders>
            <w:gridSpan w:val="13"/>
          </w:tcPr>
          <w:p>
            <w:pPr>
              <w:spacing w:after="0" w:line="20" w:lineRule="exact"/>
              <w:rPr>
                <w:sz w:val="1"/>
                <w:szCs w:val="1"/>
                <w:color w:val="auto"/>
              </w:rPr>
            </w:pPr>
          </w:p>
        </w:tc>
        <w:tc>
          <w:tcPr>
            <w:tcW w:w="7140" w:type="dxa"/>
            <w:vAlign w:val="bottom"/>
            <w:gridSpan w:val="37"/>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40" w:type="dxa"/>
            <w:vAlign w:val="bottom"/>
            <w:gridSpan w:val="50"/>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6. Earnings Per Share</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19</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020" w:type="dxa"/>
            <w:vAlign w:val="bottom"/>
            <w:tcBorders>
              <w:top w:val="single" w:sz="8" w:color="0000FF"/>
            </w:tcBorders>
            <w:gridSpan w:val="25"/>
            <w:shd w:val="clear" w:color="auto" w:fill="CFF0FC"/>
          </w:tcPr>
          <w:p>
            <w:pPr>
              <w:spacing w:after="0" w:line="20" w:lineRule="exact"/>
              <w:rPr>
                <w:sz w:val="1"/>
                <w:szCs w:val="1"/>
                <w:color w:val="auto"/>
              </w:rPr>
            </w:pPr>
          </w:p>
        </w:tc>
        <w:tc>
          <w:tcPr>
            <w:tcW w:w="6420" w:type="dxa"/>
            <w:vAlign w:val="bottom"/>
            <w:tcBorders>
              <w:top w:val="single" w:sz="8" w:color="CFF0FC"/>
            </w:tcBorders>
            <w:gridSpan w:val="25"/>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40" w:type="dxa"/>
            <w:vAlign w:val="bottom"/>
            <w:gridSpan w:val="50"/>
          </w:tcPr>
          <w:p>
            <w:pPr>
              <w:ind w:left="80"/>
              <w:spacing w:after="0" w:line="162" w:lineRule="exact"/>
              <w:rPr>
                <w:sz w:val="20"/>
                <w:szCs w:val="20"/>
                <w:color w:val="auto"/>
              </w:rPr>
            </w:pPr>
            <w:r>
              <w:rPr>
                <w:rFonts w:ascii="Arial" w:cs="Arial" w:eastAsia="Arial" w:hAnsi="Arial"/>
                <w:sz w:val="16"/>
                <w:szCs w:val="16"/>
                <w:color w:val="0000FF"/>
              </w:rPr>
              <w:t>Note 7. Risk Management and Derivatives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19</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3080" w:type="dxa"/>
            <w:vAlign w:val="bottom"/>
            <w:tcBorders>
              <w:top w:val="single" w:sz="8" w:color="0000FF"/>
            </w:tcBorders>
            <w:gridSpan w:val="40"/>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40" w:type="dxa"/>
            <w:vAlign w:val="bottom"/>
            <w:gridSpan w:val="50"/>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8. Fair Value Measurements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22</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440" w:type="dxa"/>
            <w:vAlign w:val="bottom"/>
            <w:tcBorders>
              <w:top w:val="single" w:sz="8" w:color="0000FF"/>
            </w:tcBorders>
            <w:gridSpan w:val="34"/>
            <w:shd w:val="clear" w:color="auto" w:fill="CFF0FC"/>
          </w:tcPr>
          <w:p>
            <w:pPr>
              <w:spacing w:after="0" w:line="20" w:lineRule="exact"/>
              <w:rPr>
                <w:sz w:val="1"/>
                <w:szCs w:val="1"/>
                <w:color w:val="auto"/>
              </w:rPr>
            </w:pPr>
          </w:p>
        </w:tc>
        <w:tc>
          <w:tcPr>
            <w:tcW w:w="6000" w:type="dxa"/>
            <w:vAlign w:val="bottom"/>
            <w:tcBorders>
              <w:top w:val="single" w:sz="8" w:color="CFF0FC"/>
            </w:tcBorders>
            <w:gridSpan w:val="16"/>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40" w:type="dxa"/>
            <w:vAlign w:val="bottom"/>
            <w:gridSpan w:val="50"/>
          </w:tcPr>
          <w:p>
            <w:pPr>
              <w:ind w:left="80"/>
              <w:spacing w:after="0" w:line="162" w:lineRule="exact"/>
              <w:rPr>
                <w:sz w:val="20"/>
                <w:szCs w:val="20"/>
                <w:color w:val="auto"/>
              </w:rPr>
            </w:pPr>
            <w:r>
              <w:rPr>
                <w:rFonts w:ascii="Arial" w:cs="Arial" w:eastAsia="Arial" w:hAnsi="Arial"/>
                <w:sz w:val="16"/>
                <w:szCs w:val="16"/>
                <w:color w:val="0000FF"/>
              </w:rPr>
              <w:t>Note 9. Other Comprehensive Income</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24</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2760" w:type="dxa"/>
            <w:vAlign w:val="bottom"/>
            <w:tcBorders>
              <w:top w:val="single" w:sz="8" w:color="0000FF"/>
            </w:tcBorders>
            <w:gridSpan w:val="36"/>
          </w:tcPr>
          <w:p>
            <w:pPr>
              <w:spacing w:after="0" w:line="20" w:lineRule="exact"/>
              <w:rPr>
                <w:sz w:val="1"/>
                <w:szCs w:val="1"/>
                <w:color w:val="auto"/>
              </w:rPr>
            </w:pPr>
          </w:p>
        </w:tc>
        <w:tc>
          <w:tcPr>
            <w:tcW w:w="5680" w:type="dxa"/>
            <w:vAlign w:val="bottom"/>
            <w:gridSpan w:val="14"/>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5"/>
            <w:shd w:val="clear" w:color="auto" w:fill="CFF0FC"/>
          </w:tcPr>
          <w:p>
            <w:pPr>
              <w:ind w:left="80"/>
              <w:spacing w:after="0" w:line="162" w:lineRule="exact"/>
              <w:rPr>
                <w:sz w:val="20"/>
                <w:szCs w:val="20"/>
                <w:color w:val="auto"/>
              </w:rPr>
            </w:pPr>
            <w:r>
              <w:rPr>
                <w:rFonts w:ascii="Arial" w:cs="Arial" w:eastAsia="Arial" w:hAnsi="Arial"/>
                <w:sz w:val="16"/>
                <w:szCs w:val="16"/>
                <w:color w:val="0000FF"/>
                <w:w w:val="95"/>
              </w:rPr>
              <w:t>Note 10.</w:t>
            </w:r>
          </w:p>
        </w:tc>
        <w:tc>
          <w:tcPr>
            <w:tcW w:w="80" w:type="dxa"/>
            <w:vAlign w:val="bottom"/>
            <w:shd w:val="clear" w:color="auto" w:fill="CFF0FC"/>
          </w:tcPr>
          <w:p>
            <w:pPr>
              <w:spacing w:after="0"/>
              <w:rPr>
                <w:sz w:val="14"/>
                <w:szCs w:val="14"/>
                <w:color w:val="auto"/>
              </w:rPr>
            </w:pPr>
          </w:p>
        </w:tc>
        <w:tc>
          <w:tcPr>
            <w:tcW w:w="7080" w:type="dxa"/>
            <w:vAlign w:val="bottom"/>
            <w:gridSpan w:val="44"/>
            <w:shd w:val="clear" w:color="auto" w:fill="CFF0FC"/>
          </w:tcPr>
          <w:p>
            <w:pPr>
              <w:ind w:left="20"/>
              <w:spacing w:after="0" w:line="162" w:lineRule="exact"/>
              <w:rPr>
                <w:sz w:val="20"/>
                <w:szCs w:val="20"/>
                <w:color w:val="auto"/>
              </w:rPr>
            </w:pPr>
            <w:r>
              <w:rPr>
                <w:rFonts w:ascii="Arial" w:cs="Arial" w:eastAsia="Arial" w:hAnsi="Arial"/>
                <w:sz w:val="16"/>
                <w:szCs w:val="16"/>
                <w:color w:val="0000FF"/>
              </w:rPr>
              <w:t>Employee Benefit Plans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25</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0"/>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420" w:type="dxa"/>
            <w:vAlign w:val="bottom"/>
            <w:tcBorders>
              <w:top w:val="single" w:sz="8" w:color="0000FF"/>
            </w:tcBorders>
            <w:gridSpan w:val="33"/>
            <w:shd w:val="clear" w:color="auto" w:fill="CFF0FC"/>
          </w:tcPr>
          <w:p>
            <w:pPr>
              <w:spacing w:after="0" w:line="20" w:lineRule="exact"/>
              <w:rPr>
                <w:sz w:val="1"/>
                <w:szCs w:val="1"/>
                <w:color w:val="auto"/>
              </w:rPr>
            </w:pPr>
          </w:p>
        </w:tc>
        <w:tc>
          <w:tcPr>
            <w:tcW w:w="6020" w:type="dxa"/>
            <w:vAlign w:val="bottom"/>
            <w:tcBorders>
              <w:top w:val="single" w:sz="8" w:color="CFF0FC"/>
            </w:tcBorders>
            <w:gridSpan w:val="17"/>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40" w:type="dxa"/>
            <w:vAlign w:val="bottom"/>
            <w:gridSpan w:val="50"/>
          </w:tcPr>
          <w:p>
            <w:pPr>
              <w:ind w:left="80"/>
              <w:spacing w:after="0" w:line="162" w:lineRule="exact"/>
              <w:rPr>
                <w:sz w:val="20"/>
                <w:szCs w:val="20"/>
                <w:color w:val="auto"/>
              </w:rPr>
            </w:pPr>
            <w:r>
              <w:rPr>
                <w:rFonts w:ascii="Arial" w:cs="Arial" w:eastAsia="Arial" w:hAnsi="Arial"/>
                <w:sz w:val="16"/>
                <w:szCs w:val="16"/>
                <w:color w:val="0000FF"/>
              </w:rPr>
              <w:t>Note 11. Income Taxes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26</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920" w:type="dxa"/>
            <w:vAlign w:val="bottom"/>
            <w:gridSpan w:val="6"/>
          </w:tcPr>
          <w:p>
            <w:pPr>
              <w:spacing w:after="0" w:line="20" w:lineRule="exact"/>
              <w:rPr>
                <w:sz w:val="1"/>
                <w:szCs w:val="1"/>
                <w:color w:val="auto"/>
              </w:rPr>
            </w:pPr>
          </w:p>
        </w:tc>
        <w:tc>
          <w:tcPr>
            <w:tcW w:w="1680" w:type="dxa"/>
            <w:vAlign w:val="bottom"/>
            <w:tcBorders>
              <w:top w:val="single" w:sz="8" w:color="0000FF"/>
            </w:tcBorders>
            <w:gridSpan w:val="22"/>
          </w:tcPr>
          <w:p>
            <w:pPr>
              <w:spacing w:after="0" w:line="20" w:lineRule="exact"/>
              <w:rPr>
                <w:sz w:val="1"/>
                <w:szCs w:val="1"/>
                <w:color w:val="auto"/>
              </w:rPr>
            </w:pPr>
          </w:p>
        </w:tc>
        <w:tc>
          <w:tcPr>
            <w:tcW w:w="6760" w:type="dxa"/>
            <w:vAlign w:val="bottom"/>
            <w:gridSpan w:val="28"/>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5"/>
            <w:shd w:val="clear" w:color="auto" w:fill="CFF0FC"/>
          </w:tcPr>
          <w:p>
            <w:pPr>
              <w:ind w:left="80"/>
              <w:spacing w:after="0" w:line="162" w:lineRule="exact"/>
              <w:rPr>
                <w:sz w:val="20"/>
                <w:szCs w:val="20"/>
                <w:color w:val="auto"/>
              </w:rPr>
            </w:pPr>
            <w:r>
              <w:rPr>
                <w:rFonts w:ascii="Arial" w:cs="Arial" w:eastAsia="Arial" w:hAnsi="Arial"/>
                <w:sz w:val="16"/>
                <w:szCs w:val="16"/>
                <w:color w:val="0000FF"/>
                <w:w w:val="95"/>
              </w:rPr>
              <w:t>Note 12.</w:t>
            </w:r>
          </w:p>
        </w:tc>
        <w:tc>
          <w:tcPr>
            <w:tcW w:w="80" w:type="dxa"/>
            <w:vAlign w:val="bottom"/>
            <w:shd w:val="clear" w:color="auto" w:fill="CFF0FC"/>
          </w:tcPr>
          <w:p>
            <w:pPr>
              <w:spacing w:after="0"/>
              <w:rPr>
                <w:sz w:val="14"/>
                <w:szCs w:val="14"/>
                <w:color w:val="auto"/>
              </w:rPr>
            </w:pPr>
          </w:p>
        </w:tc>
        <w:tc>
          <w:tcPr>
            <w:tcW w:w="7080" w:type="dxa"/>
            <w:vAlign w:val="bottom"/>
            <w:gridSpan w:val="44"/>
            <w:shd w:val="clear" w:color="auto" w:fill="CFF0FC"/>
          </w:tcPr>
          <w:p>
            <w:pPr>
              <w:ind w:left="20"/>
              <w:spacing w:after="0" w:line="162" w:lineRule="exact"/>
              <w:rPr>
                <w:sz w:val="20"/>
                <w:szCs w:val="20"/>
                <w:color w:val="auto"/>
              </w:rPr>
            </w:pPr>
            <w:r>
              <w:rPr>
                <w:rFonts w:ascii="Arial" w:cs="Arial" w:eastAsia="Arial" w:hAnsi="Arial"/>
                <w:sz w:val="16"/>
                <w:szCs w:val="16"/>
                <w:color w:val="0000FF"/>
              </w:rPr>
              <w:t>Business Segment Information</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26</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0"/>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900" w:type="dxa"/>
            <w:vAlign w:val="bottom"/>
            <w:tcBorders>
              <w:top w:val="single" w:sz="8" w:color="0000FF"/>
            </w:tcBorders>
            <w:gridSpan w:val="39"/>
            <w:shd w:val="clear" w:color="auto" w:fill="CFF0FC"/>
          </w:tcPr>
          <w:p>
            <w:pPr>
              <w:spacing w:after="0" w:line="20" w:lineRule="exact"/>
              <w:rPr>
                <w:sz w:val="1"/>
                <w:szCs w:val="1"/>
                <w:color w:val="auto"/>
              </w:rPr>
            </w:pPr>
          </w:p>
        </w:tc>
        <w:tc>
          <w:tcPr>
            <w:tcW w:w="5540" w:type="dxa"/>
            <w:vAlign w:val="bottom"/>
            <w:tcBorders>
              <w:top w:val="single" w:sz="8" w:color="CFF0FC"/>
            </w:tcBorders>
            <w:gridSpan w:val="11"/>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5"/>
          </w:tcPr>
          <w:p>
            <w:pPr>
              <w:ind w:left="80"/>
              <w:spacing w:after="0" w:line="162" w:lineRule="exact"/>
              <w:rPr>
                <w:sz w:val="20"/>
                <w:szCs w:val="20"/>
                <w:color w:val="auto"/>
              </w:rPr>
            </w:pPr>
            <w:r>
              <w:rPr>
                <w:rFonts w:ascii="Arial" w:cs="Arial" w:eastAsia="Arial" w:hAnsi="Arial"/>
                <w:sz w:val="16"/>
                <w:szCs w:val="16"/>
                <w:color w:val="0000FF"/>
                <w:w w:val="95"/>
              </w:rPr>
              <w:t>Note 13.</w:t>
            </w:r>
          </w:p>
        </w:tc>
        <w:tc>
          <w:tcPr>
            <w:tcW w:w="80" w:type="dxa"/>
            <w:vAlign w:val="bottom"/>
          </w:tcPr>
          <w:p>
            <w:pPr>
              <w:spacing w:after="0"/>
              <w:rPr>
                <w:sz w:val="14"/>
                <w:szCs w:val="14"/>
                <w:color w:val="auto"/>
              </w:rPr>
            </w:pPr>
          </w:p>
        </w:tc>
        <w:tc>
          <w:tcPr>
            <w:tcW w:w="7080" w:type="dxa"/>
            <w:vAlign w:val="bottom"/>
            <w:gridSpan w:val="44"/>
          </w:tcPr>
          <w:p>
            <w:pPr>
              <w:ind w:left="20"/>
              <w:spacing w:after="0" w:line="162" w:lineRule="exact"/>
              <w:rPr>
                <w:sz w:val="20"/>
                <w:szCs w:val="20"/>
                <w:color w:val="auto"/>
              </w:rPr>
            </w:pPr>
            <w:r>
              <w:rPr>
                <w:rFonts w:ascii="Arial" w:cs="Arial" w:eastAsia="Arial" w:hAnsi="Arial"/>
                <w:sz w:val="16"/>
                <w:szCs w:val="16"/>
                <w:color w:val="0000FF"/>
              </w:rPr>
              <w:t>Selected Balance Sheet Information</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27</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920" w:type="dxa"/>
            <w:vAlign w:val="bottom"/>
            <w:gridSpan w:val="6"/>
          </w:tcPr>
          <w:p>
            <w:pPr>
              <w:spacing w:after="0" w:line="20" w:lineRule="exact"/>
              <w:rPr>
                <w:sz w:val="1"/>
                <w:szCs w:val="1"/>
                <w:color w:val="auto"/>
              </w:rPr>
            </w:pPr>
          </w:p>
        </w:tc>
        <w:tc>
          <w:tcPr>
            <w:tcW w:w="3280" w:type="dxa"/>
            <w:vAlign w:val="bottom"/>
            <w:tcBorders>
              <w:top w:val="single" w:sz="8" w:color="0000FF"/>
            </w:tcBorders>
            <w:gridSpan w:val="41"/>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40" w:type="dxa"/>
            <w:vAlign w:val="bottom"/>
            <w:gridSpan w:val="50"/>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14. Subsequent Events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27</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03"/>
        </w:trPr>
        <w:tc>
          <w:tcPr>
            <w:tcW w:w="1920" w:type="dxa"/>
            <w:vAlign w:val="bottom"/>
            <w:tcBorders>
              <w:top w:val="single" w:sz="8" w:color="CFF0FC"/>
            </w:tcBorders>
            <w:gridSpan w:val="6"/>
          </w:tcPr>
          <w:p>
            <w:pPr>
              <w:spacing w:after="0"/>
              <w:rPr>
                <w:sz w:val="17"/>
                <w:szCs w:val="17"/>
                <w:color w:val="auto"/>
              </w:rPr>
            </w:pPr>
          </w:p>
        </w:tc>
        <w:tc>
          <w:tcPr>
            <w:tcW w:w="2100" w:type="dxa"/>
            <w:vAlign w:val="bottom"/>
            <w:tcBorders>
              <w:top w:val="single" w:sz="8" w:color="0000FF"/>
            </w:tcBorders>
            <w:gridSpan w:val="27"/>
          </w:tcPr>
          <w:p>
            <w:pPr>
              <w:spacing w:after="0"/>
              <w:rPr>
                <w:sz w:val="17"/>
                <w:szCs w:val="17"/>
                <w:color w:val="auto"/>
              </w:rPr>
            </w:pPr>
          </w:p>
        </w:tc>
        <w:tc>
          <w:tcPr>
            <w:tcW w:w="6340" w:type="dxa"/>
            <w:vAlign w:val="bottom"/>
            <w:tcBorders>
              <w:top w:val="single" w:sz="8" w:color="CFF0FC"/>
            </w:tcBorders>
            <w:gridSpan w:val="23"/>
          </w:tcPr>
          <w:p>
            <w:pPr>
              <w:spacing w:after="0"/>
              <w:rPr>
                <w:sz w:val="17"/>
                <w:szCs w:val="17"/>
                <w:color w:val="auto"/>
              </w:rPr>
            </w:pPr>
          </w:p>
        </w:tc>
        <w:tc>
          <w:tcPr>
            <w:tcW w:w="180" w:type="dxa"/>
            <w:vAlign w:val="bottom"/>
            <w:tcBorders>
              <w:top w:val="single" w:sz="8" w:color="0000FF"/>
            </w:tcBorders>
            <w:gridSpan w:val="4"/>
          </w:tcPr>
          <w:p>
            <w:pPr>
              <w:spacing w:after="0"/>
              <w:rPr>
                <w:sz w:val="17"/>
                <w:szCs w:val="17"/>
                <w:color w:val="auto"/>
              </w:rPr>
            </w:pPr>
          </w:p>
        </w:tc>
        <w:tc>
          <w:tcPr>
            <w:tcW w:w="700" w:type="dxa"/>
            <w:vAlign w:val="bottom"/>
            <w:tcBorders>
              <w:top w:val="single" w:sz="8" w:color="CFF0FC"/>
            </w:tcBorders>
            <w:gridSpan w:val="2"/>
          </w:tcPr>
          <w:p>
            <w:pPr>
              <w:spacing w:after="0"/>
              <w:rPr>
                <w:sz w:val="17"/>
                <w:szCs w:val="17"/>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2.</w:t>
            </w:r>
          </w:p>
        </w:tc>
        <w:tc>
          <w:tcPr>
            <w:tcW w:w="7980" w:type="dxa"/>
            <w:vAlign w:val="bottom"/>
            <w:gridSpan w:val="51"/>
            <w:shd w:val="clear" w:color="auto" w:fill="CFF0FC"/>
          </w:tcPr>
          <w:p>
            <w:pPr>
              <w:spacing w:after="0" w:line="162"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28</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6380" w:type="dxa"/>
            <w:vAlign w:val="bottom"/>
            <w:tcBorders>
              <w:top w:val="single" w:sz="8" w:color="0000FF"/>
            </w:tcBorders>
            <w:gridSpan w:val="50"/>
          </w:tcPr>
          <w:p>
            <w:pPr>
              <w:ind w:left="140"/>
              <w:spacing w:after="0" w:line="162" w:lineRule="exact"/>
              <w:rPr>
                <w:sz w:val="20"/>
                <w:szCs w:val="20"/>
                <w:color w:val="auto"/>
              </w:rPr>
            </w:pPr>
            <w:r>
              <w:rPr>
                <w:rFonts w:ascii="Arial" w:cs="Arial" w:eastAsia="Arial" w:hAnsi="Arial"/>
                <w:sz w:val="16"/>
                <w:szCs w:val="16"/>
                <w:color w:val="0000FF"/>
              </w:rPr>
              <w:t>Executive Summary</w:t>
            </w:r>
          </w:p>
        </w:tc>
        <w:tc>
          <w:tcPr>
            <w:tcW w:w="1600" w:type="dxa"/>
            <w:vAlign w:val="bottom"/>
            <w:tcBorders>
              <w:top w:val="single" w:sz="8" w:color="CFF0FC"/>
            </w:tcBorders>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28</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0"/>
        </w:trPr>
        <w:tc>
          <w:tcPr>
            <w:tcW w:w="1840" w:type="dxa"/>
            <w:vAlign w:val="bottom"/>
            <w:gridSpan w:val="5"/>
          </w:tcPr>
          <w:p>
            <w:pPr>
              <w:spacing w:after="0" w:line="20" w:lineRule="exact"/>
              <w:rPr>
                <w:sz w:val="1"/>
                <w:szCs w:val="1"/>
                <w:color w:val="auto"/>
              </w:rPr>
            </w:pPr>
          </w:p>
        </w:tc>
        <w:tc>
          <w:tcPr>
            <w:tcW w:w="1440" w:type="dxa"/>
            <w:vAlign w:val="bottom"/>
            <w:tcBorders>
              <w:top w:val="single" w:sz="8" w:color="0000FF"/>
            </w:tcBorders>
            <w:gridSpan w:val="15"/>
          </w:tcPr>
          <w:p>
            <w:pPr>
              <w:spacing w:after="0" w:line="20" w:lineRule="exact"/>
              <w:rPr>
                <w:sz w:val="1"/>
                <w:szCs w:val="1"/>
                <w:color w:val="auto"/>
              </w:rPr>
            </w:pPr>
          </w:p>
        </w:tc>
        <w:tc>
          <w:tcPr>
            <w:tcW w:w="7080" w:type="dxa"/>
            <w:vAlign w:val="bottom"/>
            <w:gridSpan w:val="36"/>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Recent Developments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28</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0"/>
        </w:trPr>
        <w:tc>
          <w:tcPr>
            <w:tcW w:w="1840" w:type="dxa"/>
            <w:vAlign w:val="bottom"/>
            <w:tcBorders>
              <w:top w:val="single" w:sz="8" w:color="CFF0FC"/>
            </w:tcBorders>
            <w:gridSpan w:val="5"/>
            <w:shd w:val="clear" w:color="auto" w:fill="CFF0FC"/>
          </w:tcPr>
          <w:p>
            <w:pPr>
              <w:spacing w:after="0" w:line="20" w:lineRule="exact"/>
              <w:rPr>
                <w:sz w:val="1"/>
                <w:szCs w:val="1"/>
                <w:color w:val="auto"/>
              </w:rPr>
            </w:pPr>
          </w:p>
        </w:tc>
        <w:tc>
          <w:tcPr>
            <w:tcW w:w="1580" w:type="dxa"/>
            <w:vAlign w:val="bottom"/>
            <w:tcBorders>
              <w:top w:val="single" w:sz="8" w:color="0000FF"/>
            </w:tcBorders>
            <w:gridSpan w:val="18"/>
            <w:shd w:val="clear" w:color="auto" w:fill="CFF0FC"/>
          </w:tcPr>
          <w:p>
            <w:pPr>
              <w:spacing w:after="0" w:line="20" w:lineRule="exact"/>
              <w:rPr>
                <w:sz w:val="1"/>
                <w:szCs w:val="1"/>
                <w:color w:val="auto"/>
              </w:rPr>
            </w:pPr>
          </w:p>
        </w:tc>
        <w:tc>
          <w:tcPr>
            <w:tcW w:w="6940" w:type="dxa"/>
            <w:vAlign w:val="bottom"/>
            <w:tcBorders>
              <w:top w:val="single" w:sz="8" w:color="CFF0FC"/>
            </w:tcBorders>
            <w:gridSpan w:val="33"/>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1"/>
          </w:tcPr>
          <w:p>
            <w:pPr>
              <w:ind w:left="140"/>
              <w:spacing w:after="0" w:line="162" w:lineRule="exact"/>
              <w:rPr>
                <w:sz w:val="20"/>
                <w:szCs w:val="20"/>
                <w:color w:val="auto"/>
              </w:rPr>
            </w:pPr>
            <w:r>
              <w:rPr>
                <w:rFonts w:ascii="Arial" w:cs="Arial" w:eastAsia="Arial" w:hAnsi="Arial"/>
                <w:sz w:val="16"/>
                <w:szCs w:val="16"/>
                <w:color w:val="0000FF"/>
              </w:rPr>
              <w:t>Results of Operations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29</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840" w:type="dxa"/>
            <w:vAlign w:val="bottom"/>
            <w:gridSpan w:val="5"/>
          </w:tcPr>
          <w:p>
            <w:pPr>
              <w:spacing w:after="0" w:line="20" w:lineRule="exact"/>
              <w:rPr>
                <w:sz w:val="1"/>
                <w:szCs w:val="1"/>
                <w:color w:val="auto"/>
              </w:rPr>
            </w:pPr>
          </w:p>
        </w:tc>
        <w:tc>
          <w:tcPr>
            <w:tcW w:w="1540" w:type="dxa"/>
            <w:vAlign w:val="bottom"/>
            <w:tcBorders>
              <w:top w:val="single" w:sz="8" w:color="0000FF"/>
            </w:tcBorders>
            <w:gridSpan w:val="17"/>
          </w:tcPr>
          <w:p>
            <w:pPr>
              <w:spacing w:after="0" w:line="20" w:lineRule="exact"/>
              <w:rPr>
                <w:sz w:val="1"/>
                <w:szCs w:val="1"/>
                <w:color w:val="auto"/>
              </w:rPr>
            </w:pPr>
          </w:p>
        </w:tc>
        <w:tc>
          <w:tcPr>
            <w:tcW w:w="6980" w:type="dxa"/>
            <w:vAlign w:val="bottom"/>
            <w:gridSpan w:val="34"/>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40" w:type="dxa"/>
            <w:vAlign w:val="bottom"/>
            <w:gridSpan w:val="48"/>
            <w:shd w:val="clear" w:color="auto" w:fill="CFF0FC"/>
          </w:tcPr>
          <w:p>
            <w:pPr>
              <w:spacing w:after="0" w:line="162" w:lineRule="exact"/>
              <w:rPr>
                <w:sz w:val="20"/>
                <w:szCs w:val="20"/>
                <w:color w:val="auto"/>
              </w:rPr>
            </w:pPr>
            <w:r>
              <w:rPr>
                <w:rFonts w:ascii="Arial" w:cs="Arial" w:eastAsia="Arial" w:hAnsi="Arial"/>
                <w:sz w:val="16"/>
                <w:szCs w:val="16"/>
                <w:color w:val="0000FF"/>
              </w:rPr>
              <w:t>Consolidated Summary and Overview</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29</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720" w:type="dxa"/>
            <w:vAlign w:val="bottom"/>
            <w:tcBorders>
              <w:top w:val="single" w:sz="8" w:color="0000FF"/>
            </w:tcBorders>
            <w:gridSpan w:val="37"/>
          </w:tcPr>
          <w:p>
            <w:pPr>
              <w:spacing w:after="0" w:line="162" w:lineRule="exact"/>
              <w:rPr>
                <w:sz w:val="20"/>
                <w:szCs w:val="20"/>
                <w:color w:val="auto"/>
              </w:rPr>
            </w:pPr>
            <w:r>
              <w:rPr>
                <w:rFonts w:ascii="Arial" w:cs="Arial" w:eastAsia="Arial" w:hAnsi="Arial"/>
                <w:sz w:val="16"/>
                <w:szCs w:val="16"/>
                <w:color w:val="0000FF"/>
              </w:rPr>
              <w:t>Non-GAAP Financial Measure</w:t>
            </w:r>
          </w:p>
        </w:tc>
        <w:tc>
          <w:tcPr>
            <w:tcW w:w="4920" w:type="dxa"/>
            <w:vAlign w:val="bottom"/>
            <w:tcBorders>
              <w:top w:val="single" w:sz="8" w:color="CFF0FC"/>
            </w:tcBorders>
            <w:gridSpan w:val="11"/>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30</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1"/>
        </w:trPr>
        <w:tc>
          <w:tcPr>
            <w:tcW w:w="2040" w:type="dxa"/>
            <w:vAlign w:val="bottom"/>
            <w:gridSpan w:val="7"/>
          </w:tcPr>
          <w:p>
            <w:pPr>
              <w:spacing w:after="0" w:line="20" w:lineRule="exact"/>
              <w:rPr>
                <w:sz w:val="1"/>
                <w:szCs w:val="1"/>
                <w:color w:val="auto"/>
              </w:rPr>
            </w:pPr>
          </w:p>
        </w:tc>
        <w:tc>
          <w:tcPr>
            <w:tcW w:w="2180" w:type="dxa"/>
            <w:vAlign w:val="bottom"/>
            <w:tcBorders>
              <w:top w:val="single" w:sz="8" w:color="0000FF"/>
            </w:tcBorders>
            <w:gridSpan w:val="29"/>
          </w:tcPr>
          <w:p>
            <w:pPr>
              <w:spacing w:after="0" w:line="20" w:lineRule="exact"/>
              <w:rPr>
                <w:sz w:val="1"/>
                <w:szCs w:val="1"/>
                <w:color w:val="auto"/>
              </w:rPr>
            </w:pPr>
          </w:p>
        </w:tc>
        <w:tc>
          <w:tcPr>
            <w:tcW w:w="6140" w:type="dxa"/>
            <w:vAlign w:val="bottom"/>
            <w:gridSpan w:val="20"/>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0000FF"/>
            </w:tcBorders>
            <w:gridSpan w:val="10"/>
            <w:shd w:val="clear" w:color="auto" w:fill="CFF0FC"/>
          </w:tcPr>
          <w:p>
            <w:pPr>
              <w:spacing w:after="0" w:line="162" w:lineRule="exact"/>
              <w:rPr>
                <w:sz w:val="20"/>
                <w:szCs w:val="20"/>
                <w:color w:val="auto"/>
              </w:rPr>
            </w:pPr>
            <w:r>
              <w:rPr>
                <w:rFonts w:ascii="Arial" w:cs="Arial" w:eastAsia="Arial" w:hAnsi="Arial"/>
                <w:sz w:val="16"/>
                <w:szCs w:val="16"/>
                <w:color w:val="0000FF"/>
                <w:w w:val="99"/>
              </w:rPr>
              <w:t>Electric Utilities</w:t>
            </w:r>
          </w:p>
        </w:tc>
        <w:tc>
          <w:tcPr>
            <w:tcW w:w="6540" w:type="dxa"/>
            <w:vAlign w:val="bottom"/>
            <w:tcBorders>
              <w:bottom w:val="single" w:sz="8" w:color="CFF0FC"/>
            </w:tcBorders>
            <w:gridSpan w:val="38"/>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0000FF"/>
            </w:tcBorders>
            <w:gridSpan w:val="4"/>
            <w:shd w:val="clear" w:color="auto" w:fill="CFF0FC"/>
          </w:tcPr>
          <w:p>
            <w:pPr>
              <w:jc w:val="center"/>
              <w:spacing w:after="0" w:line="162" w:lineRule="exact"/>
              <w:rPr>
                <w:sz w:val="20"/>
                <w:szCs w:val="20"/>
                <w:color w:val="auto"/>
              </w:rPr>
            </w:pPr>
            <w:r>
              <w:rPr>
                <w:rFonts w:ascii="Arial" w:cs="Arial" w:eastAsia="Arial" w:hAnsi="Arial"/>
                <w:sz w:val="16"/>
                <w:szCs w:val="16"/>
                <w:color w:val="0000FF"/>
              </w:rPr>
              <w:t>30</w:t>
            </w: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40" w:type="dxa"/>
            <w:vAlign w:val="bottom"/>
            <w:gridSpan w:val="48"/>
          </w:tcPr>
          <w:p>
            <w:pPr>
              <w:spacing w:after="0" w:line="162" w:lineRule="exact"/>
              <w:rPr>
                <w:sz w:val="20"/>
                <w:szCs w:val="20"/>
                <w:color w:val="auto"/>
              </w:rPr>
            </w:pPr>
            <w:r>
              <w:rPr>
                <w:rFonts w:ascii="Arial" w:cs="Arial" w:eastAsia="Arial" w:hAnsi="Arial"/>
                <w:sz w:val="16"/>
                <w:szCs w:val="16"/>
                <w:color w:val="0000FF"/>
              </w:rPr>
              <w:t>Gas Utilities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34</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2040" w:type="dxa"/>
            <w:vAlign w:val="bottom"/>
            <w:gridSpan w:val="7"/>
          </w:tcPr>
          <w:p>
            <w:pPr>
              <w:spacing w:after="0" w:line="20" w:lineRule="exact"/>
              <w:rPr>
                <w:sz w:val="1"/>
                <w:szCs w:val="1"/>
                <w:color w:val="auto"/>
              </w:rPr>
            </w:pPr>
          </w:p>
        </w:tc>
        <w:tc>
          <w:tcPr>
            <w:tcW w:w="860" w:type="dxa"/>
            <w:vAlign w:val="bottom"/>
            <w:tcBorders>
              <w:top w:val="single" w:sz="8" w:color="0000FF"/>
            </w:tcBorders>
            <w:gridSpan w:val="7"/>
          </w:tcPr>
          <w:p>
            <w:pPr>
              <w:spacing w:after="0" w:line="20" w:lineRule="exact"/>
              <w:rPr>
                <w:sz w:val="1"/>
                <w:szCs w:val="1"/>
                <w:color w:val="auto"/>
              </w:rPr>
            </w:pPr>
          </w:p>
        </w:tc>
        <w:tc>
          <w:tcPr>
            <w:tcW w:w="7460" w:type="dxa"/>
            <w:vAlign w:val="bottom"/>
            <w:gridSpan w:val="42"/>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2"/>
        </w:trPr>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80" w:type="dxa"/>
            <w:vAlign w:val="bottom"/>
            <w:tcBorders>
              <w:bottom w:val="single" w:sz="8" w:color="0000FF"/>
            </w:tcBorders>
            <w:gridSpan w:val="20"/>
            <w:shd w:val="clear" w:color="auto" w:fill="CFF0FC"/>
          </w:tcPr>
          <w:p>
            <w:pPr>
              <w:spacing w:after="0" w:line="162" w:lineRule="exact"/>
              <w:rPr>
                <w:sz w:val="20"/>
                <w:szCs w:val="20"/>
                <w:color w:val="auto"/>
              </w:rPr>
            </w:pPr>
            <w:r>
              <w:rPr>
                <w:rFonts w:ascii="Arial" w:cs="Arial" w:eastAsia="Arial" w:hAnsi="Arial"/>
                <w:sz w:val="16"/>
                <w:szCs w:val="16"/>
                <w:color w:val="0000FF"/>
                <w:w w:val="99"/>
              </w:rPr>
              <w:t>Corporate and Other</w:t>
            </w:r>
          </w:p>
        </w:tc>
        <w:tc>
          <w:tcPr>
            <w:tcW w:w="6160" w:type="dxa"/>
            <w:vAlign w:val="bottom"/>
            <w:tcBorders>
              <w:bottom w:val="single" w:sz="8" w:color="CFF0FC"/>
            </w:tcBorders>
            <w:gridSpan w:val="28"/>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0000FF"/>
            </w:tcBorders>
            <w:gridSpan w:val="4"/>
            <w:shd w:val="clear" w:color="auto" w:fill="CFF0FC"/>
          </w:tcPr>
          <w:p>
            <w:pPr>
              <w:jc w:val="center"/>
              <w:spacing w:after="0" w:line="162" w:lineRule="exact"/>
              <w:rPr>
                <w:sz w:val="20"/>
                <w:szCs w:val="20"/>
                <w:color w:val="auto"/>
              </w:rPr>
            </w:pPr>
            <w:r>
              <w:rPr>
                <w:rFonts w:ascii="Arial" w:cs="Arial" w:eastAsia="Arial" w:hAnsi="Arial"/>
                <w:sz w:val="16"/>
                <w:szCs w:val="16"/>
                <w:color w:val="0000FF"/>
              </w:rPr>
              <w:t>35</w:t>
            </w: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40" w:type="dxa"/>
            <w:vAlign w:val="bottom"/>
            <w:gridSpan w:val="48"/>
          </w:tcPr>
          <w:p>
            <w:pPr>
              <w:spacing w:after="0" w:line="162" w:lineRule="exact"/>
              <w:rPr>
                <w:sz w:val="20"/>
                <w:szCs w:val="20"/>
                <w:color w:val="auto"/>
              </w:rPr>
            </w:pPr>
            <w:r>
              <w:rPr>
                <w:rFonts w:ascii="Arial" w:cs="Arial" w:eastAsia="Arial" w:hAnsi="Arial"/>
                <w:sz w:val="16"/>
                <w:szCs w:val="16"/>
                <w:color w:val="0000FF"/>
              </w:rPr>
              <w:t>Consolidated Interest Expense, Other Income and Income Tax Expense</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36</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5140" w:type="dxa"/>
            <w:vAlign w:val="bottom"/>
            <w:tcBorders>
              <w:top w:val="single" w:sz="8" w:color="0000FF"/>
            </w:tcBorders>
            <w:gridSpan w:val="46"/>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Liquidity and Capital Resources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37</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gridSpan w:val="28"/>
          </w:tcPr>
          <w:p>
            <w:pPr>
              <w:spacing w:after="0" w:line="162" w:lineRule="exact"/>
              <w:rPr>
                <w:sz w:val="20"/>
                <w:szCs w:val="20"/>
                <w:color w:val="auto"/>
              </w:rPr>
            </w:pPr>
            <w:r>
              <w:rPr>
                <w:rFonts w:ascii="Arial" w:cs="Arial" w:eastAsia="Arial" w:hAnsi="Arial"/>
                <w:sz w:val="16"/>
                <w:szCs w:val="16"/>
                <w:color w:val="0000FF"/>
              </w:rPr>
              <w:t>Cash Flow Activities</w:t>
            </w:r>
          </w:p>
        </w:tc>
        <w:tc>
          <w:tcPr>
            <w:tcW w:w="5580" w:type="dxa"/>
            <w:vAlign w:val="bottom"/>
            <w:tcBorders>
              <w:top w:val="single" w:sz="8" w:color="CFF0FC"/>
            </w:tcBorders>
            <w:gridSpan w:val="20"/>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37</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1440" w:type="dxa"/>
            <w:vAlign w:val="bottom"/>
            <w:tcBorders>
              <w:top w:val="single" w:sz="8" w:color="0000FF"/>
            </w:tcBorders>
            <w:gridSpan w:val="18"/>
          </w:tcPr>
          <w:p>
            <w:pPr>
              <w:spacing w:after="0" w:line="20" w:lineRule="exact"/>
              <w:rPr>
                <w:sz w:val="1"/>
                <w:szCs w:val="1"/>
                <w:color w:val="auto"/>
              </w:rPr>
            </w:pPr>
          </w:p>
        </w:tc>
        <w:tc>
          <w:tcPr>
            <w:tcW w:w="6880" w:type="dxa"/>
            <w:vAlign w:val="bottom"/>
            <w:gridSpan w:val="31"/>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0000FF"/>
            </w:tcBorders>
            <w:gridSpan w:val="14"/>
            <w:shd w:val="clear" w:color="auto" w:fill="CFF0FC"/>
          </w:tcPr>
          <w:p>
            <w:pPr>
              <w:spacing w:after="0" w:line="162" w:lineRule="exact"/>
              <w:rPr>
                <w:sz w:val="20"/>
                <w:szCs w:val="20"/>
                <w:color w:val="auto"/>
              </w:rPr>
            </w:pPr>
            <w:r>
              <w:rPr>
                <w:rFonts w:ascii="Arial" w:cs="Arial" w:eastAsia="Arial" w:hAnsi="Arial"/>
                <w:sz w:val="16"/>
                <w:szCs w:val="16"/>
                <w:color w:val="0000FF"/>
                <w:w w:val="99"/>
              </w:rPr>
              <w:t>Capital Resources</w:t>
            </w:r>
          </w:p>
        </w:tc>
        <w:tc>
          <w:tcPr>
            <w:tcW w:w="6320" w:type="dxa"/>
            <w:vAlign w:val="bottom"/>
            <w:tcBorders>
              <w:bottom w:val="single" w:sz="8" w:color="CFF0FC"/>
            </w:tcBorders>
            <w:gridSpan w:val="34"/>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0000FF"/>
            </w:tcBorders>
            <w:gridSpan w:val="4"/>
            <w:shd w:val="clear" w:color="auto" w:fill="CFF0FC"/>
          </w:tcPr>
          <w:p>
            <w:pPr>
              <w:jc w:val="center"/>
              <w:spacing w:after="0" w:line="162" w:lineRule="exact"/>
              <w:rPr>
                <w:sz w:val="20"/>
                <w:szCs w:val="20"/>
                <w:color w:val="auto"/>
              </w:rPr>
            </w:pPr>
            <w:r>
              <w:rPr>
                <w:rFonts w:ascii="Arial" w:cs="Arial" w:eastAsia="Arial" w:hAnsi="Arial"/>
                <w:sz w:val="16"/>
                <w:szCs w:val="16"/>
                <w:color w:val="0000FF"/>
              </w:rPr>
              <w:t>38</w:t>
            </w: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40" w:type="dxa"/>
            <w:vAlign w:val="bottom"/>
            <w:gridSpan w:val="48"/>
          </w:tcPr>
          <w:p>
            <w:pPr>
              <w:spacing w:after="0" w:line="162" w:lineRule="exact"/>
              <w:rPr>
                <w:sz w:val="20"/>
                <w:szCs w:val="20"/>
                <w:color w:val="auto"/>
              </w:rPr>
            </w:pPr>
            <w:r>
              <w:rPr>
                <w:rFonts w:ascii="Arial" w:cs="Arial" w:eastAsia="Arial" w:hAnsi="Arial"/>
                <w:sz w:val="16"/>
                <w:szCs w:val="16"/>
                <w:color w:val="0000FF"/>
              </w:rPr>
              <w:t>Credit Ratings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39</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1020" w:type="dxa"/>
            <w:vAlign w:val="bottom"/>
            <w:tcBorders>
              <w:top w:val="single" w:sz="8" w:color="0000FF"/>
            </w:tcBorders>
            <w:gridSpan w:val="9"/>
          </w:tcPr>
          <w:p>
            <w:pPr>
              <w:spacing w:after="0" w:line="20" w:lineRule="exact"/>
              <w:rPr>
                <w:sz w:val="1"/>
                <w:szCs w:val="1"/>
                <w:color w:val="auto"/>
              </w:rPr>
            </w:pPr>
          </w:p>
        </w:tc>
        <w:tc>
          <w:tcPr>
            <w:tcW w:w="7300" w:type="dxa"/>
            <w:vAlign w:val="bottom"/>
            <w:gridSpan w:val="40"/>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560" w:type="dxa"/>
            <w:vAlign w:val="bottom"/>
            <w:tcBorders>
              <w:bottom w:val="single" w:sz="8" w:color="0000FF"/>
            </w:tcBorders>
            <w:gridSpan w:val="21"/>
            <w:shd w:val="clear" w:color="auto" w:fill="CFF0FC"/>
          </w:tcPr>
          <w:p>
            <w:pPr>
              <w:spacing w:after="0" w:line="162" w:lineRule="exact"/>
              <w:rPr>
                <w:sz w:val="20"/>
                <w:szCs w:val="20"/>
                <w:color w:val="auto"/>
              </w:rPr>
            </w:pPr>
            <w:r>
              <w:rPr>
                <w:rFonts w:ascii="Arial" w:cs="Arial" w:eastAsia="Arial" w:hAnsi="Arial"/>
                <w:sz w:val="16"/>
                <w:szCs w:val="16"/>
                <w:color w:val="0000FF"/>
              </w:rPr>
              <w:t>Capital Requirements</w:t>
            </w:r>
          </w:p>
        </w:tc>
        <w:tc>
          <w:tcPr>
            <w:tcW w:w="6080" w:type="dxa"/>
            <w:vAlign w:val="bottom"/>
            <w:tcBorders>
              <w:bottom w:val="single" w:sz="8" w:color="CFF0FC"/>
            </w:tcBorders>
            <w:gridSpan w:val="27"/>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0000FF"/>
            </w:tcBorders>
            <w:gridSpan w:val="4"/>
            <w:shd w:val="clear" w:color="auto" w:fill="CFF0FC"/>
          </w:tcPr>
          <w:p>
            <w:pPr>
              <w:jc w:val="center"/>
              <w:spacing w:after="0" w:line="162" w:lineRule="exact"/>
              <w:rPr>
                <w:sz w:val="20"/>
                <w:szCs w:val="20"/>
                <w:color w:val="auto"/>
              </w:rPr>
            </w:pPr>
            <w:r>
              <w:rPr>
                <w:rFonts w:ascii="Arial" w:cs="Arial" w:eastAsia="Arial" w:hAnsi="Arial"/>
                <w:sz w:val="16"/>
                <w:szCs w:val="16"/>
                <w:color w:val="0000FF"/>
              </w:rPr>
              <w:t>39</w:t>
            </w: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1"/>
          </w:tcPr>
          <w:p>
            <w:pPr>
              <w:ind w:left="140"/>
              <w:spacing w:after="0" w:line="162" w:lineRule="exact"/>
              <w:rPr>
                <w:sz w:val="20"/>
                <w:szCs w:val="20"/>
                <w:color w:val="auto"/>
              </w:rPr>
            </w:pPr>
            <w:r>
              <w:rPr>
                <w:rFonts w:ascii="Arial" w:cs="Arial" w:eastAsia="Arial" w:hAnsi="Arial"/>
                <w:sz w:val="16"/>
                <w:szCs w:val="16"/>
                <w:color w:val="0000FF"/>
              </w:rPr>
              <w:t>Critical Accounting Estimates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40</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840" w:type="dxa"/>
            <w:vAlign w:val="bottom"/>
            <w:gridSpan w:val="5"/>
          </w:tcPr>
          <w:p>
            <w:pPr>
              <w:spacing w:after="0" w:line="20" w:lineRule="exact"/>
              <w:rPr>
                <w:sz w:val="1"/>
                <w:szCs w:val="1"/>
                <w:color w:val="auto"/>
              </w:rPr>
            </w:pPr>
          </w:p>
        </w:tc>
        <w:tc>
          <w:tcPr>
            <w:tcW w:w="2080" w:type="dxa"/>
            <w:vAlign w:val="bottom"/>
            <w:tcBorders>
              <w:top w:val="single" w:sz="8" w:color="0000FF"/>
            </w:tcBorders>
            <w:gridSpan w:val="25"/>
          </w:tcPr>
          <w:p>
            <w:pPr>
              <w:spacing w:after="0" w:line="20" w:lineRule="exact"/>
              <w:rPr>
                <w:sz w:val="1"/>
                <w:szCs w:val="1"/>
                <w:color w:val="auto"/>
              </w:rPr>
            </w:pPr>
          </w:p>
        </w:tc>
        <w:tc>
          <w:tcPr>
            <w:tcW w:w="6440" w:type="dxa"/>
            <w:vAlign w:val="bottom"/>
            <w:gridSpan w:val="26"/>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New Accounting Pronouncements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40</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03"/>
        </w:trPr>
        <w:tc>
          <w:tcPr>
            <w:tcW w:w="1840" w:type="dxa"/>
            <w:vAlign w:val="bottom"/>
            <w:tcBorders>
              <w:top w:val="single" w:sz="8" w:color="CFF0FC"/>
            </w:tcBorders>
            <w:gridSpan w:val="5"/>
          </w:tcPr>
          <w:p>
            <w:pPr>
              <w:spacing w:after="0"/>
              <w:rPr>
                <w:sz w:val="17"/>
                <w:szCs w:val="17"/>
                <w:color w:val="auto"/>
              </w:rPr>
            </w:pPr>
          </w:p>
        </w:tc>
        <w:tc>
          <w:tcPr>
            <w:tcW w:w="2440" w:type="dxa"/>
            <w:vAlign w:val="bottom"/>
            <w:tcBorders>
              <w:top w:val="single" w:sz="8" w:color="0000FF"/>
            </w:tcBorders>
            <w:gridSpan w:val="32"/>
          </w:tcPr>
          <w:p>
            <w:pPr>
              <w:spacing w:after="0"/>
              <w:rPr>
                <w:sz w:val="17"/>
                <w:szCs w:val="17"/>
                <w:color w:val="auto"/>
              </w:rPr>
            </w:pPr>
          </w:p>
        </w:tc>
        <w:tc>
          <w:tcPr>
            <w:tcW w:w="6080" w:type="dxa"/>
            <w:vAlign w:val="bottom"/>
            <w:tcBorders>
              <w:top w:val="single" w:sz="8" w:color="CFF0FC"/>
            </w:tcBorders>
            <w:gridSpan w:val="19"/>
          </w:tcPr>
          <w:p>
            <w:pPr>
              <w:spacing w:after="0"/>
              <w:rPr>
                <w:sz w:val="17"/>
                <w:szCs w:val="17"/>
                <w:color w:val="auto"/>
              </w:rPr>
            </w:pPr>
          </w:p>
        </w:tc>
        <w:tc>
          <w:tcPr>
            <w:tcW w:w="180" w:type="dxa"/>
            <w:vAlign w:val="bottom"/>
            <w:tcBorders>
              <w:top w:val="single" w:sz="8" w:color="0000FF"/>
            </w:tcBorders>
            <w:gridSpan w:val="4"/>
          </w:tcPr>
          <w:p>
            <w:pPr>
              <w:spacing w:after="0"/>
              <w:rPr>
                <w:sz w:val="17"/>
                <w:szCs w:val="17"/>
                <w:color w:val="auto"/>
              </w:rPr>
            </w:pPr>
          </w:p>
        </w:tc>
        <w:tc>
          <w:tcPr>
            <w:tcW w:w="700" w:type="dxa"/>
            <w:vAlign w:val="bottom"/>
            <w:tcBorders>
              <w:top w:val="single" w:sz="8" w:color="CFF0FC"/>
            </w:tcBorders>
            <w:gridSpan w:val="2"/>
          </w:tcPr>
          <w:p>
            <w:pPr>
              <w:spacing w:after="0"/>
              <w:rPr>
                <w:sz w:val="17"/>
                <w:szCs w:val="17"/>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3.</w:t>
            </w:r>
          </w:p>
        </w:tc>
        <w:tc>
          <w:tcPr>
            <w:tcW w:w="7980" w:type="dxa"/>
            <w:vAlign w:val="bottom"/>
            <w:gridSpan w:val="51"/>
            <w:shd w:val="clear" w:color="auto" w:fill="CFF0FC"/>
          </w:tcPr>
          <w:p>
            <w:pPr>
              <w:spacing w:after="0" w:line="162" w:lineRule="exact"/>
              <w:rPr>
                <w:sz w:val="20"/>
                <w:szCs w:val="20"/>
                <w:color w:val="auto"/>
              </w:rPr>
            </w:pPr>
            <w:r>
              <w:rPr>
                <w:rFonts w:ascii="Arial" w:cs="Arial" w:eastAsia="Arial" w:hAnsi="Arial"/>
                <w:sz w:val="16"/>
                <w:szCs w:val="16"/>
                <w:color w:val="0000FF"/>
              </w:rPr>
              <w:t>Quantitative and Qualitative Disclosures About Market Risk</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40</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1700" w:type="dxa"/>
            <w:vAlign w:val="bottom"/>
            <w:tcBorders>
              <w:top w:val="single" w:sz="8" w:color="CFF0FC"/>
            </w:tcBorders>
            <w:gridSpan w:val="4"/>
          </w:tcPr>
          <w:p>
            <w:pPr>
              <w:ind w:left="20"/>
              <w:spacing w:after="0" w:line="162" w:lineRule="exact"/>
              <w:rPr>
                <w:sz w:val="20"/>
                <w:szCs w:val="20"/>
                <w:color w:val="auto"/>
              </w:rPr>
            </w:pPr>
            <w:r>
              <w:rPr>
                <w:rFonts w:ascii="Arial" w:cs="Arial" w:eastAsia="Arial" w:hAnsi="Arial"/>
                <w:sz w:val="16"/>
                <w:szCs w:val="16"/>
                <w:color w:val="auto"/>
              </w:rPr>
              <w:t>Item 4.</w:t>
            </w:r>
          </w:p>
        </w:tc>
        <w:tc>
          <w:tcPr>
            <w:tcW w:w="4240" w:type="dxa"/>
            <w:vAlign w:val="bottom"/>
            <w:tcBorders>
              <w:top w:val="single" w:sz="8" w:color="0000FF"/>
            </w:tcBorders>
            <w:gridSpan w:val="47"/>
          </w:tcPr>
          <w:p>
            <w:pPr>
              <w:spacing w:after="0" w:line="162" w:lineRule="exact"/>
              <w:rPr>
                <w:sz w:val="20"/>
                <w:szCs w:val="20"/>
                <w:color w:val="auto"/>
              </w:rPr>
            </w:pPr>
            <w:r>
              <w:rPr>
                <w:rFonts w:ascii="Arial" w:cs="Arial" w:eastAsia="Arial" w:hAnsi="Arial"/>
                <w:sz w:val="16"/>
                <w:szCs w:val="16"/>
                <w:color w:val="0000FF"/>
              </w:rPr>
              <w:t>Controls and Procedures</w:t>
            </w:r>
          </w:p>
        </w:tc>
        <w:tc>
          <w:tcPr>
            <w:tcW w:w="3740" w:type="dxa"/>
            <w:vAlign w:val="bottom"/>
            <w:tcBorders>
              <w:top w:val="single" w:sz="8" w:color="CFF0FC"/>
            </w:tcBorders>
            <w:gridSpan w:val="4"/>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40</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23"/>
        </w:trPr>
        <w:tc>
          <w:tcPr>
            <w:tcW w:w="1700" w:type="dxa"/>
            <w:vAlign w:val="bottom"/>
            <w:gridSpan w:val="4"/>
          </w:tcPr>
          <w:p>
            <w:pPr>
              <w:spacing w:after="0"/>
              <w:rPr>
                <w:sz w:val="19"/>
                <w:szCs w:val="19"/>
                <w:color w:val="auto"/>
              </w:rPr>
            </w:pPr>
          </w:p>
        </w:tc>
        <w:tc>
          <w:tcPr>
            <w:tcW w:w="1800" w:type="dxa"/>
            <w:vAlign w:val="bottom"/>
            <w:tcBorders>
              <w:top w:val="single" w:sz="8" w:color="0000FF"/>
            </w:tcBorders>
            <w:gridSpan w:val="22"/>
          </w:tcPr>
          <w:p>
            <w:pPr>
              <w:spacing w:after="0"/>
              <w:rPr>
                <w:sz w:val="19"/>
                <w:szCs w:val="19"/>
                <w:color w:val="auto"/>
              </w:rPr>
            </w:pPr>
          </w:p>
        </w:tc>
        <w:tc>
          <w:tcPr>
            <w:tcW w:w="6860" w:type="dxa"/>
            <w:vAlign w:val="bottom"/>
            <w:gridSpan w:val="30"/>
          </w:tcPr>
          <w:p>
            <w:pPr>
              <w:spacing w:after="0"/>
              <w:rPr>
                <w:sz w:val="19"/>
                <w:szCs w:val="19"/>
                <w:color w:val="auto"/>
              </w:rPr>
            </w:pPr>
          </w:p>
        </w:tc>
        <w:tc>
          <w:tcPr>
            <w:tcW w:w="180" w:type="dxa"/>
            <w:vAlign w:val="bottom"/>
            <w:tcBorders>
              <w:top w:val="single" w:sz="8" w:color="0000FF"/>
            </w:tcBorders>
            <w:gridSpan w:val="4"/>
          </w:tcPr>
          <w:p>
            <w:pPr>
              <w:spacing w:after="0"/>
              <w:rPr>
                <w:sz w:val="19"/>
                <w:szCs w:val="19"/>
                <w:color w:val="auto"/>
              </w:rPr>
            </w:pPr>
          </w:p>
        </w:tc>
        <w:tc>
          <w:tcPr>
            <w:tcW w:w="700" w:type="dxa"/>
            <w:vAlign w:val="bottom"/>
            <w:gridSpan w:val="2"/>
          </w:tcPr>
          <w:p>
            <w:pPr>
              <w:spacing w:after="0"/>
              <w:rPr>
                <w:sz w:val="19"/>
                <w:szCs w:val="19"/>
                <w:color w:val="auto"/>
              </w:rPr>
            </w:pPr>
          </w:p>
        </w:tc>
      </w:tr>
      <w:tr>
        <w:trPr>
          <w:trHeight w:val="203"/>
        </w:trPr>
        <w:tc>
          <w:tcPr>
            <w:tcW w:w="2520" w:type="dxa"/>
            <w:vAlign w:val="bottom"/>
            <w:gridSpan w:val="10"/>
            <w:shd w:val="clear" w:color="auto" w:fill="CFF0FC"/>
          </w:tcPr>
          <w:p>
            <w:pPr>
              <w:ind w:left="20"/>
              <w:spacing w:after="0"/>
              <w:rPr>
                <w:sz w:val="20"/>
                <w:szCs w:val="20"/>
                <w:color w:val="auto"/>
              </w:rPr>
            </w:pPr>
            <w:r>
              <w:rPr>
                <w:rFonts w:ascii="Arial" w:cs="Arial" w:eastAsia="Arial" w:hAnsi="Arial"/>
                <w:sz w:val="16"/>
                <w:szCs w:val="16"/>
                <w:color w:val="auto"/>
              </w:rPr>
              <w:t>PART II. OTHER INFORMATION</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r>
      <w:tr>
        <w:trPr>
          <w:trHeight w:val="162"/>
        </w:trPr>
        <w:tc>
          <w:tcPr>
            <w:tcW w:w="170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Item 1.</w:t>
            </w:r>
          </w:p>
        </w:tc>
        <w:tc>
          <w:tcPr>
            <w:tcW w:w="7980" w:type="dxa"/>
            <w:vAlign w:val="bottom"/>
            <w:gridSpan w:val="51"/>
          </w:tcPr>
          <w:p>
            <w:pPr>
              <w:spacing w:after="0" w:line="162" w:lineRule="exact"/>
              <w:rPr>
                <w:sz w:val="20"/>
                <w:szCs w:val="20"/>
                <w:color w:val="auto"/>
              </w:rPr>
            </w:pPr>
            <w:r>
              <w:rPr>
                <w:rFonts w:ascii="Arial" w:cs="Arial" w:eastAsia="Arial" w:hAnsi="Arial"/>
                <w:sz w:val="16"/>
                <w:szCs w:val="16"/>
                <w:color w:val="0000FF"/>
              </w:rPr>
              <w:t>Legal Proceedings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40</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700" w:type="dxa"/>
            <w:vAlign w:val="bottom"/>
            <w:gridSpan w:val="4"/>
          </w:tcPr>
          <w:p>
            <w:pPr>
              <w:spacing w:after="0" w:line="20" w:lineRule="exact"/>
              <w:rPr>
                <w:sz w:val="1"/>
                <w:szCs w:val="1"/>
                <w:color w:val="auto"/>
              </w:rPr>
            </w:pPr>
          </w:p>
        </w:tc>
        <w:tc>
          <w:tcPr>
            <w:tcW w:w="1360" w:type="dxa"/>
            <w:vAlign w:val="bottom"/>
            <w:tcBorders>
              <w:top w:val="single" w:sz="8" w:color="0000FF"/>
            </w:tcBorders>
            <w:gridSpan w:val="12"/>
          </w:tcPr>
          <w:p>
            <w:pPr>
              <w:spacing w:after="0" w:line="20" w:lineRule="exact"/>
              <w:rPr>
                <w:sz w:val="1"/>
                <w:szCs w:val="1"/>
                <w:color w:val="auto"/>
              </w:rPr>
            </w:pPr>
          </w:p>
        </w:tc>
        <w:tc>
          <w:tcPr>
            <w:tcW w:w="7300" w:type="dxa"/>
            <w:vAlign w:val="bottom"/>
            <w:gridSpan w:val="40"/>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1A.</w:t>
            </w:r>
          </w:p>
        </w:tc>
        <w:tc>
          <w:tcPr>
            <w:tcW w:w="7980" w:type="dxa"/>
            <w:vAlign w:val="bottom"/>
            <w:gridSpan w:val="51"/>
            <w:shd w:val="clear" w:color="auto" w:fill="CFF0FC"/>
          </w:tcPr>
          <w:p>
            <w:pPr>
              <w:spacing w:after="0" w:line="162" w:lineRule="exact"/>
              <w:rPr>
                <w:sz w:val="20"/>
                <w:szCs w:val="20"/>
                <w:color w:val="auto"/>
              </w:rPr>
            </w:pPr>
            <w:r>
              <w:rPr>
                <w:rFonts w:ascii="Arial" w:cs="Arial" w:eastAsia="Arial" w:hAnsi="Arial"/>
                <w:sz w:val="16"/>
                <w:szCs w:val="16"/>
                <w:color w:val="0000FF"/>
              </w:rPr>
              <w:t>Risk Factors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40</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0"/>
        </w:trPr>
        <w:tc>
          <w:tcPr>
            <w:tcW w:w="1700" w:type="dxa"/>
            <w:vAlign w:val="bottom"/>
            <w:tcBorders>
              <w:top w:val="single" w:sz="8" w:color="CFF0FC"/>
            </w:tcBorders>
            <w:gridSpan w:val="4"/>
            <w:shd w:val="clear" w:color="auto" w:fill="CFF0FC"/>
          </w:tcPr>
          <w:p>
            <w:pPr>
              <w:spacing w:after="0" w:line="20" w:lineRule="exact"/>
              <w:rPr>
                <w:sz w:val="1"/>
                <w:szCs w:val="1"/>
                <w:color w:val="auto"/>
              </w:rPr>
            </w:pPr>
          </w:p>
        </w:tc>
        <w:tc>
          <w:tcPr>
            <w:tcW w:w="900" w:type="dxa"/>
            <w:vAlign w:val="bottom"/>
            <w:tcBorders>
              <w:top w:val="single" w:sz="8" w:color="0000FF"/>
            </w:tcBorders>
            <w:gridSpan w:val="7"/>
            <w:shd w:val="clear" w:color="auto" w:fill="CFF0FC"/>
          </w:tcPr>
          <w:p>
            <w:pPr>
              <w:spacing w:after="0" w:line="20" w:lineRule="exact"/>
              <w:rPr>
                <w:sz w:val="1"/>
                <w:szCs w:val="1"/>
                <w:color w:val="auto"/>
              </w:rPr>
            </w:pPr>
          </w:p>
        </w:tc>
        <w:tc>
          <w:tcPr>
            <w:tcW w:w="7760" w:type="dxa"/>
            <w:vAlign w:val="bottom"/>
            <w:tcBorders>
              <w:top w:val="single" w:sz="8" w:color="CFF0FC"/>
            </w:tcBorders>
            <w:gridSpan w:val="45"/>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170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Item 2.</w:t>
            </w:r>
          </w:p>
        </w:tc>
        <w:tc>
          <w:tcPr>
            <w:tcW w:w="7980" w:type="dxa"/>
            <w:vAlign w:val="bottom"/>
            <w:gridSpan w:val="51"/>
          </w:tcPr>
          <w:p>
            <w:pPr>
              <w:spacing w:after="0" w:line="162" w:lineRule="exact"/>
              <w:rPr>
                <w:sz w:val="20"/>
                <w:szCs w:val="20"/>
                <w:color w:val="auto"/>
              </w:rPr>
            </w:pPr>
            <w:r>
              <w:rPr>
                <w:rFonts w:ascii="Arial" w:cs="Arial" w:eastAsia="Arial" w:hAnsi="Arial"/>
                <w:sz w:val="16"/>
                <w:szCs w:val="16"/>
                <w:color w:val="0000FF"/>
              </w:rPr>
              <w:t>Unregistered Sales of Equity Securities and Use of Proceeds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40</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700" w:type="dxa"/>
            <w:vAlign w:val="bottom"/>
            <w:gridSpan w:val="4"/>
          </w:tcPr>
          <w:p>
            <w:pPr>
              <w:spacing w:after="0" w:line="20" w:lineRule="exact"/>
              <w:rPr>
                <w:sz w:val="1"/>
                <w:szCs w:val="1"/>
                <w:color w:val="auto"/>
              </w:rPr>
            </w:pPr>
          </w:p>
        </w:tc>
        <w:tc>
          <w:tcPr>
            <w:tcW w:w="4380" w:type="dxa"/>
            <w:vAlign w:val="bottom"/>
            <w:tcBorders>
              <w:top w:val="single" w:sz="8" w:color="0000FF"/>
            </w:tcBorders>
            <w:gridSpan w:val="48"/>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4.</w:t>
            </w:r>
          </w:p>
        </w:tc>
        <w:tc>
          <w:tcPr>
            <w:tcW w:w="7980" w:type="dxa"/>
            <w:vAlign w:val="bottom"/>
            <w:gridSpan w:val="51"/>
            <w:shd w:val="clear" w:color="auto" w:fill="CFF0FC"/>
          </w:tcPr>
          <w:p>
            <w:pPr>
              <w:spacing w:after="0" w:line="162" w:lineRule="exact"/>
              <w:rPr>
                <w:sz w:val="20"/>
                <w:szCs w:val="20"/>
                <w:color w:val="auto"/>
              </w:rPr>
            </w:pPr>
            <w:r>
              <w:rPr>
                <w:rFonts w:ascii="Arial" w:cs="Arial" w:eastAsia="Arial" w:hAnsi="Arial"/>
                <w:sz w:val="16"/>
                <w:szCs w:val="16"/>
                <w:color w:val="0000FF"/>
              </w:rPr>
              <w:t>Mine Safety Disclosures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41</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1700" w:type="dxa"/>
            <w:vAlign w:val="bottom"/>
            <w:tcBorders>
              <w:top w:val="single" w:sz="8" w:color="CFF0FC"/>
            </w:tcBorders>
            <w:gridSpan w:val="4"/>
          </w:tcPr>
          <w:p>
            <w:pPr>
              <w:ind w:left="20"/>
              <w:spacing w:after="0" w:line="162" w:lineRule="exact"/>
              <w:rPr>
                <w:sz w:val="20"/>
                <w:szCs w:val="20"/>
                <w:color w:val="auto"/>
              </w:rPr>
            </w:pPr>
            <w:r>
              <w:rPr>
                <w:rFonts w:ascii="Arial" w:cs="Arial" w:eastAsia="Arial" w:hAnsi="Arial"/>
                <w:sz w:val="16"/>
                <w:szCs w:val="16"/>
                <w:color w:val="auto"/>
              </w:rPr>
              <w:t>Item 5.</w:t>
            </w:r>
          </w:p>
        </w:tc>
        <w:tc>
          <w:tcPr>
            <w:tcW w:w="1740" w:type="dxa"/>
            <w:vAlign w:val="bottom"/>
            <w:tcBorders>
              <w:top w:val="single" w:sz="8" w:color="0000FF"/>
            </w:tcBorders>
            <w:gridSpan w:val="20"/>
          </w:tcPr>
          <w:p>
            <w:pPr>
              <w:spacing w:after="0" w:line="162" w:lineRule="exact"/>
              <w:rPr>
                <w:sz w:val="20"/>
                <w:szCs w:val="20"/>
                <w:color w:val="auto"/>
              </w:rPr>
            </w:pPr>
            <w:r>
              <w:rPr>
                <w:rFonts w:ascii="Arial" w:cs="Arial" w:eastAsia="Arial" w:hAnsi="Arial"/>
                <w:sz w:val="16"/>
                <w:szCs w:val="16"/>
                <w:color w:val="0000FF"/>
              </w:rPr>
              <w:t>Other Information</w:t>
            </w:r>
          </w:p>
        </w:tc>
        <w:tc>
          <w:tcPr>
            <w:tcW w:w="6240" w:type="dxa"/>
            <w:vAlign w:val="bottom"/>
            <w:tcBorders>
              <w:top w:val="single" w:sz="8" w:color="CFF0FC"/>
            </w:tcBorders>
            <w:gridSpan w:val="31"/>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41</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1"/>
        </w:trPr>
        <w:tc>
          <w:tcPr>
            <w:tcW w:w="1700" w:type="dxa"/>
            <w:vAlign w:val="bottom"/>
            <w:gridSpan w:val="4"/>
          </w:tcPr>
          <w:p>
            <w:pPr>
              <w:spacing w:after="0" w:line="20" w:lineRule="exact"/>
              <w:rPr>
                <w:sz w:val="1"/>
                <w:szCs w:val="1"/>
                <w:color w:val="auto"/>
              </w:rPr>
            </w:pPr>
          </w:p>
        </w:tc>
        <w:tc>
          <w:tcPr>
            <w:tcW w:w="1260" w:type="dxa"/>
            <w:vAlign w:val="bottom"/>
            <w:tcBorders>
              <w:top w:val="single" w:sz="8" w:color="0000FF"/>
            </w:tcBorders>
            <w:gridSpan w:val="11"/>
          </w:tcPr>
          <w:p>
            <w:pPr>
              <w:spacing w:after="0" w:line="20" w:lineRule="exact"/>
              <w:rPr>
                <w:sz w:val="1"/>
                <w:szCs w:val="1"/>
                <w:color w:val="auto"/>
              </w:rPr>
            </w:pPr>
          </w:p>
        </w:tc>
        <w:tc>
          <w:tcPr>
            <w:tcW w:w="7400" w:type="dxa"/>
            <w:vAlign w:val="bottom"/>
            <w:gridSpan w:val="41"/>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6.</w:t>
            </w:r>
          </w:p>
        </w:tc>
        <w:tc>
          <w:tcPr>
            <w:tcW w:w="820" w:type="dxa"/>
            <w:vAlign w:val="bottom"/>
            <w:gridSpan w:val="6"/>
            <w:shd w:val="clear" w:color="auto" w:fill="CFF0FC"/>
          </w:tcPr>
          <w:p>
            <w:pPr>
              <w:spacing w:after="0" w:line="162" w:lineRule="exact"/>
              <w:rPr>
                <w:sz w:val="20"/>
                <w:szCs w:val="20"/>
                <w:color w:val="auto"/>
              </w:rPr>
            </w:pPr>
            <w:r>
              <w:rPr>
                <w:rFonts w:ascii="Arial" w:cs="Arial" w:eastAsia="Arial" w:hAnsi="Arial"/>
                <w:sz w:val="16"/>
                <w:szCs w:val="16"/>
                <w:color w:val="0000FF"/>
              </w:rPr>
              <w:t>Exhibits</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41</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02"/>
        </w:trPr>
        <w:tc>
          <w:tcPr>
            <w:tcW w:w="1700" w:type="dxa"/>
            <w:vAlign w:val="bottom"/>
            <w:tcBorders>
              <w:top w:val="single" w:sz="8" w:color="CFF0FC"/>
            </w:tcBorders>
            <w:gridSpan w:val="4"/>
          </w:tcPr>
          <w:p>
            <w:pPr>
              <w:spacing w:after="0"/>
              <w:rPr>
                <w:sz w:val="17"/>
                <w:szCs w:val="17"/>
                <w:color w:val="auto"/>
              </w:rPr>
            </w:pPr>
          </w:p>
        </w:tc>
        <w:tc>
          <w:tcPr>
            <w:tcW w:w="580" w:type="dxa"/>
            <w:vAlign w:val="bottom"/>
            <w:tcBorders>
              <w:top w:val="single" w:sz="8" w:color="0000FF"/>
            </w:tcBorders>
            <w:gridSpan w:val="5"/>
          </w:tcPr>
          <w:p>
            <w:pPr>
              <w:spacing w:after="0"/>
              <w:rPr>
                <w:sz w:val="17"/>
                <w:szCs w:val="17"/>
                <w:color w:val="auto"/>
              </w:rPr>
            </w:pPr>
          </w:p>
        </w:tc>
        <w:tc>
          <w:tcPr>
            <w:tcW w:w="8080" w:type="dxa"/>
            <w:vAlign w:val="bottom"/>
            <w:tcBorders>
              <w:top w:val="single" w:sz="8" w:color="CFF0FC"/>
            </w:tcBorders>
            <w:gridSpan w:val="47"/>
          </w:tcPr>
          <w:p>
            <w:pPr>
              <w:spacing w:after="0"/>
              <w:rPr>
                <w:sz w:val="17"/>
                <w:szCs w:val="17"/>
                <w:color w:val="auto"/>
              </w:rPr>
            </w:pPr>
          </w:p>
        </w:tc>
        <w:tc>
          <w:tcPr>
            <w:tcW w:w="180" w:type="dxa"/>
            <w:vAlign w:val="bottom"/>
            <w:tcBorders>
              <w:top w:val="single" w:sz="8" w:color="0000FF"/>
            </w:tcBorders>
            <w:gridSpan w:val="4"/>
          </w:tcPr>
          <w:p>
            <w:pPr>
              <w:spacing w:after="0"/>
              <w:rPr>
                <w:sz w:val="17"/>
                <w:szCs w:val="17"/>
                <w:color w:val="auto"/>
              </w:rPr>
            </w:pPr>
          </w:p>
        </w:tc>
        <w:tc>
          <w:tcPr>
            <w:tcW w:w="700" w:type="dxa"/>
            <w:vAlign w:val="bottom"/>
            <w:tcBorders>
              <w:top w:val="single" w:sz="8" w:color="CFF0FC"/>
            </w:tcBorders>
            <w:gridSpan w:val="2"/>
          </w:tcPr>
          <w:p>
            <w:pPr>
              <w:spacing w:after="0"/>
              <w:rPr>
                <w:sz w:val="17"/>
                <w:szCs w:val="17"/>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0000FF"/>
              </w:rPr>
              <w:t>Signatures</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42</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413"/>
        </w:trPr>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320" w:type="dxa"/>
            <w:vAlign w:val="bottom"/>
            <w:tcBorders>
              <w:top w:val="single" w:sz="8" w:color="CFF0FC"/>
            </w:tcBorders>
            <w:gridSpan w:val="39"/>
          </w:tcPr>
          <w:p>
            <w:pPr>
              <w:jc w:val="right"/>
              <w:ind w:right="180"/>
              <w:spacing w:after="0"/>
              <w:rPr>
                <w:sz w:val="20"/>
                <w:szCs w:val="20"/>
                <w:color w:val="auto"/>
              </w:rPr>
            </w:pPr>
            <w:r>
              <w:rPr>
                <w:rFonts w:ascii="Arial" w:cs="Arial" w:eastAsia="Arial" w:hAnsi="Arial"/>
                <w:sz w:val="16"/>
                <w:szCs w:val="16"/>
                <w:color w:val="auto"/>
              </w:rPr>
              <w:t>2</w:t>
            </w:r>
          </w:p>
        </w:tc>
        <w:tc>
          <w:tcPr>
            <w:tcW w:w="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r>
      <w:tr>
        <w:trPr>
          <w:trHeight w:val="108"/>
        </w:trPr>
        <w:tc>
          <w:tcPr>
            <w:tcW w:w="11240" w:type="dxa"/>
            <w:vAlign w:val="bottom"/>
            <w:tcBorders>
              <w:bottom w:val="single" w:sz="8" w:color="9A9A9A"/>
            </w:tcBorders>
            <w:gridSpan w:val="62"/>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20" w:type="dxa"/>
            <w:vAlign w:val="bottom"/>
          </w:tcPr>
          <w:p>
            <w:pPr>
              <w:spacing w:after="0"/>
              <w:rPr>
                <w:sz w:val="19"/>
                <w:szCs w:val="19"/>
                <w:color w:val="auto"/>
              </w:rPr>
            </w:pPr>
          </w:p>
        </w:tc>
        <w:tc>
          <w:tcPr>
            <w:tcW w:w="7520" w:type="dxa"/>
            <w:vAlign w:val="bottom"/>
          </w:tcPr>
          <w:p>
            <w:pPr>
              <w:ind w:left="12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366"/>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81"/>
        </w:trPr>
        <w:tc>
          <w:tcPr>
            <w:tcW w:w="3720" w:type="dxa"/>
            <w:vAlign w:val="bottom"/>
          </w:tcPr>
          <w:p>
            <w:pPr>
              <w:spacing w:after="0"/>
              <w:rPr>
                <w:sz w:val="15"/>
                <w:szCs w:val="15"/>
                <w:color w:val="auto"/>
              </w:rPr>
            </w:pPr>
          </w:p>
        </w:tc>
        <w:tc>
          <w:tcPr>
            <w:tcW w:w="7520" w:type="dxa"/>
            <w:vAlign w:val="bottom"/>
          </w:tcPr>
          <w:p>
            <w:pPr>
              <w:spacing w:after="0"/>
              <w:rPr>
                <w:sz w:val="15"/>
                <w:szCs w:val="15"/>
                <w:color w:val="auto"/>
              </w:rPr>
            </w:pPr>
          </w:p>
        </w:tc>
      </w:tr>
      <w:tr>
        <w:trPr>
          <w:trHeight w:val="203"/>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AFUDC</w:t>
            </w: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Allowance for Funds Used During Construction</w:t>
            </w: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AOCI</w:t>
            </w:r>
          </w:p>
        </w:tc>
        <w:tc>
          <w:tcPr>
            <w:tcW w:w="7520" w:type="dxa"/>
            <w:vAlign w:val="bottom"/>
          </w:tcPr>
          <w:p>
            <w:pPr>
              <w:ind w:left="120"/>
              <w:spacing w:after="0"/>
              <w:rPr>
                <w:sz w:val="20"/>
                <w:szCs w:val="20"/>
                <w:color w:val="auto"/>
              </w:rPr>
            </w:pPr>
            <w:r>
              <w:rPr>
                <w:rFonts w:ascii="Arial" w:cs="Arial" w:eastAsia="Arial" w:hAnsi="Arial"/>
                <w:sz w:val="16"/>
                <w:szCs w:val="16"/>
                <w:color w:val="auto"/>
              </w:rPr>
              <w:t>Accumulated Other Comprehensive Income (Loss)</w:t>
            </w:r>
          </w:p>
        </w:tc>
      </w:tr>
      <w:tr>
        <w:trPr>
          <w:trHeight w:val="179"/>
        </w:trPr>
        <w:tc>
          <w:tcPr>
            <w:tcW w:w="3720" w:type="dxa"/>
            <w:vAlign w:val="bottom"/>
            <w:shd w:val="clear" w:color="auto" w:fill="CFF0FC"/>
          </w:tcPr>
          <w:p>
            <w:pPr>
              <w:ind w:left="20"/>
              <w:spacing w:after="0" w:line="179" w:lineRule="exact"/>
              <w:rPr>
                <w:sz w:val="20"/>
                <w:szCs w:val="20"/>
                <w:color w:val="auto"/>
              </w:rPr>
            </w:pPr>
            <w:r>
              <w:rPr>
                <w:rFonts w:ascii="Arial" w:cs="Arial" w:eastAsia="Arial" w:hAnsi="Arial"/>
                <w:sz w:val="16"/>
                <w:szCs w:val="16"/>
                <w:color w:val="auto"/>
              </w:rPr>
              <w:t>Arkansas Gas</w:t>
            </w:r>
          </w:p>
        </w:tc>
        <w:tc>
          <w:tcPr>
            <w:tcW w:w="7520" w:type="dxa"/>
            <w:vAlign w:val="bottom"/>
            <w:shd w:val="clear" w:color="auto" w:fill="CFF0FC"/>
          </w:tcPr>
          <w:p>
            <w:pPr>
              <w:ind w:left="120"/>
              <w:spacing w:after="0" w:line="179" w:lineRule="exact"/>
              <w:rPr>
                <w:sz w:val="20"/>
                <w:szCs w:val="20"/>
                <w:color w:val="auto"/>
              </w:rPr>
            </w:pPr>
            <w:r>
              <w:rPr>
                <w:rFonts w:ascii="Arial" w:cs="Arial" w:eastAsia="Arial" w:hAnsi="Arial"/>
                <w:sz w:val="16"/>
                <w:szCs w:val="16"/>
                <w:color w:val="auto"/>
              </w:rPr>
              <w:t>Black Hills Energy Arkansas, Inc., an indirect, wholly-owned subsidiary of Black Hills Utility Holdings,</w:t>
            </w:r>
          </w:p>
        </w:tc>
      </w:tr>
      <w:tr>
        <w:trPr>
          <w:trHeight w:val="213"/>
        </w:trPr>
        <w:tc>
          <w:tcPr>
            <w:tcW w:w="3720" w:type="dxa"/>
            <w:vAlign w:val="bottom"/>
            <w:shd w:val="clear" w:color="auto" w:fill="CFF0FC"/>
          </w:tcPr>
          <w:p>
            <w:pPr>
              <w:spacing w:after="0"/>
              <w:rPr>
                <w:sz w:val="18"/>
                <w:szCs w:val="18"/>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providing natural gas services to customers in Arkansas (doing business as Black Hills Energy).</w:t>
            </w: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ATM</w:t>
            </w:r>
          </w:p>
        </w:tc>
        <w:tc>
          <w:tcPr>
            <w:tcW w:w="7520" w:type="dxa"/>
            <w:vAlign w:val="bottom"/>
          </w:tcPr>
          <w:p>
            <w:pPr>
              <w:ind w:left="120"/>
              <w:spacing w:after="0"/>
              <w:rPr>
                <w:sz w:val="20"/>
                <w:szCs w:val="20"/>
                <w:color w:val="auto"/>
              </w:rPr>
            </w:pPr>
            <w:r>
              <w:rPr>
                <w:rFonts w:ascii="Arial" w:cs="Arial" w:eastAsia="Arial" w:hAnsi="Arial"/>
                <w:sz w:val="16"/>
                <w:szCs w:val="16"/>
                <w:color w:val="auto"/>
              </w:rPr>
              <w:t>At-the-market equity offering program</w:t>
            </w:r>
          </w:p>
        </w:tc>
      </w:tr>
      <w:tr>
        <w:trPr>
          <w:trHeight w:val="179"/>
        </w:trPr>
        <w:tc>
          <w:tcPr>
            <w:tcW w:w="3720" w:type="dxa"/>
            <w:vAlign w:val="bottom"/>
            <w:shd w:val="clear" w:color="auto" w:fill="CFF0FC"/>
          </w:tcPr>
          <w:p>
            <w:pPr>
              <w:ind w:left="20"/>
              <w:spacing w:after="0" w:line="179" w:lineRule="exact"/>
              <w:rPr>
                <w:sz w:val="20"/>
                <w:szCs w:val="20"/>
                <w:color w:val="auto"/>
              </w:rPr>
            </w:pPr>
            <w:r>
              <w:rPr>
                <w:rFonts w:ascii="Arial" w:cs="Arial" w:eastAsia="Arial" w:hAnsi="Arial"/>
                <w:sz w:val="16"/>
                <w:szCs w:val="16"/>
                <w:color w:val="auto"/>
              </w:rPr>
              <w:t>Availability</w:t>
            </w:r>
          </w:p>
        </w:tc>
        <w:tc>
          <w:tcPr>
            <w:tcW w:w="7520" w:type="dxa"/>
            <w:vAlign w:val="bottom"/>
            <w:shd w:val="clear" w:color="auto" w:fill="CFF0FC"/>
          </w:tcPr>
          <w:p>
            <w:pPr>
              <w:ind w:left="120"/>
              <w:spacing w:after="0" w:line="179" w:lineRule="exact"/>
              <w:rPr>
                <w:sz w:val="20"/>
                <w:szCs w:val="20"/>
                <w:color w:val="auto"/>
              </w:rPr>
            </w:pPr>
            <w:r>
              <w:rPr>
                <w:rFonts w:ascii="Arial" w:cs="Arial" w:eastAsia="Arial" w:hAnsi="Arial"/>
                <w:sz w:val="16"/>
                <w:szCs w:val="16"/>
                <w:color w:val="auto"/>
              </w:rPr>
              <w:t>The availability factor of a power plant is the percentage of the time that it is available to provide</w:t>
            </w:r>
          </w:p>
        </w:tc>
      </w:tr>
      <w:tr>
        <w:trPr>
          <w:trHeight w:val="213"/>
        </w:trPr>
        <w:tc>
          <w:tcPr>
            <w:tcW w:w="3720" w:type="dxa"/>
            <w:vAlign w:val="bottom"/>
            <w:shd w:val="clear" w:color="auto" w:fill="CFF0FC"/>
          </w:tcPr>
          <w:p>
            <w:pPr>
              <w:spacing w:after="0"/>
              <w:rPr>
                <w:sz w:val="18"/>
                <w:szCs w:val="18"/>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energy.</w:t>
            </w: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BHC</w:t>
            </w:r>
          </w:p>
        </w:tc>
        <w:tc>
          <w:tcPr>
            <w:tcW w:w="7520" w:type="dxa"/>
            <w:vAlign w:val="bottom"/>
          </w:tcPr>
          <w:p>
            <w:pPr>
              <w:ind w:left="120"/>
              <w:spacing w:after="0"/>
              <w:rPr>
                <w:sz w:val="20"/>
                <w:szCs w:val="20"/>
                <w:color w:val="auto"/>
              </w:rPr>
            </w:pPr>
            <w:r>
              <w:rPr>
                <w:rFonts w:ascii="Arial" w:cs="Arial" w:eastAsia="Arial" w:hAnsi="Arial"/>
                <w:sz w:val="16"/>
                <w:szCs w:val="16"/>
                <w:color w:val="auto"/>
              </w:rPr>
              <w:t>Black Hills Corporation; the Company</w:t>
            </w:r>
          </w:p>
        </w:tc>
      </w:tr>
      <w:tr>
        <w:trPr>
          <w:trHeight w:val="203"/>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Colorado IPP</w:t>
            </w: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179"/>
        </w:trPr>
        <w:tc>
          <w:tcPr>
            <w:tcW w:w="3720" w:type="dxa"/>
            <w:vAlign w:val="bottom"/>
          </w:tcPr>
          <w:p>
            <w:pPr>
              <w:ind w:left="20"/>
              <w:spacing w:after="0" w:line="179" w:lineRule="exact"/>
              <w:rPr>
                <w:sz w:val="20"/>
                <w:szCs w:val="20"/>
                <w:color w:val="auto"/>
              </w:rPr>
            </w:pPr>
            <w:r>
              <w:rPr>
                <w:rFonts w:ascii="Arial" w:cs="Arial" w:eastAsia="Arial" w:hAnsi="Arial"/>
                <w:sz w:val="16"/>
                <w:szCs w:val="16"/>
                <w:color w:val="auto"/>
              </w:rPr>
              <w:t>Black Hills Electric Generation</w:t>
            </w:r>
          </w:p>
        </w:tc>
        <w:tc>
          <w:tcPr>
            <w:tcW w:w="7520" w:type="dxa"/>
            <w:vAlign w:val="bottom"/>
          </w:tcPr>
          <w:p>
            <w:pPr>
              <w:ind w:left="120"/>
              <w:spacing w:after="0" w:line="179" w:lineRule="exact"/>
              <w:rPr>
                <w:sz w:val="20"/>
                <w:szCs w:val="20"/>
                <w:color w:val="auto"/>
              </w:rPr>
            </w:pPr>
            <w:r>
              <w:rPr>
                <w:rFonts w:ascii="Arial" w:cs="Arial" w:eastAsia="Arial" w:hAnsi="Arial"/>
                <w:sz w:val="16"/>
                <w:szCs w:val="16"/>
                <w:color w:val="auto"/>
              </w:rPr>
              <w:t>Black Hills Electric Generation, LLC, a direct, wholly-owned subsidiary of Black Hills Non-regulated</w:t>
            </w:r>
          </w:p>
        </w:tc>
      </w:tr>
      <w:tr>
        <w:trPr>
          <w:trHeight w:val="210"/>
        </w:trPr>
        <w:tc>
          <w:tcPr>
            <w:tcW w:w="3720" w:type="dxa"/>
            <w:vAlign w:val="bottom"/>
          </w:tcPr>
          <w:p>
            <w:pPr>
              <w:spacing w:after="0"/>
              <w:rPr>
                <w:sz w:val="18"/>
                <w:szCs w:val="18"/>
                <w:color w:val="auto"/>
              </w:rPr>
            </w:pPr>
          </w:p>
        </w:tc>
        <w:tc>
          <w:tcPr>
            <w:tcW w:w="7520" w:type="dxa"/>
            <w:vAlign w:val="bottom"/>
          </w:tcPr>
          <w:p>
            <w:pPr>
              <w:ind w:left="120"/>
              <w:spacing w:after="0"/>
              <w:rPr>
                <w:sz w:val="20"/>
                <w:szCs w:val="20"/>
                <w:color w:val="auto"/>
              </w:rPr>
            </w:pPr>
            <w:r>
              <w:rPr>
                <w:rFonts w:ascii="Arial" w:cs="Arial" w:eastAsia="Arial" w:hAnsi="Arial"/>
                <w:sz w:val="16"/>
                <w:szCs w:val="16"/>
                <w:color w:val="auto"/>
              </w:rPr>
              <w:t>Holdings, providing wholesale electric capacity and energy primarily to our affiliate utilities.</w:t>
            </w:r>
          </w:p>
        </w:tc>
      </w:tr>
      <w:tr>
        <w:trPr>
          <w:trHeight w:val="206"/>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Electric Parent Holdings</w:t>
            </w: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Black Hills Electric Utility Holdings, LLC., a direct, wholly-owned subsidiary of Black Hills Corporation</w:t>
            </w: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Black Hills Energy</w:t>
            </w:r>
          </w:p>
        </w:tc>
        <w:tc>
          <w:tcPr>
            <w:tcW w:w="7520" w:type="dxa"/>
            <w:vAlign w:val="bottom"/>
          </w:tcPr>
          <w:p>
            <w:pPr>
              <w:ind w:left="120"/>
              <w:spacing w:after="0"/>
              <w:rPr>
                <w:sz w:val="20"/>
                <w:szCs w:val="20"/>
                <w:color w:val="auto"/>
              </w:rPr>
            </w:pPr>
            <w:r>
              <w:rPr>
                <w:rFonts w:ascii="Arial" w:cs="Arial" w:eastAsia="Arial" w:hAnsi="Arial"/>
                <w:sz w:val="16"/>
                <w:szCs w:val="16"/>
                <w:color w:val="auto"/>
              </w:rPr>
              <w:t>The name used to conduct the business of our utility companies</w:t>
            </w:r>
          </w:p>
        </w:tc>
      </w:tr>
      <w:tr>
        <w:trPr>
          <w:trHeight w:val="179"/>
        </w:trPr>
        <w:tc>
          <w:tcPr>
            <w:tcW w:w="3720" w:type="dxa"/>
            <w:vAlign w:val="bottom"/>
            <w:shd w:val="clear" w:color="auto" w:fill="CFF0FC"/>
          </w:tcPr>
          <w:p>
            <w:pPr>
              <w:ind w:left="20"/>
              <w:spacing w:after="0" w:line="179" w:lineRule="exact"/>
              <w:rPr>
                <w:sz w:val="20"/>
                <w:szCs w:val="20"/>
                <w:color w:val="auto"/>
              </w:rPr>
            </w:pPr>
            <w:r>
              <w:rPr>
                <w:rFonts w:ascii="Arial" w:cs="Arial" w:eastAsia="Arial" w:hAnsi="Arial"/>
                <w:sz w:val="16"/>
                <w:szCs w:val="16"/>
                <w:color w:val="auto"/>
              </w:rPr>
              <w:t>Black Hills Energy Services</w:t>
            </w:r>
          </w:p>
        </w:tc>
        <w:tc>
          <w:tcPr>
            <w:tcW w:w="7520" w:type="dxa"/>
            <w:vAlign w:val="bottom"/>
            <w:shd w:val="clear" w:color="auto" w:fill="CFF0FC"/>
          </w:tcPr>
          <w:p>
            <w:pPr>
              <w:ind w:left="120"/>
              <w:spacing w:after="0" w:line="179" w:lineRule="exact"/>
              <w:rPr>
                <w:sz w:val="20"/>
                <w:szCs w:val="20"/>
                <w:color w:val="auto"/>
              </w:rPr>
            </w:pPr>
            <w:r>
              <w:rPr>
                <w:rFonts w:ascii="Arial" w:cs="Arial" w:eastAsia="Arial" w:hAnsi="Arial"/>
                <w:sz w:val="16"/>
                <w:szCs w:val="16"/>
                <w:color w:val="auto"/>
              </w:rPr>
              <w:t>Black Hills Energy Services Company, an indirect, wholly-owned subsidiary of Black Hills Utility</w:t>
            </w:r>
          </w:p>
        </w:tc>
      </w:tr>
      <w:tr>
        <w:trPr>
          <w:trHeight w:val="189"/>
        </w:trPr>
        <w:tc>
          <w:tcPr>
            <w:tcW w:w="3720" w:type="dxa"/>
            <w:vAlign w:val="bottom"/>
            <w:shd w:val="clear" w:color="auto" w:fill="CFF0FC"/>
          </w:tcPr>
          <w:p>
            <w:pPr>
              <w:spacing w:after="0"/>
              <w:rPr>
                <w:sz w:val="16"/>
                <w:szCs w:val="16"/>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Holdings, providing natural gas commodity supply for the Choice Gas Programs (doing business as</w:t>
            </w:r>
          </w:p>
        </w:tc>
      </w:tr>
      <w:tr>
        <w:trPr>
          <w:trHeight w:val="213"/>
        </w:trPr>
        <w:tc>
          <w:tcPr>
            <w:tcW w:w="3720" w:type="dxa"/>
            <w:vAlign w:val="bottom"/>
            <w:shd w:val="clear" w:color="auto" w:fill="CFF0FC"/>
          </w:tcPr>
          <w:p>
            <w:pPr>
              <w:spacing w:after="0"/>
              <w:rPr>
                <w:sz w:val="18"/>
                <w:szCs w:val="18"/>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Black Hills Energy)</w:t>
            </w: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Black Hills Non-regulated Holdings</w:t>
            </w:r>
          </w:p>
        </w:tc>
        <w:tc>
          <w:tcPr>
            <w:tcW w:w="7520" w:type="dxa"/>
            <w:vAlign w:val="bottom"/>
          </w:tcPr>
          <w:p>
            <w:pPr>
              <w:ind w:left="12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79"/>
        </w:trPr>
        <w:tc>
          <w:tcPr>
            <w:tcW w:w="3720" w:type="dxa"/>
            <w:vAlign w:val="bottom"/>
            <w:shd w:val="clear" w:color="auto" w:fill="CFF0FC"/>
          </w:tcPr>
          <w:p>
            <w:pPr>
              <w:ind w:left="20"/>
              <w:spacing w:after="0" w:line="179" w:lineRule="exact"/>
              <w:rPr>
                <w:sz w:val="20"/>
                <w:szCs w:val="20"/>
                <w:color w:val="auto"/>
              </w:rPr>
            </w:pPr>
            <w:r>
              <w:rPr>
                <w:rFonts w:ascii="Arial" w:cs="Arial" w:eastAsia="Arial" w:hAnsi="Arial"/>
                <w:sz w:val="16"/>
                <w:szCs w:val="16"/>
                <w:color w:val="auto"/>
              </w:rPr>
              <w:t>Black Hills Utility Holdings</w:t>
            </w:r>
          </w:p>
        </w:tc>
        <w:tc>
          <w:tcPr>
            <w:tcW w:w="7520" w:type="dxa"/>
            <w:vAlign w:val="bottom"/>
            <w:shd w:val="clear" w:color="auto" w:fill="CFF0FC"/>
          </w:tcPr>
          <w:p>
            <w:pPr>
              <w:ind w:left="120"/>
              <w:spacing w:after="0" w:line="179" w:lineRule="exact"/>
              <w:rPr>
                <w:sz w:val="20"/>
                <w:szCs w:val="20"/>
                <w:color w:val="auto"/>
              </w:rPr>
            </w:pPr>
            <w:r>
              <w:rPr>
                <w:rFonts w:ascii="Arial" w:cs="Arial" w:eastAsia="Arial" w:hAnsi="Arial"/>
                <w:sz w:val="16"/>
                <w:szCs w:val="16"/>
                <w:color w:val="auto"/>
              </w:rPr>
              <w:t>Black Hills Utility Holdings, Inc., a direct, wholly-owned subsidiary of Black Hills Corporation (doing</w:t>
            </w:r>
          </w:p>
        </w:tc>
      </w:tr>
      <w:tr>
        <w:trPr>
          <w:trHeight w:val="213"/>
        </w:trPr>
        <w:tc>
          <w:tcPr>
            <w:tcW w:w="3720" w:type="dxa"/>
            <w:vAlign w:val="bottom"/>
            <w:shd w:val="clear" w:color="auto" w:fill="CFF0FC"/>
          </w:tcPr>
          <w:p>
            <w:pPr>
              <w:spacing w:after="0"/>
              <w:rPr>
                <w:sz w:val="18"/>
                <w:szCs w:val="18"/>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business as Black Hills Energy)</w:t>
            </w: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Black Hills Wyoming</w:t>
            </w:r>
          </w:p>
        </w:tc>
        <w:tc>
          <w:tcPr>
            <w:tcW w:w="7520" w:type="dxa"/>
            <w:vAlign w:val="bottom"/>
          </w:tcPr>
          <w:p>
            <w:pPr>
              <w:ind w:left="12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179"/>
        </w:trPr>
        <w:tc>
          <w:tcPr>
            <w:tcW w:w="3720" w:type="dxa"/>
            <w:vAlign w:val="bottom"/>
            <w:shd w:val="clear" w:color="auto" w:fill="CFF0FC"/>
          </w:tcPr>
          <w:p>
            <w:pPr>
              <w:ind w:left="20"/>
              <w:spacing w:after="0" w:line="179" w:lineRule="exact"/>
              <w:rPr>
                <w:sz w:val="20"/>
                <w:szCs w:val="20"/>
                <w:color w:val="auto"/>
              </w:rPr>
            </w:pPr>
            <w:r>
              <w:rPr>
                <w:rFonts w:ascii="Arial" w:cs="Arial" w:eastAsia="Arial" w:hAnsi="Arial"/>
                <w:sz w:val="16"/>
                <w:szCs w:val="16"/>
                <w:color w:val="auto"/>
              </w:rPr>
              <w:t>Choice Gas Program</w:t>
            </w:r>
          </w:p>
        </w:tc>
        <w:tc>
          <w:tcPr>
            <w:tcW w:w="7520" w:type="dxa"/>
            <w:vAlign w:val="bottom"/>
            <w:shd w:val="clear" w:color="auto" w:fill="CFF0FC"/>
          </w:tcPr>
          <w:p>
            <w:pPr>
              <w:ind w:left="120"/>
              <w:spacing w:after="0" w:line="179" w:lineRule="exact"/>
              <w:rPr>
                <w:sz w:val="20"/>
                <w:szCs w:val="20"/>
                <w:color w:val="auto"/>
              </w:rPr>
            </w:pPr>
            <w:r>
              <w:rPr>
                <w:rFonts w:ascii="Arial" w:cs="Arial" w:eastAsia="Arial" w:hAnsi="Arial"/>
                <w:sz w:val="16"/>
                <w:szCs w:val="16"/>
                <w:color w:val="auto"/>
              </w:rPr>
              <w:t>Regulator-approved programs in Wyoming and Nebraska that allow certain utility customers to select</w:t>
            </w:r>
          </w:p>
        </w:tc>
      </w:tr>
      <w:tr>
        <w:trPr>
          <w:trHeight w:val="189"/>
        </w:trPr>
        <w:tc>
          <w:tcPr>
            <w:tcW w:w="3720" w:type="dxa"/>
            <w:vAlign w:val="bottom"/>
            <w:shd w:val="clear" w:color="auto" w:fill="CFF0FC"/>
          </w:tcPr>
          <w:p>
            <w:pPr>
              <w:spacing w:after="0"/>
              <w:rPr>
                <w:sz w:val="16"/>
                <w:szCs w:val="16"/>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their natural gas commodity supplier, providing for the unbundling of the commodity service from the</w:t>
            </w:r>
          </w:p>
        </w:tc>
      </w:tr>
      <w:tr>
        <w:trPr>
          <w:trHeight w:val="213"/>
        </w:trPr>
        <w:tc>
          <w:tcPr>
            <w:tcW w:w="3720" w:type="dxa"/>
            <w:vAlign w:val="bottom"/>
            <w:shd w:val="clear" w:color="auto" w:fill="CFF0FC"/>
          </w:tcPr>
          <w:p>
            <w:pPr>
              <w:spacing w:after="0"/>
              <w:rPr>
                <w:sz w:val="18"/>
                <w:szCs w:val="18"/>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distribution delivery service.</w:t>
            </w:r>
          </w:p>
        </w:tc>
      </w:tr>
      <w:tr>
        <w:trPr>
          <w:trHeight w:val="179"/>
        </w:trPr>
        <w:tc>
          <w:tcPr>
            <w:tcW w:w="3720" w:type="dxa"/>
            <w:vAlign w:val="bottom"/>
          </w:tcPr>
          <w:p>
            <w:pPr>
              <w:ind w:left="20"/>
              <w:spacing w:after="0" w:line="179" w:lineRule="exact"/>
              <w:rPr>
                <w:sz w:val="20"/>
                <w:szCs w:val="20"/>
                <w:color w:val="auto"/>
              </w:rPr>
            </w:pPr>
            <w:r>
              <w:rPr>
                <w:rFonts w:ascii="Arial" w:cs="Arial" w:eastAsia="Arial" w:hAnsi="Arial"/>
                <w:sz w:val="16"/>
                <w:szCs w:val="16"/>
                <w:color w:val="auto"/>
              </w:rPr>
              <w:t>Clean Energy Plan</w:t>
            </w:r>
          </w:p>
        </w:tc>
        <w:tc>
          <w:tcPr>
            <w:tcW w:w="7520" w:type="dxa"/>
            <w:vAlign w:val="bottom"/>
          </w:tcPr>
          <w:p>
            <w:pPr>
              <w:ind w:left="120"/>
              <w:spacing w:after="0" w:line="179" w:lineRule="exact"/>
              <w:rPr>
                <w:sz w:val="20"/>
                <w:szCs w:val="20"/>
                <w:color w:val="auto"/>
              </w:rPr>
            </w:pPr>
            <w:r>
              <w:rPr>
                <w:rFonts w:ascii="Arial" w:cs="Arial" w:eastAsia="Arial" w:hAnsi="Arial"/>
                <w:sz w:val="16"/>
                <w:szCs w:val="16"/>
                <w:color w:val="auto"/>
              </w:rPr>
              <w:t>2030 Ready Plan that establishes a roadmap and preferred resource portfolio for Colorado Electric to</w:t>
            </w:r>
          </w:p>
        </w:tc>
      </w:tr>
      <w:tr>
        <w:trPr>
          <w:trHeight w:val="189"/>
        </w:trPr>
        <w:tc>
          <w:tcPr>
            <w:tcW w:w="3720" w:type="dxa"/>
            <w:vAlign w:val="bottom"/>
          </w:tcPr>
          <w:p>
            <w:pPr>
              <w:spacing w:after="0"/>
              <w:rPr>
                <w:sz w:val="16"/>
                <w:szCs w:val="16"/>
                <w:color w:val="auto"/>
              </w:rPr>
            </w:pPr>
          </w:p>
        </w:tc>
        <w:tc>
          <w:tcPr>
            <w:tcW w:w="7520" w:type="dxa"/>
            <w:vAlign w:val="bottom"/>
          </w:tcPr>
          <w:p>
            <w:pPr>
              <w:ind w:left="120"/>
              <w:spacing w:after="0"/>
              <w:rPr>
                <w:sz w:val="20"/>
                <w:szCs w:val="20"/>
                <w:color w:val="auto"/>
              </w:rPr>
            </w:pPr>
            <w:r>
              <w:rPr>
                <w:rFonts w:ascii="Arial" w:cs="Arial" w:eastAsia="Arial" w:hAnsi="Arial"/>
                <w:sz w:val="16"/>
                <w:szCs w:val="16"/>
                <w:color w:val="auto"/>
              </w:rPr>
              <w:t>cost-effectively achieve the State of Colorado's requirement calling upon electric utilities to reduce</w:t>
            </w:r>
          </w:p>
        </w:tc>
      </w:tr>
      <w:tr>
        <w:trPr>
          <w:trHeight w:val="189"/>
        </w:trPr>
        <w:tc>
          <w:tcPr>
            <w:tcW w:w="3720" w:type="dxa"/>
            <w:vAlign w:val="bottom"/>
          </w:tcPr>
          <w:p>
            <w:pPr>
              <w:spacing w:after="0"/>
              <w:rPr>
                <w:sz w:val="16"/>
                <w:szCs w:val="16"/>
                <w:color w:val="auto"/>
              </w:rPr>
            </w:pPr>
          </w:p>
        </w:tc>
        <w:tc>
          <w:tcPr>
            <w:tcW w:w="7520" w:type="dxa"/>
            <w:vAlign w:val="bottom"/>
          </w:tcPr>
          <w:p>
            <w:pPr>
              <w:ind w:left="120"/>
              <w:spacing w:after="0"/>
              <w:rPr>
                <w:sz w:val="20"/>
                <w:szCs w:val="20"/>
                <w:color w:val="auto"/>
              </w:rPr>
            </w:pPr>
            <w:r>
              <w:rPr>
                <w:rFonts w:ascii="Arial" w:cs="Arial" w:eastAsia="Arial" w:hAnsi="Arial"/>
                <w:sz w:val="16"/>
                <w:szCs w:val="16"/>
                <w:color w:val="auto"/>
              </w:rPr>
              <w:t>GHG emissions by a minimum of 80% from 2005 levels by 2030. The preferred resource portfolio calls</w:t>
            </w:r>
          </w:p>
        </w:tc>
      </w:tr>
      <w:tr>
        <w:trPr>
          <w:trHeight w:val="189"/>
        </w:trPr>
        <w:tc>
          <w:tcPr>
            <w:tcW w:w="3720" w:type="dxa"/>
            <w:vAlign w:val="bottom"/>
          </w:tcPr>
          <w:p>
            <w:pPr>
              <w:spacing w:after="0"/>
              <w:rPr>
                <w:sz w:val="16"/>
                <w:szCs w:val="16"/>
                <w:color w:val="auto"/>
              </w:rPr>
            </w:pPr>
          </w:p>
        </w:tc>
        <w:tc>
          <w:tcPr>
            <w:tcW w:w="7520" w:type="dxa"/>
            <w:vAlign w:val="bottom"/>
          </w:tcPr>
          <w:p>
            <w:pPr>
              <w:ind w:left="120"/>
              <w:spacing w:after="0"/>
              <w:rPr>
                <w:sz w:val="20"/>
                <w:szCs w:val="20"/>
                <w:color w:val="auto"/>
              </w:rPr>
            </w:pPr>
            <w:r>
              <w:rPr>
                <w:rFonts w:ascii="Arial" w:cs="Arial" w:eastAsia="Arial" w:hAnsi="Arial"/>
                <w:sz w:val="16"/>
                <w:szCs w:val="16"/>
                <w:color w:val="auto"/>
              </w:rPr>
              <w:t>for the addition of 149 MW of wind, 258 MW of solar and 50 MW of battery storage to Colorado</w:t>
            </w:r>
          </w:p>
        </w:tc>
      </w:tr>
      <w:tr>
        <w:trPr>
          <w:trHeight w:val="189"/>
        </w:trPr>
        <w:tc>
          <w:tcPr>
            <w:tcW w:w="3720" w:type="dxa"/>
            <w:vAlign w:val="bottom"/>
          </w:tcPr>
          <w:p>
            <w:pPr>
              <w:spacing w:after="0"/>
              <w:rPr>
                <w:sz w:val="16"/>
                <w:szCs w:val="16"/>
                <w:color w:val="auto"/>
              </w:rPr>
            </w:pPr>
          </w:p>
        </w:tc>
        <w:tc>
          <w:tcPr>
            <w:tcW w:w="7520" w:type="dxa"/>
            <w:vAlign w:val="bottom"/>
          </w:tcPr>
          <w:p>
            <w:pPr>
              <w:ind w:left="120"/>
              <w:spacing w:after="0"/>
              <w:rPr>
                <w:sz w:val="20"/>
                <w:szCs w:val="20"/>
                <w:color w:val="auto"/>
              </w:rPr>
            </w:pPr>
            <w:r>
              <w:rPr>
                <w:rFonts w:ascii="Arial" w:cs="Arial" w:eastAsia="Arial" w:hAnsi="Arial"/>
                <w:sz w:val="16"/>
                <w:szCs w:val="16"/>
                <w:color w:val="auto"/>
              </w:rPr>
              <w:t>Electric's system. The final mix of resources will be determined by the results of a competitive</w:t>
            </w:r>
          </w:p>
        </w:tc>
      </w:tr>
      <w:tr>
        <w:trPr>
          <w:trHeight w:val="189"/>
        </w:trPr>
        <w:tc>
          <w:tcPr>
            <w:tcW w:w="3720" w:type="dxa"/>
            <w:vAlign w:val="bottom"/>
          </w:tcPr>
          <w:p>
            <w:pPr>
              <w:spacing w:after="0"/>
              <w:rPr>
                <w:sz w:val="16"/>
                <w:szCs w:val="16"/>
                <w:color w:val="auto"/>
              </w:rPr>
            </w:pPr>
          </w:p>
        </w:tc>
        <w:tc>
          <w:tcPr>
            <w:tcW w:w="7520" w:type="dxa"/>
            <w:vAlign w:val="bottom"/>
          </w:tcPr>
          <w:p>
            <w:pPr>
              <w:ind w:left="120"/>
              <w:spacing w:after="0"/>
              <w:rPr>
                <w:sz w:val="20"/>
                <w:szCs w:val="20"/>
                <w:color w:val="auto"/>
              </w:rPr>
            </w:pPr>
            <w:r>
              <w:rPr>
                <w:rFonts w:ascii="Arial" w:cs="Arial" w:eastAsia="Arial" w:hAnsi="Arial"/>
                <w:sz w:val="16"/>
                <w:szCs w:val="16"/>
                <w:color w:val="auto"/>
              </w:rPr>
              <w:t>solicitation that started in July 2023. Colorado legislation allows electric utilities to own up to 50% of the</w:t>
            </w:r>
          </w:p>
        </w:tc>
      </w:tr>
      <w:tr>
        <w:trPr>
          <w:trHeight w:val="210"/>
        </w:trPr>
        <w:tc>
          <w:tcPr>
            <w:tcW w:w="3720" w:type="dxa"/>
            <w:vAlign w:val="bottom"/>
          </w:tcPr>
          <w:p>
            <w:pPr>
              <w:spacing w:after="0"/>
              <w:rPr>
                <w:sz w:val="18"/>
                <w:szCs w:val="18"/>
                <w:color w:val="auto"/>
              </w:rPr>
            </w:pPr>
          </w:p>
        </w:tc>
        <w:tc>
          <w:tcPr>
            <w:tcW w:w="7520" w:type="dxa"/>
            <w:vAlign w:val="bottom"/>
          </w:tcPr>
          <w:p>
            <w:pPr>
              <w:ind w:left="120"/>
              <w:spacing w:after="0"/>
              <w:rPr>
                <w:sz w:val="20"/>
                <w:szCs w:val="20"/>
                <w:color w:val="auto"/>
              </w:rPr>
            </w:pPr>
            <w:r>
              <w:rPr>
                <w:rFonts w:ascii="Arial" w:cs="Arial" w:eastAsia="Arial" w:hAnsi="Arial"/>
                <w:sz w:val="16"/>
                <w:szCs w:val="16"/>
                <w:color w:val="auto"/>
              </w:rPr>
              <w:t>renewable generation assets added to comply with the Clean Energy Plan.</w:t>
            </w:r>
          </w:p>
        </w:tc>
      </w:tr>
      <w:tr>
        <w:trPr>
          <w:trHeight w:val="182"/>
        </w:trPr>
        <w:tc>
          <w:tcPr>
            <w:tcW w:w="372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Colorado Electric</w:t>
            </w:r>
          </w:p>
        </w:tc>
        <w:tc>
          <w:tcPr>
            <w:tcW w:w="7520" w:type="dxa"/>
            <w:vAlign w:val="bottom"/>
            <w:shd w:val="clear" w:color="auto" w:fill="CFF0FC"/>
          </w:tcPr>
          <w:p>
            <w:pPr>
              <w:ind w:left="120"/>
              <w:spacing w:after="0" w:line="182" w:lineRule="exact"/>
              <w:rPr>
                <w:sz w:val="20"/>
                <w:szCs w:val="20"/>
                <w:color w:val="auto"/>
              </w:rPr>
            </w:pPr>
            <w:r>
              <w:rPr>
                <w:rFonts w:ascii="Arial" w:cs="Arial" w:eastAsia="Arial" w:hAnsi="Arial"/>
                <w:sz w:val="16"/>
                <w:szCs w:val="16"/>
                <w:color w:val="auto"/>
              </w:rPr>
              <w:t>Black Hills Colorado Electric, LLC, a direct, wholly-owned subsidiary of Black Hills Electric Parent</w:t>
            </w:r>
          </w:p>
        </w:tc>
      </w:tr>
      <w:tr>
        <w:trPr>
          <w:trHeight w:val="213"/>
        </w:trPr>
        <w:tc>
          <w:tcPr>
            <w:tcW w:w="3720" w:type="dxa"/>
            <w:vAlign w:val="bottom"/>
            <w:shd w:val="clear" w:color="auto" w:fill="CFF0FC"/>
          </w:tcPr>
          <w:p>
            <w:pPr>
              <w:spacing w:after="0"/>
              <w:rPr>
                <w:sz w:val="18"/>
                <w:szCs w:val="18"/>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Holdings, providing electric services to customers in Colorado (doing business as Black Hills Energy).</w:t>
            </w:r>
          </w:p>
        </w:tc>
      </w:tr>
      <w:tr>
        <w:trPr>
          <w:trHeight w:val="179"/>
        </w:trPr>
        <w:tc>
          <w:tcPr>
            <w:tcW w:w="3720" w:type="dxa"/>
            <w:vAlign w:val="bottom"/>
          </w:tcPr>
          <w:p>
            <w:pPr>
              <w:ind w:left="20"/>
              <w:spacing w:after="0" w:line="179" w:lineRule="exact"/>
              <w:rPr>
                <w:sz w:val="20"/>
                <w:szCs w:val="20"/>
                <w:color w:val="auto"/>
              </w:rPr>
            </w:pPr>
            <w:r>
              <w:rPr>
                <w:rFonts w:ascii="Arial" w:cs="Arial" w:eastAsia="Arial" w:hAnsi="Arial"/>
                <w:sz w:val="16"/>
                <w:szCs w:val="16"/>
                <w:color w:val="auto"/>
              </w:rPr>
              <w:t>Colorado Gas</w:t>
            </w:r>
          </w:p>
        </w:tc>
        <w:tc>
          <w:tcPr>
            <w:tcW w:w="7520" w:type="dxa"/>
            <w:vAlign w:val="bottom"/>
          </w:tcPr>
          <w:p>
            <w:pPr>
              <w:ind w:left="120"/>
              <w:spacing w:after="0" w:line="179" w:lineRule="exact"/>
              <w:rPr>
                <w:sz w:val="20"/>
                <w:szCs w:val="20"/>
                <w:color w:val="auto"/>
              </w:rPr>
            </w:pPr>
            <w:r>
              <w:rPr>
                <w:rFonts w:ascii="Arial" w:cs="Arial" w:eastAsia="Arial" w:hAnsi="Arial"/>
                <w:sz w:val="16"/>
                <w:szCs w:val="16"/>
                <w:color w:val="auto"/>
              </w:rPr>
              <w:t>Black Hills Colorado Gas, Inc., an indirect, wholly-owned subsidiary of Black Hills Utility Holdings,</w:t>
            </w:r>
          </w:p>
        </w:tc>
      </w:tr>
      <w:tr>
        <w:trPr>
          <w:trHeight w:val="210"/>
        </w:trPr>
        <w:tc>
          <w:tcPr>
            <w:tcW w:w="3720" w:type="dxa"/>
            <w:vAlign w:val="bottom"/>
          </w:tcPr>
          <w:p>
            <w:pPr>
              <w:spacing w:after="0"/>
              <w:rPr>
                <w:sz w:val="18"/>
                <w:szCs w:val="18"/>
                <w:color w:val="auto"/>
              </w:rPr>
            </w:pPr>
          </w:p>
        </w:tc>
        <w:tc>
          <w:tcPr>
            <w:tcW w:w="7520" w:type="dxa"/>
            <w:vAlign w:val="bottom"/>
          </w:tcPr>
          <w:p>
            <w:pPr>
              <w:ind w:left="120"/>
              <w:spacing w:after="0"/>
              <w:rPr>
                <w:sz w:val="20"/>
                <w:szCs w:val="20"/>
                <w:color w:val="auto"/>
              </w:rPr>
            </w:pPr>
            <w:r>
              <w:rPr>
                <w:rFonts w:ascii="Arial" w:cs="Arial" w:eastAsia="Arial" w:hAnsi="Arial"/>
                <w:sz w:val="16"/>
                <w:szCs w:val="16"/>
                <w:color w:val="auto"/>
              </w:rPr>
              <w:t>providing natural gas services to customers in Colorado (doing business as Black Hills Energy).</w:t>
            </w:r>
          </w:p>
        </w:tc>
      </w:tr>
      <w:tr>
        <w:trPr>
          <w:trHeight w:val="182"/>
        </w:trPr>
        <w:tc>
          <w:tcPr>
            <w:tcW w:w="372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Common Use System</w:t>
            </w:r>
          </w:p>
        </w:tc>
        <w:tc>
          <w:tcPr>
            <w:tcW w:w="7520" w:type="dxa"/>
            <w:vAlign w:val="bottom"/>
            <w:shd w:val="clear" w:color="auto" w:fill="CFF0FC"/>
          </w:tcPr>
          <w:p>
            <w:pPr>
              <w:ind w:left="120"/>
              <w:spacing w:after="0" w:line="182" w:lineRule="exact"/>
              <w:rPr>
                <w:sz w:val="20"/>
                <w:szCs w:val="20"/>
                <w:color w:val="auto"/>
              </w:rPr>
            </w:pPr>
            <w:r>
              <w:rPr>
                <w:rFonts w:ascii="Arial" w:cs="Arial" w:eastAsia="Arial" w:hAnsi="Arial"/>
                <w:sz w:val="16"/>
                <w:szCs w:val="16"/>
                <w:color w:val="auto"/>
              </w:rPr>
              <w:t>The Common Use System is a jointly operated transmission system we participated in with Basin</w:t>
            </w:r>
          </w:p>
        </w:tc>
      </w:tr>
      <w:tr>
        <w:trPr>
          <w:trHeight w:val="189"/>
        </w:trPr>
        <w:tc>
          <w:tcPr>
            <w:tcW w:w="3720" w:type="dxa"/>
            <w:vAlign w:val="bottom"/>
            <w:shd w:val="clear" w:color="auto" w:fill="CFF0FC"/>
          </w:tcPr>
          <w:p>
            <w:pPr>
              <w:spacing w:after="0"/>
              <w:rPr>
                <w:sz w:val="16"/>
                <w:szCs w:val="16"/>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Electric Power Cooperative and Powder River Energy Corporation. The Common Use System provides</w:t>
            </w:r>
          </w:p>
        </w:tc>
      </w:tr>
      <w:tr>
        <w:trPr>
          <w:trHeight w:val="189"/>
        </w:trPr>
        <w:tc>
          <w:tcPr>
            <w:tcW w:w="3720" w:type="dxa"/>
            <w:vAlign w:val="bottom"/>
            <w:shd w:val="clear" w:color="auto" w:fill="CFF0FC"/>
          </w:tcPr>
          <w:p>
            <w:pPr>
              <w:spacing w:after="0"/>
              <w:rPr>
                <w:sz w:val="16"/>
                <w:szCs w:val="16"/>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transmission service over these utilities' combined 230-kilovolt (kV) and limited 69-kV transmission</w:t>
            </w:r>
          </w:p>
        </w:tc>
      </w:tr>
      <w:tr>
        <w:trPr>
          <w:trHeight w:val="213"/>
        </w:trPr>
        <w:tc>
          <w:tcPr>
            <w:tcW w:w="3720" w:type="dxa"/>
            <w:vAlign w:val="bottom"/>
            <w:shd w:val="clear" w:color="auto" w:fill="CFF0FC"/>
          </w:tcPr>
          <w:p>
            <w:pPr>
              <w:spacing w:after="0"/>
              <w:rPr>
                <w:sz w:val="18"/>
                <w:szCs w:val="18"/>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facilities within areas of southwestern South Dakota and northeastern Wyoming.</w:t>
            </w:r>
          </w:p>
        </w:tc>
      </w:tr>
      <w:tr>
        <w:trPr>
          <w:trHeight w:val="179"/>
        </w:trPr>
        <w:tc>
          <w:tcPr>
            <w:tcW w:w="3720" w:type="dxa"/>
            <w:vAlign w:val="bottom"/>
          </w:tcPr>
          <w:p>
            <w:pPr>
              <w:ind w:left="20"/>
              <w:spacing w:after="0" w:line="179" w:lineRule="exact"/>
              <w:rPr>
                <w:sz w:val="20"/>
                <w:szCs w:val="20"/>
                <w:color w:val="auto"/>
              </w:rPr>
            </w:pPr>
            <w:r>
              <w:rPr>
                <w:rFonts w:ascii="Arial" w:cs="Arial" w:eastAsia="Arial" w:hAnsi="Arial"/>
                <w:sz w:val="16"/>
                <w:szCs w:val="16"/>
                <w:color w:val="auto"/>
              </w:rPr>
              <w:t>Consolidated Indebtedness to Capitalization Ratio</w:t>
            </w:r>
          </w:p>
        </w:tc>
        <w:tc>
          <w:tcPr>
            <w:tcW w:w="7520" w:type="dxa"/>
            <w:vAlign w:val="bottom"/>
          </w:tcPr>
          <w:p>
            <w:pPr>
              <w:ind w:left="120"/>
              <w:spacing w:after="0" w:line="179" w:lineRule="exact"/>
              <w:rPr>
                <w:sz w:val="20"/>
                <w:szCs w:val="20"/>
                <w:color w:val="auto"/>
              </w:rPr>
            </w:pPr>
            <w:r>
              <w:rPr>
                <w:rFonts w:ascii="Arial" w:cs="Arial" w:eastAsia="Arial" w:hAnsi="Arial"/>
                <w:sz w:val="16"/>
                <w:szCs w:val="16"/>
                <w:color w:val="auto"/>
              </w:rPr>
              <w:t>Any indebtedness outstanding at such time, divided by capital at such time. Capital being consolidated</w:t>
            </w:r>
          </w:p>
        </w:tc>
      </w:tr>
      <w:tr>
        <w:trPr>
          <w:trHeight w:val="189"/>
        </w:trPr>
        <w:tc>
          <w:tcPr>
            <w:tcW w:w="3720" w:type="dxa"/>
            <w:vAlign w:val="bottom"/>
          </w:tcPr>
          <w:p>
            <w:pPr>
              <w:spacing w:after="0"/>
              <w:rPr>
                <w:sz w:val="16"/>
                <w:szCs w:val="16"/>
                <w:color w:val="auto"/>
              </w:rPr>
            </w:pPr>
          </w:p>
        </w:tc>
        <w:tc>
          <w:tcPr>
            <w:tcW w:w="7520" w:type="dxa"/>
            <w:vAlign w:val="bottom"/>
          </w:tcPr>
          <w:p>
            <w:pPr>
              <w:ind w:left="120"/>
              <w:spacing w:after="0"/>
              <w:rPr>
                <w:sz w:val="20"/>
                <w:szCs w:val="20"/>
                <w:color w:val="auto"/>
              </w:rPr>
            </w:pPr>
            <w:r>
              <w:rPr>
                <w:rFonts w:ascii="Arial" w:cs="Arial" w:eastAsia="Arial" w:hAnsi="Arial"/>
                <w:sz w:val="16"/>
                <w:szCs w:val="16"/>
                <w:color w:val="auto"/>
              </w:rPr>
              <w:t>net worth (excluding non-controlling interest) plus consolidated indebtedness (including letters of credit</w:t>
            </w:r>
          </w:p>
        </w:tc>
      </w:tr>
      <w:tr>
        <w:trPr>
          <w:trHeight w:val="210"/>
        </w:trPr>
        <w:tc>
          <w:tcPr>
            <w:tcW w:w="3720" w:type="dxa"/>
            <w:vAlign w:val="bottom"/>
          </w:tcPr>
          <w:p>
            <w:pPr>
              <w:spacing w:after="0"/>
              <w:rPr>
                <w:sz w:val="18"/>
                <w:szCs w:val="18"/>
                <w:color w:val="auto"/>
              </w:rPr>
            </w:pPr>
          </w:p>
        </w:tc>
        <w:tc>
          <w:tcPr>
            <w:tcW w:w="7520" w:type="dxa"/>
            <w:vAlign w:val="bottom"/>
          </w:tcPr>
          <w:p>
            <w:pPr>
              <w:ind w:left="120"/>
              <w:spacing w:after="0"/>
              <w:rPr>
                <w:sz w:val="20"/>
                <w:szCs w:val="20"/>
                <w:color w:val="auto"/>
              </w:rPr>
            </w:pPr>
            <w:r>
              <w:rPr>
                <w:rFonts w:ascii="Arial" w:cs="Arial" w:eastAsia="Arial" w:hAnsi="Arial"/>
                <w:sz w:val="16"/>
                <w:szCs w:val="16"/>
                <w:color w:val="auto"/>
              </w:rPr>
              <w:t>and certain guarantees issued) as defined within the current Revolving Credit Facility.</w:t>
            </w:r>
          </w:p>
        </w:tc>
      </w:tr>
      <w:tr>
        <w:trPr>
          <w:trHeight w:val="182"/>
        </w:trPr>
        <w:tc>
          <w:tcPr>
            <w:tcW w:w="372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Cooling Degree Day</w:t>
            </w:r>
          </w:p>
        </w:tc>
        <w:tc>
          <w:tcPr>
            <w:tcW w:w="7520" w:type="dxa"/>
            <w:vAlign w:val="bottom"/>
            <w:shd w:val="clear" w:color="auto" w:fill="CFF0FC"/>
          </w:tcPr>
          <w:p>
            <w:pPr>
              <w:ind w:left="120"/>
              <w:spacing w:after="0" w:line="182" w:lineRule="exact"/>
              <w:rPr>
                <w:sz w:val="20"/>
                <w:szCs w:val="20"/>
                <w:color w:val="auto"/>
              </w:rPr>
            </w:pPr>
            <w:r>
              <w:rPr>
                <w:rFonts w:ascii="Arial" w:cs="Arial" w:eastAsia="Arial" w:hAnsi="Arial"/>
                <w:sz w:val="16"/>
                <w:szCs w:val="16"/>
                <w:color w:val="auto"/>
              </w:rPr>
              <w:t>A cooling degree day is equivalent to each degree that the average of the high and low temperatures</w:t>
            </w:r>
          </w:p>
        </w:tc>
      </w:tr>
      <w:tr>
        <w:trPr>
          <w:trHeight w:val="189"/>
        </w:trPr>
        <w:tc>
          <w:tcPr>
            <w:tcW w:w="3720" w:type="dxa"/>
            <w:vAlign w:val="bottom"/>
            <w:shd w:val="clear" w:color="auto" w:fill="CFF0FC"/>
          </w:tcPr>
          <w:p>
            <w:pPr>
              <w:spacing w:after="0"/>
              <w:rPr>
                <w:sz w:val="16"/>
                <w:szCs w:val="16"/>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for a day is above 65 degrees. The warmer the climate, the greater the number of cooling degree days.</w:t>
            </w:r>
          </w:p>
        </w:tc>
      </w:tr>
      <w:tr>
        <w:trPr>
          <w:trHeight w:val="189"/>
        </w:trPr>
        <w:tc>
          <w:tcPr>
            <w:tcW w:w="3720" w:type="dxa"/>
            <w:vAlign w:val="bottom"/>
            <w:shd w:val="clear" w:color="auto" w:fill="CFF0FC"/>
          </w:tcPr>
          <w:p>
            <w:pPr>
              <w:spacing w:after="0"/>
              <w:rPr>
                <w:sz w:val="16"/>
                <w:szCs w:val="16"/>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Cooling degree days are used in the utility industry to measure the relative warmth and to compare</w:t>
            </w:r>
          </w:p>
        </w:tc>
      </w:tr>
      <w:tr>
        <w:trPr>
          <w:trHeight w:val="189"/>
        </w:trPr>
        <w:tc>
          <w:tcPr>
            <w:tcW w:w="3720" w:type="dxa"/>
            <w:vAlign w:val="bottom"/>
            <w:shd w:val="clear" w:color="auto" w:fill="CFF0FC"/>
          </w:tcPr>
          <w:p>
            <w:pPr>
              <w:spacing w:after="0"/>
              <w:rPr>
                <w:sz w:val="16"/>
                <w:szCs w:val="16"/>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relative temperatures between one geographic area and another. Normal degree days are based on</w:t>
            </w:r>
          </w:p>
        </w:tc>
      </w:tr>
      <w:tr>
        <w:trPr>
          <w:trHeight w:val="213"/>
        </w:trPr>
        <w:tc>
          <w:tcPr>
            <w:tcW w:w="3720" w:type="dxa"/>
            <w:vAlign w:val="bottom"/>
            <w:shd w:val="clear" w:color="auto" w:fill="CFF0FC"/>
          </w:tcPr>
          <w:p>
            <w:pPr>
              <w:spacing w:after="0"/>
              <w:rPr>
                <w:sz w:val="18"/>
                <w:szCs w:val="18"/>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the National Weather Service data for selected locations.</w:t>
            </w:r>
          </w:p>
        </w:tc>
      </w:tr>
      <w:tr>
        <w:trPr>
          <w:trHeight w:val="192"/>
        </w:trPr>
        <w:tc>
          <w:tcPr>
            <w:tcW w:w="3720" w:type="dxa"/>
            <w:vAlign w:val="bottom"/>
          </w:tcPr>
          <w:p>
            <w:pPr>
              <w:ind w:left="20"/>
              <w:spacing w:after="0"/>
              <w:rPr>
                <w:sz w:val="20"/>
                <w:szCs w:val="20"/>
                <w:color w:val="auto"/>
              </w:rPr>
            </w:pPr>
            <w:r>
              <w:rPr>
                <w:rFonts w:ascii="Arial" w:cs="Arial" w:eastAsia="Arial" w:hAnsi="Arial"/>
                <w:sz w:val="16"/>
                <w:szCs w:val="16"/>
                <w:color w:val="auto"/>
              </w:rPr>
              <w:t>CP Program</w:t>
            </w:r>
          </w:p>
        </w:tc>
        <w:tc>
          <w:tcPr>
            <w:tcW w:w="7520" w:type="dxa"/>
            <w:vAlign w:val="bottom"/>
          </w:tcPr>
          <w:p>
            <w:pPr>
              <w:ind w:left="120"/>
              <w:spacing w:after="0"/>
              <w:rPr>
                <w:sz w:val="20"/>
                <w:szCs w:val="20"/>
                <w:color w:val="auto"/>
              </w:rPr>
            </w:pPr>
            <w:r>
              <w:rPr>
                <w:rFonts w:ascii="Arial" w:cs="Arial" w:eastAsia="Arial" w:hAnsi="Arial"/>
                <w:sz w:val="16"/>
                <w:szCs w:val="16"/>
                <w:color w:val="auto"/>
              </w:rPr>
              <w:t>Commercial Paper Program</w:t>
            </w:r>
          </w:p>
        </w:tc>
      </w:tr>
      <w:tr>
        <w:trPr>
          <w:trHeight w:val="207"/>
        </w:trPr>
        <w:tc>
          <w:tcPr>
            <w:tcW w:w="3720" w:type="dxa"/>
            <w:vAlign w:val="bottom"/>
          </w:tcPr>
          <w:p>
            <w:pPr>
              <w:spacing w:after="0"/>
              <w:rPr>
                <w:sz w:val="17"/>
                <w:szCs w:val="17"/>
                <w:color w:val="auto"/>
              </w:rPr>
            </w:pPr>
          </w:p>
        </w:tc>
        <w:tc>
          <w:tcPr>
            <w:tcW w:w="7520" w:type="dxa"/>
            <w:vAlign w:val="bottom"/>
          </w:tcPr>
          <w:p>
            <w:pPr>
              <w:ind w:left="1860"/>
              <w:spacing w:after="0"/>
              <w:rPr>
                <w:sz w:val="20"/>
                <w:szCs w:val="20"/>
                <w:color w:val="auto"/>
              </w:rPr>
            </w:pPr>
            <w:r>
              <w:rPr>
                <w:rFonts w:ascii="Arial" w:cs="Arial" w:eastAsia="Arial" w:hAnsi="Arial"/>
                <w:sz w:val="16"/>
                <w:szCs w:val="16"/>
                <w:color w:val="auto"/>
              </w:rPr>
              <w:t>3</w:t>
            </w:r>
          </w:p>
        </w:tc>
      </w:tr>
      <w:tr>
        <w:trPr>
          <w:trHeight w:val="108"/>
        </w:trPr>
        <w:tc>
          <w:tcPr>
            <w:tcW w:w="3720" w:type="dxa"/>
            <w:vAlign w:val="bottom"/>
            <w:tcBorders>
              <w:bottom w:val="single" w:sz="8" w:color="9A9A9A"/>
            </w:tcBorders>
          </w:tcPr>
          <w:p>
            <w:pPr>
              <w:spacing w:after="0"/>
              <w:rPr>
                <w:sz w:val="9"/>
                <w:szCs w:val="9"/>
                <w:color w:val="auto"/>
              </w:rPr>
            </w:pPr>
          </w:p>
        </w:tc>
        <w:tc>
          <w:tcPr>
            <w:tcW w:w="7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29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300" w:type="dxa"/>
            <w:vAlign w:val="bottom"/>
          </w:tcPr>
          <w:p>
            <w:pPr>
              <w:spacing w:after="0"/>
              <w:rPr>
                <w:sz w:val="16"/>
                <w:szCs w:val="16"/>
                <w:color w:val="auto"/>
              </w:rPr>
            </w:pPr>
          </w:p>
        </w:tc>
      </w:tr>
      <w:tr>
        <w:trPr>
          <w:trHeight w:val="385"/>
        </w:trPr>
        <w:tc>
          <w:tcPr>
            <w:tcW w:w="1360" w:type="dxa"/>
            <w:vAlign w:val="bottom"/>
            <w:tcBorders>
              <w:top w:val="single" w:sz="8" w:color="0000FF"/>
            </w:tcBorders>
          </w:tcPr>
          <w:p>
            <w:pPr>
              <w:spacing w:after="0"/>
              <w:rPr>
                <w:sz w:val="24"/>
                <w:szCs w:val="24"/>
                <w:color w:val="auto"/>
              </w:rPr>
            </w:pPr>
          </w:p>
        </w:tc>
        <w:tc>
          <w:tcPr>
            <w:tcW w:w="1580" w:type="dxa"/>
            <w:vAlign w:val="bottom"/>
          </w:tcPr>
          <w:p>
            <w:pPr>
              <w:spacing w:after="0"/>
              <w:rPr>
                <w:sz w:val="24"/>
                <w:szCs w:val="24"/>
                <w:color w:val="auto"/>
              </w:rPr>
            </w:pPr>
          </w:p>
        </w:tc>
        <w:tc>
          <w:tcPr>
            <w:tcW w:w="8300" w:type="dxa"/>
            <w:vAlign w:val="bottom"/>
          </w:tcPr>
          <w:p>
            <w:pPr>
              <w:spacing w:after="0"/>
              <w:rPr>
                <w:sz w:val="24"/>
                <w:szCs w:val="24"/>
                <w:color w:val="auto"/>
              </w:rPr>
            </w:pPr>
          </w:p>
        </w:tc>
      </w:tr>
      <w:tr>
        <w:trPr>
          <w:trHeight w:val="203"/>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CPUC</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Colorado Public Utilities Commission</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DRSPP</w:t>
            </w:r>
          </w:p>
        </w:tc>
        <w:tc>
          <w:tcPr>
            <w:tcW w:w="8300" w:type="dxa"/>
            <w:vAlign w:val="bottom"/>
          </w:tcPr>
          <w:p>
            <w:pPr>
              <w:ind w:left="900"/>
              <w:spacing w:after="0"/>
              <w:rPr>
                <w:sz w:val="20"/>
                <w:szCs w:val="20"/>
                <w:color w:val="auto"/>
              </w:rPr>
            </w:pPr>
            <w:r>
              <w:rPr>
                <w:rFonts w:ascii="Arial" w:cs="Arial" w:eastAsia="Arial" w:hAnsi="Arial"/>
                <w:sz w:val="16"/>
                <w:szCs w:val="16"/>
                <w:color w:val="auto"/>
              </w:rPr>
              <w:t>Dividend Reinvestment and Stock Purchase Plan</w:t>
            </w:r>
          </w:p>
        </w:tc>
      </w:tr>
      <w:tr>
        <w:trPr>
          <w:trHeight w:val="179"/>
        </w:trPr>
        <w:tc>
          <w:tcPr>
            <w:tcW w:w="2940" w:type="dxa"/>
            <w:vAlign w:val="bottom"/>
            <w:gridSpan w:val="2"/>
            <w:shd w:val="clear" w:color="auto" w:fill="CFF0FC"/>
          </w:tcPr>
          <w:p>
            <w:pPr>
              <w:ind w:left="20"/>
              <w:spacing w:after="0" w:line="179" w:lineRule="exact"/>
              <w:rPr>
                <w:sz w:val="20"/>
                <w:szCs w:val="20"/>
                <w:color w:val="auto"/>
              </w:rPr>
            </w:pPr>
            <w:r>
              <w:rPr>
                <w:rFonts w:ascii="Arial" w:cs="Arial" w:eastAsia="Arial" w:hAnsi="Arial"/>
                <w:sz w:val="16"/>
                <w:szCs w:val="16"/>
                <w:color w:val="auto"/>
              </w:rPr>
              <w:t>Dth</w:t>
            </w:r>
          </w:p>
        </w:tc>
        <w:tc>
          <w:tcPr>
            <w:tcW w:w="8300" w:type="dxa"/>
            <w:vAlign w:val="bottom"/>
            <w:shd w:val="clear" w:color="auto" w:fill="CFF0FC"/>
          </w:tcPr>
          <w:p>
            <w:pPr>
              <w:ind w:left="900"/>
              <w:spacing w:after="0" w:line="179" w:lineRule="exact"/>
              <w:rPr>
                <w:sz w:val="20"/>
                <w:szCs w:val="20"/>
                <w:color w:val="auto"/>
              </w:rPr>
            </w:pPr>
            <w:r>
              <w:rPr>
                <w:rFonts w:ascii="Arial" w:cs="Arial" w:eastAsia="Arial" w:hAnsi="Arial"/>
                <w:sz w:val="16"/>
                <w:szCs w:val="16"/>
                <w:color w:val="auto"/>
              </w:rPr>
              <w:t>Dekatherm. A unit of energy equal to 10 therms or approximately one million British thermal units</w:t>
            </w:r>
          </w:p>
        </w:tc>
      </w:tr>
      <w:tr>
        <w:trPr>
          <w:trHeight w:val="213"/>
        </w:trPr>
        <w:tc>
          <w:tcPr>
            <w:tcW w:w="13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(MMBtu)</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FASB</w:t>
            </w:r>
          </w:p>
        </w:tc>
        <w:tc>
          <w:tcPr>
            <w:tcW w:w="8300" w:type="dxa"/>
            <w:vAlign w:val="bottom"/>
          </w:tcPr>
          <w:p>
            <w:pPr>
              <w:ind w:left="900"/>
              <w:spacing w:after="0"/>
              <w:rPr>
                <w:sz w:val="20"/>
                <w:szCs w:val="20"/>
                <w:color w:val="auto"/>
              </w:rPr>
            </w:pPr>
            <w:r>
              <w:rPr>
                <w:rFonts w:ascii="Arial" w:cs="Arial" w:eastAsia="Arial" w:hAnsi="Arial"/>
                <w:sz w:val="16"/>
                <w:szCs w:val="16"/>
                <w:color w:val="auto"/>
              </w:rPr>
              <w:t>Financial Accounting Standards Board</w:t>
            </w:r>
          </w:p>
        </w:tc>
      </w:tr>
      <w:tr>
        <w:trPr>
          <w:trHeight w:val="203"/>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Fitch</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Fitch Ratings Inc.</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GAAP</w:t>
            </w:r>
          </w:p>
        </w:tc>
        <w:tc>
          <w:tcPr>
            <w:tcW w:w="8300" w:type="dxa"/>
            <w:vAlign w:val="bottom"/>
          </w:tcPr>
          <w:p>
            <w:pPr>
              <w:ind w:left="90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179"/>
        </w:trPr>
        <w:tc>
          <w:tcPr>
            <w:tcW w:w="2940" w:type="dxa"/>
            <w:vAlign w:val="bottom"/>
            <w:gridSpan w:val="2"/>
            <w:shd w:val="clear" w:color="auto" w:fill="CFF0FC"/>
          </w:tcPr>
          <w:p>
            <w:pPr>
              <w:ind w:left="20"/>
              <w:spacing w:after="0" w:line="179" w:lineRule="exact"/>
              <w:rPr>
                <w:sz w:val="20"/>
                <w:szCs w:val="20"/>
                <w:color w:val="auto"/>
              </w:rPr>
            </w:pPr>
            <w:r>
              <w:rPr>
                <w:rFonts w:ascii="Arial" w:cs="Arial" w:eastAsia="Arial" w:hAnsi="Arial"/>
                <w:sz w:val="16"/>
                <w:szCs w:val="16"/>
                <w:color w:val="auto"/>
              </w:rPr>
              <w:t>Heating Degree Day</w:t>
            </w:r>
          </w:p>
        </w:tc>
        <w:tc>
          <w:tcPr>
            <w:tcW w:w="8300" w:type="dxa"/>
            <w:vAlign w:val="bottom"/>
            <w:shd w:val="clear" w:color="auto" w:fill="CFF0FC"/>
          </w:tcPr>
          <w:p>
            <w:pPr>
              <w:ind w:left="900"/>
              <w:spacing w:after="0" w:line="179" w:lineRule="exact"/>
              <w:rPr>
                <w:sz w:val="20"/>
                <w:szCs w:val="20"/>
                <w:color w:val="auto"/>
              </w:rPr>
            </w:pPr>
            <w:r>
              <w:rPr>
                <w:rFonts w:ascii="Arial" w:cs="Arial" w:eastAsia="Arial" w:hAnsi="Arial"/>
                <w:sz w:val="16"/>
                <w:szCs w:val="16"/>
                <w:color w:val="auto"/>
              </w:rPr>
              <w:t>A heating degree day is equivalent to each degree that the average of the high and the low</w:t>
            </w:r>
          </w:p>
        </w:tc>
      </w:tr>
      <w:tr>
        <w:trPr>
          <w:trHeight w:val="189"/>
        </w:trPr>
        <w:tc>
          <w:tcPr>
            <w:tcW w:w="13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temperatures for a day is below 65 degrees. The colder the climate, the greater the number of heating</w:t>
            </w:r>
          </w:p>
        </w:tc>
      </w:tr>
      <w:tr>
        <w:trPr>
          <w:trHeight w:val="189"/>
        </w:trPr>
        <w:tc>
          <w:tcPr>
            <w:tcW w:w="13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degree days. Heating degree days are used in the utility industry to measure the relative coldness and</w:t>
            </w:r>
          </w:p>
        </w:tc>
      </w:tr>
      <w:tr>
        <w:trPr>
          <w:trHeight w:val="189"/>
        </w:trPr>
        <w:tc>
          <w:tcPr>
            <w:tcW w:w="13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to compare relative temperatures between one geographic area and another. Normal degree days are</w:t>
            </w:r>
          </w:p>
        </w:tc>
      </w:tr>
      <w:tr>
        <w:trPr>
          <w:trHeight w:val="213"/>
        </w:trPr>
        <w:tc>
          <w:tcPr>
            <w:tcW w:w="13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based on the National Weather Service data for selected locations.</w:t>
            </w:r>
          </w:p>
        </w:tc>
      </w:tr>
      <w:tr>
        <w:trPr>
          <w:trHeight w:val="179"/>
        </w:trPr>
        <w:tc>
          <w:tcPr>
            <w:tcW w:w="2940" w:type="dxa"/>
            <w:vAlign w:val="bottom"/>
            <w:gridSpan w:val="2"/>
          </w:tcPr>
          <w:p>
            <w:pPr>
              <w:ind w:left="20"/>
              <w:spacing w:after="0" w:line="179" w:lineRule="exact"/>
              <w:rPr>
                <w:sz w:val="20"/>
                <w:szCs w:val="20"/>
                <w:color w:val="auto"/>
              </w:rPr>
            </w:pPr>
            <w:r>
              <w:rPr>
                <w:rFonts w:ascii="Arial" w:cs="Arial" w:eastAsia="Arial" w:hAnsi="Arial"/>
                <w:sz w:val="16"/>
                <w:szCs w:val="16"/>
                <w:color w:val="auto"/>
              </w:rPr>
              <w:t>HomeServe</w:t>
            </w:r>
          </w:p>
        </w:tc>
        <w:tc>
          <w:tcPr>
            <w:tcW w:w="8300" w:type="dxa"/>
            <w:vAlign w:val="bottom"/>
          </w:tcPr>
          <w:p>
            <w:pPr>
              <w:ind w:left="900"/>
              <w:spacing w:after="0" w:line="179" w:lineRule="exact"/>
              <w:rPr>
                <w:sz w:val="20"/>
                <w:szCs w:val="20"/>
                <w:color w:val="auto"/>
              </w:rPr>
            </w:pPr>
            <w:r>
              <w:rPr>
                <w:rFonts w:ascii="Arial" w:cs="Arial" w:eastAsia="Arial" w:hAnsi="Arial"/>
                <w:sz w:val="16"/>
                <w:szCs w:val="16"/>
                <w:color w:val="auto"/>
              </w:rPr>
              <w:t>We offer HomeServe products to our natural gas residential customers interested in purchasing</w:t>
            </w:r>
          </w:p>
        </w:tc>
      </w:tr>
      <w:tr>
        <w:trPr>
          <w:trHeight w:val="210"/>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additional home repair service plans.</w:t>
            </w:r>
          </w:p>
        </w:tc>
      </w:tr>
      <w:tr>
        <w:trPr>
          <w:trHeight w:val="182"/>
        </w:trPr>
        <w:tc>
          <w:tcPr>
            <w:tcW w:w="2940" w:type="dxa"/>
            <w:vAlign w:val="bottom"/>
            <w:gridSpan w:val="2"/>
            <w:shd w:val="clear" w:color="auto" w:fill="CFF0FC"/>
          </w:tcPr>
          <w:p>
            <w:pPr>
              <w:ind w:left="20"/>
              <w:spacing w:after="0" w:line="182" w:lineRule="exact"/>
              <w:rPr>
                <w:sz w:val="20"/>
                <w:szCs w:val="20"/>
                <w:color w:val="auto"/>
              </w:rPr>
            </w:pPr>
            <w:r>
              <w:rPr>
                <w:rFonts w:ascii="Arial" w:cs="Arial" w:eastAsia="Arial" w:hAnsi="Arial"/>
                <w:sz w:val="16"/>
                <w:szCs w:val="16"/>
                <w:color w:val="auto"/>
              </w:rPr>
              <w:t>Integrated Generation</w:t>
            </w:r>
          </w:p>
        </w:tc>
        <w:tc>
          <w:tcPr>
            <w:tcW w:w="8300" w:type="dxa"/>
            <w:vAlign w:val="bottom"/>
            <w:shd w:val="clear" w:color="auto" w:fill="CFF0FC"/>
          </w:tcPr>
          <w:p>
            <w:pPr>
              <w:ind w:left="900"/>
              <w:spacing w:after="0" w:line="182" w:lineRule="exact"/>
              <w:rPr>
                <w:sz w:val="20"/>
                <w:szCs w:val="20"/>
                <w:color w:val="auto"/>
              </w:rPr>
            </w:pPr>
            <w:r>
              <w:rPr>
                <w:rFonts w:ascii="Arial" w:cs="Arial" w:eastAsia="Arial" w:hAnsi="Arial"/>
                <w:sz w:val="16"/>
                <w:szCs w:val="16"/>
                <w:color w:val="auto"/>
              </w:rPr>
              <w:t>Non-regulated power generation and mining businesses that are vertically integrated within our Electric</w:t>
            </w:r>
          </w:p>
        </w:tc>
      </w:tr>
      <w:tr>
        <w:trPr>
          <w:trHeight w:val="213"/>
        </w:trPr>
        <w:tc>
          <w:tcPr>
            <w:tcW w:w="13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Utilities segment.</w:t>
            </w:r>
          </w:p>
        </w:tc>
      </w:tr>
      <w:tr>
        <w:trPr>
          <w:trHeight w:val="179"/>
        </w:trPr>
        <w:tc>
          <w:tcPr>
            <w:tcW w:w="2940" w:type="dxa"/>
            <w:vAlign w:val="bottom"/>
            <w:gridSpan w:val="2"/>
          </w:tcPr>
          <w:p>
            <w:pPr>
              <w:ind w:left="20"/>
              <w:spacing w:after="0" w:line="179" w:lineRule="exact"/>
              <w:rPr>
                <w:sz w:val="20"/>
                <w:szCs w:val="20"/>
                <w:color w:val="auto"/>
              </w:rPr>
            </w:pPr>
            <w:r>
              <w:rPr>
                <w:rFonts w:ascii="Arial" w:cs="Arial" w:eastAsia="Arial" w:hAnsi="Arial"/>
                <w:sz w:val="16"/>
                <w:szCs w:val="16"/>
                <w:color w:val="auto"/>
              </w:rPr>
              <w:t>Iowa Gas</w:t>
            </w:r>
          </w:p>
        </w:tc>
        <w:tc>
          <w:tcPr>
            <w:tcW w:w="8300" w:type="dxa"/>
            <w:vAlign w:val="bottom"/>
          </w:tcPr>
          <w:p>
            <w:pPr>
              <w:ind w:left="900"/>
              <w:spacing w:after="0" w:line="179" w:lineRule="exact"/>
              <w:rPr>
                <w:sz w:val="20"/>
                <w:szCs w:val="20"/>
                <w:color w:val="auto"/>
              </w:rPr>
            </w:pPr>
            <w:r>
              <w:rPr>
                <w:rFonts w:ascii="Arial" w:cs="Arial" w:eastAsia="Arial" w:hAnsi="Arial"/>
                <w:sz w:val="16"/>
                <w:szCs w:val="16"/>
                <w:color w:val="auto"/>
              </w:rPr>
              <w:t>Black Hills Iowa Gas Utility Company, LLC, a direct, wholly-owned subsidiary of Black Hills Utility</w:t>
            </w:r>
          </w:p>
        </w:tc>
      </w:tr>
      <w:tr>
        <w:trPr>
          <w:trHeight w:val="210"/>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Holdings, providing natural gas services to customers in Iowa (doing business as Black Hills Energy).</w:t>
            </w:r>
          </w:p>
        </w:tc>
      </w:tr>
      <w:tr>
        <w:trPr>
          <w:trHeight w:val="206"/>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IPP</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Independent Power Producer</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IRS</w:t>
            </w:r>
          </w:p>
        </w:tc>
        <w:tc>
          <w:tcPr>
            <w:tcW w:w="8300" w:type="dxa"/>
            <w:vAlign w:val="bottom"/>
          </w:tcPr>
          <w:p>
            <w:pPr>
              <w:ind w:left="900"/>
              <w:spacing w:after="0"/>
              <w:rPr>
                <w:sz w:val="20"/>
                <w:szCs w:val="20"/>
                <w:color w:val="auto"/>
              </w:rPr>
            </w:pPr>
            <w:r>
              <w:rPr>
                <w:rFonts w:ascii="Arial" w:cs="Arial" w:eastAsia="Arial" w:hAnsi="Arial"/>
                <w:sz w:val="16"/>
                <w:szCs w:val="16"/>
                <w:color w:val="auto"/>
              </w:rPr>
              <w:t>United States Internal Revenue Service</w:t>
            </w:r>
          </w:p>
        </w:tc>
      </w:tr>
      <w:tr>
        <w:trPr>
          <w:trHeight w:val="179"/>
        </w:trPr>
        <w:tc>
          <w:tcPr>
            <w:tcW w:w="2940" w:type="dxa"/>
            <w:vAlign w:val="bottom"/>
            <w:gridSpan w:val="2"/>
            <w:shd w:val="clear" w:color="auto" w:fill="CFF0FC"/>
          </w:tcPr>
          <w:p>
            <w:pPr>
              <w:ind w:left="20"/>
              <w:spacing w:after="0" w:line="179" w:lineRule="exact"/>
              <w:rPr>
                <w:sz w:val="20"/>
                <w:szCs w:val="20"/>
                <w:color w:val="auto"/>
              </w:rPr>
            </w:pPr>
            <w:r>
              <w:rPr>
                <w:rFonts w:ascii="Arial" w:cs="Arial" w:eastAsia="Arial" w:hAnsi="Arial"/>
                <w:sz w:val="16"/>
                <w:szCs w:val="16"/>
                <w:color w:val="auto"/>
              </w:rPr>
              <w:t>Kansas Gas</w:t>
            </w:r>
          </w:p>
        </w:tc>
        <w:tc>
          <w:tcPr>
            <w:tcW w:w="8300" w:type="dxa"/>
            <w:vAlign w:val="bottom"/>
            <w:shd w:val="clear" w:color="auto" w:fill="CFF0FC"/>
          </w:tcPr>
          <w:p>
            <w:pPr>
              <w:ind w:left="900"/>
              <w:spacing w:after="0" w:line="179" w:lineRule="exact"/>
              <w:rPr>
                <w:sz w:val="20"/>
                <w:szCs w:val="20"/>
                <w:color w:val="auto"/>
              </w:rPr>
            </w:pPr>
            <w:r>
              <w:rPr>
                <w:rFonts w:ascii="Arial" w:cs="Arial" w:eastAsia="Arial" w:hAnsi="Arial"/>
                <w:sz w:val="16"/>
                <w:szCs w:val="16"/>
                <w:color w:val="auto"/>
              </w:rPr>
              <w:t>Black Hills Kansas Gas Utility Company, LLC, a direct, wholly-owned subsidiary of Black Hills Utility</w:t>
            </w:r>
          </w:p>
        </w:tc>
      </w:tr>
      <w:tr>
        <w:trPr>
          <w:trHeight w:val="189"/>
        </w:trPr>
        <w:tc>
          <w:tcPr>
            <w:tcW w:w="13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Holdings, providing natural gas services to customers in Kansas (doing business as Black Hills</w:t>
            </w:r>
          </w:p>
        </w:tc>
      </w:tr>
      <w:tr>
        <w:trPr>
          <w:trHeight w:val="213"/>
        </w:trPr>
        <w:tc>
          <w:tcPr>
            <w:tcW w:w="13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Energy).</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LIBOR</w:t>
            </w:r>
          </w:p>
        </w:tc>
        <w:tc>
          <w:tcPr>
            <w:tcW w:w="8300" w:type="dxa"/>
            <w:vAlign w:val="bottom"/>
          </w:tcPr>
          <w:p>
            <w:pPr>
              <w:ind w:left="900"/>
              <w:spacing w:after="0"/>
              <w:rPr>
                <w:sz w:val="20"/>
                <w:szCs w:val="20"/>
                <w:color w:val="auto"/>
              </w:rPr>
            </w:pPr>
            <w:r>
              <w:rPr>
                <w:rFonts w:ascii="Arial" w:cs="Arial" w:eastAsia="Arial" w:hAnsi="Arial"/>
                <w:sz w:val="16"/>
                <w:szCs w:val="16"/>
                <w:color w:val="auto"/>
              </w:rPr>
              <w:t>London Interbank Offered Rate</w:t>
            </w:r>
          </w:p>
        </w:tc>
      </w:tr>
      <w:tr>
        <w:trPr>
          <w:trHeight w:val="203"/>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MMBtu</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Million British thermal units</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Moody's</w:t>
            </w:r>
          </w:p>
        </w:tc>
        <w:tc>
          <w:tcPr>
            <w:tcW w:w="8300" w:type="dxa"/>
            <w:vAlign w:val="bottom"/>
          </w:tcPr>
          <w:p>
            <w:pPr>
              <w:ind w:left="900"/>
              <w:spacing w:after="0"/>
              <w:rPr>
                <w:sz w:val="20"/>
                <w:szCs w:val="20"/>
                <w:color w:val="auto"/>
              </w:rPr>
            </w:pPr>
            <w:r>
              <w:rPr>
                <w:rFonts w:ascii="Arial" w:cs="Arial" w:eastAsia="Arial" w:hAnsi="Arial"/>
                <w:sz w:val="16"/>
                <w:szCs w:val="16"/>
                <w:color w:val="auto"/>
              </w:rPr>
              <w:t>Moody's Investors Service, Inc.</w:t>
            </w:r>
          </w:p>
        </w:tc>
      </w:tr>
      <w:tr>
        <w:trPr>
          <w:trHeight w:val="203"/>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MW</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Megawatts</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MWh</w:t>
            </w:r>
          </w:p>
        </w:tc>
        <w:tc>
          <w:tcPr>
            <w:tcW w:w="8300" w:type="dxa"/>
            <w:vAlign w:val="bottom"/>
          </w:tcPr>
          <w:p>
            <w:pPr>
              <w:ind w:left="900"/>
              <w:spacing w:after="0"/>
              <w:rPr>
                <w:sz w:val="20"/>
                <w:szCs w:val="20"/>
                <w:color w:val="auto"/>
              </w:rPr>
            </w:pPr>
            <w:r>
              <w:rPr>
                <w:rFonts w:ascii="Arial" w:cs="Arial" w:eastAsia="Arial" w:hAnsi="Arial"/>
                <w:sz w:val="16"/>
                <w:szCs w:val="16"/>
                <w:color w:val="auto"/>
              </w:rPr>
              <w:t>Megawatt-hours</w:t>
            </w:r>
          </w:p>
        </w:tc>
      </w:tr>
      <w:tr>
        <w:trPr>
          <w:trHeight w:val="203"/>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N/A</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Not applicable</w:t>
            </w:r>
          </w:p>
        </w:tc>
      </w:tr>
      <w:tr>
        <w:trPr>
          <w:trHeight w:val="179"/>
        </w:trPr>
        <w:tc>
          <w:tcPr>
            <w:tcW w:w="2940" w:type="dxa"/>
            <w:vAlign w:val="bottom"/>
            <w:gridSpan w:val="2"/>
          </w:tcPr>
          <w:p>
            <w:pPr>
              <w:ind w:left="20"/>
              <w:spacing w:after="0" w:line="179" w:lineRule="exact"/>
              <w:rPr>
                <w:sz w:val="20"/>
                <w:szCs w:val="20"/>
                <w:color w:val="auto"/>
              </w:rPr>
            </w:pPr>
            <w:r>
              <w:rPr>
                <w:rFonts w:ascii="Arial" w:cs="Arial" w:eastAsia="Arial" w:hAnsi="Arial"/>
                <w:sz w:val="16"/>
                <w:szCs w:val="16"/>
                <w:color w:val="auto"/>
              </w:rPr>
              <w:t>Nebraska Gas</w:t>
            </w:r>
          </w:p>
        </w:tc>
        <w:tc>
          <w:tcPr>
            <w:tcW w:w="8300" w:type="dxa"/>
            <w:vAlign w:val="bottom"/>
          </w:tcPr>
          <w:p>
            <w:pPr>
              <w:ind w:left="900"/>
              <w:spacing w:after="0" w:line="179" w:lineRule="exact"/>
              <w:rPr>
                <w:sz w:val="20"/>
                <w:szCs w:val="20"/>
                <w:color w:val="auto"/>
              </w:rPr>
            </w:pPr>
            <w:r>
              <w:rPr>
                <w:rFonts w:ascii="Arial" w:cs="Arial" w:eastAsia="Arial" w:hAnsi="Arial"/>
                <w:sz w:val="16"/>
                <w:szCs w:val="16"/>
                <w:color w:val="auto"/>
              </w:rPr>
              <w:t>Black Hills Nebraska Gas, LLC, an indirect, wholly-owned subsidiary of Black Hills Utility Holdings,</w:t>
            </w:r>
          </w:p>
        </w:tc>
      </w:tr>
      <w:tr>
        <w:trPr>
          <w:trHeight w:val="210"/>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providing natural gas services to customers in Nebraska (doing business as Black Hills Energy).</w:t>
            </w:r>
          </w:p>
        </w:tc>
      </w:tr>
      <w:tr>
        <w:trPr>
          <w:trHeight w:val="182"/>
        </w:trPr>
        <w:tc>
          <w:tcPr>
            <w:tcW w:w="2940" w:type="dxa"/>
            <w:vAlign w:val="bottom"/>
            <w:gridSpan w:val="2"/>
            <w:shd w:val="clear" w:color="auto" w:fill="CFF0FC"/>
          </w:tcPr>
          <w:p>
            <w:pPr>
              <w:ind w:left="20"/>
              <w:spacing w:after="0" w:line="182" w:lineRule="exact"/>
              <w:rPr>
                <w:sz w:val="20"/>
                <w:szCs w:val="20"/>
                <w:color w:val="auto"/>
              </w:rPr>
            </w:pPr>
            <w:r>
              <w:rPr>
                <w:rFonts w:ascii="Arial" w:cs="Arial" w:eastAsia="Arial" w:hAnsi="Arial"/>
                <w:sz w:val="16"/>
                <w:szCs w:val="16"/>
                <w:color w:val="auto"/>
              </w:rPr>
              <w:t>Northern Iowa Windpower</w:t>
            </w:r>
          </w:p>
        </w:tc>
        <w:tc>
          <w:tcPr>
            <w:tcW w:w="8300" w:type="dxa"/>
            <w:vAlign w:val="bottom"/>
            <w:shd w:val="clear" w:color="auto" w:fill="CFF0FC"/>
          </w:tcPr>
          <w:p>
            <w:pPr>
              <w:ind w:left="900"/>
              <w:spacing w:after="0" w:line="182" w:lineRule="exact"/>
              <w:rPr>
                <w:sz w:val="20"/>
                <w:szCs w:val="20"/>
                <w:color w:val="auto"/>
              </w:rPr>
            </w:pPr>
            <w:r>
              <w:rPr>
                <w:rFonts w:ascii="Arial" w:cs="Arial" w:eastAsia="Arial" w:hAnsi="Arial"/>
                <w:sz w:val="16"/>
                <w:szCs w:val="16"/>
                <w:color w:val="auto"/>
              </w:rPr>
              <w:t>Northern Iowa Windpower, LLC, a 87.1 MW wind farm located near Joice, Iowa, previously owned by</w:t>
            </w:r>
          </w:p>
        </w:tc>
      </w:tr>
      <w:tr>
        <w:trPr>
          <w:trHeight w:val="189"/>
        </w:trPr>
        <w:tc>
          <w:tcPr>
            <w:tcW w:w="13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Black Hills Electric Generation. In March 2023, Black Hills Electric Generation completed the sale of</w:t>
            </w:r>
          </w:p>
        </w:tc>
      </w:tr>
      <w:tr>
        <w:trPr>
          <w:trHeight w:val="213"/>
        </w:trPr>
        <w:tc>
          <w:tcPr>
            <w:tcW w:w="13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Northern Iowa Windpower assets to a third-party.</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OCI</w:t>
            </w:r>
          </w:p>
        </w:tc>
        <w:tc>
          <w:tcPr>
            <w:tcW w:w="8300" w:type="dxa"/>
            <w:vAlign w:val="bottom"/>
          </w:tcPr>
          <w:p>
            <w:pPr>
              <w:ind w:left="900"/>
              <w:spacing w:after="0"/>
              <w:rPr>
                <w:sz w:val="20"/>
                <w:szCs w:val="20"/>
                <w:color w:val="auto"/>
              </w:rPr>
            </w:pPr>
            <w:r>
              <w:rPr>
                <w:rFonts w:ascii="Arial" w:cs="Arial" w:eastAsia="Arial" w:hAnsi="Arial"/>
                <w:sz w:val="16"/>
                <w:szCs w:val="16"/>
                <w:color w:val="auto"/>
              </w:rPr>
              <w:t>Other Comprehensive Income</w:t>
            </w:r>
          </w:p>
        </w:tc>
      </w:tr>
      <w:tr>
        <w:trPr>
          <w:trHeight w:val="203"/>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PPA</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Power Purchase Agreement</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PTC</w:t>
            </w:r>
          </w:p>
        </w:tc>
        <w:tc>
          <w:tcPr>
            <w:tcW w:w="8300" w:type="dxa"/>
            <w:vAlign w:val="bottom"/>
          </w:tcPr>
          <w:p>
            <w:pPr>
              <w:ind w:left="900"/>
              <w:spacing w:after="0"/>
              <w:rPr>
                <w:sz w:val="20"/>
                <w:szCs w:val="20"/>
                <w:color w:val="auto"/>
              </w:rPr>
            </w:pPr>
            <w:r>
              <w:rPr>
                <w:rFonts w:ascii="Arial" w:cs="Arial" w:eastAsia="Arial" w:hAnsi="Arial"/>
                <w:sz w:val="16"/>
                <w:szCs w:val="16"/>
                <w:color w:val="auto"/>
              </w:rPr>
              <w:t>Production Tax Credit</w:t>
            </w:r>
          </w:p>
        </w:tc>
      </w:tr>
      <w:tr>
        <w:trPr>
          <w:trHeight w:val="179"/>
        </w:trPr>
        <w:tc>
          <w:tcPr>
            <w:tcW w:w="2940" w:type="dxa"/>
            <w:vAlign w:val="bottom"/>
            <w:gridSpan w:val="2"/>
            <w:shd w:val="clear" w:color="auto" w:fill="CFF0FC"/>
          </w:tcPr>
          <w:p>
            <w:pPr>
              <w:ind w:left="20"/>
              <w:spacing w:after="0" w:line="179" w:lineRule="exact"/>
              <w:rPr>
                <w:sz w:val="20"/>
                <w:szCs w:val="20"/>
                <w:color w:val="auto"/>
              </w:rPr>
            </w:pPr>
            <w:r>
              <w:rPr>
                <w:rFonts w:ascii="Arial" w:cs="Arial" w:eastAsia="Arial" w:hAnsi="Arial"/>
                <w:sz w:val="16"/>
                <w:szCs w:val="16"/>
                <w:color w:val="auto"/>
              </w:rPr>
              <w:t>Revolving Credit Facility</w:t>
            </w:r>
          </w:p>
        </w:tc>
        <w:tc>
          <w:tcPr>
            <w:tcW w:w="8300" w:type="dxa"/>
            <w:vAlign w:val="bottom"/>
            <w:shd w:val="clear" w:color="auto" w:fill="CFF0FC"/>
          </w:tcPr>
          <w:p>
            <w:pPr>
              <w:ind w:left="900"/>
              <w:spacing w:after="0" w:line="179" w:lineRule="exact"/>
              <w:rPr>
                <w:sz w:val="20"/>
                <w:szCs w:val="20"/>
                <w:color w:val="auto"/>
              </w:rPr>
            </w:pPr>
            <w:r>
              <w:rPr>
                <w:rFonts w:ascii="Arial" w:cs="Arial" w:eastAsia="Arial" w:hAnsi="Arial"/>
                <w:sz w:val="16"/>
                <w:szCs w:val="16"/>
                <w:color w:val="auto"/>
              </w:rPr>
              <w:t>Our $750 million credit facility used to fund working capital needs, letters of credit and other corporate</w:t>
            </w:r>
          </w:p>
        </w:tc>
      </w:tr>
      <w:tr>
        <w:trPr>
          <w:trHeight w:val="213"/>
        </w:trPr>
        <w:tc>
          <w:tcPr>
            <w:tcW w:w="13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purposes, which was amended on May 9, 2023 and will terminate on July 19, 2026.</w:t>
            </w:r>
          </w:p>
        </w:tc>
      </w:tr>
      <w:tr>
        <w:trPr>
          <w:trHeight w:val="179"/>
        </w:trPr>
        <w:tc>
          <w:tcPr>
            <w:tcW w:w="2940" w:type="dxa"/>
            <w:vAlign w:val="bottom"/>
            <w:gridSpan w:val="2"/>
          </w:tcPr>
          <w:p>
            <w:pPr>
              <w:ind w:left="20"/>
              <w:spacing w:after="0" w:line="179" w:lineRule="exact"/>
              <w:rPr>
                <w:sz w:val="20"/>
                <w:szCs w:val="20"/>
                <w:color w:val="auto"/>
              </w:rPr>
            </w:pPr>
            <w:r>
              <w:rPr>
                <w:rFonts w:ascii="Arial" w:cs="Arial" w:eastAsia="Arial" w:hAnsi="Arial"/>
                <w:sz w:val="16"/>
                <w:szCs w:val="16"/>
                <w:color w:val="auto"/>
              </w:rPr>
              <w:t>RMNG</w:t>
            </w:r>
          </w:p>
        </w:tc>
        <w:tc>
          <w:tcPr>
            <w:tcW w:w="8300" w:type="dxa"/>
            <w:vAlign w:val="bottom"/>
          </w:tcPr>
          <w:p>
            <w:pPr>
              <w:ind w:left="900"/>
              <w:spacing w:after="0" w:line="179" w:lineRule="exact"/>
              <w:rPr>
                <w:sz w:val="20"/>
                <w:szCs w:val="20"/>
                <w:color w:val="auto"/>
              </w:rPr>
            </w:pPr>
            <w:r>
              <w:rPr>
                <w:rFonts w:ascii="Arial" w:cs="Arial" w:eastAsia="Arial" w:hAnsi="Arial"/>
                <w:sz w:val="16"/>
                <w:szCs w:val="16"/>
                <w:color w:val="auto"/>
              </w:rPr>
              <w:t>Rocky Mountain Natural Gas LLC, an indirect, wholly-owned subsidiary of Black Hills Utility Holdings,</w:t>
            </w:r>
          </w:p>
        </w:tc>
      </w:tr>
      <w:tr>
        <w:trPr>
          <w:trHeight w:val="189"/>
        </w:trPr>
        <w:tc>
          <w:tcPr>
            <w:tcW w:w="1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providing natural gas transmission and wholesale services in western Colorado (doing business as</w:t>
            </w:r>
          </w:p>
        </w:tc>
      </w:tr>
      <w:tr>
        <w:trPr>
          <w:trHeight w:val="210"/>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Black Hills Energy).</w:t>
            </w:r>
          </w:p>
        </w:tc>
      </w:tr>
      <w:tr>
        <w:trPr>
          <w:trHeight w:val="206"/>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SEC</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United States Securities and Exchange Commission</w:t>
            </w:r>
          </w:p>
        </w:tc>
      </w:tr>
      <w:tr>
        <w:trPr>
          <w:trHeight w:val="179"/>
        </w:trPr>
        <w:tc>
          <w:tcPr>
            <w:tcW w:w="2940" w:type="dxa"/>
            <w:vAlign w:val="bottom"/>
            <w:gridSpan w:val="2"/>
          </w:tcPr>
          <w:p>
            <w:pPr>
              <w:ind w:left="20"/>
              <w:spacing w:after="0" w:line="179" w:lineRule="exact"/>
              <w:rPr>
                <w:sz w:val="20"/>
                <w:szCs w:val="20"/>
                <w:color w:val="auto"/>
              </w:rPr>
            </w:pPr>
            <w:r>
              <w:rPr>
                <w:rFonts w:ascii="Arial" w:cs="Arial" w:eastAsia="Arial" w:hAnsi="Arial"/>
                <w:sz w:val="16"/>
                <w:szCs w:val="16"/>
                <w:color w:val="auto"/>
              </w:rPr>
              <w:t>Service Guard Comfort Plan</w:t>
            </w:r>
          </w:p>
        </w:tc>
        <w:tc>
          <w:tcPr>
            <w:tcW w:w="8300" w:type="dxa"/>
            <w:vAlign w:val="bottom"/>
          </w:tcPr>
          <w:p>
            <w:pPr>
              <w:ind w:left="900"/>
              <w:spacing w:after="0" w:line="179" w:lineRule="exact"/>
              <w:rPr>
                <w:sz w:val="20"/>
                <w:szCs w:val="20"/>
                <w:color w:val="auto"/>
              </w:rPr>
            </w:pPr>
            <w:r>
              <w:rPr>
                <w:rFonts w:ascii="Arial" w:cs="Arial" w:eastAsia="Arial" w:hAnsi="Arial"/>
                <w:sz w:val="16"/>
                <w:szCs w:val="16"/>
                <w:color w:val="auto"/>
              </w:rPr>
              <w:t>Appliance protection plan that provides home appliance repair services through on-going monthly</w:t>
            </w:r>
          </w:p>
        </w:tc>
      </w:tr>
      <w:tr>
        <w:trPr>
          <w:trHeight w:val="210"/>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service agreements to residential utility customers.</w:t>
            </w:r>
          </w:p>
        </w:tc>
      </w:tr>
      <w:tr>
        <w:trPr>
          <w:trHeight w:val="205"/>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S&amp;P</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S&amp;P Global Ratings, a division of S&amp;P Global Inc.</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SOFR</w:t>
            </w:r>
          </w:p>
        </w:tc>
        <w:tc>
          <w:tcPr>
            <w:tcW w:w="8300" w:type="dxa"/>
            <w:vAlign w:val="bottom"/>
          </w:tcPr>
          <w:p>
            <w:pPr>
              <w:ind w:left="900"/>
              <w:spacing w:after="0"/>
              <w:rPr>
                <w:sz w:val="20"/>
                <w:szCs w:val="20"/>
                <w:color w:val="auto"/>
              </w:rPr>
            </w:pPr>
            <w:r>
              <w:rPr>
                <w:rFonts w:ascii="Arial" w:cs="Arial" w:eastAsia="Arial" w:hAnsi="Arial"/>
                <w:sz w:val="16"/>
                <w:szCs w:val="16"/>
                <w:color w:val="auto"/>
              </w:rPr>
              <w:t>Secured Overnight Financing Rate</w:t>
            </w:r>
          </w:p>
        </w:tc>
      </w:tr>
      <w:tr>
        <w:trPr>
          <w:trHeight w:val="179"/>
        </w:trPr>
        <w:tc>
          <w:tcPr>
            <w:tcW w:w="2940" w:type="dxa"/>
            <w:vAlign w:val="bottom"/>
            <w:gridSpan w:val="2"/>
            <w:shd w:val="clear" w:color="auto" w:fill="CFF0FC"/>
          </w:tcPr>
          <w:p>
            <w:pPr>
              <w:ind w:left="20"/>
              <w:spacing w:after="0" w:line="179" w:lineRule="exact"/>
              <w:rPr>
                <w:sz w:val="20"/>
                <w:szCs w:val="20"/>
                <w:color w:val="auto"/>
              </w:rPr>
            </w:pPr>
            <w:r>
              <w:rPr>
                <w:rFonts w:ascii="Arial" w:cs="Arial" w:eastAsia="Arial" w:hAnsi="Arial"/>
                <w:sz w:val="16"/>
                <w:szCs w:val="16"/>
                <w:color w:val="auto"/>
              </w:rPr>
              <w:t>South Dakota Electric</w:t>
            </w:r>
          </w:p>
        </w:tc>
        <w:tc>
          <w:tcPr>
            <w:tcW w:w="8300" w:type="dxa"/>
            <w:vAlign w:val="bottom"/>
            <w:shd w:val="clear" w:color="auto" w:fill="CFF0FC"/>
          </w:tcPr>
          <w:p>
            <w:pPr>
              <w:ind w:left="900"/>
              <w:spacing w:after="0" w:line="179" w:lineRule="exact"/>
              <w:rPr>
                <w:sz w:val="20"/>
                <w:szCs w:val="20"/>
                <w:color w:val="auto"/>
              </w:rPr>
            </w:pPr>
            <w:r>
              <w:rPr>
                <w:rFonts w:ascii="Arial" w:cs="Arial" w:eastAsia="Arial" w:hAnsi="Arial"/>
                <w:sz w:val="16"/>
                <w:szCs w:val="16"/>
                <w:color w:val="auto"/>
              </w:rPr>
              <w:t>Black Hills Power, Inc., a direct, wholly-owned subsidiary of Black Hills Corporation, providing electric</w:t>
            </w:r>
          </w:p>
        </w:tc>
      </w:tr>
      <w:tr>
        <w:trPr>
          <w:trHeight w:val="213"/>
        </w:trPr>
        <w:tc>
          <w:tcPr>
            <w:tcW w:w="13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service to customers in Montana, South Dakota and Wyoming (doing business as Black Hills Energy).</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SSIR</w:t>
            </w:r>
          </w:p>
        </w:tc>
        <w:tc>
          <w:tcPr>
            <w:tcW w:w="8300" w:type="dxa"/>
            <w:vAlign w:val="bottom"/>
          </w:tcPr>
          <w:p>
            <w:pPr>
              <w:ind w:left="900"/>
              <w:spacing w:after="0"/>
              <w:rPr>
                <w:sz w:val="20"/>
                <w:szCs w:val="20"/>
                <w:color w:val="auto"/>
              </w:rPr>
            </w:pPr>
            <w:r>
              <w:rPr>
                <w:rFonts w:ascii="Arial" w:cs="Arial" w:eastAsia="Arial" w:hAnsi="Arial"/>
                <w:sz w:val="16"/>
                <w:szCs w:val="16"/>
                <w:color w:val="auto"/>
              </w:rPr>
              <w:t>System Safety and Integrity Rider</w:t>
            </w:r>
          </w:p>
        </w:tc>
      </w:tr>
      <w:tr>
        <w:trPr>
          <w:trHeight w:val="179"/>
        </w:trPr>
        <w:tc>
          <w:tcPr>
            <w:tcW w:w="2940" w:type="dxa"/>
            <w:vAlign w:val="bottom"/>
            <w:gridSpan w:val="2"/>
            <w:shd w:val="clear" w:color="auto" w:fill="CFF0FC"/>
          </w:tcPr>
          <w:p>
            <w:pPr>
              <w:ind w:left="20"/>
              <w:spacing w:after="0" w:line="179" w:lineRule="exact"/>
              <w:rPr>
                <w:sz w:val="20"/>
                <w:szCs w:val="20"/>
                <w:color w:val="auto"/>
              </w:rPr>
            </w:pPr>
            <w:r>
              <w:rPr>
                <w:rFonts w:ascii="Arial" w:cs="Arial" w:eastAsia="Arial" w:hAnsi="Arial"/>
                <w:sz w:val="16"/>
                <w:szCs w:val="16"/>
                <w:color w:val="auto"/>
              </w:rPr>
              <w:t>Tech Services</w:t>
            </w:r>
          </w:p>
        </w:tc>
        <w:tc>
          <w:tcPr>
            <w:tcW w:w="8300" w:type="dxa"/>
            <w:vAlign w:val="bottom"/>
            <w:shd w:val="clear" w:color="auto" w:fill="CFF0FC"/>
          </w:tcPr>
          <w:p>
            <w:pPr>
              <w:ind w:left="900"/>
              <w:spacing w:after="0" w:line="179" w:lineRule="exact"/>
              <w:rPr>
                <w:sz w:val="20"/>
                <w:szCs w:val="20"/>
                <w:color w:val="auto"/>
              </w:rPr>
            </w:pPr>
            <w:r>
              <w:rPr>
                <w:rFonts w:ascii="Arial" w:cs="Arial" w:eastAsia="Arial" w:hAnsi="Arial"/>
                <w:sz w:val="16"/>
                <w:szCs w:val="16"/>
                <w:color w:val="auto"/>
              </w:rPr>
              <w:t>Non-regulated product lines delivered by our Utilities that 1) provide electrical system construction</w:t>
            </w:r>
          </w:p>
        </w:tc>
      </w:tr>
      <w:tr>
        <w:trPr>
          <w:trHeight w:val="189"/>
        </w:trPr>
        <w:tc>
          <w:tcPr>
            <w:tcW w:w="13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services to large industrial customers of our electric utilities, and 2) serve gas transportation customers</w:t>
            </w:r>
          </w:p>
        </w:tc>
      </w:tr>
      <w:tr>
        <w:trPr>
          <w:trHeight w:val="189"/>
        </w:trPr>
        <w:tc>
          <w:tcPr>
            <w:tcW w:w="13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throughout its service territory by constructing and maintaining customer-owned gas infrastructure</w:t>
            </w:r>
          </w:p>
        </w:tc>
      </w:tr>
      <w:tr>
        <w:trPr>
          <w:trHeight w:val="213"/>
        </w:trPr>
        <w:tc>
          <w:tcPr>
            <w:tcW w:w="13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facilities, typically through one-time contracts.</w:t>
            </w:r>
          </w:p>
        </w:tc>
      </w:tr>
      <w:tr>
        <w:trPr>
          <w:trHeight w:val="192"/>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Utilities</w:t>
            </w:r>
          </w:p>
        </w:tc>
        <w:tc>
          <w:tcPr>
            <w:tcW w:w="8300" w:type="dxa"/>
            <w:vAlign w:val="bottom"/>
          </w:tcPr>
          <w:p>
            <w:pPr>
              <w:ind w:left="900"/>
              <w:spacing w:after="0"/>
              <w:rPr>
                <w:sz w:val="20"/>
                <w:szCs w:val="20"/>
                <w:color w:val="auto"/>
              </w:rPr>
            </w:pPr>
            <w:r>
              <w:rPr>
                <w:rFonts w:ascii="Arial" w:cs="Arial" w:eastAsia="Arial" w:hAnsi="Arial"/>
                <w:sz w:val="16"/>
                <w:szCs w:val="16"/>
                <w:color w:val="auto"/>
              </w:rPr>
              <w:t>Black Hills' Electric and Gas Utilities</w:t>
            </w:r>
          </w:p>
        </w:tc>
      </w:tr>
      <w:tr>
        <w:trPr>
          <w:trHeight w:val="207"/>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300" w:type="dxa"/>
            <w:vAlign w:val="bottom"/>
          </w:tcPr>
          <w:p>
            <w:pPr>
              <w:ind w:left="2640"/>
              <w:spacing w:after="0"/>
              <w:rPr>
                <w:sz w:val="20"/>
                <w:szCs w:val="20"/>
                <w:color w:val="auto"/>
              </w:rPr>
            </w:pPr>
            <w:r>
              <w:rPr>
                <w:rFonts w:ascii="Arial" w:cs="Arial" w:eastAsia="Arial" w:hAnsi="Arial"/>
                <w:sz w:val="16"/>
                <w:szCs w:val="16"/>
                <w:color w:val="auto"/>
              </w:rPr>
              <w:t>4</w:t>
            </w:r>
          </w:p>
        </w:tc>
      </w:tr>
      <w:tr>
        <w:trPr>
          <w:trHeight w:val="108"/>
        </w:trPr>
        <w:tc>
          <w:tcPr>
            <w:tcW w:w="13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8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Wind Capacity Factor</w:t>
            </w: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Measures the amount of electricity a wind turbine produces in a given time period relative to its</w:t>
            </w:r>
          </w:p>
        </w:tc>
      </w:tr>
      <w:tr>
        <w:trPr>
          <w:trHeight w:val="213"/>
        </w:trPr>
        <w:tc>
          <w:tcPr>
            <w:tcW w:w="2800" w:type="dxa"/>
            <w:vAlign w:val="bottom"/>
            <w:shd w:val="clear" w:color="auto" w:fill="CFF0FC"/>
          </w:tcPr>
          <w:p>
            <w:pPr>
              <w:spacing w:after="0"/>
              <w:rPr>
                <w:sz w:val="18"/>
                <w:szCs w:val="18"/>
                <w:color w:val="auto"/>
              </w:rPr>
            </w:pP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maximum potential.</w:t>
            </w:r>
          </w:p>
        </w:tc>
      </w:tr>
      <w:tr>
        <w:trPr>
          <w:trHeight w:val="179"/>
        </w:trPr>
        <w:tc>
          <w:tcPr>
            <w:tcW w:w="2800" w:type="dxa"/>
            <w:vAlign w:val="bottom"/>
          </w:tcPr>
          <w:p>
            <w:pPr>
              <w:ind w:left="20"/>
              <w:spacing w:after="0" w:line="179" w:lineRule="exact"/>
              <w:rPr>
                <w:sz w:val="20"/>
                <w:szCs w:val="20"/>
                <w:color w:val="auto"/>
              </w:rPr>
            </w:pPr>
            <w:r>
              <w:rPr>
                <w:rFonts w:ascii="Arial" w:cs="Arial" w:eastAsia="Arial" w:hAnsi="Arial"/>
                <w:sz w:val="16"/>
                <w:szCs w:val="16"/>
                <w:color w:val="auto"/>
              </w:rPr>
              <w:t>Winter Storm Uri</w:t>
            </w:r>
          </w:p>
        </w:tc>
        <w:tc>
          <w:tcPr>
            <w:tcW w:w="8440" w:type="dxa"/>
            <w:vAlign w:val="bottom"/>
          </w:tcPr>
          <w:p>
            <w:pPr>
              <w:ind w:left="1040"/>
              <w:spacing w:after="0" w:line="179" w:lineRule="exact"/>
              <w:rPr>
                <w:sz w:val="20"/>
                <w:szCs w:val="20"/>
                <w:color w:val="auto"/>
              </w:rPr>
            </w:pPr>
            <w:r>
              <w:rPr>
                <w:rFonts w:ascii="Arial" w:cs="Arial" w:eastAsia="Arial" w:hAnsi="Arial"/>
                <w:sz w:val="16"/>
                <w:szCs w:val="16"/>
                <w:color w:val="auto"/>
              </w:rPr>
              <w:t>February 2021 winter weather event that caused extreme cold temperatures in the central United</w:t>
            </w:r>
          </w:p>
        </w:tc>
      </w:tr>
      <w:tr>
        <w:trPr>
          <w:trHeight w:val="189"/>
        </w:trPr>
        <w:tc>
          <w:tcPr>
            <w:tcW w:w="2800" w:type="dxa"/>
            <w:vAlign w:val="bottom"/>
          </w:tcPr>
          <w:p>
            <w:pPr>
              <w:spacing w:after="0"/>
              <w:rPr>
                <w:sz w:val="16"/>
                <w:szCs w:val="16"/>
                <w:color w:val="auto"/>
              </w:rPr>
            </w:pPr>
          </w:p>
        </w:tc>
        <w:tc>
          <w:tcPr>
            <w:tcW w:w="8440" w:type="dxa"/>
            <w:vAlign w:val="bottom"/>
          </w:tcPr>
          <w:p>
            <w:pPr>
              <w:ind w:left="1040"/>
              <w:spacing w:after="0"/>
              <w:rPr>
                <w:sz w:val="20"/>
                <w:szCs w:val="20"/>
                <w:color w:val="auto"/>
              </w:rPr>
            </w:pPr>
            <w:r>
              <w:rPr>
                <w:rFonts w:ascii="Arial" w:cs="Arial" w:eastAsia="Arial" w:hAnsi="Arial"/>
                <w:sz w:val="16"/>
                <w:szCs w:val="16"/>
                <w:color w:val="auto"/>
              </w:rPr>
              <w:t>States and led to unprecedented fluctuations in customer demand and market pricing for natural gas</w:t>
            </w:r>
          </w:p>
        </w:tc>
      </w:tr>
      <w:tr>
        <w:trPr>
          <w:trHeight w:val="210"/>
        </w:trPr>
        <w:tc>
          <w:tcPr>
            <w:tcW w:w="280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6"/>
                <w:szCs w:val="16"/>
                <w:color w:val="auto"/>
              </w:rPr>
              <w:t>and energy.</w:t>
            </w:r>
          </w:p>
        </w:tc>
      </w:tr>
      <w:tr>
        <w:trPr>
          <w:trHeight w:val="205"/>
        </w:trPr>
        <w:tc>
          <w:tcPr>
            <w:tcW w:w="2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WPSC</w:t>
            </w: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Wyoming Public Service Commission</w:t>
            </w:r>
          </w:p>
        </w:tc>
      </w:tr>
      <w:tr>
        <w:trPr>
          <w:trHeight w:val="179"/>
        </w:trPr>
        <w:tc>
          <w:tcPr>
            <w:tcW w:w="2800" w:type="dxa"/>
            <w:vAlign w:val="bottom"/>
          </w:tcPr>
          <w:p>
            <w:pPr>
              <w:ind w:left="20"/>
              <w:spacing w:after="0" w:line="179" w:lineRule="exact"/>
              <w:rPr>
                <w:sz w:val="20"/>
                <w:szCs w:val="20"/>
                <w:color w:val="auto"/>
              </w:rPr>
            </w:pPr>
            <w:r>
              <w:rPr>
                <w:rFonts w:ascii="Arial" w:cs="Arial" w:eastAsia="Arial" w:hAnsi="Arial"/>
                <w:sz w:val="16"/>
                <w:szCs w:val="16"/>
                <w:color w:val="auto"/>
              </w:rPr>
              <w:t>WRDC</w:t>
            </w:r>
          </w:p>
        </w:tc>
        <w:tc>
          <w:tcPr>
            <w:tcW w:w="8440" w:type="dxa"/>
            <w:vAlign w:val="bottom"/>
          </w:tcPr>
          <w:p>
            <w:pPr>
              <w:ind w:left="1040"/>
              <w:spacing w:after="0" w:line="179" w:lineRule="exact"/>
              <w:rPr>
                <w:sz w:val="20"/>
                <w:szCs w:val="20"/>
                <w:color w:val="auto"/>
              </w:rPr>
            </w:pPr>
            <w:r>
              <w:rPr>
                <w:rFonts w:ascii="Arial" w:cs="Arial" w:eastAsia="Arial" w:hAnsi="Arial"/>
                <w:sz w:val="16"/>
                <w:szCs w:val="16"/>
                <w:color w:val="auto"/>
              </w:rPr>
              <w:t>Wyodak Resources Development Corp., a direct, wholly-owned subsidiary of Black Hills Non-regulated</w:t>
            </w:r>
          </w:p>
        </w:tc>
      </w:tr>
      <w:tr>
        <w:trPr>
          <w:trHeight w:val="189"/>
        </w:trPr>
        <w:tc>
          <w:tcPr>
            <w:tcW w:w="2800" w:type="dxa"/>
            <w:vAlign w:val="bottom"/>
          </w:tcPr>
          <w:p>
            <w:pPr>
              <w:spacing w:after="0"/>
              <w:rPr>
                <w:sz w:val="16"/>
                <w:szCs w:val="16"/>
                <w:color w:val="auto"/>
              </w:rPr>
            </w:pPr>
          </w:p>
        </w:tc>
        <w:tc>
          <w:tcPr>
            <w:tcW w:w="8440" w:type="dxa"/>
            <w:vAlign w:val="bottom"/>
          </w:tcPr>
          <w:p>
            <w:pPr>
              <w:ind w:left="1040"/>
              <w:spacing w:after="0"/>
              <w:rPr>
                <w:sz w:val="20"/>
                <w:szCs w:val="20"/>
                <w:color w:val="auto"/>
              </w:rPr>
            </w:pPr>
            <w:r>
              <w:rPr>
                <w:rFonts w:ascii="Arial" w:cs="Arial" w:eastAsia="Arial" w:hAnsi="Arial"/>
                <w:sz w:val="16"/>
                <w:szCs w:val="16"/>
                <w:color w:val="auto"/>
              </w:rPr>
              <w:t>Holdings, providing coal supply primarily to five on-site, mine-mouth generating facilities (doing</w:t>
            </w:r>
          </w:p>
        </w:tc>
      </w:tr>
      <w:tr>
        <w:trPr>
          <w:trHeight w:val="210"/>
        </w:trPr>
        <w:tc>
          <w:tcPr>
            <w:tcW w:w="280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6"/>
                <w:szCs w:val="16"/>
                <w:color w:val="auto"/>
              </w:rPr>
              <w:t>business as Black Hills Energy).</w:t>
            </w:r>
          </w:p>
        </w:tc>
      </w:tr>
      <w:tr>
        <w:trPr>
          <w:trHeight w:val="182"/>
        </w:trPr>
        <w:tc>
          <w:tcPr>
            <w:tcW w:w="280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Wygen I</w:t>
            </w:r>
          </w:p>
        </w:tc>
        <w:tc>
          <w:tcPr>
            <w:tcW w:w="8440" w:type="dxa"/>
            <w:vAlign w:val="bottom"/>
            <w:shd w:val="clear" w:color="auto" w:fill="CFF0FC"/>
          </w:tcPr>
          <w:p>
            <w:pPr>
              <w:ind w:left="1040"/>
              <w:spacing w:after="0" w:line="182" w:lineRule="exact"/>
              <w:rPr>
                <w:sz w:val="20"/>
                <w:szCs w:val="20"/>
                <w:color w:val="auto"/>
              </w:rPr>
            </w:pPr>
            <w:r>
              <w:rPr>
                <w:rFonts w:ascii="Arial" w:cs="Arial" w:eastAsia="Arial" w:hAnsi="Arial"/>
                <w:sz w:val="16"/>
                <w:szCs w:val="16"/>
                <w:color w:val="auto"/>
              </w:rPr>
              <w:t>A mine-mouth, coal-fired power plant with a total capacity of 90 MW located at our Gillette, Wyoming</w:t>
            </w:r>
          </w:p>
        </w:tc>
      </w:tr>
      <w:tr>
        <w:trPr>
          <w:trHeight w:val="189"/>
        </w:trPr>
        <w:tc>
          <w:tcPr>
            <w:tcW w:w="2800" w:type="dxa"/>
            <w:vAlign w:val="bottom"/>
            <w:shd w:val="clear" w:color="auto" w:fill="CFF0FC"/>
          </w:tcPr>
          <w:p>
            <w:pPr>
              <w:spacing w:after="0"/>
              <w:rPr>
                <w:sz w:val="16"/>
                <w:szCs w:val="16"/>
                <w:color w:val="auto"/>
              </w:rPr>
            </w:pP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energy complex. Black Hills Wyoming owns a 76.5% of the facility and Municipal Energy Agency of</w:t>
            </w:r>
          </w:p>
        </w:tc>
      </w:tr>
      <w:tr>
        <w:trPr>
          <w:trHeight w:val="213"/>
        </w:trPr>
        <w:tc>
          <w:tcPr>
            <w:tcW w:w="2800" w:type="dxa"/>
            <w:vAlign w:val="bottom"/>
            <w:shd w:val="clear" w:color="auto" w:fill="CFF0FC"/>
          </w:tcPr>
          <w:p>
            <w:pPr>
              <w:spacing w:after="0"/>
              <w:rPr>
                <w:sz w:val="18"/>
                <w:szCs w:val="18"/>
                <w:color w:val="auto"/>
              </w:rPr>
            </w:pP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Nebraska (MEAN) owns the remaining 23.5%.</w:t>
            </w:r>
          </w:p>
        </w:tc>
      </w:tr>
      <w:tr>
        <w:trPr>
          <w:trHeight w:val="179"/>
        </w:trPr>
        <w:tc>
          <w:tcPr>
            <w:tcW w:w="2800" w:type="dxa"/>
            <w:vAlign w:val="bottom"/>
          </w:tcPr>
          <w:p>
            <w:pPr>
              <w:ind w:left="20"/>
              <w:spacing w:after="0" w:line="179" w:lineRule="exact"/>
              <w:rPr>
                <w:sz w:val="20"/>
                <w:szCs w:val="20"/>
                <w:color w:val="auto"/>
              </w:rPr>
            </w:pPr>
            <w:r>
              <w:rPr>
                <w:rFonts w:ascii="Arial" w:cs="Arial" w:eastAsia="Arial" w:hAnsi="Arial"/>
                <w:sz w:val="16"/>
                <w:szCs w:val="16"/>
                <w:color w:val="auto"/>
              </w:rPr>
              <w:t>Wyodak Plant</w:t>
            </w:r>
          </w:p>
        </w:tc>
        <w:tc>
          <w:tcPr>
            <w:tcW w:w="8440" w:type="dxa"/>
            <w:vAlign w:val="bottom"/>
          </w:tcPr>
          <w:p>
            <w:pPr>
              <w:ind w:left="1040"/>
              <w:spacing w:after="0" w:line="179" w:lineRule="exact"/>
              <w:rPr>
                <w:sz w:val="20"/>
                <w:szCs w:val="20"/>
                <w:color w:val="auto"/>
              </w:rPr>
            </w:pPr>
            <w:r>
              <w:rPr>
                <w:rFonts w:ascii="Arial" w:cs="Arial" w:eastAsia="Arial" w:hAnsi="Arial"/>
                <w:sz w:val="16"/>
                <w:szCs w:val="16"/>
                <w:color w:val="auto"/>
              </w:rPr>
              <w:t>The 362 MW mine-mouth, coal-fired generating facility near Gillette, Wyoming, jointly owned by</w:t>
            </w:r>
          </w:p>
        </w:tc>
      </w:tr>
      <w:tr>
        <w:trPr>
          <w:trHeight w:val="189"/>
        </w:trPr>
        <w:tc>
          <w:tcPr>
            <w:tcW w:w="2800" w:type="dxa"/>
            <w:vAlign w:val="bottom"/>
          </w:tcPr>
          <w:p>
            <w:pPr>
              <w:spacing w:after="0"/>
              <w:rPr>
                <w:sz w:val="16"/>
                <w:szCs w:val="16"/>
                <w:color w:val="auto"/>
              </w:rPr>
            </w:pPr>
          </w:p>
        </w:tc>
        <w:tc>
          <w:tcPr>
            <w:tcW w:w="8440" w:type="dxa"/>
            <w:vAlign w:val="bottom"/>
          </w:tcPr>
          <w:p>
            <w:pPr>
              <w:ind w:left="1040"/>
              <w:spacing w:after="0"/>
              <w:rPr>
                <w:sz w:val="20"/>
                <w:szCs w:val="20"/>
                <w:color w:val="auto"/>
              </w:rPr>
            </w:pPr>
            <w:r>
              <w:rPr>
                <w:rFonts w:ascii="Arial" w:cs="Arial" w:eastAsia="Arial" w:hAnsi="Arial"/>
                <w:sz w:val="16"/>
                <w:szCs w:val="16"/>
                <w:color w:val="auto"/>
              </w:rPr>
              <w:t>PacifiCorp (80%) and South Dakota Electric (20%). Our WRDC mine supplies all of the fuel for the</w:t>
            </w:r>
          </w:p>
        </w:tc>
      </w:tr>
      <w:tr>
        <w:trPr>
          <w:trHeight w:val="210"/>
        </w:trPr>
        <w:tc>
          <w:tcPr>
            <w:tcW w:w="280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6"/>
                <w:szCs w:val="16"/>
                <w:color w:val="auto"/>
              </w:rPr>
              <w:t>facility.</w:t>
            </w:r>
          </w:p>
        </w:tc>
      </w:tr>
      <w:tr>
        <w:trPr>
          <w:trHeight w:val="182"/>
        </w:trPr>
        <w:tc>
          <w:tcPr>
            <w:tcW w:w="280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Wyoming Electric</w:t>
            </w:r>
          </w:p>
        </w:tc>
        <w:tc>
          <w:tcPr>
            <w:tcW w:w="8440" w:type="dxa"/>
            <w:vAlign w:val="bottom"/>
            <w:shd w:val="clear" w:color="auto" w:fill="CFF0FC"/>
          </w:tcPr>
          <w:p>
            <w:pPr>
              <w:ind w:left="1040"/>
              <w:spacing w:after="0" w:line="182" w:lineRule="exact"/>
              <w:rPr>
                <w:sz w:val="20"/>
                <w:szCs w:val="20"/>
                <w:color w:val="auto"/>
              </w:rPr>
            </w:pPr>
            <w:r>
              <w:rPr>
                <w:rFonts w:ascii="Arial" w:cs="Arial" w:eastAsia="Arial" w:hAnsi="Arial"/>
                <w:sz w:val="16"/>
                <w:szCs w:val="16"/>
                <w:color w:val="auto"/>
              </w:rPr>
              <w:t>Cheyenne Light, Fuel and Power Company, a direct, wholly-owned subsidiary of Black Hills</w:t>
            </w:r>
          </w:p>
        </w:tc>
      </w:tr>
      <w:tr>
        <w:trPr>
          <w:trHeight w:val="189"/>
        </w:trPr>
        <w:tc>
          <w:tcPr>
            <w:tcW w:w="2800" w:type="dxa"/>
            <w:vAlign w:val="bottom"/>
            <w:shd w:val="clear" w:color="auto" w:fill="CFF0FC"/>
          </w:tcPr>
          <w:p>
            <w:pPr>
              <w:spacing w:after="0"/>
              <w:rPr>
                <w:sz w:val="16"/>
                <w:szCs w:val="16"/>
                <w:color w:val="auto"/>
              </w:rPr>
            </w:pP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Corporation, providing electric service to customers in the Cheyenne, Wyoming area (doing business</w:t>
            </w:r>
          </w:p>
        </w:tc>
      </w:tr>
      <w:tr>
        <w:trPr>
          <w:trHeight w:val="213"/>
        </w:trPr>
        <w:tc>
          <w:tcPr>
            <w:tcW w:w="2800" w:type="dxa"/>
            <w:vAlign w:val="bottom"/>
            <w:shd w:val="clear" w:color="auto" w:fill="CFF0FC"/>
          </w:tcPr>
          <w:p>
            <w:pPr>
              <w:spacing w:after="0"/>
              <w:rPr>
                <w:sz w:val="18"/>
                <w:szCs w:val="18"/>
                <w:color w:val="auto"/>
              </w:rPr>
            </w:pP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as Black Hills Energy).</w:t>
            </w:r>
          </w:p>
        </w:tc>
      </w:tr>
      <w:tr>
        <w:trPr>
          <w:trHeight w:val="179"/>
        </w:trPr>
        <w:tc>
          <w:tcPr>
            <w:tcW w:w="2800" w:type="dxa"/>
            <w:vAlign w:val="bottom"/>
          </w:tcPr>
          <w:p>
            <w:pPr>
              <w:ind w:left="20"/>
              <w:spacing w:after="0" w:line="179" w:lineRule="exact"/>
              <w:rPr>
                <w:sz w:val="20"/>
                <w:szCs w:val="20"/>
                <w:color w:val="auto"/>
              </w:rPr>
            </w:pPr>
            <w:r>
              <w:rPr>
                <w:rFonts w:ascii="Arial" w:cs="Arial" w:eastAsia="Arial" w:hAnsi="Arial"/>
                <w:sz w:val="16"/>
                <w:szCs w:val="16"/>
                <w:color w:val="auto"/>
              </w:rPr>
              <w:t>Wyoming Gas</w:t>
            </w:r>
          </w:p>
        </w:tc>
        <w:tc>
          <w:tcPr>
            <w:tcW w:w="8440" w:type="dxa"/>
            <w:vAlign w:val="bottom"/>
          </w:tcPr>
          <w:p>
            <w:pPr>
              <w:ind w:left="1040"/>
              <w:spacing w:after="0" w:line="179" w:lineRule="exact"/>
              <w:rPr>
                <w:sz w:val="20"/>
                <w:szCs w:val="20"/>
                <w:color w:val="auto"/>
              </w:rPr>
            </w:pPr>
            <w:r>
              <w:rPr>
                <w:rFonts w:ascii="Arial" w:cs="Arial" w:eastAsia="Arial" w:hAnsi="Arial"/>
                <w:sz w:val="16"/>
                <w:szCs w:val="16"/>
                <w:color w:val="auto"/>
              </w:rPr>
              <w:t>Black Hills Wyoming Gas, LLC, an indirect and wholly-owned subsidiary of Black Hills Utility Holdings,</w:t>
            </w:r>
          </w:p>
        </w:tc>
      </w:tr>
      <w:tr>
        <w:trPr>
          <w:trHeight w:val="210"/>
        </w:trPr>
        <w:tc>
          <w:tcPr>
            <w:tcW w:w="280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6"/>
                <w:szCs w:val="16"/>
                <w:color w:val="auto"/>
              </w:rPr>
              <w:t>providing natural gas services to customers in Wyoming (doing business as Black Hills Energy).</w:t>
            </w:r>
          </w:p>
        </w:tc>
      </w:tr>
      <w:tr>
        <w:trPr>
          <w:trHeight w:val="182"/>
        </w:trPr>
        <w:tc>
          <w:tcPr>
            <w:tcW w:w="280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Wyoming Integrity Rider</w:t>
            </w:r>
          </w:p>
        </w:tc>
        <w:tc>
          <w:tcPr>
            <w:tcW w:w="8440" w:type="dxa"/>
            <w:vAlign w:val="bottom"/>
            <w:shd w:val="clear" w:color="auto" w:fill="CFF0FC"/>
          </w:tcPr>
          <w:p>
            <w:pPr>
              <w:ind w:left="1040"/>
              <w:spacing w:after="0" w:line="182" w:lineRule="exact"/>
              <w:rPr>
                <w:sz w:val="20"/>
                <w:szCs w:val="20"/>
                <w:color w:val="auto"/>
              </w:rPr>
            </w:pPr>
            <w:r>
              <w:rPr>
                <w:rFonts w:ascii="Arial" w:cs="Arial" w:eastAsia="Arial" w:hAnsi="Arial"/>
                <w:sz w:val="16"/>
                <w:szCs w:val="16"/>
                <w:color w:val="auto"/>
              </w:rPr>
              <w:t>The Wyoming Integrity Rider (WIR) is a WPSC-approved tariff that allows us to recover costs from</w:t>
            </w:r>
          </w:p>
        </w:tc>
      </w:tr>
      <w:tr>
        <w:trPr>
          <w:trHeight w:val="189"/>
        </w:trPr>
        <w:tc>
          <w:tcPr>
            <w:tcW w:w="2800" w:type="dxa"/>
            <w:vAlign w:val="bottom"/>
            <w:shd w:val="clear" w:color="auto" w:fill="CFF0FC"/>
          </w:tcPr>
          <w:p>
            <w:pPr>
              <w:spacing w:after="0"/>
              <w:rPr>
                <w:sz w:val="16"/>
                <w:szCs w:val="16"/>
                <w:color w:val="auto"/>
              </w:rPr>
            </w:pP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customers associated with ongoing infrastructure replacement, gas meter and yard line replacement</w:t>
            </w:r>
          </w:p>
        </w:tc>
      </w:tr>
      <w:tr>
        <w:trPr>
          <w:trHeight w:val="213"/>
        </w:trPr>
        <w:tc>
          <w:tcPr>
            <w:tcW w:w="2800" w:type="dxa"/>
            <w:vAlign w:val="bottom"/>
            <w:shd w:val="clear" w:color="auto" w:fill="CFF0FC"/>
          </w:tcPr>
          <w:p>
            <w:pPr>
              <w:spacing w:after="0"/>
              <w:rPr>
                <w:sz w:val="18"/>
                <w:szCs w:val="18"/>
                <w:color w:val="auto"/>
              </w:rPr>
            </w:pP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projects driven by federal regulation.</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INFORMATION</w:t>
      </w:r>
    </w:p>
    <w:p>
      <w:pPr>
        <w:spacing w:after="0" w:line="20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This Quarterly Report on Form 10-Q includes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We make these forward-looking statements in reliance on the safe harbor protections provided under the Private Securities Litigation Reform Act of 1995.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the risk factors described in Item 1A of Part I of our 2022 Annual Report on Form 10-K, Part II,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of this Quarterly Report on Form 10-Q and other reports that we file with the SEC from time to time, and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5128260</wp:posOffset>
            </wp:positionH>
            <wp:positionV relativeFrom="paragraph">
              <wp:posOffset>-142240</wp:posOffset>
            </wp:positionV>
            <wp:extent cx="3543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4330" cy="8255"/>
                    </a:xfrm>
                    <a:prstGeom prst="rect">
                      <a:avLst/>
                    </a:prstGeom>
                    <a:noFill/>
                  </pic:spPr>
                </pic:pic>
              </a:graphicData>
            </a:graphic>
          </wp:anchor>
        </w:drawing>
      </w:r>
    </w:p>
    <w:p>
      <w:pPr>
        <w:spacing w:after="0" w:line="150" w:lineRule="exact"/>
        <w:rPr>
          <w:sz w:val="20"/>
          <w:szCs w:val="20"/>
          <w:color w:val="auto"/>
        </w:rPr>
      </w:pPr>
    </w:p>
    <w:p>
      <w:pPr>
        <w:ind w:left="380" w:right="240" w:hanging="372"/>
        <w:spacing w:after="0" w:line="261"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adequate cost recovery for our utility operations through regulatory proceedings and favorable rulings on periodic applications to recover costs for capital additions, plant retirements and decommissioning, fuel, transmission, purchased power, and other operating costs and the timing in which new rates would go into effect;</w:t>
      </w:r>
    </w:p>
    <w:p>
      <w:pPr>
        <w:spacing w:after="0" w:line="155"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complete our capital program in a cost-effective and timely manner;</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on our strategy;</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execute our financing plans;</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changing interest rates;</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our greenhouse gas emissions intensity reduction goals;</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Board of Directors’ approval of any future quarterly dividends;</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future governmental regulation;</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overcome the impacts of supply chain disruptions on availability and cost of materials;</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inflation and volatile energy prices; and</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factors discussed from time to time in our filings with the SEC.</w:t>
      </w:r>
    </w:p>
    <w:p>
      <w:pPr>
        <w:spacing w:after="0" w:line="208"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3860" w:type="dxa"/>
            <w:vAlign w:val="bottom"/>
            <w:gridSpan w:val="3"/>
          </w:tcPr>
          <w:p>
            <w:pPr>
              <w:spacing w:after="0"/>
              <w:rPr>
                <w:sz w:val="20"/>
                <w:szCs w:val="20"/>
                <w:color w:val="auto"/>
              </w:rPr>
            </w:pPr>
            <w:r>
              <w:rPr>
                <w:rFonts w:ascii="Arial" w:cs="Arial" w:eastAsia="Arial" w:hAnsi="Arial"/>
                <w:sz w:val="16"/>
                <w:szCs w:val="16"/>
                <w:b w:val="1"/>
                <w:bCs w:val="1"/>
                <w:color w:val="0000FF"/>
              </w:rPr>
              <w:t>Table of Contents</w:t>
            </w: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93"/>
        </w:trPr>
        <w:tc>
          <w:tcPr>
            <w:tcW w:w="100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2860" w:type="dxa"/>
            <w:vAlign w:val="bottom"/>
            <w:gridSpan w:val="2"/>
          </w:tcPr>
          <w:p>
            <w:pPr>
              <w:ind w:left="80"/>
              <w:spacing w:after="0"/>
              <w:rPr>
                <w:sz w:val="20"/>
                <w:szCs w:val="20"/>
                <w:color w:val="auto"/>
              </w:rPr>
            </w:pPr>
            <w:r>
              <w:rPr>
                <w:rFonts w:ascii="Arial" w:cs="Arial" w:eastAsia="Arial" w:hAnsi="Arial"/>
                <w:sz w:val="16"/>
                <w:szCs w:val="16"/>
                <w:b w:val="1"/>
                <w:bCs w:val="1"/>
                <w:color w:val="auto"/>
              </w:rPr>
              <w:t>FINANCIAL INFORMATION</w:t>
            </w: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2"/>
        </w:trPr>
        <w:tc>
          <w:tcPr>
            <w:tcW w:w="100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2860" w:type="dxa"/>
            <w:vAlign w:val="bottom"/>
            <w:gridSpan w:val="2"/>
          </w:tcPr>
          <w:p>
            <w:pPr>
              <w:ind w:left="80"/>
              <w:spacing w:after="0"/>
              <w:rPr>
                <w:sz w:val="20"/>
                <w:szCs w:val="20"/>
                <w:color w:val="auto"/>
              </w:rPr>
            </w:pPr>
            <w:r>
              <w:rPr>
                <w:rFonts w:ascii="Arial" w:cs="Arial" w:eastAsia="Arial" w:hAnsi="Arial"/>
                <w:sz w:val="16"/>
                <w:szCs w:val="16"/>
                <w:b w:val="1"/>
                <w:bCs w:val="1"/>
                <w:color w:val="auto"/>
              </w:rPr>
              <w:t>FINANCIAL STATEMENTS</w:t>
            </w: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4"/>
        </w:trPr>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BLACK HILLS CORPORATION</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7"/>
        </w:trPr>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520" w:type="dxa"/>
            <w:vAlign w:val="bottom"/>
            <w:gridSpan w:val="4"/>
          </w:tcPr>
          <w:p>
            <w:pPr>
              <w:jc w:val="right"/>
              <w:spacing w:after="0"/>
              <w:rPr>
                <w:sz w:val="20"/>
                <w:szCs w:val="20"/>
                <w:color w:val="auto"/>
              </w:rPr>
            </w:pPr>
            <w:r>
              <w:rPr>
                <w:rFonts w:ascii="Arial" w:cs="Arial" w:eastAsia="Arial" w:hAnsi="Arial"/>
                <w:sz w:val="16"/>
                <w:szCs w:val="16"/>
                <w:b w:val="1"/>
                <w:bCs w:val="1"/>
                <w:color w:val="auto"/>
              </w:rPr>
              <w:t>CONSOLIDATED STATEMENTS OF INCOME</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75"/>
        </w:trPr>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3"/>
          </w:tcPr>
          <w:p>
            <w:pPr>
              <w:jc w:val="right"/>
              <w:ind w:right="679"/>
              <w:spacing w:after="0"/>
              <w:rPr>
                <w:sz w:val="20"/>
                <w:szCs w:val="20"/>
                <w:color w:val="auto"/>
              </w:rPr>
            </w:pPr>
            <w:r>
              <w:rPr>
                <w:rFonts w:ascii="Arial" w:cs="Arial" w:eastAsia="Arial" w:hAnsi="Arial"/>
                <w:sz w:val="16"/>
                <w:szCs w:val="16"/>
                <w:color w:val="auto"/>
              </w:rPr>
              <w:t>Three Months Ended</w:t>
            </w:r>
          </w:p>
        </w:tc>
        <w:tc>
          <w:tcPr>
            <w:tcW w:w="300" w:type="dxa"/>
            <w:vAlign w:val="bottom"/>
          </w:tcPr>
          <w:p>
            <w:pPr>
              <w:spacing w:after="0"/>
              <w:rPr>
                <w:sz w:val="24"/>
                <w:szCs w:val="24"/>
                <w:color w:val="auto"/>
              </w:rPr>
            </w:pPr>
          </w:p>
        </w:tc>
        <w:tc>
          <w:tcPr>
            <w:tcW w:w="2600" w:type="dxa"/>
            <w:vAlign w:val="bottom"/>
            <w:gridSpan w:val="3"/>
          </w:tcPr>
          <w:p>
            <w:pPr>
              <w:jc w:val="right"/>
              <w:ind w:right="699"/>
              <w:spacing w:after="0"/>
              <w:rPr>
                <w:sz w:val="20"/>
                <w:szCs w:val="20"/>
                <w:color w:val="auto"/>
              </w:rPr>
            </w:pPr>
            <w:r>
              <w:rPr>
                <w:rFonts w:ascii="Arial" w:cs="Arial" w:eastAsia="Arial" w:hAnsi="Arial"/>
                <w:sz w:val="16"/>
                <w:szCs w:val="16"/>
                <w:color w:val="auto"/>
              </w:rPr>
              <w:t>Nine Months Ended</w:t>
            </w:r>
          </w:p>
        </w:tc>
      </w:tr>
      <w:tr>
        <w:trPr>
          <w:trHeight w:val="207"/>
        </w:trPr>
        <w:tc>
          <w:tcPr>
            <w:tcW w:w="1000" w:type="dxa"/>
            <w:vAlign w:val="bottom"/>
          </w:tcPr>
          <w:p>
            <w:pPr>
              <w:ind w:left="20"/>
              <w:spacing w:after="0"/>
              <w:rPr>
                <w:sz w:val="20"/>
                <w:szCs w:val="20"/>
                <w:color w:val="auto"/>
              </w:rPr>
            </w:pPr>
            <w:r>
              <w:rPr>
                <w:rFonts w:ascii="Arial" w:cs="Arial" w:eastAsia="Arial" w:hAnsi="Arial"/>
                <w:sz w:val="16"/>
                <w:szCs w:val="16"/>
                <w:color w:val="auto"/>
              </w:rPr>
              <w:t>(unaudited)</w:t>
            </w:r>
          </w:p>
        </w:tc>
        <w:tc>
          <w:tcPr>
            <w:tcW w:w="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September 30,</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September 30,</w:t>
            </w:r>
          </w:p>
        </w:tc>
        <w:tc>
          <w:tcPr>
            <w:tcW w:w="960" w:type="dxa"/>
            <w:vAlign w:val="bottom"/>
          </w:tcPr>
          <w:p>
            <w:pPr>
              <w:spacing w:after="0"/>
              <w:rPr>
                <w:sz w:val="17"/>
                <w:szCs w:val="17"/>
                <w:color w:val="auto"/>
              </w:rPr>
            </w:pPr>
          </w:p>
        </w:tc>
      </w:tr>
      <w:tr>
        <w:trPr>
          <w:trHeight w:val="219"/>
        </w:trPr>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2023</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95"/>
              </w:rPr>
              <w:t>2022</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2023</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95"/>
              </w:rPr>
              <w:t>2022</w:t>
            </w:r>
          </w:p>
        </w:tc>
      </w:tr>
      <w:tr>
        <w:trPr>
          <w:trHeight w:val="209"/>
        </w:trPr>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gridSpan w:val="5"/>
          </w:tcPr>
          <w:p>
            <w:pPr>
              <w:jc w:val="right"/>
              <w:spacing w:after="0"/>
              <w:rPr>
                <w:sz w:val="20"/>
                <w:szCs w:val="20"/>
                <w:color w:val="auto"/>
              </w:rPr>
            </w:pPr>
            <w:r>
              <w:rPr>
                <w:rFonts w:ascii="Arial" w:cs="Arial" w:eastAsia="Arial" w:hAnsi="Arial"/>
                <w:sz w:val="16"/>
                <w:szCs w:val="16"/>
                <w:color w:val="auto"/>
              </w:rPr>
              <w:t>(in thousands, except per share amounts)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1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tcBorders>
              <w:right w:val="single" w:sz="8" w:color="CFF0FC"/>
            </w:tcBorders>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407,126</w:t>
            </w:r>
          </w:p>
        </w:tc>
        <w:tc>
          <w:tcPr>
            <w:tcW w:w="5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462,612</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1,739,568</w:t>
            </w:r>
          </w:p>
        </w:tc>
        <w:tc>
          <w:tcPr>
            <w:tcW w:w="5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1,760,377</w:t>
            </w:r>
          </w:p>
        </w:tc>
      </w:tr>
      <w:tr>
        <w:trPr>
          <w:trHeight w:val="209"/>
        </w:trPr>
        <w:tc>
          <w:tcPr>
            <w:tcW w:w="1380" w:type="dxa"/>
            <w:vAlign w:val="bottom"/>
            <w:tcBorders>
              <w:top w:val="single" w:sz="8" w:color="CFF0FC"/>
            </w:tcBorders>
            <w:gridSpan w:val="2"/>
          </w:tcPr>
          <w:p>
            <w:pPr>
              <w:spacing w:after="0"/>
              <w:rPr>
                <w:sz w:val="18"/>
                <w:szCs w:val="18"/>
                <w:color w:val="auto"/>
              </w:rPr>
            </w:pPr>
          </w:p>
        </w:tc>
        <w:tc>
          <w:tcPr>
            <w:tcW w:w="2480" w:type="dxa"/>
            <w:vAlign w:val="bottom"/>
            <w:tcBorders>
              <w:top w:val="single" w:sz="8" w:color="CFF0FC"/>
            </w:tcBorders>
          </w:tcPr>
          <w:p>
            <w:pPr>
              <w:spacing w:after="0"/>
              <w:rPr>
                <w:sz w:val="18"/>
                <w:szCs w:val="18"/>
                <w:color w:val="auto"/>
              </w:rPr>
            </w:pPr>
          </w:p>
        </w:tc>
        <w:tc>
          <w:tcPr>
            <w:tcW w:w="15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16"/>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3"/>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102,241</w:t>
            </w:r>
          </w:p>
        </w:tc>
        <w:tc>
          <w:tcPr>
            <w:tcW w:w="5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168,535</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749,753</w:t>
            </w:r>
          </w:p>
        </w:tc>
        <w:tc>
          <w:tcPr>
            <w:tcW w:w="5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793,632</w:t>
            </w:r>
          </w:p>
        </w:tc>
      </w:tr>
      <w:tr>
        <w:trPr>
          <w:trHeight w:val="21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1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125,767</w:t>
            </w: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134,449</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412,522</w:t>
            </w: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403,549</w:t>
            </w:r>
          </w:p>
        </w:tc>
      </w:tr>
      <w:tr>
        <w:trPr>
          <w:trHeight w:val="213"/>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64,878</w:t>
            </w:r>
          </w:p>
        </w:tc>
        <w:tc>
          <w:tcPr>
            <w:tcW w:w="5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64,019</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191,235</w:t>
            </w:r>
          </w:p>
        </w:tc>
        <w:tc>
          <w:tcPr>
            <w:tcW w:w="5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188,610</w:t>
            </w:r>
          </w:p>
        </w:tc>
      </w:tr>
      <w:tr>
        <w:trPr>
          <w:trHeight w:val="219"/>
        </w:trPr>
        <w:tc>
          <w:tcPr>
            <w:tcW w:w="3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Taxes - property and production</w:t>
            </w:r>
          </w:p>
        </w:tc>
        <w:tc>
          <w:tcPr>
            <w:tcW w:w="15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16,469</w:t>
            </w: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16,130</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49,888</w:t>
            </w: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49,365</w:t>
            </w:r>
          </w:p>
        </w:tc>
      </w:tr>
      <w:tr>
        <w:trPr>
          <w:trHeight w:val="207"/>
        </w:trPr>
        <w:tc>
          <w:tcPr>
            <w:tcW w:w="3860" w:type="dxa"/>
            <w:vAlign w:val="bottom"/>
            <w:gridSpan w:val="3"/>
          </w:tcPr>
          <w:p>
            <w:pPr>
              <w:ind w:left="200"/>
              <w:spacing w:after="0"/>
              <w:rPr>
                <w:sz w:val="20"/>
                <w:szCs w:val="20"/>
                <w:color w:val="auto"/>
              </w:rPr>
            </w:pPr>
            <w:r>
              <w:rPr>
                <w:rFonts w:ascii="Arial" w:cs="Arial" w:eastAsia="Arial" w:hAnsi="Arial"/>
                <w:sz w:val="16"/>
                <w:szCs w:val="16"/>
                <w:color w:val="auto"/>
              </w:rPr>
              <w:t>Total operating expenses</w:t>
            </w: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309,355</w:t>
            </w:r>
          </w:p>
        </w:tc>
        <w:tc>
          <w:tcPr>
            <w:tcW w:w="5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383,133</w:t>
            </w:r>
          </w:p>
        </w:tc>
        <w:tc>
          <w:tcPr>
            <w:tcW w:w="3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1,403,398</w:t>
            </w:r>
          </w:p>
        </w:tc>
        <w:tc>
          <w:tcPr>
            <w:tcW w:w="5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1,435,156</w:t>
            </w:r>
          </w:p>
        </w:tc>
      </w:tr>
      <w:tr>
        <w:trPr>
          <w:trHeight w:val="219"/>
        </w:trPr>
        <w:tc>
          <w:tcPr>
            <w:tcW w:w="1380" w:type="dxa"/>
            <w:vAlign w:val="bottom"/>
            <w:tcBorders>
              <w:right w:val="single" w:sz="8" w:color="CFF0FC"/>
            </w:tcBorders>
            <w:gridSpan w:val="2"/>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13"/>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Operating income</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97,771</w:t>
            </w:r>
          </w:p>
        </w:tc>
        <w:tc>
          <w:tcPr>
            <w:tcW w:w="5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79,479</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336,170</w:t>
            </w:r>
          </w:p>
        </w:tc>
        <w:tc>
          <w:tcPr>
            <w:tcW w:w="5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325,221</w:t>
            </w:r>
          </w:p>
        </w:tc>
      </w:tr>
      <w:tr>
        <w:trPr>
          <w:trHeight w:val="219"/>
        </w:trPr>
        <w:tc>
          <w:tcPr>
            <w:tcW w:w="1380" w:type="dxa"/>
            <w:vAlign w:val="bottom"/>
            <w:tcBorders>
              <w:right w:val="single" w:sz="8" w:color="CFF0FC"/>
            </w:tcBorders>
            <w:gridSpan w:val="2"/>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13"/>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Other income (expense):</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Interest expense incurred net of amounts capitalized</w:t>
            </w:r>
          </w:p>
        </w:tc>
        <w:tc>
          <w:tcPr>
            <w:tcW w:w="1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(44,477 )</w:t>
            </w: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(40,580 )</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(131,809 )</w:t>
            </w: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(118,454 )</w:t>
            </w:r>
          </w:p>
        </w:tc>
      </w:tr>
      <w:tr>
        <w:trPr>
          <w:trHeight w:val="213"/>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3,479</w:t>
            </w:r>
          </w:p>
        </w:tc>
        <w:tc>
          <w:tcPr>
            <w:tcW w:w="5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561</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5,786</w:t>
            </w:r>
          </w:p>
        </w:tc>
        <w:tc>
          <w:tcPr>
            <w:tcW w:w="5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1,126</w:t>
            </w:r>
          </w:p>
        </w:tc>
      </w:tr>
      <w:tr>
        <w:trPr>
          <w:trHeight w:val="219"/>
        </w:trPr>
        <w:tc>
          <w:tcPr>
            <w:tcW w:w="3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15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(647 )</w:t>
            </w: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464</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(1,513 )</w:t>
            </w: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2,731</w:t>
            </w:r>
          </w:p>
        </w:tc>
      </w:tr>
      <w:tr>
        <w:trPr>
          <w:trHeight w:val="209"/>
        </w:trPr>
        <w:tc>
          <w:tcPr>
            <w:tcW w:w="3860" w:type="dxa"/>
            <w:vAlign w:val="bottom"/>
            <w:gridSpan w:val="3"/>
          </w:tcPr>
          <w:p>
            <w:pPr>
              <w:ind w:left="200"/>
              <w:spacing w:after="0"/>
              <w:rPr>
                <w:sz w:val="20"/>
                <w:szCs w:val="20"/>
                <w:color w:val="auto"/>
              </w:rPr>
            </w:pPr>
            <w:r>
              <w:rPr>
                <w:rFonts w:ascii="Arial" w:cs="Arial" w:eastAsia="Arial" w:hAnsi="Arial"/>
                <w:sz w:val="16"/>
                <w:szCs w:val="16"/>
                <w:color w:val="auto"/>
              </w:rPr>
              <w:t>Total other income (expense)</w:t>
            </w:r>
          </w:p>
        </w:tc>
        <w:tc>
          <w:tcPr>
            <w:tcW w:w="1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(41,645 )</w:t>
            </w: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(39,555 )</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(127,536 )</w:t>
            </w: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(114,597 )</w:t>
            </w:r>
          </w:p>
        </w:tc>
      </w:tr>
      <w:tr>
        <w:trPr>
          <w:trHeight w:val="210"/>
        </w:trPr>
        <w:tc>
          <w:tcPr>
            <w:tcW w:w="1380" w:type="dxa"/>
            <w:vAlign w:val="bottom"/>
            <w:tcBorders>
              <w:right w:val="single" w:sz="8" w:color="CFF0FC"/>
            </w:tcBorders>
            <w:gridSpan w:val="2"/>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3"/>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Income before income taxes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56,126</w:t>
            </w:r>
          </w:p>
        </w:tc>
        <w:tc>
          <w:tcPr>
            <w:tcW w:w="5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39,924</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208,634</w:t>
            </w:r>
          </w:p>
        </w:tc>
        <w:tc>
          <w:tcPr>
            <w:tcW w:w="5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210,624</w:t>
            </w:r>
          </w:p>
        </w:tc>
      </w:tr>
      <w:tr>
        <w:trPr>
          <w:trHeight w:val="219"/>
        </w:trPr>
        <w:tc>
          <w:tcPr>
            <w:tcW w:w="3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15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(7,366 )</w:t>
            </w: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(2,090 )</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(15,950 )</w:t>
            </w: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(15,920 )</w:t>
            </w:r>
          </w:p>
        </w:tc>
      </w:tr>
      <w:tr>
        <w:trPr>
          <w:trHeight w:val="206"/>
        </w:trPr>
        <w:tc>
          <w:tcPr>
            <w:tcW w:w="10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48,760</w:t>
            </w:r>
          </w:p>
        </w:tc>
        <w:tc>
          <w:tcPr>
            <w:tcW w:w="5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37,834</w:t>
            </w:r>
          </w:p>
        </w:tc>
        <w:tc>
          <w:tcPr>
            <w:tcW w:w="3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192,684</w:t>
            </w:r>
          </w:p>
        </w:tc>
        <w:tc>
          <w:tcPr>
            <w:tcW w:w="5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194,704</w:t>
            </w:r>
          </w:p>
        </w:tc>
      </w:tr>
      <w:tr>
        <w:trPr>
          <w:trHeight w:val="219"/>
        </w:trPr>
        <w:tc>
          <w:tcPr>
            <w:tcW w:w="3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5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(3,377 )</w:t>
            </w: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(2,861 )</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(10,164 )</w:t>
            </w: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(8,790 )</w:t>
            </w:r>
          </w:p>
        </w:tc>
      </w:tr>
      <w:tr>
        <w:trPr>
          <w:trHeight w:val="210"/>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Net income available for common stock</w:t>
            </w:r>
          </w:p>
        </w:tc>
        <w:tc>
          <w:tcPr>
            <w:tcW w:w="18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45,383</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34,973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182,520</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185,914</w:t>
            </w:r>
          </w:p>
        </w:tc>
      </w:tr>
      <w:tr>
        <w:trPr>
          <w:trHeight w:val="20"/>
        </w:trPr>
        <w:tc>
          <w:tcPr>
            <w:tcW w:w="13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380" w:type="dxa"/>
            <w:vAlign w:val="bottom"/>
            <w:tcBorders>
              <w:right w:val="single" w:sz="8" w:color="CFF0FC"/>
            </w:tcBorders>
            <w:gridSpan w:val="2"/>
            <w:shd w:val="clear" w:color="auto" w:fill="CFF0FC"/>
          </w:tcPr>
          <w:p>
            <w:pPr>
              <w:spacing w:after="0"/>
              <w:rPr>
                <w:sz w:val="17"/>
                <w:szCs w:val="17"/>
                <w:color w:val="auto"/>
              </w:rPr>
            </w:pPr>
          </w:p>
        </w:tc>
        <w:tc>
          <w:tcPr>
            <w:tcW w:w="24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13"/>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Earnings per share of common stock:</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9"/>
        </w:trPr>
        <w:tc>
          <w:tcPr>
            <w:tcW w:w="386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Earnings per share, Basic</w:t>
            </w:r>
          </w:p>
        </w:tc>
        <w:tc>
          <w:tcPr>
            <w:tcW w:w="15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0.67</w:t>
            </w:r>
          </w:p>
        </w:tc>
        <w:tc>
          <w:tcPr>
            <w:tcW w:w="5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0.54</w:t>
            </w: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2.74</w:t>
            </w:r>
          </w:p>
        </w:tc>
        <w:tc>
          <w:tcPr>
            <w:tcW w:w="5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2.87</w:t>
            </w:r>
          </w:p>
        </w:tc>
      </w:tr>
      <w:tr>
        <w:trPr>
          <w:trHeight w:val="197"/>
        </w:trPr>
        <w:tc>
          <w:tcPr>
            <w:tcW w:w="3860" w:type="dxa"/>
            <w:vAlign w:val="bottom"/>
            <w:gridSpan w:val="3"/>
          </w:tcPr>
          <w:p>
            <w:pPr>
              <w:ind w:left="120"/>
              <w:spacing w:after="0"/>
              <w:rPr>
                <w:sz w:val="20"/>
                <w:szCs w:val="20"/>
                <w:color w:val="auto"/>
              </w:rPr>
            </w:pPr>
            <w:r>
              <w:rPr>
                <w:rFonts w:ascii="Arial" w:cs="Arial" w:eastAsia="Arial" w:hAnsi="Arial"/>
                <w:sz w:val="16"/>
                <w:szCs w:val="16"/>
                <w:color w:val="auto"/>
              </w:rPr>
              <w:t>Earnings per share, Diluted</w:t>
            </w:r>
          </w:p>
        </w:tc>
        <w:tc>
          <w:tcPr>
            <w:tcW w:w="18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0.67</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0.54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2.74</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2.86</w:t>
            </w:r>
          </w:p>
        </w:tc>
      </w:tr>
      <w:tr>
        <w:trPr>
          <w:trHeight w:val="20"/>
        </w:trPr>
        <w:tc>
          <w:tcPr>
            <w:tcW w:w="13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380" w:type="dxa"/>
            <w:vAlign w:val="bottom"/>
            <w:tcBorders>
              <w:right w:val="single" w:sz="8" w:color="CFF0FC"/>
            </w:tcBorders>
            <w:gridSpan w:val="2"/>
            <w:shd w:val="clear" w:color="auto" w:fill="CFF0FC"/>
          </w:tcPr>
          <w:p>
            <w:pPr>
              <w:spacing w:after="0"/>
              <w:rPr>
                <w:sz w:val="17"/>
                <w:szCs w:val="17"/>
                <w:color w:val="auto"/>
              </w:rPr>
            </w:pPr>
          </w:p>
        </w:tc>
        <w:tc>
          <w:tcPr>
            <w:tcW w:w="24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13"/>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9"/>
        </w:trPr>
        <w:tc>
          <w:tcPr>
            <w:tcW w:w="1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CFF0FC"/>
              <w:right w:val="single" w:sz="8" w:color="CFF0FC"/>
            </w:tcBorders>
            <w:shd w:val="clear" w:color="auto" w:fill="CFF0FC"/>
          </w:tcPr>
          <w:p>
            <w:pPr>
              <w:spacing w:after="0"/>
              <w:rPr>
                <w:sz w:val="22"/>
                <w:szCs w:val="22"/>
                <w:color w:val="auto"/>
              </w:rPr>
            </w:pPr>
          </w:p>
        </w:tc>
        <w:tc>
          <w:tcPr>
            <w:tcW w:w="248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67,315</w:t>
            </w:r>
          </w:p>
        </w:tc>
        <w:tc>
          <w:tcPr>
            <w:tcW w:w="5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64,876</w:t>
            </w:r>
          </w:p>
        </w:tc>
        <w:tc>
          <w:tcPr>
            <w:tcW w:w="3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66,652</w:t>
            </w:r>
          </w:p>
        </w:tc>
        <w:tc>
          <w:tcPr>
            <w:tcW w:w="5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64,722</w:t>
            </w:r>
          </w:p>
        </w:tc>
      </w:tr>
      <w:tr>
        <w:trPr>
          <w:trHeight w:val="197"/>
        </w:trPr>
        <w:tc>
          <w:tcPr>
            <w:tcW w:w="1000" w:type="dxa"/>
            <w:vAlign w:val="bottom"/>
          </w:tcPr>
          <w:p>
            <w:pPr>
              <w:ind w:left="120"/>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67,389</w:t>
            </w: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65,061</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66,725</w:t>
            </w: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64,910</w:t>
            </w: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-6985</wp:posOffset>
            </wp:positionV>
            <wp:extent cx="25558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63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6"/>
        </w:trPr>
        <w:tc>
          <w:tcPr>
            <w:tcW w:w="1360" w:type="dxa"/>
            <w:vAlign w:val="bottom"/>
            <w:tcBorders>
              <w:top w:val="single" w:sz="8" w:color="0000FF"/>
            </w:tcBorders>
          </w:tcPr>
          <w:p>
            <w:pPr>
              <w:spacing w:after="0"/>
              <w:rPr>
                <w:sz w:val="24"/>
                <w:szCs w:val="24"/>
                <w:color w:val="auto"/>
              </w:rPr>
            </w:pPr>
          </w:p>
        </w:tc>
        <w:tc>
          <w:tcPr>
            <w:tcW w:w="620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BLACK HILLS CORPORATION</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744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13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3"/>
          </w:tcPr>
          <w:p>
            <w:pPr>
              <w:jc w:val="right"/>
              <w:ind w:right="439"/>
              <w:spacing w:after="0"/>
              <w:rPr>
                <w:sz w:val="20"/>
                <w:szCs w:val="20"/>
                <w:color w:val="auto"/>
              </w:rPr>
            </w:pPr>
            <w:r>
              <w:rPr>
                <w:rFonts w:ascii="Arial" w:cs="Arial" w:eastAsia="Arial" w:hAnsi="Arial"/>
                <w:sz w:val="16"/>
                <w:szCs w:val="16"/>
                <w:color w:val="auto"/>
              </w:rPr>
              <w:t>Three Months Ended</w:t>
            </w:r>
          </w:p>
        </w:tc>
        <w:tc>
          <w:tcPr>
            <w:tcW w:w="240" w:type="dxa"/>
            <w:vAlign w:val="bottom"/>
          </w:tcPr>
          <w:p>
            <w:pPr>
              <w:spacing w:after="0"/>
              <w:rPr>
                <w:sz w:val="24"/>
                <w:szCs w:val="24"/>
                <w:color w:val="auto"/>
              </w:rPr>
            </w:pPr>
          </w:p>
        </w:tc>
        <w:tc>
          <w:tcPr>
            <w:tcW w:w="2200" w:type="dxa"/>
            <w:vAlign w:val="bottom"/>
            <w:gridSpan w:val="3"/>
          </w:tcPr>
          <w:p>
            <w:pPr>
              <w:jc w:val="right"/>
              <w:ind w:right="47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07"/>
        </w:trPr>
        <w:tc>
          <w:tcPr>
            <w:tcW w:w="632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260" w:type="dxa"/>
            <w:vAlign w:val="bottom"/>
          </w:tcPr>
          <w:p>
            <w:pPr>
              <w:spacing w:after="0"/>
              <w:rPr>
                <w:sz w:val="17"/>
                <w:szCs w:val="17"/>
                <w:color w:val="auto"/>
              </w:rPr>
            </w:pPr>
          </w:p>
        </w:tc>
        <w:tc>
          <w:tcPr>
            <w:tcW w:w="2220" w:type="dxa"/>
            <w:vAlign w:val="bottom"/>
            <w:gridSpan w:val="3"/>
          </w:tcPr>
          <w:p>
            <w:pPr>
              <w:jc w:val="right"/>
              <w:ind w:right="679"/>
              <w:spacing w:after="0"/>
              <w:rPr>
                <w:sz w:val="20"/>
                <w:szCs w:val="20"/>
                <w:color w:val="auto"/>
              </w:rPr>
            </w:pPr>
            <w:r>
              <w:rPr>
                <w:rFonts w:ascii="Arial" w:cs="Arial" w:eastAsia="Arial" w:hAnsi="Arial"/>
                <w:sz w:val="16"/>
                <w:szCs w:val="16"/>
                <w:color w:val="auto"/>
              </w:rPr>
              <w:t>September 30,</w:t>
            </w:r>
          </w:p>
        </w:tc>
        <w:tc>
          <w:tcPr>
            <w:tcW w:w="240" w:type="dxa"/>
            <w:vAlign w:val="bottom"/>
          </w:tcPr>
          <w:p>
            <w:pPr>
              <w:spacing w:after="0"/>
              <w:rPr>
                <w:sz w:val="17"/>
                <w:szCs w:val="17"/>
                <w:color w:val="auto"/>
              </w:rPr>
            </w:pPr>
          </w:p>
        </w:tc>
        <w:tc>
          <w:tcPr>
            <w:tcW w:w="2200" w:type="dxa"/>
            <w:vAlign w:val="bottom"/>
            <w:gridSpan w:val="3"/>
          </w:tcPr>
          <w:p>
            <w:pPr>
              <w:jc w:val="right"/>
              <w:ind w:right="65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2023</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2023</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3"/>
          </w:tcPr>
          <w:p>
            <w:pPr>
              <w:jc w:val="right"/>
              <w:ind w:right="699"/>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48,760</w:t>
            </w:r>
          </w:p>
        </w:tc>
        <w:tc>
          <w:tcPr>
            <w:tcW w:w="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37,834</w:t>
            </w: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192,684</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194,704</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320" w:type="dxa"/>
            <w:vAlign w:val="bottom"/>
            <w:gridSpan w:val="2"/>
          </w:tcPr>
          <w:p>
            <w:pPr>
              <w:ind w:left="380"/>
              <w:spacing w:after="0"/>
              <w:rPr>
                <w:sz w:val="20"/>
                <w:szCs w:val="20"/>
                <w:color w:val="auto"/>
              </w:rPr>
            </w:pPr>
            <w:r>
              <w:rPr>
                <w:rFonts w:ascii="Arial" w:cs="Arial" w:eastAsia="Arial" w:hAnsi="Arial"/>
                <w:sz w:val="16"/>
                <w:szCs w:val="16"/>
                <w:color w:val="auto"/>
              </w:rPr>
              <w:t>Reclassification adjustments of benefit plan liability - prior service cost (net of tax</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ind w:left="380"/>
              <w:spacing w:after="0"/>
              <w:rPr>
                <w:sz w:val="20"/>
                <w:szCs w:val="20"/>
                <w:color w:val="auto"/>
              </w:rPr>
            </w:pPr>
            <w:r>
              <w:rPr>
                <w:rFonts w:ascii="Arial" w:cs="Arial" w:eastAsia="Arial" w:hAnsi="Arial"/>
                <w:sz w:val="16"/>
                <w:szCs w:val="16"/>
                <w:color w:val="auto"/>
              </w:rPr>
              <w:t>of $--, $8, $-- and $22, respectively)</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(16 )</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195"/>
        </w:trPr>
        <w:tc>
          <w:tcPr>
            <w:tcW w:w="632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Reclassification adjustments of benefit plan liability - net loss</w:t>
            </w: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32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(net of tax of $(19), $(66), $(62) and $(179), respectively)</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3"/>
        </w:trPr>
        <w:tc>
          <w:tcPr>
            <w:tcW w:w="6320" w:type="dxa"/>
            <w:vAlign w:val="bottom"/>
            <w:gridSpan w:val="2"/>
          </w:tcPr>
          <w:p>
            <w:pPr>
              <w:ind w:left="200"/>
              <w:spacing w:after="0"/>
              <w:rPr>
                <w:sz w:val="20"/>
                <w:szCs w:val="20"/>
                <w:color w:val="auto"/>
              </w:rPr>
            </w:pPr>
            <w:r>
              <w:rPr>
                <w:rFonts w:ascii="Arial" w:cs="Arial" w:eastAsia="Arial" w:hAnsi="Arial"/>
                <w:sz w:val="16"/>
                <w:szCs w:val="16"/>
                <w:color w:val="auto"/>
              </w:rPr>
              <w:t>Derivative instruments designated as cash flow hedges: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32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Reclassification of net realized (gains) losses on settled/amortized interest rate</w:t>
            </w: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32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swaps (net of tax of $(162), $(134), $(489) and $(549), respectively)</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550</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578</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1,649</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1,589</w:t>
            </w:r>
          </w:p>
        </w:tc>
        <w:tc>
          <w:tcPr>
            <w:tcW w:w="0" w:type="dxa"/>
            <w:vAlign w:val="bottom"/>
          </w:tcPr>
          <w:p>
            <w:pPr>
              <w:spacing w:after="0"/>
              <w:rPr>
                <w:sz w:val="1"/>
                <w:szCs w:val="1"/>
                <w:color w:val="auto"/>
              </w:rPr>
            </w:pPr>
          </w:p>
        </w:tc>
      </w:tr>
      <w:tr>
        <w:trPr>
          <w:trHeight w:val="192"/>
        </w:trPr>
        <w:tc>
          <w:tcPr>
            <w:tcW w:w="6320" w:type="dxa"/>
            <w:vAlign w:val="bottom"/>
            <w:gridSpan w:val="2"/>
          </w:tcPr>
          <w:p>
            <w:pPr>
              <w:ind w:left="380"/>
              <w:spacing w:after="0"/>
              <w:rPr>
                <w:sz w:val="20"/>
                <w:szCs w:val="20"/>
                <w:color w:val="auto"/>
              </w:rPr>
            </w:pPr>
            <w:r>
              <w:rPr>
                <w:rFonts w:ascii="Arial" w:cs="Arial" w:eastAsia="Arial" w:hAnsi="Arial"/>
                <w:sz w:val="16"/>
                <w:szCs w:val="16"/>
                <w:color w:val="auto"/>
              </w:rPr>
              <w:t>Net unrealized gains (losses) on commodity derivatives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ind w:left="380"/>
              <w:spacing w:after="0"/>
              <w:rPr>
                <w:sz w:val="20"/>
                <w:szCs w:val="20"/>
                <w:color w:val="auto"/>
              </w:rPr>
            </w:pPr>
            <w:r>
              <w:rPr>
                <w:rFonts w:ascii="Arial" w:cs="Arial" w:eastAsia="Arial" w:hAnsi="Arial"/>
                <w:sz w:val="16"/>
                <w:szCs w:val="16"/>
                <w:color w:val="auto"/>
              </w:rPr>
              <w:t>(net of tax of $58, $(559), $291 and $(165), respectively)</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(195 )</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1,776</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(937 )</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195"/>
        </w:trPr>
        <w:tc>
          <w:tcPr>
            <w:tcW w:w="632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Reclassification of net realized (gains) losses on settled commodity derivatives</w:t>
            </w:r>
          </w:p>
        </w:tc>
        <w:tc>
          <w:tcPr>
            <w:tcW w:w="26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26</w:t>
            </w:r>
          </w:p>
        </w:tc>
        <w:tc>
          <w:tcPr>
            <w:tcW w:w="26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(33 )</w:t>
            </w:r>
          </w:p>
        </w:tc>
        <w:tc>
          <w:tcPr>
            <w:tcW w:w="24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1,881</w:t>
            </w:r>
          </w:p>
        </w:tc>
        <w:tc>
          <w:tcPr>
            <w:tcW w:w="24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(2,739 )</w:t>
            </w:r>
          </w:p>
        </w:tc>
        <w:tc>
          <w:tcPr>
            <w:tcW w:w="0" w:type="dxa"/>
            <w:vAlign w:val="bottom"/>
          </w:tcPr>
          <w:p>
            <w:pPr>
              <w:spacing w:after="0"/>
              <w:rPr>
                <w:sz w:val="1"/>
                <w:szCs w:val="1"/>
                <w:color w:val="auto"/>
              </w:rPr>
            </w:pPr>
          </w:p>
        </w:tc>
      </w:tr>
      <w:tr>
        <w:trPr>
          <w:trHeight w:val="199"/>
        </w:trPr>
        <w:tc>
          <w:tcPr>
            <w:tcW w:w="63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(net of tax of $(8), $10, $(592) and $881, respectively)</w:t>
            </w: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2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net of tax</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405</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2,427</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2,660</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(305 )</w:t>
            </w:r>
          </w:p>
        </w:tc>
        <w:tc>
          <w:tcPr>
            <w:tcW w:w="0" w:type="dxa"/>
            <w:vAlign w:val="bottom"/>
          </w:tcPr>
          <w:p>
            <w:pPr>
              <w:spacing w:after="0"/>
              <w:rPr>
                <w:sz w:val="1"/>
                <w:szCs w:val="1"/>
                <w:color w:val="auto"/>
              </w:rPr>
            </w:pPr>
          </w:p>
        </w:tc>
      </w:tr>
      <w:tr>
        <w:trPr>
          <w:trHeight w:val="213"/>
        </w:trPr>
        <w:tc>
          <w:tcPr>
            <w:tcW w:w="1360" w:type="dxa"/>
            <w:vAlign w:val="bottom"/>
            <w:shd w:val="clear" w:color="auto" w:fill="CFF0FC"/>
          </w:tcPr>
          <w:p>
            <w:pPr>
              <w:spacing w:after="0"/>
              <w:rPr>
                <w:sz w:val="18"/>
                <w:szCs w:val="18"/>
                <w:color w:val="auto"/>
              </w:rPr>
            </w:pPr>
          </w:p>
        </w:tc>
        <w:tc>
          <w:tcPr>
            <w:tcW w:w="4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49,165</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40,261</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195,344</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194,399</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(3,377 )</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(2,861 )</w:t>
            </w: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(10,164 )</w:t>
            </w: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(8,790 )</w:t>
            </w:r>
          </w:p>
        </w:tc>
        <w:tc>
          <w:tcPr>
            <w:tcW w:w="0" w:type="dxa"/>
            <w:vAlign w:val="bottom"/>
          </w:tcPr>
          <w:p>
            <w:pPr>
              <w:spacing w:after="0"/>
              <w:rPr>
                <w:sz w:val="1"/>
                <w:szCs w:val="1"/>
                <w:color w:val="auto"/>
              </w:rPr>
            </w:pPr>
          </w:p>
        </w:tc>
      </w:tr>
      <w:tr>
        <w:trPr>
          <w:trHeight w:val="212"/>
        </w:trPr>
        <w:tc>
          <w:tcPr>
            <w:tcW w:w="6320" w:type="dxa"/>
            <w:vAlign w:val="bottom"/>
            <w:gridSpan w:val="2"/>
          </w:tcPr>
          <w:p>
            <w:pPr>
              <w:ind w:left="20"/>
              <w:spacing w:after="0"/>
              <w:rPr>
                <w:sz w:val="20"/>
                <w:szCs w:val="20"/>
                <w:color w:val="auto"/>
              </w:rPr>
            </w:pPr>
            <w:r>
              <w:rPr>
                <w:rFonts w:ascii="Arial" w:cs="Arial" w:eastAsia="Arial" w:hAnsi="Arial"/>
                <w:sz w:val="16"/>
                <w:szCs w:val="16"/>
                <w:color w:val="auto"/>
              </w:rPr>
              <w:t>Comprehensive income available for common stock</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45,788</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37,400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185,180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185,609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for additional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-6985</wp:posOffset>
            </wp:positionV>
            <wp:extent cx="302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-6985</wp:posOffset>
            </wp:positionV>
            <wp:extent cx="25558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38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556"/>
        </w:trPr>
        <w:tc>
          <w:tcPr>
            <w:tcW w:w="1360" w:type="dxa"/>
            <w:vAlign w:val="bottom"/>
            <w:tcBorders>
              <w:top w:val="single" w:sz="8" w:color="0000FF"/>
            </w:tcBorders>
          </w:tcPr>
          <w:p>
            <w:pPr>
              <w:spacing w:after="0"/>
              <w:rPr>
                <w:sz w:val="24"/>
                <w:szCs w:val="24"/>
                <w:color w:val="auto"/>
              </w:rPr>
            </w:pPr>
          </w:p>
        </w:tc>
        <w:tc>
          <w:tcPr>
            <w:tcW w:w="2500" w:type="dxa"/>
            <w:vAlign w:val="bottom"/>
          </w:tcPr>
          <w:p>
            <w:pPr>
              <w:spacing w:after="0"/>
              <w:rPr>
                <w:sz w:val="24"/>
                <w:szCs w:val="24"/>
                <w:color w:val="auto"/>
              </w:rPr>
            </w:pPr>
          </w:p>
        </w:tc>
        <w:tc>
          <w:tcPr>
            <w:tcW w:w="352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BLACK HILLS CORPORATION</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27"/>
        </w:trPr>
        <w:tc>
          <w:tcPr>
            <w:tcW w:w="13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52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CONSOLIDATED BALANCE SHEETS</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38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2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gridSpan w:val="2"/>
          </w:tcPr>
          <w:p>
            <w:pPr>
              <w:jc w:val="right"/>
              <w:ind w:right="299"/>
              <w:spacing w:after="0"/>
              <w:rPr>
                <w:sz w:val="20"/>
                <w:szCs w:val="20"/>
                <w:color w:val="auto"/>
              </w:rPr>
            </w:pPr>
            <w:r>
              <w:rPr>
                <w:rFonts w:ascii="Arial" w:cs="Arial" w:eastAsia="Arial" w:hAnsi="Arial"/>
                <w:sz w:val="16"/>
                <w:szCs w:val="16"/>
                <w:color w:val="auto"/>
              </w:rPr>
              <w:t>As of</w:t>
            </w:r>
          </w:p>
        </w:tc>
        <w:tc>
          <w:tcPr>
            <w:tcW w:w="2120" w:type="dxa"/>
            <w:vAlign w:val="bottom"/>
          </w:tcPr>
          <w:p>
            <w:pPr>
              <w:spacing w:after="0"/>
              <w:rPr>
                <w:sz w:val="24"/>
                <w:szCs w:val="24"/>
                <w:color w:val="auto"/>
              </w:rPr>
            </w:pPr>
          </w:p>
        </w:tc>
      </w:tr>
      <w:tr>
        <w:trPr>
          <w:trHeight w:val="219"/>
        </w:trPr>
        <w:tc>
          <w:tcPr>
            <w:tcW w:w="13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62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color w:val="auto"/>
              </w:rPr>
              <w:t>September 30, 2023</w:t>
            </w:r>
          </w:p>
        </w:tc>
        <w:tc>
          <w:tcPr>
            <w:tcW w:w="5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December 31, 2022</w:t>
            </w:r>
          </w:p>
        </w:tc>
      </w:tr>
      <w:tr>
        <w:trPr>
          <w:trHeight w:val="207"/>
        </w:trPr>
        <w:tc>
          <w:tcPr>
            <w:tcW w:w="13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(in thousands)</w:t>
            </w:r>
          </w:p>
        </w:tc>
        <w:tc>
          <w:tcPr>
            <w:tcW w:w="2120" w:type="dxa"/>
            <w:vAlign w:val="bottom"/>
          </w:tcPr>
          <w:p>
            <w:pPr>
              <w:spacing w:after="0"/>
              <w:rPr>
                <w:sz w:val="17"/>
                <w:szCs w:val="17"/>
                <w:color w:val="auto"/>
              </w:rPr>
            </w:pPr>
          </w:p>
        </w:tc>
      </w:tr>
      <w:tr>
        <w:trPr>
          <w:trHeight w:val="222"/>
        </w:trPr>
        <w:tc>
          <w:tcPr>
            <w:tcW w:w="1360" w:type="dxa"/>
            <w:vAlign w:val="bottom"/>
          </w:tcPr>
          <w:p>
            <w:pPr>
              <w:spacing w:after="0"/>
              <w:rPr>
                <w:sz w:val="19"/>
                <w:szCs w:val="19"/>
                <w:color w:val="auto"/>
              </w:rPr>
            </w:pPr>
          </w:p>
        </w:tc>
        <w:tc>
          <w:tcPr>
            <w:tcW w:w="2500" w:type="dxa"/>
            <w:vAlign w:val="bottom"/>
          </w:tcPr>
          <w:p>
            <w:pPr>
              <w:ind w:left="1300"/>
              <w:spacing w:after="0"/>
              <w:rPr>
                <w:sz w:val="20"/>
                <w:szCs w:val="20"/>
                <w:color w:val="auto"/>
              </w:rPr>
            </w:pPr>
            <w:r>
              <w:rPr>
                <w:rFonts w:ascii="Arial" w:cs="Arial" w:eastAsia="Arial" w:hAnsi="Arial"/>
                <w:sz w:val="16"/>
                <w:szCs w:val="16"/>
                <w:b w:val="1"/>
                <w:bCs w:val="1"/>
                <w:color w:val="auto"/>
              </w:rPr>
              <w:t>ASSETS</w:t>
            </w:r>
          </w:p>
        </w:tc>
        <w:tc>
          <w:tcPr>
            <w:tcW w:w="2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6"/>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Current assets:</w:t>
            </w:r>
          </w:p>
        </w:tc>
        <w:tc>
          <w:tcPr>
            <w:tcW w:w="2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r>
      <w:tr>
        <w:trPr>
          <w:trHeight w:val="213"/>
        </w:trPr>
        <w:tc>
          <w:tcPr>
            <w:tcW w:w="3860" w:type="dxa"/>
            <w:vAlign w:val="bottom"/>
            <w:gridSpan w:val="2"/>
          </w:tcPr>
          <w:p>
            <w:pPr>
              <w:ind w:left="200"/>
              <w:spacing w:after="0"/>
              <w:rPr>
                <w:sz w:val="20"/>
                <w:szCs w:val="20"/>
                <w:color w:val="auto"/>
              </w:rPr>
            </w:pPr>
            <w:r>
              <w:rPr>
                <w:rFonts w:ascii="Arial" w:cs="Arial" w:eastAsia="Arial" w:hAnsi="Arial"/>
                <w:sz w:val="16"/>
                <w:szCs w:val="16"/>
                <w:color w:val="auto"/>
              </w:rPr>
              <w:t>Cash and cash equivalents</w:t>
            </w:r>
          </w:p>
        </w:tc>
        <w:tc>
          <w:tcPr>
            <w:tcW w:w="3520" w:type="dxa"/>
            <w:vAlign w:val="bottom"/>
            <w:gridSpan w:val="2"/>
          </w:tcPr>
          <w:p>
            <w:pPr>
              <w:jc w:val="right"/>
              <w:ind w:right="12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594,289</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21,430</w:t>
            </w:r>
          </w:p>
        </w:tc>
      </w:tr>
      <w:tr>
        <w:trPr>
          <w:trHeight w:val="219"/>
        </w:trPr>
        <w:tc>
          <w:tcPr>
            <w:tcW w:w="3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Restricted cash and equivalents</w:t>
            </w:r>
          </w:p>
        </w:tc>
        <w:tc>
          <w:tcPr>
            <w:tcW w:w="2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6,213</w:t>
            </w:r>
          </w:p>
        </w:tc>
        <w:tc>
          <w:tcPr>
            <w:tcW w:w="520" w:type="dxa"/>
            <w:vAlign w:val="bottom"/>
            <w:shd w:val="clear" w:color="auto" w:fill="CFF0FC"/>
          </w:tcPr>
          <w:p>
            <w:pPr>
              <w:spacing w:after="0"/>
              <w:rPr>
                <w:sz w:val="19"/>
                <w:szCs w:val="19"/>
                <w:color w:val="auto"/>
              </w:rPr>
            </w:pPr>
          </w:p>
        </w:tc>
        <w:tc>
          <w:tcPr>
            <w:tcW w:w="2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5,555</w:t>
            </w:r>
          </w:p>
        </w:tc>
      </w:tr>
      <w:tr>
        <w:trPr>
          <w:trHeight w:val="213"/>
        </w:trPr>
        <w:tc>
          <w:tcPr>
            <w:tcW w:w="3860" w:type="dxa"/>
            <w:vAlign w:val="bottom"/>
            <w:gridSpan w:val="2"/>
          </w:tcPr>
          <w:p>
            <w:pPr>
              <w:ind w:left="200"/>
              <w:spacing w:after="0"/>
              <w:rPr>
                <w:sz w:val="20"/>
                <w:szCs w:val="20"/>
                <w:color w:val="auto"/>
              </w:rPr>
            </w:pPr>
            <w:r>
              <w:rPr>
                <w:rFonts w:ascii="Arial" w:cs="Arial" w:eastAsia="Arial" w:hAnsi="Arial"/>
                <w:sz w:val="16"/>
                <w:szCs w:val="16"/>
                <w:color w:val="auto"/>
              </w:rPr>
              <w:t>Accounts receivable, net</w:t>
            </w:r>
          </w:p>
        </w:tc>
        <w:tc>
          <w:tcPr>
            <w:tcW w:w="2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228,830</w:t>
            </w:r>
          </w:p>
        </w:tc>
        <w:tc>
          <w:tcPr>
            <w:tcW w:w="52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508,192</w:t>
            </w:r>
          </w:p>
        </w:tc>
      </w:tr>
      <w:tr>
        <w:trPr>
          <w:trHeight w:val="219"/>
        </w:trPr>
        <w:tc>
          <w:tcPr>
            <w:tcW w:w="3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Materials, supplies and fuel</w:t>
            </w:r>
          </w:p>
        </w:tc>
        <w:tc>
          <w:tcPr>
            <w:tcW w:w="2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168,079</w:t>
            </w:r>
          </w:p>
        </w:tc>
        <w:tc>
          <w:tcPr>
            <w:tcW w:w="520" w:type="dxa"/>
            <w:vAlign w:val="bottom"/>
            <w:shd w:val="clear" w:color="auto" w:fill="CFF0FC"/>
          </w:tcPr>
          <w:p>
            <w:pPr>
              <w:spacing w:after="0"/>
              <w:rPr>
                <w:sz w:val="19"/>
                <w:szCs w:val="19"/>
                <w:color w:val="auto"/>
              </w:rPr>
            </w:pPr>
          </w:p>
        </w:tc>
        <w:tc>
          <w:tcPr>
            <w:tcW w:w="2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207,421</w:t>
            </w:r>
          </w:p>
        </w:tc>
      </w:tr>
      <w:tr>
        <w:trPr>
          <w:trHeight w:val="213"/>
        </w:trPr>
        <w:tc>
          <w:tcPr>
            <w:tcW w:w="3860" w:type="dxa"/>
            <w:vAlign w:val="bottom"/>
            <w:gridSpan w:val="2"/>
          </w:tcPr>
          <w:p>
            <w:pPr>
              <w:ind w:left="200"/>
              <w:spacing w:after="0"/>
              <w:rPr>
                <w:sz w:val="20"/>
                <w:szCs w:val="20"/>
                <w:color w:val="auto"/>
              </w:rPr>
            </w:pPr>
            <w:r>
              <w:rPr>
                <w:rFonts w:ascii="Arial" w:cs="Arial" w:eastAsia="Arial" w:hAnsi="Arial"/>
                <w:sz w:val="16"/>
                <w:szCs w:val="16"/>
                <w:color w:val="auto"/>
              </w:rPr>
              <w:t>Derivative assets, current</w:t>
            </w:r>
          </w:p>
        </w:tc>
        <w:tc>
          <w:tcPr>
            <w:tcW w:w="2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52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582</w:t>
            </w:r>
          </w:p>
        </w:tc>
      </w:tr>
      <w:tr>
        <w:trPr>
          <w:trHeight w:val="219"/>
        </w:trPr>
        <w:tc>
          <w:tcPr>
            <w:tcW w:w="3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Income tax receivable, net</w:t>
            </w:r>
          </w:p>
        </w:tc>
        <w:tc>
          <w:tcPr>
            <w:tcW w:w="2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17,749</w:t>
            </w:r>
          </w:p>
        </w:tc>
        <w:tc>
          <w:tcPr>
            <w:tcW w:w="520" w:type="dxa"/>
            <w:vAlign w:val="bottom"/>
            <w:shd w:val="clear" w:color="auto" w:fill="CFF0FC"/>
          </w:tcPr>
          <w:p>
            <w:pPr>
              <w:spacing w:after="0"/>
              <w:rPr>
                <w:sz w:val="19"/>
                <w:szCs w:val="19"/>
                <w:color w:val="auto"/>
              </w:rPr>
            </w:pPr>
          </w:p>
        </w:tc>
        <w:tc>
          <w:tcPr>
            <w:tcW w:w="2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17,637</w:t>
            </w:r>
          </w:p>
        </w:tc>
      </w:tr>
      <w:tr>
        <w:trPr>
          <w:trHeight w:val="213"/>
        </w:trPr>
        <w:tc>
          <w:tcPr>
            <w:tcW w:w="3860" w:type="dxa"/>
            <w:vAlign w:val="bottom"/>
            <w:gridSpan w:val="2"/>
          </w:tcPr>
          <w:p>
            <w:pPr>
              <w:ind w:left="200"/>
              <w:spacing w:after="0"/>
              <w:rPr>
                <w:sz w:val="20"/>
                <w:szCs w:val="20"/>
                <w:color w:val="auto"/>
              </w:rPr>
            </w:pPr>
            <w:r>
              <w:rPr>
                <w:rFonts w:ascii="Arial" w:cs="Arial" w:eastAsia="Arial" w:hAnsi="Arial"/>
                <w:sz w:val="16"/>
                <w:szCs w:val="16"/>
                <w:color w:val="auto"/>
              </w:rPr>
              <w:t>Regulatory assets, current</w:t>
            </w:r>
          </w:p>
        </w:tc>
        <w:tc>
          <w:tcPr>
            <w:tcW w:w="2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191,746</w:t>
            </w:r>
          </w:p>
        </w:tc>
        <w:tc>
          <w:tcPr>
            <w:tcW w:w="52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260,312</w:t>
            </w:r>
          </w:p>
        </w:tc>
      </w:tr>
      <w:tr>
        <w:trPr>
          <w:trHeight w:val="219"/>
        </w:trPr>
        <w:tc>
          <w:tcPr>
            <w:tcW w:w="38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Other current assets</w:t>
            </w:r>
          </w:p>
        </w:tc>
        <w:tc>
          <w:tcPr>
            <w:tcW w:w="21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33,242</w:t>
            </w:r>
          </w:p>
        </w:tc>
        <w:tc>
          <w:tcPr>
            <w:tcW w:w="52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50,579</w:t>
            </w:r>
          </w:p>
        </w:tc>
      </w:tr>
      <w:tr>
        <w:trPr>
          <w:trHeight w:val="206"/>
        </w:trPr>
        <w:tc>
          <w:tcPr>
            <w:tcW w:w="3860" w:type="dxa"/>
            <w:vAlign w:val="bottom"/>
            <w:gridSpan w:val="2"/>
          </w:tcPr>
          <w:p>
            <w:pPr>
              <w:ind w:left="380"/>
              <w:spacing w:after="0"/>
              <w:rPr>
                <w:sz w:val="20"/>
                <w:szCs w:val="20"/>
                <w:color w:val="auto"/>
              </w:rPr>
            </w:pPr>
            <w:r>
              <w:rPr>
                <w:rFonts w:ascii="Arial" w:cs="Arial" w:eastAsia="Arial" w:hAnsi="Arial"/>
                <w:sz w:val="16"/>
                <w:szCs w:val="16"/>
                <w:color w:val="auto"/>
              </w:rPr>
              <w:t>Total current assets</w:t>
            </w:r>
          </w:p>
        </w:tc>
        <w:tc>
          <w:tcPr>
            <w:tcW w:w="2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1,240,274</w:t>
            </w:r>
          </w:p>
        </w:tc>
        <w:tc>
          <w:tcPr>
            <w:tcW w:w="520" w:type="dxa"/>
            <w:vAlign w:val="bottom"/>
          </w:tcPr>
          <w:p>
            <w:pPr>
              <w:spacing w:after="0"/>
              <w:rPr>
                <w:sz w:val="17"/>
                <w:szCs w:val="17"/>
                <w:color w:val="auto"/>
              </w:rPr>
            </w:pP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1,071,708</w:t>
            </w:r>
          </w:p>
        </w:tc>
      </w:tr>
      <w:tr>
        <w:trPr>
          <w:trHeight w:val="219"/>
        </w:trPr>
        <w:tc>
          <w:tcPr>
            <w:tcW w:w="136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r>
      <w:tr>
        <w:trPr>
          <w:trHeight w:val="213"/>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w:t>
            </w:r>
          </w:p>
        </w:tc>
        <w:tc>
          <w:tcPr>
            <w:tcW w:w="2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8,767,954</w:t>
            </w:r>
          </w:p>
        </w:tc>
        <w:tc>
          <w:tcPr>
            <w:tcW w:w="52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8,374,790</w:t>
            </w:r>
          </w:p>
        </w:tc>
      </w:tr>
      <w:tr>
        <w:trPr>
          <w:trHeight w:val="219"/>
        </w:trPr>
        <w:tc>
          <w:tcPr>
            <w:tcW w:w="38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Less: accumulated depreciation and depletion</w:t>
            </w:r>
          </w:p>
        </w:tc>
        <w:tc>
          <w:tcPr>
            <w:tcW w:w="21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(1,755,606 )</w:t>
            </w:r>
          </w:p>
        </w:tc>
        <w:tc>
          <w:tcPr>
            <w:tcW w:w="52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(1,576,842 )</w:t>
            </w:r>
          </w:p>
        </w:tc>
      </w:tr>
      <w:tr>
        <w:trPr>
          <w:trHeight w:val="209"/>
        </w:trPr>
        <w:tc>
          <w:tcPr>
            <w:tcW w:w="3860" w:type="dxa"/>
            <w:vAlign w:val="bottom"/>
            <w:gridSpan w:val="2"/>
          </w:tcPr>
          <w:p>
            <w:pPr>
              <w:ind w:left="380"/>
              <w:spacing w:after="0"/>
              <w:rPr>
                <w:sz w:val="20"/>
                <w:szCs w:val="20"/>
                <w:color w:val="auto"/>
              </w:rPr>
            </w:pPr>
            <w:r>
              <w:rPr>
                <w:rFonts w:ascii="Arial" w:cs="Arial" w:eastAsia="Arial" w:hAnsi="Arial"/>
                <w:sz w:val="16"/>
                <w:szCs w:val="16"/>
                <w:color w:val="auto"/>
              </w:rPr>
              <w:t>Total property, plant and equipment, net</w:t>
            </w:r>
          </w:p>
        </w:tc>
        <w:tc>
          <w:tcPr>
            <w:tcW w:w="21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7,012,348</w:t>
            </w:r>
          </w:p>
        </w:tc>
        <w:tc>
          <w:tcPr>
            <w:tcW w:w="5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6,797,948</w:t>
            </w:r>
          </w:p>
        </w:tc>
      </w:tr>
      <w:tr>
        <w:trPr>
          <w:trHeight w:val="209"/>
        </w:trPr>
        <w:tc>
          <w:tcPr>
            <w:tcW w:w="136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r>
      <w:tr>
        <w:trPr>
          <w:trHeight w:val="213"/>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Other assets:</w:t>
            </w:r>
          </w:p>
        </w:tc>
        <w:tc>
          <w:tcPr>
            <w:tcW w:w="2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9"/>
        </w:trPr>
        <w:tc>
          <w:tcPr>
            <w:tcW w:w="3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Goodwill</w:t>
            </w:r>
          </w:p>
        </w:tc>
        <w:tc>
          <w:tcPr>
            <w:tcW w:w="2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1,299,454</w:t>
            </w:r>
          </w:p>
        </w:tc>
        <w:tc>
          <w:tcPr>
            <w:tcW w:w="520" w:type="dxa"/>
            <w:vAlign w:val="bottom"/>
            <w:shd w:val="clear" w:color="auto" w:fill="CFF0FC"/>
          </w:tcPr>
          <w:p>
            <w:pPr>
              <w:spacing w:after="0"/>
              <w:rPr>
                <w:sz w:val="19"/>
                <w:szCs w:val="19"/>
                <w:color w:val="auto"/>
              </w:rPr>
            </w:pPr>
          </w:p>
        </w:tc>
        <w:tc>
          <w:tcPr>
            <w:tcW w:w="2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1,299,454</w:t>
            </w:r>
          </w:p>
        </w:tc>
      </w:tr>
      <w:tr>
        <w:trPr>
          <w:trHeight w:val="213"/>
        </w:trPr>
        <w:tc>
          <w:tcPr>
            <w:tcW w:w="3860" w:type="dxa"/>
            <w:vAlign w:val="bottom"/>
            <w:gridSpan w:val="2"/>
          </w:tcPr>
          <w:p>
            <w:pPr>
              <w:ind w:left="200"/>
              <w:spacing w:after="0"/>
              <w:rPr>
                <w:sz w:val="20"/>
                <w:szCs w:val="20"/>
                <w:color w:val="auto"/>
              </w:rPr>
            </w:pPr>
            <w:r>
              <w:rPr>
                <w:rFonts w:ascii="Arial" w:cs="Arial" w:eastAsia="Arial" w:hAnsi="Arial"/>
                <w:sz w:val="16"/>
                <w:szCs w:val="16"/>
                <w:color w:val="auto"/>
              </w:rPr>
              <w:t>Intangible assets, net</w:t>
            </w:r>
          </w:p>
        </w:tc>
        <w:tc>
          <w:tcPr>
            <w:tcW w:w="2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8,708</w:t>
            </w:r>
          </w:p>
        </w:tc>
        <w:tc>
          <w:tcPr>
            <w:tcW w:w="52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9,589</w:t>
            </w:r>
          </w:p>
        </w:tc>
      </w:tr>
      <w:tr>
        <w:trPr>
          <w:trHeight w:val="219"/>
        </w:trPr>
        <w:tc>
          <w:tcPr>
            <w:tcW w:w="3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Regulatory assets, non-current</w:t>
            </w:r>
          </w:p>
        </w:tc>
        <w:tc>
          <w:tcPr>
            <w:tcW w:w="2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313,113</w:t>
            </w:r>
          </w:p>
        </w:tc>
        <w:tc>
          <w:tcPr>
            <w:tcW w:w="520" w:type="dxa"/>
            <w:vAlign w:val="bottom"/>
            <w:shd w:val="clear" w:color="auto" w:fill="CFF0FC"/>
          </w:tcPr>
          <w:p>
            <w:pPr>
              <w:spacing w:after="0"/>
              <w:rPr>
                <w:sz w:val="19"/>
                <w:szCs w:val="19"/>
                <w:color w:val="auto"/>
              </w:rPr>
            </w:pPr>
          </w:p>
        </w:tc>
        <w:tc>
          <w:tcPr>
            <w:tcW w:w="2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392,669</w:t>
            </w:r>
          </w:p>
        </w:tc>
      </w:tr>
      <w:tr>
        <w:trPr>
          <w:trHeight w:val="216"/>
        </w:trPr>
        <w:tc>
          <w:tcPr>
            <w:tcW w:w="3860" w:type="dxa"/>
            <w:vAlign w:val="bottom"/>
            <w:gridSpan w:val="2"/>
          </w:tcPr>
          <w:p>
            <w:pPr>
              <w:ind w:left="200"/>
              <w:spacing w:after="0"/>
              <w:rPr>
                <w:sz w:val="20"/>
                <w:szCs w:val="20"/>
                <w:color w:val="auto"/>
              </w:rPr>
            </w:pPr>
            <w:r>
              <w:rPr>
                <w:rFonts w:ascii="Arial" w:cs="Arial" w:eastAsia="Arial" w:hAnsi="Arial"/>
                <w:sz w:val="16"/>
                <w:szCs w:val="16"/>
                <w:color w:val="auto"/>
              </w:rPr>
              <w:t>Other assets, non-current</w:t>
            </w:r>
          </w:p>
        </w:tc>
        <w:tc>
          <w:tcPr>
            <w:tcW w:w="21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59,031</w:t>
            </w:r>
          </w:p>
        </w:tc>
        <w:tc>
          <w:tcPr>
            <w:tcW w:w="5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46,862</w:t>
            </w:r>
          </w:p>
        </w:tc>
      </w:tr>
      <w:tr>
        <w:trPr>
          <w:trHeight w:val="210"/>
        </w:trPr>
        <w:tc>
          <w:tcPr>
            <w:tcW w:w="386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other assets, non-current</w:t>
            </w:r>
          </w:p>
        </w:tc>
        <w:tc>
          <w:tcPr>
            <w:tcW w:w="21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1,680,306</w:t>
            </w:r>
          </w:p>
        </w:tc>
        <w:tc>
          <w:tcPr>
            <w:tcW w:w="52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1,748,574</w:t>
            </w:r>
          </w:p>
        </w:tc>
      </w:tr>
      <w:tr>
        <w:trPr>
          <w:trHeight w:val="210"/>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52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56"/>
        </w:trPr>
        <w:tc>
          <w:tcPr>
            <w:tcW w:w="3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212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ind w:right="12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9,932,928</w:t>
            </w:r>
          </w:p>
        </w:tc>
        <w:tc>
          <w:tcPr>
            <w:tcW w:w="52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9,618,230</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-6985</wp:posOffset>
            </wp:positionV>
            <wp:extent cx="25558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41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8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556"/>
        </w:trPr>
        <w:tc>
          <w:tcPr>
            <w:tcW w:w="1360" w:type="dxa"/>
            <w:vAlign w:val="bottom"/>
            <w:tcBorders>
              <w:top w:val="single" w:sz="8" w:color="0000FF"/>
            </w:tcBorders>
          </w:tcPr>
          <w:p>
            <w:pPr>
              <w:spacing w:after="0"/>
              <w:rPr>
                <w:sz w:val="24"/>
                <w:szCs w:val="24"/>
                <w:color w:val="auto"/>
              </w:rPr>
            </w:pPr>
          </w:p>
        </w:tc>
        <w:tc>
          <w:tcPr>
            <w:tcW w:w="2740" w:type="dxa"/>
            <w:vAlign w:val="bottom"/>
          </w:tcPr>
          <w:p>
            <w:pPr>
              <w:spacing w:after="0"/>
              <w:rPr>
                <w:sz w:val="24"/>
                <w:szCs w:val="24"/>
                <w:color w:val="auto"/>
              </w:rPr>
            </w:pPr>
          </w:p>
        </w:tc>
        <w:tc>
          <w:tcPr>
            <w:tcW w:w="330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BLACK HILLS CORPORATION</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3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CONSOLIDATED BALANCE SHEETS</w:t>
            </w: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227"/>
        </w:trPr>
        <w:tc>
          <w:tcPr>
            <w:tcW w:w="13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300" w:type="dxa"/>
            <w:vAlign w:val="bottom"/>
            <w:gridSpan w:val="2"/>
          </w:tcPr>
          <w:p>
            <w:pPr>
              <w:jc w:val="right"/>
              <w:ind w:right="1239"/>
              <w:spacing w:after="0"/>
              <w:rPr>
                <w:sz w:val="20"/>
                <w:szCs w:val="20"/>
                <w:color w:val="auto"/>
              </w:rPr>
            </w:pPr>
            <w:r>
              <w:rPr>
                <w:rFonts w:ascii="Arial" w:cs="Arial" w:eastAsia="Arial" w:hAnsi="Arial"/>
                <w:sz w:val="16"/>
                <w:szCs w:val="16"/>
                <w:b w:val="1"/>
                <w:bCs w:val="1"/>
                <w:color w:val="auto"/>
              </w:rPr>
              <w:t>(Continued)</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379"/>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1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gridSpan w:val="2"/>
          </w:tcPr>
          <w:p>
            <w:pPr>
              <w:jc w:val="right"/>
              <w:ind w:right="299"/>
              <w:spacing w:after="0"/>
              <w:rPr>
                <w:sz w:val="20"/>
                <w:szCs w:val="20"/>
                <w:color w:val="auto"/>
              </w:rPr>
            </w:pPr>
            <w:r>
              <w:rPr>
                <w:rFonts w:ascii="Arial" w:cs="Arial" w:eastAsia="Arial" w:hAnsi="Arial"/>
                <w:sz w:val="16"/>
                <w:szCs w:val="16"/>
                <w:color w:val="auto"/>
              </w:rPr>
              <w:t>As of</w:t>
            </w:r>
          </w:p>
        </w:tc>
        <w:tc>
          <w:tcPr>
            <w:tcW w:w="2120" w:type="dxa"/>
            <w:vAlign w:val="bottom"/>
          </w:tcPr>
          <w:p>
            <w:pPr>
              <w:spacing w:after="0"/>
              <w:rPr>
                <w:sz w:val="24"/>
                <w:szCs w:val="24"/>
                <w:color w:val="auto"/>
              </w:rPr>
            </w:pPr>
          </w:p>
        </w:tc>
      </w:tr>
      <w:tr>
        <w:trPr>
          <w:trHeight w:val="219"/>
        </w:trPr>
        <w:tc>
          <w:tcPr>
            <w:tcW w:w="13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62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color w:val="auto"/>
              </w:rPr>
              <w:t>September 30, 2023</w:t>
            </w:r>
          </w:p>
        </w:tc>
        <w:tc>
          <w:tcPr>
            <w:tcW w:w="5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December 31, 2022</w:t>
            </w:r>
          </w:p>
        </w:tc>
      </w:tr>
      <w:tr>
        <w:trPr>
          <w:trHeight w:val="207"/>
        </w:trPr>
        <w:tc>
          <w:tcPr>
            <w:tcW w:w="13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(in thousands)</w:t>
            </w:r>
          </w:p>
        </w:tc>
        <w:tc>
          <w:tcPr>
            <w:tcW w:w="2120" w:type="dxa"/>
            <w:vAlign w:val="bottom"/>
          </w:tcPr>
          <w:p>
            <w:pPr>
              <w:spacing w:after="0"/>
              <w:rPr>
                <w:sz w:val="17"/>
                <w:szCs w:val="17"/>
                <w:color w:val="auto"/>
              </w:rPr>
            </w:pPr>
          </w:p>
        </w:tc>
      </w:tr>
      <w:tr>
        <w:trPr>
          <w:trHeight w:val="222"/>
        </w:trPr>
        <w:tc>
          <w:tcPr>
            <w:tcW w:w="1360" w:type="dxa"/>
            <w:vAlign w:val="bottom"/>
          </w:tcPr>
          <w:p>
            <w:pPr>
              <w:spacing w:after="0"/>
              <w:rPr>
                <w:sz w:val="19"/>
                <w:szCs w:val="19"/>
                <w:color w:val="auto"/>
              </w:rPr>
            </w:pPr>
          </w:p>
        </w:tc>
        <w:tc>
          <w:tcPr>
            <w:tcW w:w="2740" w:type="dxa"/>
            <w:vAlign w:val="bottom"/>
          </w:tcPr>
          <w:p>
            <w:pPr>
              <w:ind w:left="640"/>
              <w:spacing w:after="0"/>
              <w:rPr>
                <w:sz w:val="20"/>
                <w:szCs w:val="20"/>
                <w:color w:val="auto"/>
              </w:rPr>
            </w:pPr>
            <w:r>
              <w:rPr>
                <w:rFonts w:ascii="Arial" w:cs="Arial" w:eastAsia="Arial" w:hAnsi="Arial"/>
                <w:sz w:val="16"/>
                <w:szCs w:val="16"/>
                <w:b w:val="1"/>
                <w:bCs w:val="1"/>
                <w:color w:val="auto"/>
              </w:rPr>
              <w:t>LIABILITIES AND EQUITY</w:t>
            </w:r>
          </w:p>
        </w:tc>
        <w:tc>
          <w:tcPr>
            <w:tcW w:w="1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6"/>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8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r>
      <w:tr>
        <w:trPr>
          <w:trHeight w:val="213"/>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3300" w:type="dxa"/>
            <w:vAlign w:val="bottom"/>
            <w:gridSpan w:val="2"/>
          </w:tcPr>
          <w:p>
            <w:pPr>
              <w:jc w:val="right"/>
              <w:ind w:right="1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124,033</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310,020</w:t>
            </w:r>
          </w:p>
        </w:tc>
      </w:tr>
      <w:tr>
        <w:trPr>
          <w:trHeight w:val="219"/>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Accrued liabilities</w:t>
            </w:r>
          </w:p>
        </w:tc>
        <w:tc>
          <w:tcPr>
            <w:tcW w:w="18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257,458</w:t>
            </w:r>
          </w:p>
        </w:tc>
        <w:tc>
          <w:tcPr>
            <w:tcW w:w="520" w:type="dxa"/>
            <w:vAlign w:val="bottom"/>
            <w:shd w:val="clear" w:color="auto" w:fill="CFF0FC"/>
          </w:tcPr>
          <w:p>
            <w:pPr>
              <w:spacing w:after="0"/>
              <w:rPr>
                <w:sz w:val="19"/>
                <w:szCs w:val="19"/>
                <w:color w:val="auto"/>
              </w:rPr>
            </w:pPr>
          </w:p>
        </w:tc>
        <w:tc>
          <w:tcPr>
            <w:tcW w:w="2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243,457</w:t>
            </w:r>
          </w:p>
        </w:tc>
      </w:tr>
      <w:tr>
        <w:trPr>
          <w:trHeight w:val="213"/>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Derivative liabilities, current</w:t>
            </w: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2,193</w:t>
            </w:r>
          </w:p>
        </w:tc>
        <w:tc>
          <w:tcPr>
            <w:tcW w:w="52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6,600</w:t>
            </w:r>
          </w:p>
        </w:tc>
      </w:tr>
      <w:tr>
        <w:trPr>
          <w:trHeight w:val="219"/>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Regulatory liabilities, current</w:t>
            </w:r>
          </w:p>
        </w:tc>
        <w:tc>
          <w:tcPr>
            <w:tcW w:w="18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93,988</w:t>
            </w:r>
          </w:p>
        </w:tc>
        <w:tc>
          <w:tcPr>
            <w:tcW w:w="520" w:type="dxa"/>
            <w:vAlign w:val="bottom"/>
            <w:shd w:val="clear" w:color="auto" w:fill="CFF0FC"/>
          </w:tcPr>
          <w:p>
            <w:pPr>
              <w:spacing w:after="0"/>
              <w:rPr>
                <w:sz w:val="19"/>
                <w:szCs w:val="19"/>
                <w:color w:val="auto"/>
              </w:rPr>
            </w:pPr>
          </w:p>
        </w:tc>
        <w:tc>
          <w:tcPr>
            <w:tcW w:w="2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46,013</w:t>
            </w:r>
          </w:p>
        </w:tc>
      </w:tr>
      <w:tr>
        <w:trPr>
          <w:trHeight w:val="213"/>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Notes payable</w:t>
            </w: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535,600</w:t>
            </w:r>
          </w:p>
        </w:tc>
      </w:tr>
      <w:tr>
        <w:trPr>
          <w:trHeight w:val="219"/>
        </w:trPr>
        <w:tc>
          <w:tcPr>
            <w:tcW w:w="41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Current maturities of long-term debt</w:t>
            </w:r>
          </w:p>
        </w:tc>
        <w:tc>
          <w:tcPr>
            <w:tcW w:w="18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1,125,000</w:t>
            </w:r>
          </w:p>
        </w:tc>
        <w:tc>
          <w:tcPr>
            <w:tcW w:w="52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525,000</w:t>
            </w:r>
          </w:p>
        </w:tc>
      </w:tr>
      <w:tr>
        <w:trPr>
          <w:trHeight w:val="210"/>
        </w:trPr>
        <w:tc>
          <w:tcPr>
            <w:tcW w:w="4100" w:type="dxa"/>
            <w:vAlign w:val="bottom"/>
            <w:gridSpan w:val="2"/>
          </w:tcPr>
          <w:p>
            <w:pPr>
              <w:ind w:left="380"/>
              <w:spacing w:after="0"/>
              <w:rPr>
                <w:sz w:val="20"/>
                <w:szCs w:val="20"/>
                <w:color w:val="auto"/>
              </w:rPr>
            </w:pPr>
            <w:r>
              <w:rPr>
                <w:rFonts w:ascii="Arial" w:cs="Arial" w:eastAsia="Arial" w:hAnsi="Arial"/>
                <w:sz w:val="16"/>
                <w:szCs w:val="16"/>
                <w:color w:val="auto"/>
              </w:rPr>
              <w:t>Total current liabilities</w:t>
            </w:r>
          </w:p>
        </w:tc>
        <w:tc>
          <w:tcPr>
            <w:tcW w:w="18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1,602,672</w:t>
            </w:r>
          </w:p>
        </w:tc>
        <w:tc>
          <w:tcPr>
            <w:tcW w:w="5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1,666,690</w:t>
            </w:r>
          </w:p>
        </w:tc>
      </w:tr>
      <w:tr>
        <w:trPr>
          <w:trHeight w:val="209"/>
        </w:trPr>
        <w:tc>
          <w:tcPr>
            <w:tcW w:w="136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18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3,799,510</w:t>
            </w:r>
          </w:p>
        </w:tc>
        <w:tc>
          <w:tcPr>
            <w:tcW w:w="5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3,607,340</w:t>
            </w:r>
          </w:p>
        </w:tc>
      </w:tr>
      <w:tr>
        <w:trPr>
          <w:trHeight w:val="210"/>
        </w:trPr>
        <w:tc>
          <w:tcPr>
            <w:tcW w:w="136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r>
      <w:tr>
        <w:trPr>
          <w:trHeight w:val="213"/>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Deferred credits and other liabilities:</w:t>
            </w: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9"/>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Deferred income tax liabilities, net</w:t>
            </w:r>
          </w:p>
        </w:tc>
        <w:tc>
          <w:tcPr>
            <w:tcW w:w="18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530,985</w:t>
            </w:r>
          </w:p>
        </w:tc>
        <w:tc>
          <w:tcPr>
            <w:tcW w:w="520" w:type="dxa"/>
            <w:vAlign w:val="bottom"/>
            <w:shd w:val="clear" w:color="auto" w:fill="CFF0FC"/>
          </w:tcPr>
          <w:p>
            <w:pPr>
              <w:spacing w:after="0"/>
              <w:rPr>
                <w:sz w:val="19"/>
                <w:szCs w:val="19"/>
                <w:color w:val="auto"/>
              </w:rPr>
            </w:pPr>
          </w:p>
        </w:tc>
        <w:tc>
          <w:tcPr>
            <w:tcW w:w="2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508,941</w:t>
            </w:r>
          </w:p>
        </w:tc>
      </w:tr>
      <w:tr>
        <w:trPr>
          <w:trHeight w:val="213"/>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Regulatory liabilities, non-current</w:t>
            </w: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468,969</w:t>
            </w:r>
          </w:p>
        </w:tc>
        <w:tc>
          <w:tcPr>
            <w:tcW w:w="52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472,560</w:t>
            </w:r>
          </w:p>
        </w:tc>
      </w:tr>
      <w:tr>
        <w:trPr>
          <w:trHeight w:val="219"/>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Benefit plan liabilities</w:t>
            </w:r>
          </w:p>
        </w:tc>
        <w:tc>
          <w:tcPr>
            <w:tcW w:w="18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119,046</w:t>
            </w:r>
          </w:p>
        </w:tc>
        <w:tc>
          <w:tcPr>
            <w:tcW w:w="520" w:type="dxa"/>
            <w:vAlign w:val="bottom"/>
            <w:shd w:val="clear" w:color="auto" w:fill="CFF0FC"/>
          </w:tcPr>
          <w:p>
            <w:pPr>
              <w:spacing w:after="0"/>
              <w:rPr>
                <w:sz w:val="19"/>
                <w:szCs w:val="19"/>
                <w:color w:val="auto"/>
              </w:rPr>
            </w:pPr>
          </w:p>
        </w:tc>
        <w:tc>
          <w:tcPr>
            <w:tcW w:w="2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116,742</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Other deferred credits and other liabilities</w:t>
            </w:r>
          </w:p>
        </w:tc>
        <w:tc>
          <w:tcPr>
            <w:tcW w:w="18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152,174</w:t>
            </w:r>
          </w:p>
        </w:tc>
        <w:tc>
          <w:tcPr>
            <w:tcW w:w="5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156,062</w:t>
            </w:r>
          </w:p>
        </w:tc>
      </w:tr>
      <w:tr>
        <w:trPr>
          <w:trHeight w:val="210"/>
        </w:trPr>
        <w:tc>
          <w:tcPr>
            <w:tcW w:w="410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18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1,271,174</w:t>
            </w:r>
          </w:p>
        </w:tc>
        <w:tc>
          <w:tcPr>
            <w:tcW w:w="52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1,254,305</w:t>
            </w:r>
          </w:p>
        </w:tc>
      </w:tr>
      <w:tr>
        <w:trPr>
          <w:trHeight w:val="209"/>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Commitments, contingencies and guarantees (Note 3)</w:t>
            </w:r>
          </w:p>
        </w:tc>
        <w:tc>
          <w:tcPr>
            <w:tcW w:w="18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Equity:</w:t>
            </w:r>
          </w:p>
        </w:tc>
        <w:tc>
          <w:tcPr>
            <w:tcW w:w="18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r>
      <w:tr>
        <w:trPr>
          <w:trHeight w:val="213"/>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Stockholder's equity -</w:t>
            </w: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195"/>
        </w:trPr>
        <w:tc>
          <w:tcPr>
            <w:tcW w:w="7400" w:type="dxa"/>
            <w:vAlign w:val="bottom"/>
            <w:gridSpan w:val="4"/>
            <w:shd w:val="clear" w:color="auto" w:fill="CFF0FC"/>
          </w:tcPr>
          <w:p>
            <w:pPr>
              <w:ind w:left="200"/>
              <w:spacing w:after="0"/>
              <w:rPr>
                <w:sz w:val="20"/>
                <w:szCs w:val="20"/>
                <w:color w:val="auto"/>
              </w:rPr>
            </w:pPr>
            <w:r>
              <w:rPr>
                <w:rFonts w:ascii="Arial" w:cs="Arial" w:eastAsia="Arial" w:hAnsi="Arial"/>
                <w:sz w:val="16"/>
                <w:szCs w:val="16"/>
                <w:color w:val="auto"/>
              </w:rPr>
              <w:t>Common stock $1 par value; 100,000,000 shares authorized; issued</w:t>
            </w:r>
          </w:p>
        </w:tc>
        <w:tc>
          <w:tcPr>
            <w:tcW w:w="12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120" w:type="dxa"/>
            <w:vAlign w:val="bottom"/>
            <w:shd w:val="clear" w:color="auto" w:fill="CFF0FC"/>
          </w:tcPr>
          <w:p>
            <w:pPr>
              <w:spacing w:after="0"/>
              <w:rPr>
                <w:sz w:val="16"/>
                <w:szCs w:val="16"/>
                <w:color w:val="auto"/>
              </w:rPr>
            </w:pPr>
          </w:p>
        </w:tc>
      </w:tr>
      <w:tr>
        <w:trPr>
          <w:trHeight w:val="213"/>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68,046,262 and 66,140,396 shares, respectively</w:t>
            </w:r>
          </w:p>
        </w:tc>
        <w:tc>
          <w:tcPr>
            <w:tcW w:w="18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68,046</w:t>
            </w:r>
          </w:p>
        </w:tc>
        <w:tc>
          <w:tcPr>
            <w:tcW w:w="520" w:type="dxa"/>
            <w:vAlign w:val="bottom"/>
            <w:shd w:val="clear" w:color="auto" w:fill="CFF0FC"/>
          </w:tcPr>
          <w:p>
            <w:pPr>
              <w:spacing w:after="0"/>
              <w:rPr>
                <w:sz w:val="18"/>
                <w:szCs w:val="18"/>
                <w:color w:val="auto"/>
              </w:rPr>
            </w:pPr>
          </w:p>
        </w:tc>
        <w:tc>
          <w:tcPr>
            <w:tcW w:w="2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66,140</w:t>
            </w:r>
          </w:p>
        </w:tc>
      </w:tr>
      <w:tr>
        <w:trPr>
          <w:trHeight w:val="213"/>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Additional paid-in capital</w:t>
            </w: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1,994,439</w:t>
            </w:r>
          </w:p>
        </w:tc>
        <w:tc>
          <w:tcPr>
            <w:tcW w:w="52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1,882,653</w:t>
            </w:r>
          </w:p>
        </w:tc>
      </w:tr>
      <w:tr>
        <w:trPr>
          <w:trHeight w:val="219"/>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Retained earnings</w:t>
            </w:r>
          </w:p>
        </w:tc>
        <w:tc>
          <w:tcPr>
            <w:tcW w:w="18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1,121,196</w:t>
            </w:r>
          </w:p>
        </w:tc>
        <w:tc>
          <w:tcPr>
            <w:tcW w:w="520" w:type="dxa"/>
            <w:vAlign w:val="bottom"/>
            <w:shd w:val="clear" w:color="auto" w:fill="CFF0FC"/>
          </w:tcPr>
          <w:p>
            <w:pPr>
              <w:spacing w:after="0"/>
              <w:rPr>
                <w:sz w:val="19"/>
                <w:szCs w:val="19"/>
                <w:color w:val="auto"/>
              </w:rPr>
            </w:pPr>
          </w:p>
        </w:tc>
        <w:tc>
          <w:tcPr>
            <w:tcW w:w="2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1,064,122</w:t>
            </w:r>
          </w:p>
        </w:tc>
      </w:tr>
      <w:tr>
        <w:trPr>
          <w:trHeight w:val="213"/>
        </w:trPr>
        <w:tc>
          <w:tcPr>
            <w:tcW w:w="7400" w:type="dxa"/>
            <w:vAlign w:val="bottom"/>
            <w:gridSpan w:val="4"/>
          </w:tcPr>
          <w:p>
            <w:pPr>
              <w:ind w:left="200"/>
              <w:spacing w:after="0"/>
              <w:rPr>
                <w:sz w:val="20"/>
                <w:szCs w:val="20"/>
                <w:color w:val="auto"/>
              </w:rPr>
            </w:pPr>
            <w:r>
              <w:rPr>
                <w:rFonts w:ascii="Arial" w:cs="Arial" w:eastAsia="Arial" w:hAnsi="Arial"/>
                <w:sz w:val="16"/>
                <w:szCs w:val="16"/>
                <w:color w:val="auto"/>
              </w:rPr>
              <w:t>Treasury stock, at cost - 54,428 and 36,726 shares, respectively</w:t>
            </w:r>
          </w:p>
        </w:tc>
        <w:tc>
          <w:tcPr>
            <w:tcW w:w="1200" w:type="dxa"/>
            <w:vAlign w:val="bottom"/>
          </w:tcPr>
          <w:p>
            <w:pPr>
              <w:jc w:val="right"/>
              <w:spacing w:after="0"/>
              <w:rPr>
                <w:sz w:val="20"/>
                <w:szCs w:val="20"/>
                <w:color w:val="auto"/>
              </w:rPr>
            </w:pPr>
            <w:r>
              <w:rPr>
                <w:rFonts w:ascii="Arial" w:cs="Arial" w:eastAsia="Arial" w:hAnsi="Arial"/>
                <w:sz w:val="16"/>
                <w:szCs w:val="16"/>
                <w:color w:val="auto"/>
              </w:rPr>
              <w:t>(3,457 )</w:t>
            </w:r>
          </w:p>
        </w:tc>
        <w:tc>
          <w:tcPr>
            <w:tcW w:w="5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(2,435 )</w:t>
            </w:r>
          </w:p>
        </w:tc>
      </w:tr>
      <w:tr>
        <w:trPr>
          <w:trHeight w:val="219"/>
        </w:trPr>
        <w:tc>
          <w:tcPr>
            <w:tcW w:w="41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8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(12,907 )</w:t>
            </w:r>
          </w:p>
        </w:tc>
        <w:tc>
          <w:tcPr>
            <w:tcW w:w="52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(15,567 )</w:t>
            </w:r>
          </w:p>
        </w:tc>
      </w:tr>
      <w:tr>
        <w:trPr>
          <w:trHeight w:val="206"/>
        </w:trPr>
        <w:tc>
          <w:tcPr>
            <w:tcW w:w="4100" w:type="dxa"/>
            <w:vAlign w:val="bottom"/>
            <w:gridSpan w:val="2"/>
          </w:tcPr>
          <w:p>
            <w:pPr>
              <w:ind w:left="380"/>
              <w:spacing w:after="0"/>
              <w:rPr>
                <w:sz w:val="20"/>
                <w:szCs w:val="20"/>
                <w:color w:val="auto"/>
              </w:rPr>
            </w:pPr>
            <w:r>
              <w:rPr>
                <w:rFonts w:ascii="Arial" w:cs="Arial" w:eastAsia="Arial" w:hAnsi="Arial"/>
                <w:sz w:val="16"/>
                <w:szCs w:val="16"/>
                <w:color w:val="auto"/>
              </w:rPr>
              <w:t>Total stockholders' equity</w:t>
            </w:r>
          </w:p>
        </w:tc>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3,167,317</w:t>
            </w:r>
          </w:p>
        </w:tc>
        <w:tc>
          <w:tcPr>
            <w:tcW w:w="520" w:type="dxa"/>
            <w:vAlign w:val="bottom"/>
          </w:tcPr>
          <w:p>
            <w:pPr>
              <w:spacing w:after="0"/>
              <w:rPr>
                <w:sz w:val="17"/>
                <w:szCs w:val="17"/>
                <w:color w:val="auto"/>
              </w:rPr>
            </w:pP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2,994,913</w:t>
            </w:r>
          </w:p>
        </w:tc>
      </w:tr>
      <w:tr>
        <w:trPr>
          <w:trHeight w:val="219"/>
        </w:trPr>
        <w:tc>
          <w:tcPr>
            <w:tcW w:w="41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Non-controlling interest</w:t>
            </w:r>
          </w:p>
        </w:tc>
        <w:tc>
          <w:tcPr>
            <w:tcW w:w="18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92,255</w:t>
            </w:r>
          </w:p>
        </w:tc>
        <w:tc>
          <w:tcPr>
            <w:tcW w:w="52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94,982</w:t>
            </w:r>
          </w:p>
        </w:tc>
      </w:tr>
      <w:tr>
        <w:trPr>
          <w:trHeight w:val="210"/>
        </w:trPr>
        <w:tc>
          <w:tcPr>
            <w:tcW w:w="4100" w:type="dxa"/>
            <w:vAlign w:val="bottom"/>
            <w:gridSpan w:val="2"/>
          </w:tcPr>
          <w:p>
            <w:pPr>
              <w:ind w:left="380"/>
              <w:spacing w:after="0"/>
              <w:rPr>
                <w:sz w:val="20"/>
                <w:szCs w:val="20"/>
                <w:color w:val="auto"/>
              </w:rPr>
            </w:pPr>
            <w:r>
              <w:rPr>
                <w:rFonts w:ascii="Arial" w:cs="Arial" w:eastAsia="Arial" w:hAnsi="Arial"/>
                <w:sz w:val="16"/>
                <w:szCs w:val="16"/>
                <w:color w:val="auto"/>
              </w:rPr>
              <w:t>Total equity</w:t>
            </w:r>
          </w:p>
        </w:tc>
        <w:tc>
          <w:tcPr>
            <w:tcW w:w="18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3,259,572</w:t>
            </w:r>
          </w:p>
        </w:tc>
        <w:tc>
          <w:tcPr>
            <w:tcW w:w="5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3,089,895</w:t>
            </w:r>
          </w:p>
        </w:tc>
      </w:tr>
      <w:tr>
        <w:trPr>
          <w:trHeight w:val="210"/>
        </w:trPr>
        <w:tc>
          <w:tcPr>
            <w:tcW w:w="136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3300" w:type="dxa"/>
            <w:vAlign w:val="bottom"/>
            <w:gridSpan w:val="2"/>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TOTAL LIABILITIES AND TOTAL EQUITY</w:t>
            </w:r>
          </w:p>
        </w:tc>
        <w:tc>
          <w:tcPr>
            <w:tcW w:w="3300" w:type="dxa"/>
            <w:vAlign w:val="bottom"/>
            <w:gridSpan w:val="2"/>
          </w:tcPr>
          <w:p>
            <w:pPr>
              <w:jc w:val="right"/>
              <w:ind w:right="1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9,932,928</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9,618,230</w:t>
            </w:r>
          </w:p>
        </w:tc>
      </w:tr>
      <w:tr>
        <w:trPr>
          <w:trHeight w:val="20"/>
        </w:trPr>
        <w:tc>
          <w:tcPr>
            <w:tcW w:w="1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-6985</wp:posOffset>
            </wp:positionV>
            <wp:extent cx="25558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78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556"/>
        </w:trPr>
        <w:tc>
          <w:tcPr>
            <w:tcW w:w="1360" w:type="dxa"/>
            <w:vAlign w:val="bottom"/>
            <w:tcBorders>
              <w:top w:val="single" w:sz="8" w:color="0000FF"/>
            </w:tcBorders>
          </w:tcPr>
          <w:p>
            <w:pPr>
              <w:spacing w:after="0"/>
              <w:rPr>
                <w:sz w:val="24"/>
                <w:szCs w:val="24"/>
                <w:color w:val="auto"/>
              </w:rPr>
            </w:pPr>
          </w:p>
        </w:tc>
        <w:tc>
          <w:tcPr>
            <w:tcW w:w="6460" w:type="dxa"/>
            <w:vAlign w:val="bottom"/>
          </w:tcPr>
          <w:p>
            <w:pPr>
              <w:jc w:val="center"/>
              <w:ind w:left="1979"/>
              <w:spacing w:after="0"/>
              <w:rPr>
                <w:sz w:val="20"/>
                <w:szCs w:val="20"/>
                <w:color w:val="auto"/>
              </w:rPr>
            </w:pPr>
            <w:r>
              <w:rPr>
                <w:rFonts w:ascii="Arial" w:cs="Arial" w:eastAsia="Arial" w:hAnsi="Arial"/>
                <w:sz w:val="16"/>
                <w:szCs w:val="16"/>
                <w:b w:val="1"/>
                <w:bCs w:val="1"/>
                <w:color w:val="auto"/>
              </w:rPr>
              <w:t>BLACK HILLS CORPORATION</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7"/>
        </w:trPr>
        <w:tc>
          <w:tcPr>
            <w:tcW w:w="1360" w:type="dxa"/>
            <w:vAlign w:val="bottom"/>
          </w:tcPr>
          <w:p>
            <w:pPr>
              <w:spacing w:after="0"/>
              <w:rPr>
                <w:sz w:val="19"/>
                <w:szCs w:val="19"/>
                <w:color w:val="auto"/>
              </w:rPr>
            </w:pPr>
          </w:p>
        </w:tc>
        <w:tc>
          <w:tcPr>
            <w:tcW w:w="6460" w:type="dxa"/>
            <w:vAlign w:val="bottom"/>
          </w:tcPr>
          <w:p>
            <w:pPr>
              <w:jc w:val="center"/>
              <w:ind w:left="1979"/>
              <w:spacing w:after="0"/>
              <w:rPr>
                <w:sz w:val="20"/>
                <w:szCs w:val="20"/>
                <w:color w:val="auto"/>
              </w:rPr>
            </w:pPr>
            <w:r>
              <w:rPr>
                <w:rFonts w:ascii="Arial" w:cs="Arial" w:eastAsia="Arial" w:hAnsi="Arial"/>
                <w:sz w:val="16"/>
                <w:szCs w:val="16"/>
                <w:b w:val="1"/>
                <w:bCs w:val="1"/>
                <w:color w:val="auto"/>
              </w:rPr>
              <w:t>CONSOLIDATED STATEMENTS OF CASH FLOWS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79"/>
        </w:trPr>
        <w:tc>
          <w:tcPr>
            <w:tcW w:w="782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240" w:type="dxa"/>
            <w:vAlign w:val="bottom"/>
          </w:tcPr>
          <w:p>
            <w:pPr>
              <w:spacing w:after="0"/>
              <w:rPr>
                <w:sz w:val="24"/>
                <w:szCs w:val="24"/>
                <w:color w:val="auto"/>
              </w:rPr>
            </w:pPr>
          </w:p>
        </w:tc>
        <w:tc>
          <w:tcPr>
            <w:tcW w:w="3180" w:type="dxa"/>
            <w:vAlign w:val="bottom"/>
            <w:gridSpan w:val="3"/>
          </w:tcPr>
          <w:p>
            <w:pPr>
              <w:jc w:val="center"/>
              <w:ind w:right="279"/>
              <w:spacing w:after="0"/>
              <w:rPr>
                <w:sz w:val="20"/>
                <w:szCs w:val="20"/>
                <w:color w:val="auto"/>
              </w:rPr>
            </w:pPr>
            <w:r>
              <w:rPr>
                <w:rFonts w:ascii="Arial" w:cs="Arial" w:eastAsia="Arial" w:hAnsi="Arial"/>
                <w:sz w:val="16"/>
                <w:szCs w:val="16"/>
                <w:color w:val="auto"/>
              </w:rPr>
              <w:t>Nine Months Ended September 30,</w:t>
            </w:r>
          </w:p>
        </w:tc>
      </w:tr>
      <w:tr>
        <w:trPr>
          <w:trHeight w:val="216"/>
        </w:trPr>
        <w:tc>
          <w:tcPr>
            <w:tcW w:w="136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2023</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2022</w:t>
            </w:r>
          </w:p>
        </w:tc>
      </w:tr>
      <w:tr>
        <w:trPr>
          <w:trHeight w:val="212"/>
        </w:trPr>
        <w:tc>
          <w:tcPr>
            <w:tcW w:w="7820" w:type="dxa"/>
            <w:vAlign w:val="bottom"/>
            <w:gridSpan w:val="2"/>
          </w:tcPr>
          <w:p>
            <w:pPr>
              <w:ind w:left="2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spacing w:after="0"/>
              <w:rPr>
                <w:sz w:val="18"/>
                <w:szCs w:val="18"/>
                <w:color w:val="auto"/>
              </w:rPr>
            </w:pPr>
          </w:p>
        </w:tc>
        <w:tc>
          <w:tcPr>
            <w:tcW w:w="2020" w:type="dxa"/>
            <w:vAlign w:val="bottom"/>
            <w:gridSpan w:val="2"/>
          </w:tcPr>
          <w:p>
            <w:pPr>
              <w:jc w:val="center"/>
              <w:ind w:left="719"/>
              <w:spacing w:after="0"/>
              <w:rPr>
                <w:sz w:val="20"/>
                <w:szCs w:val="20"/>
                <w:color w:val="auto"/>
              </w:rPr>
            </w:pPr>
            <w:r>
              <w:rPr>
                <w:rFonts w:ascii="Arial" w:cs="Arial" w:eastAsia="Arial" w:hAnsi="Arial"/>
                <w:sz w:val="16"/>
                <w:szCs w:val="16"/>
                <w:color w:val="auto"/>
              </w:rPr>
              <w:t>(in thousands)</w:t>
            </w:r>
          </w:p>
        </w:tc>
        <w:tc>
          <w:tcPr>
            <w:tcW w:w="1160" w:type="dxa"/>
            <w:vAlign w:val="bottom"/>
          </w:tcPr>
          <w:p>
            <w:pPr>
              <w:spacing w:after="0"/>
              <w:rPr>
                <w:sz w:val="18"/>
                <w:szCs w:val="18"/>
                <w:color w:val="auto"/>
              </w:rPr>
            </w:pPr>
          </w:p>
        </w:tc>
      </w:tr>
      <w:tr>
        <w:trPr>
          <w:trHeight w:val="219"/>
        </w:trPr>
        <w:tc>
          <w:tcPr>
            <w:tcW w:w="78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192,684</w:t>
            </w:r>
          </w:p>
        </w:tc>
        <w:tc>
          <w:tcPr>
            <w:tcW w:w="56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194,704</w:t>
            </w:r>
          </w:p>
        </w:tc>
      </w:tr>
      <w:tr>
        <w:trPr>
          <w:trHeight w:val="213"/>
        </w:trPr>
        <w:tc>
          <w:tcPr>
            <w:tcW w:w="7820" w:type="dxa"/>
            <w:vAlign w:val="bottom"/>
            <w:gridSpan w:val="2"/>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782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Depreciation, depletion and amortization</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191,235</w:t>
            </w: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188,610</w:t>
            </w:r>
          </w:p>
        </w:tc>
      </w:tr>
      <w:tr>
        <w:trPr>
          <w:trHeight w:val="213"/>
        </w:trPr>
        <w:tc>
          <w:tcPr>
            <w:tcW w:w="7820" w:type="dxa"/>
            <w:vAlign w:val="bottom"/>
            <w:gridSpan w:val="2"/>
          </w:tcPr>
          <w:p>
            <w:pPr>
              <w:ind w:left="300"/>
              <w:spacing w:after="0"/>
              <w:rPr>
                <w:sz w:val="20"/>
                <w:szCs w:val="20"/>
                <w:color w:val="auto"/>
              </w:rPr>
            </w:pPr>
            <w:r>
              <w:rPr>
                <w:rFonts w:ascii="Arial" w:cs="Arial" w:eastAsia="Arial" w:hAnsi="Arial"/>
                <w:sz w:val="16"/>
                <w:szCs w:val="16"/>
                <w:color w:val="auto"/>
              </w:rPr>
              <w:t>Deferred financing cost amortization</w:t>
            </w:r>
          </w:p>
        </w:tc>
        <w:tc>
          <w:tcPr>
            <w:tcW w:w="24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6,928</w:t>
            </w:r>
          </w:p>
        </w:tc>
        <w:tc>
          <w:tcPr>
            <w:tcW w:w="5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7,430</w:t>
            </w:r>
          </w:p>
        </w:tc>
      </w:tr>
      <w:tr>
        <w:trPr>
          <w:trHeight w:val="219"/>
        </w:trPr>
        <w:tc>
          <w:tcPr>
            <w:tcW w:w="782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Stock compensation</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4,563</w:t>
            </w: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6,779</w:t>
            </w:r>
          </w:p>
        </w:tc>
      </w:tr>
      <w:tr>
        <w:trPr>
          <w:trHeight w:val="213"/>
        </w:trPr>
        <w:tc>
          <w:tcPr>
            <w:tcW w:w="7820" w:type="dxa"/>
            <w:vAlign w:val="bottom"/>
            <w:gridSpan w:val="2"/>
          </w:tcPr>
          <w:p>
            <w:pPr>
              <w:ind w:left="30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16,114</w:t>
            </w:r>
          </w:p>
        </w:tc>
        <w:tc>
          <w:tcPr>
            <w:tcW w:w="5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16,062</w:t>
            </w:r>
          </w:p>
        </w:tc>
      </w:tr>
      <w:tr>
        <w:trPr>
          <w:trHeight w:val="219"/>
        </w:trPr>
        <w:tc>
          <w:tcPr>
            <w:tcW w:w="782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Employee benefit plans</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7,929</w:t>
            </w: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2,677</w:t>
            </w:r>
          </w:p>
        </w:tc>
      </w:tr>
      <w:tr>
        <w:trPr>
          <w:trHeight w:val="213"/>
        </w:trPr>
        <w:tc>
          <w:tcPr>
            <w:tcW w:w="7820" w:type="dxa"/>
            <w:vAlign w:val="bottom"/>
            <w:gridSpan w:val="2"/>
          </w:tcPr>
          <w:p>
            <w:pPr>
              <w:ind w:left="300"/>
              <w:spacing w:after="0"/>
              <w:rPr>
                <w:sz w:val="20"/>
                <w:szCs w:val="20"/>
                <w:color w:val="auto"/>
              </w:rPr>
            </w:pPr>
            <w:r>
              <w:rPr>
                <w:rFonts w:ascii="Arial" w:cs="Arial" w:eastAsia="Arial" w:hAnsi="Arial"/>
                <w:sz w:val="16"/>
                <w:szCs w:val="16"/>
                <w:color w:val="auto"/>
              </w:rPr>
              <w:t>Other adjustments, net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(6,099 )</w:t>
            </w:r>
          </w:p>
        </w:tc>
        <w:tc>
          <w:tcPr>
            <w:tcW w:w="5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(10,243 )</w:t>
            </w:r>
          </w:p>
        </w:tc>
      </w:tr>
      <w:tr>
        <w:trPr>
          <w:trHeight w:val="219"/>
        </w:trPr>
        <w:tc>
          <w:tcPr>
            <w:tcW w:w="78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Changes in certain operating assets and liabilities:</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13"/>
        </w:trPr>
        <w:tc>
          <w:tcPr>
            <w:tcW w:w="7820" w:type="dxa"/>
            <w:vAlign w:val="bottom"/>
            <w:gridSpan w:val="2"/>
          </w:tcPr>
          <w:p>
            <w:pPr>
              <w:ind w:left="300"/>
              <w:spacing w:after="0"/>
              <w:rPr>
                <w:sz w:val="20"/>
                <w:szCs w:val="20"/>
                <w:color w:val="auto"/>
              </w:rPr>
            </w:pPr>
            <w:r>
              <w:rPr>
                <w:rFonts w:ascii="Arial" w:cs="Arial" w:eastAsia="Arial" w:hAnsi="Arial"/>
                <w:sz w:val="16"/>
                <w:szCs w:val="16"/>
                <w:color w:val="auto"/>
              </w:rPr>
              <w:t>Materials, supplies and fuel</w:t>
            </w:r>
          </w:p>
        </w:tc>
        <w:tc>
          <w:tcPr>
            <w:tcW w:w="24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43,546</w:t>
            </w:r>
          </w:p>
        </w:tc>
        <w:tc>
          <w:tcPr>
            <w:tcW w:w="5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(88,405 )</w:t>
            </w:r>
          </w:p>
        </w:tc>
      </w:tr>
      <w:tr>
        <w:trPr>
          <w:trHeight w:val="219"/>
        </w:trPr>
        <w:tc>
          <w:tcPr>
            <w:tcW w:w="782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Accounts receivable and other current assets</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302,764</w:t>
            </w: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64,280</w:t>
            </w:r>
          </w:p>
        </w:tc>
      </w:tr>
      <w:tr>
        <w:trPr>
          <w:trHeight w:val="213"/>
        </w:trPr>
        <w:tc>
          <w:tcPr>
            <w:tcW w:w="7820" w:type="dxa"/>
            <w:vAlign w:val="bottom"/>
            <w:gridSpan w:val="2"/>
          </w:tcPr>
          <w:p>
            <w:pPr>
              <w:ind w:left="300"/>
              <w:spacing w:after="0"/>
              <w:rPr>
                <w:sz w:val="20"/>
                <w:szCs w:val="20"/>
                <w:color w:val="auto"/>
              </w:rPr>
            </w:pPr>
            <w:r>
              <w:rPr>
                <w:rFonts w:ascii="Arial" w:cs="Arial" w:eastAsia="Arial" w:hAnsi="Arial"/>
                <w:sz w:val="16"/>
                <w:szCs w:val="16"/>
                <w:color w:val="auto"/>
              </w:rPr>
              <w:t>Accounts payable and other current liabilities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(186,500 )</w:t>
            </w:r>
          </w:p>
        </w:tc>
        <w:tc>
          <w:tcPr>
            <w:tcW w:w="5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5,963</w:t>
            </w:r>
          </w:p>
        </w:tc>
      </w:tr>
      <w:tr>
        <w:trPr>
          <w:trHeight w:val="219"/>
        </w:trPr>
        <w:tc>
          <w:tcPr>
            <w:tcW w:w="782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Regulatory assets</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199,093</w:t>
            </w: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118,330</w:t>
            </w:r>
          </w:p>
        </w:tc>
      </w:tr>
      <w:tr>
        <w:trPr>
          <w:trHeight w:val="216"/>
        </w:trPr>
        <w:tc>
          <w:tcPr>
            <w:tcW w:w="7820" w:type="dxa"/>
            <w:vAlign w:val="bottom"/>
            <w:gridSpan w:val="2"/>
          </w:tcPr>
          <w:p>
            <w:pPr>
              <w:ind w:left="120"/>
              <w:spacing w:after="0"/>
              <w:rPr>
                <w:sz w:val="20"/>
                <w:szCs w:val="20"/>
                <w:color w:val="auto"/>
              </w:rPr>
            </w:pPr>
            <w:r>
              <w:rPr>
                <w:rFonts w:ascii="Arial" w:cs="Arial" w:eastAsia="Arial" w:hAnsi="Arial"/>
                <w:sz w:val="16"/>
                <w:szCs w:val="16"/>
                <w:color w:val="auto"/>
              </w:rPr>
              <w:t>Other operating activities, net</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(16,205 )</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(11,900 )</w:t>
            </w:r>
          </w:p>
        </w:tc>
      </w:tr>
      <w:tr>
        <w:trPr>
          <w:trHeight w:val="210"/>
        </w:trPr>
        <w:tc>
          <w:tcPr>
            <w:tcW w:w="78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756,052</w:t>
            </w:r>
          </w:p>
        </w:tc>
        <w:tc>
          <w:tcPr>
            <w:tcW w:w="5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494,287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Investing activities: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Property, plant and equipment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color w:val="auto"/>
        </w:rPr>
        <w:t>(421,770 )</w:t>
      </w:r>
      <w:r>
        <w:rPr>
          <w:sz w:val="20"/>
          <w:szCs w:val="20"/>
          <w:color w:val="auto"/>
        </w:rPr>
        <w:tab/>
      </w:r>
      <w:r>
        <w:rPr>
          <w:rFonts w:ascii="Arial" w:cs="Arial" w:eastAsia="Arial" w:hAnsi="Arial"/>
          <w:sz w:val="15"/>
          <w:szCs w:val="15"/>
          <w:color w:val="auto"/>
        </w:rPr>
        <w:t>(466,302 )</w:t>
      </w:r>
    </w:p>
    <w:p>
      <w:pPr>
        <w:spacing w:after="0" w:line="32" w:lineRule="exact"/>
        <w:rPr>
          <w:sz w:val="20"/>
          <w:szCs w:val="20"/>
          <w:color w:val="auto"/>
        </w:rPr>
      </w:pPr>
    </w:p>
    <w:p>
      <w:pPr>
        <w:ind w:left="140"/>
        <w:spacing w:after="0"/>
        <w:tabs>
          <w:tab w:leader="none" w:pos="2080" w:val="left"/>
        </w:tabs>
        <w:rPr>
          <w:sz w:val="20"/>
          <w:szCs w:val="20"/>
          <w:color w:val="auto"/>
        </w:rPr>
      </w:pPr>
      <w:r>
        <w:rPr>
          <w:rFonts w:ascii="Arial" w:cs="Arial" w:eastAsia="Arial" w:hAnsi="Arial"/>
          <w:sz w:val="15"/>
          <w:szCs w:val="15"/>
          <w:color w:val="auto"/>
        </w:rPr>
        <w:t>17,985</w:t>
      </w:r>
      <w:r>
        <w:rPr>
          <w:sz w:val="20"/>
          <w:szCs w:val="20"/>
          <w:color w:val="auto"/>
        </w:rPr>
        <w:tab/>
      </w:r>
      <w:r>
        <w:rPr>
          <w:rFonts w:ascii="Arial" w:cs="Arial" w:eastAsia="Arial" w:hAnsi="Arial"/>
          <w:sz w:val="15"/>
          <w:szCs w:val="15"/>
          <w:color w:val="auto"/>
        </w:rPr>
        <w:t>(19 )</w:t>
      </w:r>
    </w:p>
    <w:p>
      <w:pPr>
        <w:spacing w:after="0" w:line="57"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color w:val="auto"/>
        </w:rPr>
        <w:t>(403,785 )</w:t>
      </w:r>
      <w:r>
        <w:rPr>
          <w:sz w:val="20"/>
          <w:szCs w:val="20"/>
          <w:color w:val="auto"/>
        </w:rPr>
        <w:tab/>
      </w:r>
      <w:r>
        <w:rPr>
          <w:rFonts w:ascii="Arial" w:cs="Arial" w:eastAsia="Arial" w:hAnsi="Arial"/>
          <w:sz w:val="15"/>
          <w:szCs w:val="15"/>
          <w:color w:val="auto"/>
        </w:rPr>
        <w:t>(466,321 )</w:t>
      </w:r>
    </w:p>
    <w:p>
      <w:pPr>
        <w:spacing w:after="0" w:line="28" w:lineRule="exact"/>
        <w:rPr>
          <w:sz w:val="20"/>
          <w:szCs w:val="20"/>
          <w:color w:val="auto"/>
        </w:rPr>
      </w:pPr>
    </w:p>
    <w:p>
      <w:pPr>
        <w:sectPr>
          <w:pgSz w:w="11900" w:h="16838" w:orient="portrait"/>
          <w:cols w:equalWidth="0" w:num="2">
            <w:col w:w="8060" w:space="720"/>
            <w:col w:w="246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82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7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Dividends paid on common stock</w:t>
            </w: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(125,446 )</w:t>
            </w: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(115,850 )</w:t>
            </w:r>
          </w:p>
        </w:tc>
      </w:tr>
      <w:tr>
        <w:trPr>
          <w:trHeight w:val="213"/>
        </w:trPr>
        <w:tc>
          <w:tcPr>
            <w:tcW w:w="7820" w:type="dxa"/>
            <w:vAlign w:val="bottom"/>
          </w:tcPr>
          <w:p>
            <w:pPr>
              <w:ind w:left="120"/>
              <w:spacing w:after="0"/>
              <w:rPr>
                <w:sz w:val="20"/>
                <w:szCs w:val="20"/>
                <w:color w:val="auto"/>
              </w:rPr>
            </w:pPr>
            <w:r>
              <w:rPr>
                <w:rFonts w:ascii="Arial" w:cs="Arial" w:eastAsia="Arial" w:hAnsi="Arial"/>
                <w:sz w:val="16"/>
                <w:szCs w:val="16"/>
                <w:color w:val="auto"/>
              </w:rPr>
              <w:t>Common stock issued</w:t>
            </w:r>
          </w:p>
        </w:tc>
        <w:tc>
          <w:tcPr>
            <w:tcW w:w="5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107,380</w:t>
            </w:r>
          </w:p>
        </w:tc>
        <w:tc>
          <w:tcPr>
            <w:tcW w:w="5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20,027</w:t>
            </w:r>
          </w:p>
        </w:tc>
      </w:tr>
      <w:tr>
        <w:trPr>
          <w:trHeight w:val="219"/>
        </w:trPr>
        <w:tc>
          <w:tcPr>
            <w:tcW w:w="7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borrowings (payments) of Revolving Credit Facility and CP Program</w:t>
            </w: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(535,600 )</w:t>
            </w: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81,170</w:t>
            </w:r>
          </w:p>
        </w:tc>
      </w:tr>
      <w:tr>
        <w:trPr>
          <w:trHeight w:val="213"/>
        </w:trPr>
        <w:tc>
          <w:tcPr>
            <w:tcW w:w="7820" w:type="dxa"/>
            <w:vAlign w:val="bottom"/>
          </w:tcPr>
          <w:p>
            <w:pPr>
              <w:ind w:left="120"/>
              <w:spacing w:after="0"/>
              <w:rPr>
                <w:sz w:val="20"/>
                <w:szCs w:val="20"/>
                <w:color w:val="auto"/>
              </w:rPr>
            </w:pPr>
            <w:r>
              <w:rPr>
                <w:rFonts w:ascii="Arial" w:cs="Arial" w:eastAsia="Arial" w:hAnsi="Arial"/>
                <w:sz w:val="16"/>
                <w:szCs w:val="16"/>
                <w:color w:val="auto"/>
              </w:rPr>
              <w:t>Long-term debt - issuance</w:t>
            </w:r>
          </w:p>
        </w:tc>
        <w:tc>
          <w:tcPr>
            <w:tcW w:w="5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800,000</w:t>
            </w:r>
          </w:p>
        </w:tc>
        <w:tc>
          <w:tcPr>
            <w:tcW w:w="5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7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Distributions to non-controlling interests</w:t>
            </w: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(12,891 )</w:t>
            </w: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(11,678 )</w:t>
            </w:r>
          </w:p>
        </w:tc>
      </w:tr>
      <w:tr>
        <w:trPr>
          <w:trHeight w:val="216"/>
        </w:trPr>
        <w:tc>
          <w:tcPr>
            <w:tcW w:w="7820" w:type="dxa"/>
            <w:vAlign w:val="bottom"/>
          </w:tcPr>
          <w:p>
            <w:pPr>
              <w:ind w:left="120"/>
              <w:spacing w:after="0"/>
              <w:rPr>
                <w:sz w:val="20"/>
                <w:szCs w:val="20"/>
                <w:color w:val="auto"/>
              </w:rPr>
            </w:pPr>
            <w:r>
              <w:rPr>
                <w:rFonts w:ascii="Arial" w:cs="Arial" w:eastAsia="Arial" w:hAnsi="Arial"/>
                <w:sz w:val="16"/>
                <w:szCs w:val="16"/>
                <w:color w:val="auto"/>
              </w:rPr>
              <w:t>Other financing activities</w:t>
            </w: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(12,193 )</w:t>
            </w: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1,647</w:t>
            </w:r>
          </w:p>
        </w:tc>
      </w:tr>
      <w:tr>
        <w:trPr>
          <w:trHeight w:val="210"/>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5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221,250</w:t>
            </w:r>
          </w:p>
        </w:tc>
        <w:tc>
          <w:tcPr>
            <w:tcW w:w="5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(24,684 )</w:t>
            </w:r>
          </w:p>
        </w:tc>
      </w:tr>
      <w:tr>
        <w:trPr>
          <w:trHeight w:val="210"/>
        </w:trPr>
        <w:tc>
          <w:tcPr>
            <w:tcW w:w="7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change in cash, restricted cash and cash equivalents</w:t>
            </w:r>
          </w:p>
        </w:tc>
        <w:tc>
          <w:tcPr>
            <w:tcW w:w="5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573,517</w:t>
            </w:r>
          </w:p>
        </w:tc>
        <w:tc>
          <w:tcPr>
            <w:tcW w:w="5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3,282</w:t>
            </w:r>
          </w:p>
        </w:tc>
      </w:tr>
      <w:tr>
        <w:trPr>
          <w:trHeight w:val="216"/>
        </w:trPr>
        <w:tc>
          <w:tcPr>
            <w:tcW w:w="7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restricted cash and cash equivalents beginning of period</w:t>
            </w:r>
          </w:p>
        </w:tc>
        <w:tc>
          <w:tcPr>
            <w:tcW w:w="5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26,985</w:t>
            </w:r>
          </w:p>
        </w:tc>
        <w:tc>
          <w:tcPr>
            <w:tcW w:w="5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13,810</w:t>
            </w: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Cash, restricted cash and cash equivalents end of period</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600,502</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17,092</w:t>
            </w:r>
          </w:p>
        </w:tc>
      </w:tr>
      <w:tr>
        <w:trPr>
          <w:trHeight w:val="20"/>
        </w:trPr>
        <w:tc>
          <w:tcPr>
            <w:tcW w:w="7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78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7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(paid) refunded during the period:</w:t>
            </w: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13"/>
        </w:trPr>
        <w:tc>
          <w:tcPr>
            <w:tcW w:w="7820" w:type="dxa"/>
            <w:vAlign w:val="bottom"/>
          </w:tcPr>
          <w:p>
            <w:pPr>
              <w:ind w:left="200"/>
              <w:spacing w:after="0"/>
              <w:rPr>
                <w:sz w:val="20"/>
                <w:szCs w:val="20"/>
                <w:color w:val="auto"/>
              </w:rPr>
            </w:pPr>
            <w:r>
              <w:rPr>
                <w:rFonts w:ascii="Arial" w:cs="Arial" w:eastAsia="Arial" w:hAnsi="Arial"/>
                <w:sz w:val="16"/>
                <w:szCs w:val="16"/>
                <w:color w:val="auto"/>
              </w:rPr>
              <w:t>Interest (net of amounts capitalized)</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720" w:type="dxa"/>
            <w:vAlign w:val="bottom"/>
            <w:gridSpan w:val="2"/>
          </w:tcPr>
          <w:p>
            <w:pPr>
              <w:jc w:val="right"/>
              <w:ind w:right="339"/>
              <w:spacing w:after="0"/>
              <w:rPr>
                <w:sz w:val="20"/>
                <w:szCs w:val="20"/>
                <w:color w:val="auto"/>
              </w:rPr>
            </w:pPr>
            <w:r>
              <w:rPr>
                <w:rFonts w:ascii="Arial" w:cs="Arial" w:eastAsia="Arial" w:hAnsi="Arial"/>
                <w:sz w:val="16"/>
                <w:szCs w:val="16"/>
                <w:color w:val="auto"/>
              </w:rPr>
              <w:t>(108,813 ) $</w:t>
            </w:r>
          </w:p>
        </w:tc>
        <w:tc>
          <w:tcPr>
            <w:tcW w:w="1180" w:type="dxa"/>
            <w:vAlign w:val="bottom"/>
          </w:tcPr>
          <w:p>
            <w:pPr>
              <w:jc w:val="right"/>
              <w:spacing w:after="0"/>
              <w:rPr>
                <w:sz w:val="20"/>
                <w:szCs w:val="20"/>
                <w:color w:val="auto"/>
              </w:rPr>
            </w:pPr>
            <w:r>
              <w:rPr>
                <w:rFonts w:ascii="Arial" w:cs="Arial" w:eastAsia="Arial" w:hAnsi="Arial"/>
                <w:sz w:val="16"/>
                <w:szCs w:val="16"/>
                <w:color w:val="auto"/>
              </w:rPr>
              <w:t>(98,227 )</w:t>
            </w:r>
          </w:p>
        </w:tc>
      </w:tr>
      <w:tr>
        <w:trPr>
          <w:trHeight w:val="219"/>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w:t>
            </w: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51</w:t>
            </w: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746</w:t>
            </w:r>
          </w:p>
        </w:tc>
      </w:tr>
      <w:tr>
        <w:trPr>
          <w:trHeight w:val="213"/>
        </w:trPr>
        <w:tc>
          <w:tcPr>
            <w:tcW w:w="7820" w:type="dxa"/>
            <w:vAlign w:val="bottom"/>
          </w:tcPr>
          <w:p>
            <w:pPr>
              <w:ind w:left="120"/>
              <w:spacing w:after="0"/>
              <w:rPr>
                <w:sz w:val="20"/>
                <w:szCs w:val="20"/>
                <w:color w:val="auto"/>
              </w:rPr>
            </w:pPr>
            <w:r>
              <w:rPr>
                <w:rFonts w:ascii="Arial" w:cs="Arial" w:eastAsia="Arial" w:hAnsi="Arial"/>
                <w:sz w:val="16"/>
                <w:szCs w:val="16"/>
                <w:color w:val="auto"/>
              </w:rPr>
              <w:t>Non-cash investing and financing activities:</w:t>
            </w: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property, plant and equipment purchases at September 30,</w:t>
            </w: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52,984</w:t>
            </w: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42,687</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-6985</wp:posOffset>
            </wp:positionV>
            <wp:extent cx="25558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20" w:type="dxa"/>
            <w:vAlign w:val="bottom"/>
          </w:tcPr>
          <w:p>
            <w:pPr>
              <w:ind w:left="20"/>
              <w:spacing w:after="0"/>
              <w:rPr>
                <w:sz w:val="20"/>
                <w:szCs w:val="20"/>
                <w:color w:val="auto"/>
              </w:rPr>
            </w:pPr>
            <w:r>
              <w:rPr>
                <w:rFonts w:ascii="Arial" w:cs="Arial" w:eastAsia="Arial" w:hAnsi="Arial"/>
                <w:sz w:val="14"/>
                <w:szCs w:val="14"/>
                <w:color w:val="auto"/>
              </w:rPr>
              <w:t>(unaudited)</w:t>
            </w:r>
          </w:p>
        </w:tc>
        <w:tc>
          <w:tcPr>
            <w:tcW w:w="188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color w:val="auto"/>
              </w:rPr>
              <w:t>Common Stock</w:t>
            </w:r>
          </w:p>
        </w:tc>
        <w:tc>
          <w:tcPr>
            <w:tcW w:w="184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Treasury Stock</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Additional</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Arial" w:cs="Arial" w:eastAsia="Arial" w:hAnsi="Arial"/>
                <w:sz w:val="14"/>
                <w:szCs w:val="14"/>
                <w:color w:val="auto"/>
              </w:rPr>
              <w:t>Non-</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Paid in</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controlling</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20" w:type="dxa"/>
            <w:vAlign w:val="bottom"/>
          </w:tcPr>
          <w:p>
            <w:pPr>
              <w:ind w:left="20"/>
              <w:spacing w:after="0"/>
              <w:rPr>
                <w:sz w:val="20"/>
                <w:szCs w:val="20"/>
                <w:color w:val="auto"/>
              </w:rPr>
            </w:pPr>
            <w:r>
              <w:rPr>
                <w:rFonts w:ascii="Arial" w:cs="Arial" w:eastAsia="Arial" w:hAnsi="Arial"/>
                <w:sz w:val="14"/>
                <w:szCs w:val="14"/>
                <w:color w:val="auto"/>
              </w:rPr>
              <w:t>(in thousands except share amounts)</w:t>
            </w: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Value</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Value</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Capital</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Earnings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AOCI</w:t>
            </w: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Interest</w:t>
            </w: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4"/>
        </w:trPr>
        <w:tc>
          <w:tcPr>
            <w:tcW w:w="292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2022</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66,140,39</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20" w:type="dxa"/>
            <w:vAlign w:val="bottom"/>
            <w:vMerge w:val="continue"/>
            <w:shd w:val="clear" w:color="auto" w:fill="CFF0FC"/>
          </w:tcPr>
          <w:p>
            <w:pPr>
              <w:spacing w:after="0"/>
              <w:rPr>
                <w:sz w:val="15"/>
                <w:szCs w:val="15"/>
                <w:color w:val="auto"/>
              </w:rPr>
            </w:pP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66,140</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36,726</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(2,435 ) $ 1,882,653</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$ 1,064,122</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(15,567 ) $</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94,982</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$ 3,089,895</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114,084</w:t>
            </w:r>
          </w:p>
        </w:tc>
        <w:tc>
          <w:tcPr>
            <w:tcW w:w="18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3,296</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117,380</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1,220</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($0.625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(41,362 )</w:t>
            </w:r>
          </w:p>
        </w:tc>
        <w:tc>
          <w:tcPr>
            <w:tcW w:w="180" w:type="dxa"/>
            <w:vAlign w:val="bottom"/>
          </w:tcPr>
          <w:p>
            <w:pPr>
              <w:spacing w:after="0"/>
              <w:rPr>
                <w:sz w:val="15"/>
                <w:szCs w:val="15"/>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(41,362 )</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84,735</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85</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4,388</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(262 )</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1,886</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1,709</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445,578</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446</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27,273</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27,719</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(336 )</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(336 )</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(4,494 )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(4,494 )</w:t>
            </w:r>
          </w:p>
        </w:tc>
        <w:tc>
          <w:tcPr>
            <w:tcW w:w="0" w:type="dxa"/>
            <w:vAlign w:val="bottom"/>
          </w:tcPr>
          <w:p>
            <w:pPr>
              <w:spacing w:after="0"/>
              <w:rPr>
                <w:sz w:val="1"/>
                <w:szCs w:val="1"/>
                <w:color w:val="auto"/>
              </w:rPr>
            </w:pPr>
          </w:p>
        </w:tc>
      </w:tr>
      <w:tr>
        <w:trPr>
          <w:trHeight w:val="164"/>
        </w:trPr>
        <w:tc>
          <w:tcPr>
            <w:tcW w:w="29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66,670,70</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March 31, 2023</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9</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66,671</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41,114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(2,697 ) $ 1,911,476</w:t>
            </w:r>
          </w:p>
        </w:tc>
        <w:tc>
          <w:tcPr>
            <w:tcW w:w="8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$ 1,136,844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(14,347 ) $</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93,784</w:t>
            </w: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$ 3,191,731</w:t>
            </w: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23,053</w:t>
            </w:r>
          </w:p>
        </w:tc>
        <w:tc>
          <w:tcPr>
            <w:tcW w:w="180" w:type="dxa"/>
            <w:vAlign w:val="bottom"/>
          </w:tcPr>
          <w:p>
            <w:pPr>
              <w:spacing w:after="0"/>
              <w:rPr>
                <w:sz w:val="14"/>
                <w:szCs w:val="1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3,491</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26,544</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1,035</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($0.625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(41,752 )</w:t>
            </w:r>
          </w:p>
        </w:tc>
        <w:tc>
          <w:tcPr>
            <w:tcW w:w="180" w:type="dxa"/>
            <w:vAlign w:val="bottom"/>
          </w:tcPr>
          <w:p>
            <w:pPr>
              <w:spacing w:after="0"/>
              <w:rPr>
                <w:sz w:val="15"/>
                <w:szCs w:val="15"/>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(41,752 )</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8,492</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7,509</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(470 )</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2,888</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2,426</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436,202</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436</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27,274</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27,710</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(404 )</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(404 )</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(4,523 )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(4,523 )</w:t>
            </w:r>
          </w:p>
        </w:tc>
        <w:tc>
          <w:tcPr>
            <w:tcW w:w="0" w:type="dxa"/>
            <w:vAlign w:val="bottom"/>
          </w:tcPr>
          <w:p>
            <w:pPr>
              <w:spacing w:after="0"/>
              <w:rPr>
                <w:sz w:val="1"/>
                <w:szCs w:val="1"/>
                <w:color w:val="auto"/>
              </w:rPr>
            </w:pPr>
          </w:p>
        </w:tc>
      </w:tr>
      <w:tr>
        <w:trPr>
          <w:trHeight w:val="164"/>
        </w:trPr>
        <w:tc>
          <w:tcPr>
            <w:tcW w:w="29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67,115,40</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June 30, 2023</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67,115</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48,623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(3,167 ) $ 1,941,234</w:t>
            </w:r>
          </w:p>
        </w:tc>
        <w:tc>
          <w:tcPr>
            <w:tcW w:w="8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$ 1,118,145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(13,312 ) $</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92,752</w:t>
            </w: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$ 3,202,767</w:t>
            </w: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45,383</w:t>
            </w:r>
          </w:p>
        </w:tc>
        <w:tc>
          <w:tcPr>
            <w:tcW w:w="180" w:type="dxa"/>
            <w:vAlign w:val="bottom"/>
          </w:tcPr>
          <w:p>
            <w:pPr>
              <w:spacing w:after="0"/>
              <w:rPr>
                <w:sz w:val="14"/>
                <w:szCs w:val="1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3,377</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48,760</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405</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($0.625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(42,332 )</w:t>
            </w:r>
          </w:p>
        </w:tc>
        <w:tc>
          <w:tcPr>
            <w:tcW w:w="180" w:type="dxa"/>
            <w:vAlign w:val="bottom"/>
          </w:tcPr>
          <w:p>
            <w:pPr>
              <w:spacing w:after="0"/>
              <w:rPr>
                <w:sz w:val="15"/>
                <w:szCs w:val="15"/>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(42,332 )</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5,805</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(290 )</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1,445</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930,844</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931</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52,433</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53,364</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(673 )</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(673 )</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(3,874 )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(3,874 )</w:t>
            </w:r>
          </w:p>
        </w:tc>
        <w:tc>
          <w:tcPr>
            <w:tcW w:w="0" w:type="dxa"/>
            <w:vAlign w:val="bottom"/>
          </w:tcPr>
          <w:p>
            <w:pPr>
              <w:spacing w:after="0"/>
              <w:rPr>
                <w:sz w:val="1"/>
                <w:szCs w:val="1"/>
                <w:color w:val="auto"/>
              </w:rPr>
            </w:pPr>
          </w:p>
        </w:tc>
      </w:tr>
      <w:tr>
        <w:trPr>
          <w:trHeight w:val="164"/>
        </w:trPr>
        <w:tc>
          <w:tcPr>
            <w:tcW w:w="2920" w:type="dxa"/>
            <w:vAlign w:val="bottom"/>
            <w:shd w:val="clear" w:color="auto" w:fill="CCF0FC"/>
          </w:tcPr>
          <w:p>
            <w:pPr>
              <w:spacing w:after="0"/>
              <w:rPr>
                <w:sz w:val="14"/>
                <w:szCs w:val="14"/>
                <w:color w:val="auto"/>
              </w:rPr>
            </w:pPr>
          </w:p>
        </w:tc>
        <w:tc>
          <w:tcPr>
            <w:tcW w:w="920" w:type="dxa"/>
            <w:vAlign w:val="bottom"/>
            <w:shd w:val="clear" w:color="auto" w:fill="CCF0FC"/>
          </w:tcPr>
          <w:p>
            <w:pPr>
              <w:jc w:val="right"/>
              <w:ind w:right="8"/>
              <w:spacing w:after="0"/>
              <w:rPr>
                <w:sz w:val="20"/>
                <w:szCs w:val="20"/>
                <w:color w:val="auto"/>
              </w:rPr>
            </w:pPr>
            <w:r>
              <w:rPr>
                <w:rFonts w:ascii="Arial" w:cs="Arial" w:eastAsia="Arial" w:hAnsi="Arial"/>
                <w:sz w:val="14"/>
                <w:szCs w:val="14"/>
                <w:color w:val="auto"/>
              </w:rPr>
              <w:t>68,046,26</w:t>
            </w:r>
          </w:p>
        </w:tc>
        <w:tc>
          <w:tcPr>
            <w:tcW w:w="200" w:type="dxa"/>
            <w:vAlign w:val="bottom"/>
            <w:shd w:val="clear" w:color="auto" w:fill="CCF0FC"/>
          </w:tcPr>
          <w:p>
            <w:pPr>
              <w:spacing w:after="0"/>
              <w:rPr>
                <w:sz w:val="14"/>
                <w:szCs w:val="14"/>
                <w:color w:val="auto"/>
              </w:rPr>
            </w:pPr>
          </w:p>
        </w:tc>
        <w:tc>
          <w:tcPr>
            <w:tcW w:w="760" w:type="dxa"/>
            <w:vAlign w:val="bottom"/>
            <w:shd w:val="clear" w:color="auto" w:fill="CCF0FC"/>
          </w:tcPr>
          <w:p>
            <w:pPr>
              <w:spacing w:after="0"/>
              <w:rPr>
                <w:sz w:val="14"/>
                <w:szCs w:val="14"/>
                <w:color w:val="auto"/>
              </w:rPr>
            </w:pPr>
          </w:p>
        </w:tc>
        <w:tc>
          <w:tcPr>
            <w:tcW w:w="880" w:type="dxa"/>
            <w:vAlign w:val="bottom"/>
            <w:shd w:val="clear" w:color="auto" w:fill="CCF0FC"/>
          </w:tcPr>
          <w:p>
            <w:pPr>
              <w:spacing w:after="0"/>
              <w:rPr>
                <w:sz w:val="14"/>
                <w:szCs w:val="14"/>
                <w:color w:val="auto"/>
              </w:rPr>
            </w:pPr>
          </w:p>
        </w:tc>
        <w:tc>
          <w:tcPr>
            <w:tcW w:w="220" w:type="dxa"/>
            <w:vAlign w:val="bottom"/>
            <w:shd w:val="clear" w:color="auto" w:fill="CCF0FC"/>
          </w:tcPr>
          <w:p>
            <w:pPr>
              <w:spacing w:after="0"/>
              <w:rPr>
                <w:sz w:val="14"/>
                <w:szCs w:val="14"/>
                <w:color w:val="auto"/>
              </w:rPr>
            </w:pPr>
          </w:p>
        </w:tc>
        <w:tc>
          <w:tcPr>
            <w:tcW w:w="740" w:type="dxa"/>
            <w:vAlign w:val="bottom"/>
            <w:shd w:val="clear" w:color="auto" w:fill="CCF0FC"/>
          </w:tcPr>
          <w:p>
            <w:pPr>
              <w:spacing w:after="0"/>
              <w:rPr>
                <w:sz w:val="14"/>
                <w:szCs w:val="14"/>
                <w:color w:val="auto"/>
              </w:rPr>
            </w:pPr>
          </w:p>
        </w:tc>
        <w:tc>
          <w:tcPr>
            <w:tcW w:w="880" w:type="dxa"/>
            <w:vAlign w:val="bottom"/>
            <w:shd w:val="clear" w:color="auto" w:fill="CCF0FC"/>
          </w:tcPr>
          <w:p>
            <w:pPr>
              <w:spacing w:after="0"/>
              <w:rPr>
                <w:sz w:val="14"/>
                <w:szCs w:val="14"/>
                <w:color w:val="auto"/>
              </w:rPr>
            </w:pPr>
          </w:p>
        </w:tc>
        <w:tc>
          <w:tcPr>
            <w:tcW w:w="880" w:type="dxa"/>
            <w:vAlign w:val="bottom"/>
            <w:shd w:val="clear" w:color="auto" w:fill="CCF0FC"/>
          </w:tcPr>
          <w:p>
            <w:pPr>
              <w:spacing w:after="0"/>
              <w:rPr>
                <w:sz w:val="14"/>
                <w:szCs w:val="14"/>
                <w:color w:val="auto"/>
              </w:rPr>
            </w:pPr>
          </w:p>
        </w:tc>
        <w:tc>
          <w:tcPr>
            <w:tcW w:w="180" w:type="dxa"/>
            <w:vAlign w:val="bottom"/>
            <w:shd w:val="clear" w:color="auto" w:fill="CCF0FC"/>
          </w:tcPr>
          <w:p>
            <w:pPr>
              <w:spacing w:after="0"/>
              <w:rPr>
                <w:sz w:val="14"/>
                <w:szCs w:val="14"/>
                <w:color w:val="auto"/>
              </w:rPr>
            </w:pPr>
          </w:p>
        </w:tc>
        <w:tc>
          <w:tcPr>
            <w:tcW w:w="840" w:type="dxa"/>
            <w:vAlign w:val="bottom"/>
            <w:shd w:val="clear" w:color="auto" w:fill="CCF0FC"/>
          </w:tcPr>
          <w:p>
            <w:pPr>
              <w:spacing w:after="0"/>
              <w:rPr>
                <w:sz w:val="14"/>
                <w:szCs w:val="14"/>
                <w:color w:val="auto"/>
              </w:rPr>
            </w:pPr>
          </w:p>
        </w:tc>
        <w:tc>
          <w:tcPr>
            <w:tcW w:w="920" w:type="dxa"/>
            <w:vAlign w:val="bottom"/>
            <w:shd w:val="clear" w:color="auto" w:fill="CCF0FC"/>
          </w:tcPr>
          <w:p>
            <w:pPr>
              <w:spacing w:after="0"/>
              <w:rPr>
                <w:sz w:val="14"/>
                <w:szCs w:val="14"/>
                <w:color w:val="auto"/>
              </w:rPr>
            </w:pPr>
          </w:p>
        </w:tc>
        <w:tc>
          <w:tcPr>
            <w:tcW w:w="9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920" w:type="dxa"/>
            <w:vAlign w:val="bottom"/>
            <w:tcBorders>
              <w:bottom w:val="single" w:sz="8" w:color="CCF0FC"/>
            </w:tcBorders>
            <w:shd w:val="clear" w:color="auto" w:fill="CCF0FC"/>
          </w:tcPr>
          <w:p>
            <w:pPr>
              <w:ind w:left="20"/>
              <w:spacing w:after="0"/>
              <w:rPr>
                <w:sz w:val="20"/>
                <w:szCs w:val="20"/>
                <w:color w:val="auto"/>
              </w:rPr>
            </w:pPr>
            <w:r>
              <w:rPr>
                <w:rFonts w:ascii="Arial" w:cs="Arial" w:eastAsia="Arial" w:hAnsi="Arial"/>
                <w:sz w:val="14"/>
                <w:szCs w:val="14"/>
                <w:b w:val="1"/>
                <w:bCs w:val="1"/>
                <w:color w:val="auto"/>
              </w:rPr>
              <w:t>September 30, 2023</w:t>
            </w:r>
          </w:p>
        </w:tc>
        <w:tc>
          <w:tcPr>
            <w:tcW w:w="920" w:type="dxa"/>
            <w:vAlign w:val="bottom"/>
            <w:tcBorders>
              <w:bottom w:val="single" w:sz="8" w:color="auto"/>
            </w:tcBorders>
            <w:shd w:val="clear" w:color="auto" w:fill="CCF0FC"/>
          </w:tcPr>
          <w:p>
            <w:pPr>
              <w:jc w:val="right"/>
              <w:ind w:right="8"/>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F0FC"/>
          </w:tcPr>
          <w:p>
            <w:pPr>
              <w:jc w:val="right"/>
              <w:ind w:right="88"/>
              <w:spacing w:after="0"/>
              <w:rPr>
                <w:sz w:val="20"/>
                <w:szCs w:val="20"/>
                <w:color w:val="auto"/>
              </w:rPr>
            </w:pPr>
            <w:r>
              <w:rPr>
                <w:rFonts w:ascii="Arial" w:cs="Arial" w:eastAsia="Arial" w:hAnsi="Arial"/>
                <w:sz w:val="14"/>
                <w:szCs w:val="14"/>
                <w:color w:val="auto"/>
              </w:rPr>
              <w:t>68,046</w:t>
            </w:r>
          </w:p>
        </w:tc>
        <w:tc>
          <w:tcPr>
            <w:tcW w:w="88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4"/>
                <w:szCs w:val="14"/>
                <w:color w:val="auto"/>
              </w:rPr>
              <w:t>54,428</w:t>
            </w:r>
          </w:p>
        </w:tc>
        <w:tc>
          <w:tcPr>
            <w:tcW w:w="22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gridSpan w:val="2"/>
            <w:shd w:val="clear" w:color="auto" w:fill="CCF0FC"/>
          </w:tcPr>
          <w:p>
            <w:pPr>
              <w:jc w:val="right"/>
              <w:ind w:right="48"/>
              <w:spacing w:after="0"/>
              <w:rPr>
                <w:sz w:val="20"/>
                <w:szCs w:val="20"/>
                <w:color w:val="auto"/>
              </w:rPr>
            </w:pPr>
            <w:r>
              <w:rPr>
                <w:rFonts w:ascii="Arial" w:cs="Arial" w:eastAsia="Arial" w:hAnsi="Arial"/>
                <w:sz w:val="14"/>
                <w:szCs w:val="14"/>
                <w:color w:val="auto"/>
              </w:rPr>
              <w:t>(3,457 ) $ 1,994,439</w:t>
            </w:r>
          </w:p>
        </w:tc>
        <w:tc>
          <w:tcPr>
            <w:tcW w:w="880" w:type="dxa"/>
            <w:vAlign w:val="bottom"/>
            <w:tcBorders>
              <w:bottom w:val="single" w:sz="8" w:color="auto"/>
            </w:tcBorders>
            <w:shd w:val="clear" w:color="auto" w:fill="CCF0FC"/>
          </w:tcPr>
          <w:p>
            <w:pPr>
              <w:jc w:val="right"/>
              <w:ind w:right="28"/>
              <w:spacing w:after="0"/>
              <w:rPr>
                <w:sz w:val="20"/>
                <w:szCs w:val="20"/>
                <w:color w:val="auto"/>
              </w:rPr>
            </w:pPr>
            <w:r>
              <w:rPr>
                <w:rFonts w:ascii="Arial" w:cs="Arial" w:eastAsia="Arial" w:hAnsi="Arial"/>
                <w:sz w:val="14"/>
                <w:szCs w:val="14"/>
                <w:color w:val="auto"/>
              </w:rPr>
              <w:t>$ 1,121,196</w:t>
            </w:r>
          </w:p>
        </w:tc>
        <w:tc>
          <w:tcPr>
            <w:tcW w:w="18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4"/>
                <w:szCs w:val="14"/>
                <w:color w:val="auto"/>
              </w:rPr>
              <w:t>(12,907 ) $</w:t>
            </w:r>
          </w:p>
        </w:tc>
        <w:tc>
          <w:tcPr>
            <w:tcW w:w="920" w:type="dxa"/>
            <w:vAlign w:val="bottom"/>
            <w:tcBorders>
              <w:bottom w:val="single" w:sz="8" w:color="auto"/>
            </w:tcBorders>
            <w:shd w:val="clear" w:color="auto" w:fill="CCF0FC"/>
          </w:tcPr>
          <w:p>
            <w:pPr>
              <w:jc w:val="right"/>
              <w:ind w:right="48"/>
              <w:spacing w:after="0"/>
              <w:rPr>
                <w:sz w:val="20"/>
                <w:szCs w:val="20"/>
                <w:color w:val="auto"/>
              </w:rPr>
            </w:pPr>
            <w:r>
              <w:rPr>
                <w:rFonts w:ascii="Arial" w:cs="Arial" w:eastAsia="Arial" w:hAnsi="Arial"/>
                <w:sz w:val="14"/>
                <w:szCs w:val="14"/>
                <w:color w:val="auto"/>
              </w:rPr>
              <w:t>92,255</w:t>
            </w:r>
          </w:p>
        </w:tc>
        <w:tc>
          <w:tcPr>
            <w:tcW w:w="900" w:type="dxa"/>
            <w:vAlign w:val="bottom"/>
            <w:tcBorders>
              <w:bottom w:val="single" w:sz="8" w:color="auto"/>
            </w:tcBorders>
            <w:shd w:val="clear" w:color="auto" w:fill="CCF0FC"/>
          </w:tcPr>
          <w:p>
            <w:pPr>
              <w:jc w:val="right"/>
              <w:ind w:right="48"/>
              <w:spacing w:after="0"/>
              <w:rPr>
                <w:sz w:val="20"/>
                <w:szCs w:val="20"/>
                <w:color w:val="auto"/>
              </w:rPr>
            </w:pPr>
            <w:r>
              <w:rPr>
                <w:rFonts w:ascii="Arial" w:cs="Arial" w:eastAsia="Arial" w:hAnsi="Arial"/>
                <w:sz w:val="14"/>
                <w:szCs w:val="14"/>
                <w:color w:val="auto"/>
              </w:rPr>
              <w:t>$ 3,259,572</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20" w:type="dxa"/>
            <w:vAlign w:val="bottom"/>
          </w:tcPr>
          <w:p>
            <w:pPr>
              <w:ind w:left="20"/>
              <w:spacing w:after="0"/>
              <w:rPr>
                <w:sz w:val="20"/>
                <w:szCs w:val="20"/>
                <w:color w:val="auto"/>
              </w:rPr>
            </w:pPr>
            <w:r>
              <w:rPr>
                <w:rFonts w:ascii="Arial" w:cs="Arial" w:eastAsia="Arial" w:hAnsi="Arial"/>
                <w:sz w:val="14"/>
                <w:szCs w:val="14"/>
                <w:color w:val="auto"/>
              </w:rPr>
              <w:t>(unaudited)</w:t>
            </w:r>
          </w:p>
        </w:tc>
        <w:tc>
          <w:tcPr>
            <w:tcW w:w="188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color w:val="auto"/>
              </w:rPr>
              <w:t>Common Stock</w:t>
            </w:r>
          </w:p>
        </w:tc>
        <w:tc>
          <w:tcPr>
            <w:tcW w:w="184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Treasury Stock</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Arial" w:cs="Arial" w:eastAsia="Arial" w:hAnsi="Arial"/>
                <w:sz w:val="14"/>
                <w:szCs w:val="14"/>
                <w:color w:val="auto"/>
              </w:rPr>
              <w:t>Non-</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Paid in</w:t>
            </w:r>
          </w:p>
        </w:tc>
        <w:tc>
          <w:tcPr>
            <w:tcW w:w="880" w:type="dxa"/>
            <w:vAlign w:val="bottom"/>
            <w:gridSpan w:val="2"/>
          </w:tcPr>
          <w:p>
            <w:pPr>
              <w:jc w:val="right"/>
              <w:ind w:right="148"/>
              <w:spacing w:after="0"/>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controlling</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20" w:type="dxa"/>
            <w:vAlign w:val="bottom"/>
          </w:tcPr>
          <w:p>
            <w:pPr>
              <w:ind w:left="20"/>
              <w:spacing w:after="0"/>
              <w:rPr>
                <w:sz w:val="20"/>
                <w:szCs w:val="20"/>
                <w:color w:val="auto"/>
              </w:rPr>
            </w:pPr>
            <w:r>
              <w:rPr>
                <w:rFonts w:ascii="Arial" w:cs="Arial" w:eastAsia="Arial" w:hAnsi="Arial"/>
                <w:sz w:val="14"/>
                <w:szCs w:val="14"/>
                <w:color w:val="auto"/>
              </w:rPr>
              <w:t>(in thousands except share amounts)</w:t>
            </w: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Value</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Shares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Value</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Capital</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Earnings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AOCI</w:t>
            </w: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Interest</w:t>
            </w: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4"/>
        </w:trPr>
        <w:tc>
          <w:tcPr>
            <w:tcW w:w="292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2021</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64,793,09</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20" w:type="dxa"/>
            <w:vAlign w:val="bottom"/>
            <w:vMerge w:val="continue"/>
            <w:shd w:val="clear" w:color="auto" w:fill="CFF0FC"/>
          </w:tcPr>
          <w:p>
            <w:pPr>
              <w:spacing w:after="0"/>
              <w:rPr>
                <w:sz w:val="15"/>
                <w:szCs w:val="15"/>
                <w:color w:val="auto"/>
              </w:rPr>
            </w:pP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64,793</w:t>
            </w: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54,078</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(3,509 ) $ 1,783,436</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962,458</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(20,084 ) $</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100,029</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$ 2,887,123</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117,526</w:t>
            </w:r>
          </w:p>
        </w:tc>
        <w:tc>
          <w:tcPr>
            <w:tcW w:w="18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3,498</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121,024</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6</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($0.595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(38,533 )</w:t>
            </w:r>
          </w:p>
        </w:tc>
        <w:tc>
          <w:tcPr>
            <w:tcW w:w="180" w:type="dxa"/>
            <w:vAlign w:val="bottom"/>
          </w:tcPr>
          <w:p>
            <w:pPr>
              <w:spacing w:after="0"/>
              <w:rPr>
                <w:sz w:val="15"/>
                <w:szCs w:val="15"/>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(38,533 )</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425</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(34,393 )</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2,222</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(191 )</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55,707</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56</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3,776</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3,832</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(41 )</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(4,420 )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(4,420 )</w:t>
            </w:r>
          </w:p>
        </w:tc>
        <w:tc>
          <w:tcPr>
            <w:tcW w:w="0" w:type="dxa"/>
            <w:vAlign w:val="bottom"/>
          </w:tcPr>
          <w:p>
            <w:pPr>
              <w:spacing w:after="0"/>
              <w:rPr>
                <w:sz w:val="1"/>
                <w:szCs w:val="1"/>
                <w:color w:val="auto"/>
              </w:rPr>
            </w:pPr>
          </w:p>
        </w:tc>
      </w:tr>
      <w:tr>
        <w:trPr>
          <w:trHeight w:val="164"/>
        </w:trPr>
        <w:tc>
          <w:tcPr>
            <w:tcW w:w="29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64,849,22</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March 31, 2022</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64,849</w:t>
            </w:r>
          </w:p>
        </w:tc>
        <w:tc>
          <w:tcPr>
            <w:tcW w:w="9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19,685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(1,287 ) $ 1,786,980</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1,041,451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(20,078 ) $</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99,107</w:t>
            </w: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$ 2,971,022</w:t>
            </w:r>
          </w:p>
        </w:tc>
        <w:tc>
          <w:tcPr>
            <w:tcW w:w="0" w:type="dxa"/>
            <w:vAlign w:val="bottom"/>
          </w:tcPr>
          <w:p>
            <w:pPr>
              <w:spacing w:after="0"/>
              <w:rPr>
                <w:sz w:val="1"/>
                <w:szCs w:val="1"/>
                <w:color w:val="auto"/>
              </w:rPr>
            </w:pPr>
          </w:p>
        </w:tc>
      </w:tr>
      <w:tr>
        <w:trPr>
          <w:trHeight w:val="169"/>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33,415</w:t>
            </w:r>
          </w:p>
        </w:tc>
        <w:tc>
          <w:tcPr>
            <w:tcW w:w="180" w:type="dxa"/>
            <w:vAlign w:val="bottom"/>
          </w:tcPr>
          <w:p>
            <w:pPr>
              <w:spacing w:after="0"/>
              <w:rPr>
                <w:sz w:val="14"/>
                <w:szCs w:val="1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2,431</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35,846</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(2,738 )</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(2,738 )</w:t>
            </w: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($0.595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(38,603 )</w:t>
            </w:r>
          </w:p>
        </w:tc>
        <w:tc>
          <w:tcPr>
            <w:tcW w:w="180" w:type="dxa"/>
            <w:vAlign w:val="bottom"/>
          </w:tcPr>
          <w:p>
            <w:pPr>
              <w:spacing w:after="0"/>
              <w:rPr>
                <w:sz w:val="15"/>
                <w:szCs w:val="15"/>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(38,603 )</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39,066</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39</w:t>
            </w: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4,006</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(255 )</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5,370</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5,154</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216,885</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217</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16,353</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16,570</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(266 )</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(266 )</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(4,184 )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(4,184 )</w:t>
            </w:r>
          </w:p>
        </w:tc>
        <w:tc>
          <w:tcPr>
            <w:tcW w:w="0" w:type="dxa"/>
            <w:vAlign w:val="bottom"/>
          </w:tcPr>
          <w:p>
            <w:pPr>
              <w:spacing w:after="0"/>
              <w:rPr>
                <w:sz w:val="1"/>
                <w:szCs w:val="1"/>
                <w:color w:val="auto"/>
              </w:rPr>
            </w:pPr>
          </w:p>
        </w:tc>
      </w:tr>
      <w:tr>
        <w:trPr>
          <w:trHeight w:val="164"/>
        </w:trPr>
        <w:tc>
          <w:tcPr>
            <w:tcW w:w="29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65,105,17</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June 30, 2022</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65,105</w:t>
            </w:r>
          </w:p>
        </w:tc>
        <w:tc>
          <w:tcPr>
            <w:tcW w:w="9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23,691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(1,542 ) $ 1,808,437</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1,036,263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(22,816 ) $</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97,354</w:t>
            </w: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$ 2,982,801</w:t>
            </w:r>
          </w:p>
        </w:tc>
        <w:tc>
          <w:tcPr>
            <w:tcW w:w="0" w:type="dxa"/>
            <w:vAlign w:val="bottom"/>
          </w:tcPr>
          <w:p>
            <w:pPr>
              <w:spacing w:after="0"/>
              <w:rPr>
                <w:sz w:val="1"/>
                <w:szCs w:val="1"/>
                <w:color w:val="auto"/>
              </w:rPr>
            </w:pPr>
          </w:p>
        </w:tc>
      </w:tr>
      <w:tr>
        <w:trPr>
          <w:trHeight w:val="169"/>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34,973</w:t>
            </w:r>
          </w:p>
        </w:tc>
        <w:tc>
          <w:tcPr>
            <w:tcW w:w="180" w:type="dxa"/>
            <w:vAlign w:val="bottom"/>
          </w:tcPr>
          <w:p>
            <w:pPr>
              <w:spacing w:after="0"/>
              <w:rPr>
                <w:sz w:val="14"/>
                <w:szCs w:val="1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2,861</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37,834</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2,427</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2,427</w:t>
            </w: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($0.595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(38,714 )</w:t>
            </w:r>
          </w:p>
        </w:tc>
        <w:tc>
          <w:tcPr>
            <w:tcW w:w="180" w:type="dxa"/>
            <w:vAlign w:val="bottom"/>
          </w:tcPr>
          <w:p>
            <w:pPr>
              <w:spacing w:after="0"/>
              <w:rPr>
                <w:sz w:val="15"/>
                <w:szCs w:val="15"/>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(38,714 )</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27</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2,517</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(173 )</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2,724</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2,551</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(3,074 )</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(3,074 )</w:t>
            </w: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65,105,20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September 30, 2022</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65,105</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(1,715 ) $ 1,811,093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1,032,522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(20,389 ) $</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97,141</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$ 2,983,757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included in the Company’s 2022 Annual Report on Form 10-K)</w:t>
      </w:r>
    </w:p>
    <w:p>
      <w:pPr>
        <w:spacing w:after="0" w:line="188"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Management’s Statement</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unaudited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Consolidated Financial Statements should be read in conjunction with the consolidated financial statements and the notes included in our 2022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202"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The information furnished in the accompanying Consolidated Financial Statements reflects certain estimates required and all adjustments, including accruals, which are, in the opinion of management, necessary for a fair presentation of the September 30, 2023, December 31, 2022 and September 30, 2022 financial information. Certain lines of business in which we operate are highly seasonal, and our interim results of operations are not necessarily indicative of the results of operations to be expected for an entire year.</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0" w:type="dxa"/>
            <w:vAlign w:val="bottom"/>
          </w:tcPr>
          <w:p>
            <w:pPr>
              <w:spacing w:after="0"/>
              <w:rPr>
                <w:sz w:val="20"/>
                <w:szCs w:val="20"/>
                <w:color w:val="auto"/>
              </w:rPr>
            </w:pPr>
            <w:r>
              <w:rPr>
                <w:rFonts w:ascii="Arial" w:cs="Arial" w:eastAsia="Arial" w:hAnsi="Arial"/>
                <w:sz w:val="16"/>
                <w:szCs w:val="16"/>
                <w:b w:val="1"/>
                <w:bCs w:val="1"/>
                <w:color w:val="auto"/>
              </w:rPr>
              <w:t>(2)</w:t>
            </w:r>
          </w:p>
        </w:tc>
        <w:tc>
          <w:tcPr>
            <w:tcW w:w="5740" w:type="dxa"/>
            <w:vAlign w:val="bottom"/>
          </w:tcPr>
          <w:p>
            <w:pPr>
              <w:ind w:left="160"/>
              <w:spacing w:after="0"/>
              <w:rPr>
                <w:sz w:val="20"/>
                <w:szCs w:val="20"/>
                <w:color w:val="auto"/>
              </w:rPr>
            </w:pPr>
            <w:r>
              <w:rPr>
                <w:rFonts w:ascii="Arial" w:cs="Arial" w:eastAsia="Arial" w:hAnsi="Arial"/>
                <w:sz w:val="16"/>
                <w:szCs w:val="16"/>
                <w:b w:val="1"/>
                <w:bCs w:val="1"/>
                <w:color w:val="auto"/>
              </w:rPr>
              <w:t>Regulatory Matters</w:t>
            </w: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66"/>
        </w:trPr>
        <w:tc>
          <w:tcPr>
            <w:tcW w:w="6100" w:type="dxa"/>
            <w:vAlign w:val="bottom"/>
            <w:gridSpan w:val="2"/>
          </w:tcPr>
          <w:p>
            <w:pPr>
              <w:spacing w:after="0"/>
              <w:rPr>
                <w:sz w:val="20"/>
                <w:szCs w:val="20"/>
                <w:color w:val="auto"/>
              </w:rPr>
            </w:pPr>
            <w:r>
              <w:rPr>
                <w:rFonts w:ascii="Arial" w:cs="Arial" w:eastAsia="Arial" w:hAnsi="Arial"/>
                <w:sz w:val="16"/>
                <w:szCs w:val="16"/>
                <w:color w:val="auto"/>
              </w:rPr>
              <w:t>We had the following regulatory assets and liabilities (in thousands):</w:t>
            </w: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92"/>
        </w:trPr>
        <w:tc>
          <w:tcPr>
            <w:tcW w:w="3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jc w:val="right"/>
              <w:ind w:right="1079"/>
              <w:spacing w:after="0"/>
              <w:rPr>
                <w:sz w:val="20"/>
                <w:szCs w:val="20"/>
                <w:color w:val="auto"/>
              </w:rPr>
            </w:pPr>
            <w:r>
              <w:rPr>
                <w:rFonts w:ascii="Arial" w:cs="Arial" w:eastAsia="Arial" w:hAnsi="Arial"/>
                <w:sz w:val="16"/>
                <w:szCs w:val="16"/>
                <w:color w:val="auto"/>
              </w:rPr>
              <w:t>As of</w:t>
            </w:r>
          </w:p>
        </w:tc>
        <w:tc>
          <w:tcPr>
            <w:tcW w:w="320" w:type="dxa"/>
            <w:vAlign w:val="bottom"/>
          </w:tcPr>
          <w:p>
            <w:pPr>
              <w:spacing w:after="0"/>
              <w:rPr>
                <w:sz w:val="24"/>
                <w:szCs w:val="24"/>
                <w:color w:val="auto"/>
              </w:rPr>
            </w:pPr>
          </w:p>
        </w:tc>
        <w:tc>
          <w:tcPr>
            <w:tcW w:w="2240" w:type="dxa"/>
            <w:vAlign w:val="bottom"/>
          </w:tcPr>
          <w:p>
            <w:pPr>
              <w:jc w:val="right"/>
              <w:ind w:right="1059"/>
              <w:spacing w:after="0"/>
              <w:rPr>
                <w:sz w:val="20"/>
                <w:szCs w:val="20"/>
                <w:color w:val="auto"/>
              </w:rPr>
            </w:pPr>
            <w:r>
              <w:rPr>
                <w:rFonts w:ascii="Arial" w:cs="Arial" w:eastAsia="Arial" w:hAnsi="Arial"/>
                <w:sz w:val="16"/>
                <w:szCs w:val="16"/>
                <w:color w:val="auto"/>
              </w:rPr>
              <w:t>As of</w:t>
            </w:r>
          </w:p>
        </w:tc>
      </w:tr>
      <w:tr>
        <w:trPr>
          <w:trHeight w:val="219"/>
        </w:trPr>
        <w:tc>
          <w:tcPr>
            <w:tcW w:w="36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September 30, 2023</w:t>
            </w:r>
          </w:p>
        </w:tc>
        <w:tc>
          <w:tcPr>
            <w:tcW w:w="3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December 31, 2022</w:t>
            </w:r>
          </w:p>
        </w:tc>
      </w:tr>
      <w:tr>
        <w:trPr>
          <w:trHeight w:val="213"/>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Regulatory assets</w:t>
            </w:r>
          </w:p>
        </w:tc>
        <w:tc>
          <w:tcPr>
            <w:tcW w:w="32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r>
      <w:tr>
        <w:trPr>
          <w:trHeight w:val="213"/>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Winter Storm Uri</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225,052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40" w:type="dxa"/>
            <w:vAlign w:val="bottom"/>
          </w:tcPr>
          <w:p>
            <w:pPr>
              <w:jc w:val="right"/>
              <w:ind w:right="39"/>
              <w:spacing w:after="0"/>
              <w:rPr>
                <w:sz w:val="20"/>
                <w:szCs w:val="20"/>
                <w:color w:val="auto"/>
              </w:rPr>
            </w:pPr>
            <w:r>
              <w:rPr>
                <w:rFonts w:ascii="Arial" w:cs="Arial" w:eastAsia="Arial" w:hAnsi="Arial"/>
                <w:sz w:val="16"/>
                <w:szCs w:val="16"/>
                <w:color w:val="auto"/>
              </w:rPr>
              <w:t>347,980</w:t>
            </w:r>
          </w:p>
        </w:tc>
      </w:tr>
      <w:tr>
        <w:trPr>
          <w:trHeight w:val="219"/>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Deferred energy and fuel cost adjustments</w:t>
            </w:r>
          </w:p>
        </w:tc>
        <w:tc>
          <w:tcPr>
            <w:tcW w:w="320" w:type="dxa"/>
            <w:vAlign w:val="bottom"/>
            <w:shd w:val="clear" w:color="auto" w:fill="CFF0FC"/>
          </w:tcPr>
          <w:p>
            <w:pPr>
              <w:spacing w:after="0"/>
              <w:rPr>
                <w:sz w:val="19"/>
                <w:szCs w:val="19"/>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59,129</w:t>
            </w:r>
          </w:p>
        </w:tc>
        <w:tc>
          <w:tcPr>
            <w:tcW w:w="320" w:type="dxa"/>
            <w:vAlign w:val="bottom"/>
            <w:shd w:val="clear" w:color="auto" w:fill="CFF0FC"/>
          </w:tcPr>
          <w:p>
            <w:pPr>
              <w:spacing w:after="0"/>
              <w:rPr>
                <w:sz w:val="19"/>
                <w:szCs w:val="19"/>
                <w:color w:val="auto"/>
              </w:rPr>
            </w:pPr>
          </w:p>
        </w:tc>
        <w:tc>
          <w:tcPr>
            <w:tcW w:w="2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72,580</w:t>
            </w:r>
          </w:p>
        </w:tc>
      </w:tr>
      <w:tr>
        <w:trPr>
          <w:trHeight w:val="213"/>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Deferred gas cost adjustments</w:t>
            </w:r>
          </w:p>
        </w:tc>
        <w:tc>
          <w:tcPr>
            <w:tcW w:w="320" w:type="dxa"/>
            <w:vAlign w:val="bottom"/>
          </w:tcPr>
          <w:p>
            <w:pPr>
              <w:spacing w:after="0"/>
              <w:rPr>
                <w:sz w:val="18"/>
                <w:szCs w:val="18"/>
                <w:color w:val="auto"/>
              </w:rPr>
            </w:pP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8,048</w:t>
            </w:r>
          </w:p>
        </w:tc>
        <w:tc>
          <w:tcPr>
            <w:tcW w:w="320" w:type="dxa"/>
            <w:vAlign w:val="bottom"/>
          </w:tcPr>
          <w:p>
            <w:pPr>
              <w:spacing w:after="0"/>
              <w:rPr>
                <w:sz w:val="18"/>
                <w:szCs w:val="18"/>
                <w:color w:val="auto"/>
              </w:rPr>
            </w:pPr>
          </w:p>
        </w:tc>
        <w:tc>
          <w:tcPr>
            <w:tcW w:w="2240" w:type="dxa"/>
            <w:vAlign w:val="bottom"/>
          </w:tcPr>
          <w:p>
            <w:pPr>
              <w:jc w:val="right"/>
              <w:ind w:right="39"/>
              <w:spacing w:after="0"/>
              <w:rPr>
                <w:sz w:val="20"/>
                <w:szCs w:val="20"/>
                <w:color w:val="auto"/>
              </w:rPr>
            </w:pPr>
            <w:r>
              <w:rPr>
                <w:rFonts w:ascii="Arial" w:cs="Arial" w:eastAsia="Arial" w:hAnsi="Arial"/>
                <w:sz w:val="16"/>
                <w:szCs w:val="16"/>
                <w:color w:val="auto"/>
              </w:rPr>
              <w:t>12,147</w:t>
            </w:r>
          </w:p>
        </w:tc>
      </w:tr>
      <w:tr>
        <w:trPr>
          <w:trHeight w:val="219"/>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Gas price derivatives</w:t>
            </w:r>
          </w:p>
        </w:tc>
        <w:tc>
          <w:tcPr>
            <w:tcW w:w="320" w:type="dxa"/>
            <w:vAlign w:val="bottom"/>
            <w:shd w:val="clear" w:color="auto" w:fill="CFF0FC"/>
          </w:tcPr>
          <w:p>
            <w:pPr>
              <w:spacing w:after="0"/>
              <w:rPr>
                <w:sz w:val="19"/>
                <w:szCs w:val="19"/>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3,849</w:t>
            </w:r>
          </w:p>
        </w:tc>
        <w:tc>
          <w:tcPr>
            <w:tcW w:w="320" w:type="dxa"/>
            <w:vAlign w:val="bottom"/>
            <w:shd w:val="clear" w:color="auto" w:fill="CFF0FC"/>
          </w:tcPr>
          <w:p>
            <w:pPr>
              <w:spacing w:after="0"/>
              <w:rPr>
                <w:sz w:val="19"/>
                <w:szCs w:val="19"/>
                <w:color w:val="auto"/>
              </w:rPr>
            </w:pPr>
          </w:p>
        </w:tc>
        <w:tc>
          <w:tcPr>
            <w:tcW w:w="2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8,793</w:t>
            </w:r>
          </w:p>
        </w:tc>
      </w:tr>
      <w:tr>
        <w:trPr>
          <w:trHeight w:val="213"/>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Deferred taxes on AFUDC</w:t>
            </w:r>
          </w:p>
        </w:tc>
        <w:tc>
          <w:tcPr>
            <w:tcW w:w="320" w:type="dxa"/>
            <w:vAlign w:val="bottom"/>
          </w:tcPr>
          <w:p>
            <w:pPr>
              <w:spacing w:after="0"/>
              <w:rPr>
                <w:sz w:val="18"/>
                <w:szCs w:val="18"/>
                <w:color w:val="auto"/>
              </w:rPr>
            </w:pP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7,180</w:t>
            </w:r>
          </w:p>
        </w:tc>
        <w:tc>
          <w:tcPr>
            <w:tcW w:w="320" w:type="dxa"/>
            <w:vAlign w:val="bottom"/>
          </w:tcPr>
          <w:p>
            <w:pPr>
              <w:spacing w:after="0"/>
              <w:rPr>
                <w:sz w:val="18"/>
                <w:szCs w:val="18"/>
                <w:color w:val="auto"/>
              </w:rPr>
            </w:pPr>
          </w:p>
        </w:tc>
        <w:tc>
          <w:tcPr>
            <w:tcW w:w="2240" w:type="dxa"/>
            <w:vAlign w:val="bottom"/>
          </w:tcPr>
          <w:p>
            <w:pPr>
              <w:jc w:val="right"/>
              <w:ind w:right="39"/>
              <w:spacing w:after="0"/>
              <w:rPr>
                <w:sz w:val="20"/>
                <w:szCs w:val="20"/>
                <w:color w:val="auto"/>
              </w:rPr>
            </w:pPr>
            <w:r>
              <w:rPr>
                <w:rFonts w:ascii="Arial" w:cs="Arial" w:eastAsia="Arial" w:hAnsi="Arial"/>
                <w:sz w:val="16"/>
                <w:szCs w:val="16"/>
                <w:color w:val="auto"/>
              </w:rPr>
              <w:t>7,333</w:t>
            </w:r>
          </w:p>
        </w:tc>
      </w:tr>
      <w:tr>
        <w:trPr>
          <w:trHeight w:val="219"/>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Employee benefit plans and related deferred taxes</w:t>
            </w:r>
          </w:p>
        </w:tc>
        <w:tc>
          <w:tcPr>
            <w:tcW w:w="320" w:type="dxa"/>
            <w:vAlign w:val="bottom"/>
            <w:shd w:val="clear" w:color="auto" w:fill="CFF0FC"/>
          </w:tcPr>
          <w:p>
            <w:pPr>
              <w:spacing w:after="0"/>
              <w:rPr>
                <w:sz w:val="19"/>
                <w:szCs w:val="19"/>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87,423</w:t>
            </w:r>
          </w:p>
        </w:tc>
        <w:tc>
          <w:tcPr>
            <w:tcW w:w="320" w:type="dxa"/>
            <w:vAlign w:val="bottom"/>
            <w:shd w:val="clear" w:color="auto" w:fill="CFF0FC"/>
          </w:tcPr>
          <w:p>
            <w:pPr>
              <w:spacing w:after="0"/>
              <w:rPr>
                <w:sz w:val="19"/>
                <w:szCs w:val="19"/>
                <w:color w:val="auto"/>
              </w:rPr>
            </w:pPr>
          </w:p>
        </w:tc>
        <w:tc>
          <w:tcPr>
            <w:tcW w:w="2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89,259</w:t>
            </w:r>
          </w:p>
        </w:tc>
      </w:tr>
      <w:tr>
        <w:trPr>
          <w:trHeight w:val="213"/>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Environmental</w:t>
            </w:r>
          </w:p>
        </w:tc>
        <w:tc>
          <w:tcPr>
            <w:tcW w:w="320" w:type="dxa"/>
            <w:vAlign w:val="bottom"/>
          </w:tcPr>
          <w:p>
            <w:pPr>
              <w:spacing w:after="0"/>
              <w:rPr>
                <w:sz w:val="18"/>
                <w:szCs w:val="18"/>
                <w:color w:val="auto"/>
              </w:rPr>
            </w:pP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2,868</w:t>
            </w:r>
          </w:p>
        </w:tc>
        <w:tc>
          <w:tcPr>
            <w:tcW w:w="320" w:type="dxa"/>
            <w:vAlign w:val="bottom"/>
          </w:tcPr>
          <w:p>
            <w:pPr>
              <w:spacing w:after="0"/>
              <w:rPr>
                <w:sz w:val="18"/>
                <w:szCs w:val="18"/>
                <w:color w:val="auto"/>
              </w:rPr>
            </w:pPr>
          </w:p>
        </w:tc>
        <w:tc>
          <w:tcPr>
            <w:tcW w:w="2240" w:type="dxa"/>
            <w:vAlign w:val="bottom"/>
          </w:tcPr>
          <w:p>
            <w:pPr>
              <w:jc w:val="right"/>
              <w:ind w:right="39"/>
              <w:spacing w:after="0"/>
              <w:rPr>
                <w:sz w:val="20"/>
                <w:szCs w:val="20"/>
                <w:color w:val="auto"/>
              </w:rPr>
            </w:pPr>
            <w:r>
              <w:rPr>
                <w:rFonts w:ascii="Arial" w:cs="Arial" w:eastAsia="Arial" w:hAnsi="Arial"/>
                <w:sz w:val="16"/>
                <w:szCs w:val="16"/>
                <w:color w:val="auto"/>
              </w:rPr>
              <w:t>1,343</w:t>
            </w:r>
          </w:p>
        </w:tc>
      </w:tr>
      <w:tr>
        <w:trPr>
          <w:trHeight w:val="219"/>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Loss on reacquired debt</w:t>
            </w:r>
          </w:p>
        </w:tc>
        <w:tc>
          <w:tcPr>
            <w:tcW w:w="320" w:type="dxa"/>
            <w:vAlign w:val="bottom"/>
            <w:shd w:val="clear" w:color="auto" w:fill="CFF0FC"/>
          </w:tcPr>
          <w:p>
            <w:pPr>
              <w:spacing w:after="0"/>
              <w:rPr>
                <w:sz w:val="19"/>
                <w:szCs w:val="19"/>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17,865</w:t>
            </w:r>
          </w:p>
        </w:tc>
        <w:tc>
          <w:tcPr>
            <w:tcW w:w="320" w:type="dxa"/>
            <w:vAlign w:val="bottom"/>
            <w:shd w:val="clear" w:color="auto" w:fill="CFF0FC"/>
          </w:tcPr>
          <w:p>
            <w:pPr>
              <w:spacing w:after="0"/>
              <w:rPr>
                <w:sz w:val="19"/>
                <w:szCs w:val="19"/>
                <w:color w:val="auto"/>
              </w:rPr>
            </w:pPr>
          </w:p>
        </w:tc>
        <w:tc>
          <w:tcPr>
            <w:tcW w:w="2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19,213</w:t>
            </w:r>
          </w:p>
        </w:tc>
      </w:tr>
      <w:tr>
        <w:trPr>
          <w:trHeight w:val="213"/>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Deferred taxes on flow through accounting</w:t>
            </w:r>
          </w:p>
        </w:tc>
        <w:tc>
          <w:tcPr>
            <w:tcW w:w="320" w:type="dxa"/>
            <w:vAlign w:val="bottom"/>
          </w:tcPr>
          <w:p>
            <w:pPr>
              <w:spacing w:after="0"/>
              <w:rPr>
                <w:sz w:val="18"/>
                <w:szCs w:val="18"/>
                <w:color w:val="auto"/>
              </w:rPr>
            </w:pP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69,259</w:t>
            </w:r>
          </w:p>
        </w:tc>
        <w:tc>
          <w:tcPr>
            <w:tcW w:w="320" w:type="dxa"/>
            <w:vAlign w:val="bottom"/>
          </w:tcPr>
          <w:p>
            <w:pPr>
              <w:spacing w:after="0"/>
              <w:rPr>
                <w:sz w:val="18"/>
                <w:szCs w:val="18"/>
                <w:color w:val="auto"/>
              </w:rPr>
            </w:pPr>
          </w:p>
        </w:tc>
        <w:tc>
          <w:tcPr>
            <w:tcW w:w="2240" w:type="dxa"/>
            <w:vAlign w:val="bottom"/>
          </w:tcPr>
          <w:p>
            <w:pPr>
              <w:jc w:val="right"/>
              <w:ind w:right="39"/>
              <w:spacing w:after="0"/>
              <w:rPr>
                <w:sz w:val="20"/>
                <w:szCs w:val="20"/>
                <w:color w:val="auto"/>
              </w:rPr>
            </w:pPr>
            <w:r>
              <w:rPr>
                <w:rFonts w:ascii="Arial" w:cs="Arial" w:eastAsia="Arial" w:hAnsi="Arial"/>
                <w:sz w:val="16"/>
                <w:szCs w:val="16"/>
                <w:color w:val="auto"/>
              </w:rPr>
              <w:t>69,529</w:t>
            </w:r>
          </w:p>
        </w:tc>
      </w:tr>
      <w:tr>
        <w:trPr>
          <w:trHeight w:val="219"/>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Decommissioning costs</w:t>
            </w:r>
          </w:p>
        </w:tc>
        <w:tc>
          <w:tcPr>
            <w:tcW w:w="320" w:type="dxa"/>
            <w:vAlign w:val="bottom"/>
            <w:shd w:val="clear" w:color="auto" w:fill="CFF0FC"/>
          </w:tcPr>
          <w:p>
            <w:pPr>
              <w:spacing w:after="0"/>
              <w:rPr>
                <w:sz w:val="19"/>
                <w:szCs w:val="19"/>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2,407</w:t>
            </w:r>
          </w:p>
        </w:tc>
        <w:tc>
          <w:tcPr>
            <w:tcW w:w="320" w:type="dxa"/>
            <w:vAlign w:val="bottom"/>
            <w:shd w:val="clear" w:color="auto" w:fill="CFF0FC"/>
          </w:tcPr>
          <w:p>
            <w:pPr>
              <w:spacing w:after="0"/>
              <w:rPr>
                <w:sz w:val="19"/>
                <w:szCs w:val="19"/>
                <w:color w:val="auto"/>
              </w:rPr>
            </w:pPr>
          </w:p>
        </w:tc>
        <w:tc>
          <w:tcPr>
            <w:tcW w:w="2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3,472</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Other regulatory assets</w:t>
            </w: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21,779</w:t>
            </w:r>
          </w:p>
        </w:tc>
        <w:tc>
          <w:tcPr>
            <w:tcW w:w="3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21,332</w:t>
            </w:r>
          </w:p>
        </w:tc>
      </w:tr>
      <w:tr>
        <w:trPr>
          <w:trHeight w:val="209"/>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regulatory assets</w:t>
            </w:r>
          </w:p>
        </w:tc>
        <w:tc>
          <w:tcPr>
            <w:tcW w:w="32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504,859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652,981</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Less current regulatory assets</w:t>
            </w: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(191,746 )</w:t>
            </w:r>
          </w:p>
        </w:tc>
        <w:tc>
          <w:tcPr>
            <w:tcW w:w="3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(260,312 )</w:t>
            </w:r>
          </w:p>
        </w:tc>
      </w:tr>
      <w:tr>
        <w:trPr>
          <w:trHeight w:val="250"/>
        </w:trPr>
        <w:tc>
          <w:tcPr>
            <w:tcW w:w="6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Regulatory assets, non-current</w:t>
            </w:r>
          </w:p>
        </w:tc>
        <w:tc>
          <w:tcPr>
            <w:tcW w:w="3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313,113</w:t>
            </w:r>
          </w:p>
        </w:tc>
        <w:tc>
          <w:tcPr>
            <w:tcW w:w="3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392,669</w:t>
            </w:r>
          </w:p>
        </w:tc>
      </w:tr>
      <w:tr>
        <w:trPr>
          <w:trHeight w:val="196"/>
        </w:trPr>
        <w:tc>
          <w:tcPr>
            <w:tcW w:w="61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6"/>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Regulatory liabilities</w:t>
            </w:r>
          </w:p>
        </w:tc>
        <w:tc>
          <w:tcPr>
            <w:tcW w:w="32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r>
      <w:tr>
        <w:trPr>
          <w:trHeight w:val="213"/>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Deferred energy and gas costs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91,273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40" w:type="dxa"/>
            <w:vAlign w:val="bottom"/>
          </w:tcPr>
          <w:p>
            <w:pPr>
              <w:jc w:val="right"/>
              <w:ind w:right="39"/>
              <w:spacing w:after="0"/>
              <w:rPr>
                <w:sz w:val="20"/>
                <w:szCs w:val="20"/>
                <w:color w:val="auto"/>
              </w:rPr>
            </w:pPr>
            <w:r>
              <w:rPr>
                <w:rFonts w:ascii="Arial" w:cs="Arial" w:eastAsia="Arial" w:hAnsi="Arial"/>
                <w:sz w:val="16"/>
                <w:szCs w:val="16"/>
                <w:color w:val="auto"/>
              </w:rPr>
              <w:t>41,722</w:t>
            </w:r>
          </w:p>
        </w:tc>
      </w:tr>
      <w:tr>
        <w:trPr>
          <w:trHeight w:val="219"/>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Employee benefit plan costs and related deferred taxes</w:t>
            </w:r>
          </w:p>
        </w:tc>
        <w:tc>
          <w:tcPr>
            <w:tcW w:w="320" w:type="dxa"/>
            <w:vAlign w:val="bottom"/>
            <w:shd w:val="clear" w:color="auto" w:fill="CFF0FC"/>
          </w:tcPr>
          <w:p>
            <w:pPr>
              <w:spacing w:after="0"/>
              <w:rPr>
                <w:sz w:val="19"/>
                <w:szCs w:val="19"/>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33,006</w:t>
            </w:r>
          </w:p>
        </w:tc>
        <w:tc>
          <w:tcPr>
            <w:tcW w:w="320" w:type="dxa"/>
            <w:vAlign w:val="bottom"/>
            <w:shd w:val="clear" w:color="auto" w:fill="CFF0FC"/>
          </w:tcPr>
          <w:p>
            <w:pPr>
              <w:spacing w:after="0"/>
              <w:rPr>
                <w:sz w:val="19"/>
                <w:szCs w:val="19"/>
                <w:color w:val="auto"/>
              </w:rPr>
            </w:pPr>
          </w:p>
        </w:tc>
        <w:tc>
          <w:tcPr>
            <w:tcW w:w="2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34,258</w:t>
            </w:r>
          </w:p>
        </w:tc>
      </w:tr>
      <w:tr>
        <w:trPr>
          <w:trHeight w:val="213"/>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Cost of removal</w:t>
            </w:r>
          </w:p>
        </w:tc>
        <w:tc>
          <w:tcPr>
            <w:tcW w:w="320" w:type="dxa"/>
            <w:vAlign w:val="bottom"/>
          </w:tcPr>
          <w:p>
            <w:pPr>
              <w:spacing w:after="0"/>
              <w:rPr>
                <w:sz w:val="18"/>
                <w:szCs w:val="18"/>
                <w:color w:val="auto"/>
              </w:rPr>
            </w:pP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179,208</w:t>
            </w:r>
          </w:p>
        </w:tc>
        <w:tc>
          <w:tcPr>
            <w:tcW w:w="320" w:type="dxa"/>
            <w:vAlign w:val="bottom"/>
          </w:tcPr>
          <w:p>
            <w:pPr>
              <w:spacing w:after="0"/>
              <w:rPr>
                <w:sz w:val="18"/>
                <w:szCs w:val="18"/>
                <w:color w:val="auto"/>
              </w:rPr>
            </w:pPr>
          </w:p>
        </w:tc>
        <w:tc>
          <w:tcPr>
            <w:tcW w:w="2240" w:type="dxa"/>
            <w:vAlign w:val="bottom"/>
          </w:tcPr>
          <w:p>
            <w:pPr>
              <w:jc w:val="right"/>
              <w:ind w:right="39"/>
              <w:spacing w:after="0"/>
              <w:rPr>
                <w:sz w:val="20"/>
                <w:szCs w:val="20"/>
                <w:color w:val="auto"/>
              </w:rPr>
            </w:pPr>
            <w:r>
              <w:rPr>
                <w:rFonts w:ascii="Arial" w:cs="Arial" w:eastAsia="Arial" w:hAnsi="Arial"/>
                <w:sz w:val="16"/>
                <w:szCs w:val="16"/>
                <w:color w:val="auto"/>
              </w:rPr>
              <w:t>175,614</w:t>
            </w:r>
          </w:p>
        </w:tc>
      </w:tr>
      <w:tr>
        <w:trPr>
          <w:trHeight w:val="219"/>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Excess deferred income taxes</w:t>
            </w:r>
          </w:p>
        </w:tc>
        <w:tc>
          <w:tcPr>
            <w:tcW w:w="320" w:type="dxa"/>
            <w:vAlign w:val="bottom"/>
            <w:shd w:val="clear" w:color="auto" w:fill="CFF0FC"/>
          </w:tcPr>
          <w:p>
            <w:pPr>
              <w:spacing w:after="0"/>
              <w:rPr>
                <w:sz w:val="19"/>
                <w:szCs w:val="19"/>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250,390</w:t>
            </w:r>
          </w:p>
        </w:tc>
        <w:tc>
          <w:tcPr>
            <w:tcW w:w="320" w:type="dxa"/>
            <w:vAlign w:val="bottom"/>
            <w:shd w:val="clear" w:color="auto" w:fill="CFF0FC"/>
          </w:tcPr>
          <w:p>
            <w:pPr>
              <w:spacing w:after="0"/>
              <w:rPr>
                <w:sz w:val="19"/>
                <w:szCs w:val="19"/>
                <w:color w:val="auto"/>
              </w:rPr>
            </w:pPr>
          </w:p>
        </w:tc>
        <w:tc>
          <w:tcPr>
            <w:tcW w:w="2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254,833</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Other regulatory liabilities</w:t>
            </w: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9,080</w:t>
            </w:r>
          </w:p>
        </w:tc>
        <w:tc>
          <w:tcPr>
            <w:tcW w:w="3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12,146</w:t>
            </w:r>
          </w:p>
        </w:tc>
      </w:tr>
      <w:tr>
        <w:trPr>
          <w:trHeight w:val="210"/>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regulatory liabilities</w:t>
            </w:r>
          </w:p>
        </w:tc>
        <w:tc>
          <w:tcPr>
            <w:tcW w:w="32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562,957</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518,573</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Less current regulatory liabilities</w:t>
            </w: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(93,988 )</w:t>
            </w:r>
          </w:p>
        </w:tc>
        <w:tc>
          <w:tcPr>
            <w:tcW w:w="3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(46,013 )</w:t>
            </w:r>
          </w:p>
        </w:tc>
      </w:tr>
      <w:tr>
        <w:trPr>
          <w:trHeight w:val="250"/>
        </w:trPr>
        <w:tc>
          <w:tcPr>
            <w:tcW w:w="6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Regulatory liabilities, non-current</w:t>
            </w:r>
          </w:p>
        </w:tc>
        <w:tc>
          <w:tcPr>
            <w:tcW w:w="3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468,969</w:t>
            </w:r>
          </w:p>
        </w:tc>
        <w:tc>
          <w:tcPr>
            <w:tcW w:w="3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472,560</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Activity</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Except as discussed below, there have been no other significant changes to our Regulatory Matters from those previously disclosed in Note 2 of the Notes to the Consolidated Financial Statements in our 2022 Annual Report on Form 10-K.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Gas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RMNG Rate Review</w:t>
      </w:r>
    </w:p>
    <w:p>
      <w:pPr>
        <w:spacing w:after="0" w:line="198"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On July 12, 2023, the CPUC approved a settlement agreement for RMNG's rate review filed on October 7, 2022. The agreement is expected to generate $8.2 million in new annual revenue and establishes a weighted average cost of capital of 6.93% with a capital structure that reflects an equity range of 50% to 52%, a debt range of 50% to 48% and a return on equity range of 9.5% to 9.7%. The settlement also shifts $8.3 million of SSIR revenues to base rates and terminates the SSIR. New rates were effective July 15, 2023.</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Colorado Gas Rate Review</w:t>
      </w:r>
    </w:p>
    <w:p>
      <w:pPr>
        <w:spacing w:after="0" w:line="198"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On May 9, 2023, Colorado Gas filed a rate review with the CPUC seeking recovery of significant infrastructure investments in its 10,000-mile natural gas pipeline system. The rate review requests $ 27 million in new annual revenue with a capital structure of 51% equity and 49% debt and a return on equity of 10.49%. The request seeks to finalize rates in the first quarter of 2024.</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Wyoming Gas</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On May 18, 2023, Wyoming Gas filed a rate review with the WPSC seeking recovery of significant infrastructure investments in its 6,400-mile natural gas pipeline system. On October 13, 2023, Wyoming Gas filed a settlement agreement with the WPSC for a general rate increase. The agreement is expected to generate $13.9 million in new annual revenue with a capital structure of 51% equity, 49% debt and a return on equity of 9.85%. Subject to WPSC approval, the agreement includes new rates effective January 1, 2024 and a four-year extension of the Wyoming Integrity Rider.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Wyoming Electric</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On June 1, 2022, Wyoming Electric filed a rate review with the WPSC seeking recovery of significant infrastructure investments in its 1,330-mile electric distribution and 59-mile electric transmission systems. On January 26, 2023, the WPSC approved a settlement agreement with intervening parties for a general rate increase. The settlement is expected to generate $8.7 million in new annual revenue with a capital structure of 52% equity, 48% debt and a return on equity of 9.75%. New rates were effective March 1, 2023. The agreement also includes approval of a new rider that will be filed annually to recover transmission investments and expenses.</w:t>
      </w:r>
    </w:p>
    <w:p>
      <w:pPr>
        <w:spacing w:after="0" w:line="345"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w:t>
      </w:r>
    </w:p>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Except as described below, there have been no significant changes to commitments, contingencies and guarantees from those previously disclosed in Note 3 of our Notes to the Consolidated Financial Statements in our 2022 Annual Report on Form 10-K.</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GT Resources, LLC v. Black Hills Corporation, Case No. 2020CV30751 (U.S. District Court for the City and County of Denver, Colorado)</w:t>
      </w:r>
    </w:p>
    <w:p>
      <w:pPr>
        <w:spacing w:after="0" w:line="19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 April 13, 2022, a jury awarded $41 million for claims made by GT Resources, LLC (“GTR”) against BHC and two of its subsidiaries (Black Hills Exploration and Production, Inc. and Black Hills Gas Resources, Inc.), which ceased oil and natural gas operations in 2018 as part of BHC’s decision to exit the exploration and production business. The claims involved a dispute over a 2.3 million-acre concession award in Costa Rica which was acquired by a BHC subsidiary in 2003. GTR retained rights to receive a royalty interest on any hydrocarbon production from the concession upon the occurrence of contingent events. GTR contended that BHC and its subsidiaries failed to adequately pursue the opportunity and failed to transfer the concession to GTR. We appealed this verdict to the Colorado Court of Appeals. On October 19, 2023, the Appellate Court reversed and remanded the case with directions limiting any retrial to the narrow issue of whether there was improper interference with the prospective conveyance of the concession. We continue to believe this lawsuit has no merit and will vigorously defend it. At this time, we do not believe any losses from this matter will have a material impact on our financial position, results of operations and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Gain Contingency - Wygen 1 Business Interruption Insurance Recovery</w:t>
      </w:r>
    </w:p>
    <w:p>
      <w:pPr>
        <w:spacing w:after="0" w:line="198"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In September 2021, Wygen I experienced an unplanned outage that continued until December 2021. For the year ended December 31, 2021, the outage resulted in lost revenue at our subsidiaries Black Hills Wyoming and WRDC. A claim for these losses was submitted under our business interruption insurance policy. During the third quarter of 2023, we recovered $5.0 million from our business interruption insurance which was recognized as Revenue in our Consolidated Statements of Income for the three and nine months ended September 30, 2023.</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202" w:lineRule="exact"/>
        <w:rPr>
          <w:sz w:val="20"/>
          <w:szCs w:val="20"/>
          <w:color w:val="auto"/>
        </w:rPr>
      </w:pPr>
    </w:p>
    <w:p>
      <w:pPr>
        <w:jc w:val="both"/>
        <w:ind w:right="260"/>
        <w:spacing w:after="0" w:line="261"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three and nine months ended September 30, 2023 and 2022. Sales tax and other similar taxes are excluded from revenues.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color w:val="auto"/>
              </w:rPr>
              <w:t>Inter-segment</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0"/>
        </w:trPr>
        <w:tc>
          <w:tcPr>
            <w:tcW w:w="42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Three Months Ended September 30, 2023</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Electric Utilities</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Gas Utilities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Total</w:t>
            </w:r>
          </w:p>
        </w:tc>
      </w:tr>
      <w:tr>
        <w:trPr>
          <w:trHeight w:val="193"/>
        </w:trPr>
        <w:tc>
          <w:tcPr>
            <w:tcW w:w="20" w:type="dxa"/>
            <w:vAlign w:val="bottom"/>
            <w:shd w:val="clear" w:color="auto" w:fill="CFF0FC"/>
          </w:tcPr>
          <w:p>
            <w:pPr>
              <w:spacing w:after="0"/>
              <w:rPr>
                <w:sz w:val="16"/>
                <w:szCs w:val="16"/>
                <w:color w:val="auto"/>
              </w:rPr>
            </w:pPr>
          </w:p>
        </w:tc>
        <w:tc>
          <w:tcPr>
            <w:tcW w:w="4180" w:type="dxa"/>
            <w:vAlign w:val="bottom"/>
            <w:gridSpan w:val="3"/>
            <w:shd w:val="clear" w:color="auto" w:fill="CFF0FC"/>
          </w:tcPr>
          <w:p>
            <w:pPr>
              <w:spacing w:after="0" w:line="172" w:lineRule="exact"/>
              <w:rPr>
                <w:sz w:val="20"/>
                <w:szCs w:val="20"/>
                <w:color w:val="auto"/>
              </w:rPr>
            </w:pPr>
            <w:r>
              <w:rPr>
                <w:rFonts w:ascii="Arial" w:cs="Arial" w:eastAsia="Arial" w:hAnsi="Arial"/>
                <w:sz w:val="16"/>
                <w:szCs w:val="16"/>
                <w:color w:val="auto"/>
              </w:rPr>
              <w:t>Customer types:</w:t>
            </w: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60" w:type="dxa"/>
            <w:vAlign w:val="bottom"/>
            <w:gridSpan w:val="3"/>
            <w:shd w:val="clear" w:color="auto" w:fill="CFF0FC"/>
          </w:tcPr>
          <w:p>
            <w:pPr>
              <w:jc w:val="right"/>
              <w:ind w:right="1219"/>
              <w:spacing w:after="0" w:line="172" w:lineRule="exact"/>
              <w:rPr>
                <w:sz w:val="20"/>
                <w:szCs w:val="20"/>
                <w:color w:val="auto"/>
              </w:rPr>
            </w:pPr>
            <w:r>
              <w:rPr>
                <w:rFonts w:ascii="Arial" w:cs="Arial" w:eastAsia="Arial" w:hAnsi="Arial"/>
                <w:sz w:val="16"/>
                <w:szCs w:val="16"/>
                <w:color w:val="auto"/>
              </w:rPr>
              <w:t>(in thousands)</w:t>
            </w:r>
          </w:p>
        </w:tc>
        <w:tc>
          <w:tcPr>
            <w:tcW w:w="4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r>
      <w:tr>
        <w:trPr>
          <w:trHeight w:val="213"/>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3000" w:type="dxa"/>
            <w:vAlign w:val="bottom"/>
            <w:tcBorders>
              <w:top w:val="single" w:sz="8" w:color="CFF0FC"/>
            </w:tcBorders>
            <w:gridSpan w:val="2"/>
          </w:tcPr>
          <w:p>
            <w:pPr>
              <w:spacing w:after="0"/>
              <w:rPr>
                <w:sz w:val="18"/>
                <w:szCs w:val="18"/>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191,029</w:t>
            </w:r>
          </w:p>
        </w:tc>
        <w:tc>
          <w:tcPr>
            <w:tcW w:w="300" w:type="dxa"/>
            <w:vAlign w:val="bottom"/>
            <w:tcBorders>
              <w:top w:val="single" w:sz="8" w:color="CFF0FC"/>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120,803</w:t>
            </w:r>
          </w:p>
        </w:tc>
        <w:tc>
          <w:tcPr>
            <w:tcW w:w="26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311,832</w:t>
            </w:r>
          </w:p>
        </w:tc>
      </w:tr>
      <w:tr>
        <w:trPr>
          <w:trHeight w:val="219"/>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42,654</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(114 )</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42,540</w:t>
            </w:r>
          </w:p>
        </w:tc>
      </w:tr>
      <w:tr>
        <w:trPr>
          <w:trHeight w:val="213"/>
        </w:trPr>
        <w:tc>
          <w:tcPr>
            <w:tcW w:w="20" w:type="dxa"/>
            <w:vAlign w:val="bottom"/>
          </w:tcPr>
          <w:p>
            <w:pPr>
              <w:spacing w:after="0"/>
              <w:rPr>
                <w:sz w:val="18"/>
                <w:szCs w:val="18"/>
                <w:color w:val="auto"/>
              </w:rPr>
            </w:pPr>
          </w:p>
        </w:tc>
        <w:tc>
          <w:tcPr>
            <w:tcW w:w="4180" w:type="dxa"/>
            <w:vAlign w:val="bottom"/>
            <w:gridSpan w:val="3"/>
          </w:tcPr>
          <w:p>
            <w:pPr>
              <w:ind w:left="100"/>
              <w:spacing w:after="0"/>
              <w:rPr>
                <w:sz w:val="20"/>
                <w:szCs w:val="20"/>
                <w:color w:val="auto"/>
              </w:rPr>
            </w:pPr>
            <w:r>
              <w:rPr>
                <w:rFonts w:ascii="Arial" w:cs="Arial" w:eastAsia="Arial" w:hAnsi="Arial"/>
                <w:sz w:val="16"/>
                <w:szCs w:val="16"/>
                <w:color w:val="auto"/>
              </w:rPr>
              <w:t>Wholesale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9,441</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9,441</w:t>
            </w:r>
          </w:p>
        </w:tc>
      </w:tr>
      <w:tr>
        <w:trPr>
          <w:trHeight w:val="219"/>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12,999</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13,024</w:t>
            </w:r>
          </w:p>
        </w:tc>
      </w:tr>
      <w:tr>
        <w:trPr>
          <w:trHeight w:val="216"/>
        </w:trPr>
        <w:tc>
          <w:tcPr>
            <w:tcW w:w="20" w:type="dxa"/>
            <w:vAlign w:val="bottom"/>
          </w:tcPr>
          <w:p>
            <w:pPr>
              <w:spacing w:after="0"/>
              <w:rPr>
                <w:sz w:val="18"/>
                <w:szCs w:val="18"/>
                <w:color w:val="auto"/>
              </w:rPr>
            </w:pPr>
          </w:p>
        </w:tc>
        <w:tc>
          <w:tcPr>
            <w:tcW w:w="4180" w:type="dxa"/>
            <w:vAlign w:val="bottom"/>
            <w:gridSpan w:val="3"/>
          </w:tcPr>
          <w:p>
            <w:pPr>
              <w:ind w:left="100"/>
              <w:spacing w:after="0"/>
              <w:rPr>
                <w:sz w:val="20"/>
                <w:szCs w:val="20"/>
                <w:color w:val="auto"/>
              </w:rPr>
            </w:pPr>
            <w:r>
              <w:rPr>
                <w:rFonts w:ascii="Arial" w:cs="Arial" w:eastAsia="Arial" w:hAnsi="Arial"/>
                <w:sz w:val="16"/>
                <w:szCs w:val="16"/>
                <w:color w:val="auto"/>
              </w:rPr>
              <w:t>Transmission/Other</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18,092</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9,607</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(4,374 )</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23,325</w:t>
            </w:r>
          </w:p>
        </w:tc>
      </w:tr>
      <w:tr>
        <w:trPr>
          <w:trHeight w:val="210"/>
        </w:trPr>
        <w:tc>
          <w:tcPr>
            <w:tcW w:w="20" w:type="dxa"/>
            <w:vAlign w:val="bottom"/>
            <w:shd w:val="clear" w:color="auto" w:fill="CFF0FC"/>
          </w:tcPr>
          <w:p>
            <w:pPr>
              <w:spacing w:after="0"/>
              <w:rPr>
                <w:sz w:val="18"/>
                <w:szCs w:val="18"/>
                <w:color w:val="auto"/>
              </w:rPr>
            </w:pPr>
          </w:p>
        </w:tc>
        <w:tc>
          <w:tcPr>
            <w:tcW w:w="418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231,561</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173,089</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(4,488 ) $</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400,162</w:t>
            </w:r>
          </w:p>
        </w:tc>
      </w:tr>
      <w:tr>
        <w:trPr>
          <w:trHeight w:val="216"/>
        </w:trPr>
        <w:tc>
          <w:tcPr>
            <w:tcW w:w="20" w:type="dxa"/>
            <w:vAlign w:val="bottom"/>
          </w:tcPr>
          <w:p>
            <w:pPr>
              <w:spacing w:after="0"/>
              <w:rPr>
                <w:sz w:val="18"/>
                <w:szCs w:val="18"/>
                <w:color w:val="auto"/>
              </w:rPr>
            </w:pPr>
          </w:p>
        </w:tc>
        <w:tc>
          <w:tcPr>
            <w:tcW w:w="4180" w:type="dxa"/>
            <w:vAlign w:val="bottom"/>
            <w:gridSpan w:val="3"/>
          </w:tcPr>
          <w:p>
            <w:pPr>
              <w:ind w:left="10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5,768</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6,964</w:t>
            </w:r>
          </w:p>
        </w:tc>
      </w:tr>
      <w:tr>
        <w:trPr>
          <w:trHeight w:val="249"/>
        </w:trPr>
        <w:tc>
          <w:tcPr>
            <w:tcW w:w="420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237,329</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174,285</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(4,488 ) $</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407,126</w:t>
            </w:r>
          </w:p>
        </w:tc>
      </w:tr>
      <w:tr>
        <w:trPr>
          <w:trHeight w:val="19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2"/>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20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180" w:type="dxa"/>
            <w:vAlign w:val="bottom"/>
            <w:gridSpan w:val="3"/>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7,843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7,843</w:t>
            </w:r>
          </w:p>
        </w:tc>
      </w:tr>
      <w:tr>
        <w:trPr>
          <w:trHeight w:val="219"/>
        </w:trPr>
        <w:tc>
          <w:tcPr>
            <w:tcW w:w="20" w:type="dxa"/>
            <w:vAlign w:val="bottom"/>
            <w:tcBorders>
              <w:bottom w:val="single" w:sz="8" w:color="CFF0FC"/>
            </w:tcBorders>
            <w:shd w:val="clear" w:color="auto" w:fill="CFF0FC"/>
          </w:tcPr>
          <w:p>
            <w:pPr>
              <w:spacing w:after="0"/>
              <w:rPr>
                <w:sz w:val="19"/>
                <w:szCs w:val="19"/>
                <w:color w:val="auto"/>
              </w:rPr>
            </w:pPr>
          </w:p>
        </w:tc>
        <w:tc>
          <w:tcPr>
            <w:tcW w:w="4180" w:type="dxa"/>
            <w:vAlign w:val="bottom"/>
            <w:tcBorders>
              <w:bottom w:val="single" w:sz="8" w:color="CFF0FC"/>
            </w:tcBorders>
            <w:gridSpan w:val="3"/>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223,718</w:t>
            </w:r>
          </w:p>
        </w:tc>
        <w:tc>
          <w:tcPr>
            <w:tcW w:w="3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173,089</w:t>
            </w:r>
          </w:p>
        </w:tc>
        <w:tc>
          <w:tcPr>
            <w:tcW w:w="2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(4,488 )</w:t>
            </w: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392,319</w:t>
            </w:r>
          </w:p>
        </w:tc>
      </w:tr>
      <w:tr>
        <w:trPr>
          <w:trHeight w:val="209"/>
        </w:trPr>
        <w:tc>
          <w:tcPr>
            <w:tcW w:w="20" w:type="dxa"/>
            <w:vAlign w:val="bottom"/>
          </w:tcPr>
          <w:p>
            <w:pPr>
              <w:spacing w:after="0"/>
              <w:rPr>
                <w:sz w:val="18"/>
                <w:szCs w:val="18"/>
                <w:color w:val="auto"/>
              </w:rPr>
            </w:pPr>
          </w:p>
        </w:tc>
        <w:tc>
          <w:tcPr>
            <w:tcW w:w="4180" w:type="dxa"/>
            <w:vAlign w:val="bottom"/>
            <w:gridSpan w:val="3"/>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231,561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173,089</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(4,488 ) $</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400,162</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color w:val="auto"/>
              </w:rPr>
              <w:t>Inter-segment</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0"/>
        </w:trPr>
        <w:tc>
          <w:tcPr>
            <w:tcW w:w="42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Three Months Ended September 30, 2022</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Electric Utilities</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Gas Utilities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Total</w:t>
            </w:r>
          </w:p>
        </w:tc>
      </w:tr>
      <w:tr>
        <w:trPr>
          <w:trHeight w:val="193"/>
        </w:trPr>
        <w:tc>
          <w:tcPr>
            <w:tcW w:w="20" w:type="dxa"/>
            <w:vAlign w:val="bottom"/>
            <w:shd w:val="clear" w:color="auto" w:fill="CFF0FC"/>
          </w:tcPr>
          <w:p>
            <w:pPr>
              <w:spacing w:after="0"/>
              <w:rPr>
                <w:sz w:val="16"/>
                <w:szCs w:val="16"/>
                <w:color w:val="auto"/>
              </w:rPr>
            </w:pPr>
          </w:p>
        </w:tc>
        <w:tc>
          <w:tcPr>
            <w:tcW w:w="4180" w:type="dxa"/>
            <w:vAlign w:val="bottom"/>
            <w:gridSpan w:val="3"/>
            <w:shd w:val="clear" w:color="auto" w:fill="CFF0FC"/>
          </w:tcPr>
          <w:p>
            <w:pPr>
              <w:spacing w:after="0" w:line="172" w:lineRule="exact"/>
              <w:rPr>
                <w:sz w:val="20"/>
                <w:szCs w:val="20"/>
                <w:color w:val="auto"/>
              </w:rPr>
            </w:pPr>
            <w:r>
              <w:rPr>
                <w:rFonts w:ascii="Arial" w:cs="Arial" w:eastAsia="Arial" w:hAnsi="Arial"/>
                <w:sz w:val="16"/>
                <w:szCs w:val="16"/>
                <w:color w:val="auto"/>
              </w:rPr>
              <w:t>Customer types:</w:t>
            </w: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60" w:type="dxa"/>
            <w:vAlign w:val="bottom"/>
            <w:gridSpan w:val="3"/>
            <w:shd w:val="clear" w:color="auto" w:fill="CFF0FC"/>
          </w:tcPr>
          <w:p>
            <w:pPr>
              <w:jc w:val="right"/>
              <w:ind w:right="1219"/>
              <w:spacing w:after="0" w:line="172" w:lineRule="exact"/>
              <w:rPr>
                <w:sz w:val="20"/>
                <w:szCs w:val="20"/>
                <w:color w:val="auto"/>
              </w:rPr>
            </w:pPr>
            <w:r>
              <w:rPr>
                <w:rFonts w:ascii="Arial" w:cs="Arial" w:eastAsia="Arial" w:hAnsi="Arial"/>
                <w:sz w:val="16"/>
                <w:szCs w:val="16"/>
                <w:color w:val="auto"/>
              </w:rPr>
              <w:t>(in thousands)</w:t>
            </w:r>
          </w:p>
        </w:tc>
        <w:tc>
          <w:tcPr>
            <w:tcW w:w="4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r>
      <w:tr>
        <w:trPr>
          <w:trHeight w:val="213"/>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3000" w:type="dxa"/>
            <w:vAlign w:val="bottom"/>
            <w:tcBorders>
              <w:top w:val="single" w:sz="8" w:color="CFF0FC"/>
            </w:tcBorders>
            <w:gridSpan w:val="2"/>
          </w:tcPr>
          <w:p>
            <w:pPr>
              <w:spacing w:after="0"/>
              <w:rPr>
                <w:sz w:val="18"/>
                <w:szCs w:val="18"/>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211,489</w:t>
            </w:r>
          </w:p>
        </w:tc>
        <w:tc>
          <w:tcPr>
            <w:tcW w:w="300" w:type="dxa"/>
            <w:vAlign w:val="bottom"/>
            <w:tcBorders>
              <w:top w:val="single" w:sz="8" w:color="CFF0FC"/>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157,203</w:t>
            </w:r>
          </w:p>
        </w:tc>
        <w:tc>
          <w:tcPr>
            <w:tcW w:w="26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368,692</w:t>
            </w:r>
          </w:p>
        </w:tc>
      </w:tr>
      <w:tr>
        <w:trPr>
          <w:trHeight w:val="219"/>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41,006</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(99 )</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40,907</w:t>
            </w:r>
          </w:p>
        </w:tc>
      </w:tr>
      <w:tr>
        <w:trPr>
          <w:trHeight w:val="213"/>
        </w:trPr>
        <w:tc>
          <w:tcPr>
            <w:tcW w:w="20" w:type="dxa"/>
            <w:vAlign w:val="bottom"/>
          </w:tcPr>
          <w:p>
            <w:pPr>
              <w:spacing w:after="0"/>
              <w:rPr>
                <w:sz w:val="18"/>
                <w:szCs w:val="18"/>
                <w:color w:val="auto"/>
              </w:rPr>
            </w:pPr>
          </w:p>
        </w:tc>
        <w:tc>
          <w:tcPr>
            <w:tcW w:w="4180" w:type="dxa"/>
            <w:vAlign w:val="bottom"/>
            <w:gridSpan w:val="3"/>
          </w:tcPr>
          <w:p>
            <w:pPr>
              <w:ind w:left="100"/>
              <w:spacing w:after="0"/>
              <w:rPr>
                <w:sz w:val="20"/>
                <w:szCs w:val="20"/>
                <w:color w:val="auto"/>
              </w:rPr>
            </w:pPr>
            <w:r>
              <w:rPr>
                <w:rFonts w:ascii="Arial" w:cs="Arial" w:eastAsia="Arial" w:hAnsi="Arial"/>
                <w:sz w:val="16"/>
                <w:szCs w:val="16"/>
                <w:color w:val="auto"/>
              </w:rPr>
              <w:t>Wholesale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13,667</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13,667</w:t>
            </w:r>
          </w:p>
        </w:tc>
      </w:tr>
      <w:tr>
        <w:trPr>
          <w:trHeight w:val="219"/>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16,770</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16,956</w:t>
            </w:r>
          </w:p>
        </w:tc>
      </w:tr>
      <w:tr>
        <w:trPr>
          <w:trHeight w:val="216"/>
        </w:trPr>
        <w:tc>
          <w:tcPr>
            <w:tcW w:w="20" w:type="dxa"/>
            <w:vAlign w:val="bottom"/>
          </w:tcPr>
          <w:p>
            <w:pPr>
              <w:spacing w:after="0"/>
              <w:rPr>
                <w:sz w:val="18"/>
                <w:szCs w:val="18"/>
                <w:color w:val="auto"/>
              </w:rPr>
            </w:pPr>
          </w:p>
        </w:tc>
        <w:tc>
          <w:tcPr>
            <w:tcW w:w="4180" w:type="dxa"/>
            <w:vAlign w:val="bottom"/>
            <w:gridSpan w:val="3"/>
          </w:tcPr>
          <w:p>
            <w:pPr>
              <w:ind w:left="100"/>
              <w:spacing w:after="0"/>
              <w:rPr>
                <w:sz w:val="20"/>
                <w:szCs w:val="20"/>
                <w:color w:val="auto"/>
              </w:rPr>
            </w:pPr>
            <w:r>
              <w:rPr>
                <w:rFonts w:ascii="Arial" w:cs="Arial" w:eastAsia="Arial" w:hAnsi="Arial"/>
                <w:sz w:val="16"/>
                <w:szCs w:val="16"/>
                <w:color w:val="auto"/>
              </w:rPr>
              <w:t>Transmission/Other</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15,919</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8,875</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(4,148 )</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20,646</w:t>
            </w:r>
          </w:p>
        </w:tc>
      </w:tr>
      <w:tr>
        <w:trPr>
          <w:trHeight w:val="210"/>
        </w:trPr>
        <w:tc>
          <w:tcPr>
            <w:tcW w:w="20" w:type="dxa"/>
            <w:vAlign w:val="bottom"/>
            <w:shd w:val="clear" w:color="auto" w:fill="CFF0FC"/>
          </w:tcPr>
          <w:p>
            <w:pPr>
              <w:spacing w:after="0"/>
              <w:rPr>
                <w:sz w:val="18"/>
                <w:szCs w:val="18"/>
                <w:color w:val="auto"/>
              </w:rPr>
            </w:pPr>
          </w:p>
        </w:tc>
        <w:tc>
          <w:tcPr>
            <w:tcW w:w="418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257,845</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207,270</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(4,247 ) $</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460,868</w:t>
            </w:r>
          </w:p>
        </w:tc>
      </w:tr>
      <w:tr>
        <w:trPr>
          <w:trHeight w:val="216"/>
        </w:trPr>
        <w:tc>
          <w:tcPr>
            <w:tcW w:w="20" w:type="dxa"/>
            <w:vAlign w:val="bottom"/>
          </w:tcPr>
          <w:p>
            <w:pPr>
              <w:spacing w:after="0"/>
              <w:rPr>
                <w:sz w:val="18"/>
                <w:szCs w:val="18"/>
                <w:color w:val="auto"/>
              </w:rPr>
            </w:pPr>
          </w:p>
        </w:tc>
        <w:tc>
          <w:tcPr>
            <w:tcW w:w="4180" w:type="dxa"/>
            <w:vAlign w:val="bottom"/>
            <w:gridSpan w:val="3"/>
          </w:tcPr>
          <w:p>
            <w:pPr>
              <w:ind w:left="10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(98 )</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1,744</w:t>
            </w:r>
          </w:p>
        </w:tc>
      </w:tr>
      <w:tr>
        <w:trPr>
          <w:trHeight w:val="250"/>
        </w:trPr>
        <w:tc>
          <w:tcPr>
            <w:tcW w:w="420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258,669</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208,288</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(4,345 ) $</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462,612</w:t>
            </w:r>
          </w:p>
        </w:tc>
      </w:tr>
      <w:tr>
        <w:trPr>
          <w:trHeight w:val="19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2"/>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20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180" w:type="dxa"/>
            <w:vAlign w:val="bottom"/>
            <w:gridSpan w:val="3"/>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7,928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7,928</w:t>
            </w:r>
          </w:p>
        </w:tc>
      </w:tr>
      <w:tr>
        <w:trPr>
          <w:trHeight w:val="219"/>
        </w:trPr>
        <w:tc>
          <w:tcPr>
            <w:tcW w:w="20" w:type="dxa"/>
            <w:vAlign w:val="bottom"/>
            <w:tcBorders>
              <w:bottom w:val="single" w:sz="8" w:color="CFF0FC"/>
            </w:tcBorders>
            <w:shd w:val="clear" w:color="auto" w:fill="CFF0FC"/>
          </w:tcPr>
          <w:p>
            <w:pPr>
              <w:spacing w:after="0"/>
              <w:rPr>
                <w:sz w:val="19"/>
                <w:szCs w:val="19"/>
                <w:color w:val="auto"/>
              </w:rPr>
            </w:pPr>
          </w:p>
        </w:tc>
        <w:tc>
          <w:tcPr>
            <w:tcW w:w="4180" w:type="dxa"/>
            <w:vAlign w:val="bottom"/>
            <w:tcBorders>
              <w:bottom w:val="single" w:sz="8" w:color="CFF0FC"/>
            </w:tcBorders>
            <w:gridSpan w:val="3"/>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249,917</w:t>
            </w:r>
          </w:p>
        </w:tc>
        <w:tc>
          <w:tcPr>
            <w:tcW w:w="3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207,270</w:t>
            </w:r>
          </w:p>
        </w:tc>
        <w:tc>
          <w:tcPr>
            <w:tcW w:w="2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(4,247 )</w:t>
            </w: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452,940</w:t>
            </w:r>
          </w:p>
        </w:tc>
      </w:tr>
      <w:tr>
        <w:trPr>
          <w:trHeight w:val="210"/>
        </w:trPr>
        <w:tc>
          <w:tcPr>
            <w:tcW w:w="20" w:type="dxa"/>
            <w:vAlign w:val="bottom"/>
          </w:tcPr>
          <w:p>
            <w:pPr>
              <w:spacing w:after="0"/>
              <w:rPr>
                <w:sz w:val="18"/>
                <w:szCs w:val="18"/>
                <w:color w:val="auto"/>
              </w:rPr>
            </w:pPr>
          </w:p>
        </w:tc>
        <w:tc>
          <w:tcPr>
            <w:tcW w:w="4180" w:type="dxa"/>
            <w:vAlign w:val="bottom"/>
            <w:gridSpan w:val="3"/>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257,845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207,270</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(4,247 ) $</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460,868</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color w:val="auto"/>
              </w:rPr>
              <w:t>Inter-segment</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0"/>
        </w:trPr>
        <w:tc>
          <w:tcPr>
            <w:tcW w:w="42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Nine Months Ended September 30, 2023</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Electric Utilities</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Gas Utilities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Total</w:t>
            </w:r>
          </w:p>
        </w:tc>
      </w:tr>
      <w:tr>
        <w:trPr>
          <w:trHeight w:val="193"/>
        </w:trPr>
        <w:tc>
          <w:tcPr>
            <w:tcW w:w="20" w:type="dxa"/>
            <w:vAlign w:val="bottom"/>
            <w:shd w:val="clear" w:color="auto" w:fill="CFF0FC"/>
          </w:tcPr>
          <w:p>
            <w:pPr>
              <w:spacing w:after="0"/>
              <w:rPr>
                <w:sz w:val="16"/>
                <w:szCs w:val="16"/>
                <w:color w:val="auto"/>
              </w:rPr>
            </w:pPr>
          </w:p>
        </w:tc>
        <w:tc>
          <w:tcPr>
            <w:tcW w:w="4180" w:type="dxa"/>
            <w:vAlign w:val="bottom"/>
            <w:gridSpan w:val="3"/>
            <w:shd w:val="clear" w:color="auto" w:fill="CFF0FC"/>
          </w:tcPr>
          <w:p>
            <w:pPr>
              <w:spacing w:after="0" w:line="172" w:lineRule="exact"/>
              <w:rPr>
                <w:sz w:val="20"/>
                <w:szCs w:val="20"/>
                <w:color w:val="auto"/>
              </w:rPr>
            </w:pPr>
            <w:r>
              <w:rPr>
                <w:rFonts w:ascii="Arial" w:cs="Arial" w:eastAsia="Arial" w:hAnsi="Arial"/>
                <w:sz w:val="16"/>
                <w:szCs w:val="16"/>
                <w:color w:val="auto"/>
              </w:rPr>
              <w:t>Customer types:</w:t>
            </w: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60" w:type="dxa"/>
            <w:vAlign w:val="bottom"/>
            <w:gridSpan w:val="3"/>
            <w:shd w:val="clear" w:color="auto" w:fill="CFF0FC"/>
          </w:tcPr>
          <w:p>
            <w:pPr>
              <w:jc w:val="right"/>
              <w:ind w:right="1219"/>
              <w:spacing w:after="0" w:line="172" w:lineRule="exact"/>
              <w:rPr>
                <w:sz w:val="20"/>
                <w:szCs w:val="20"/>
                <w:color w:val="auto"/>
              </w:rPr>
            </w:pPr>
            <w:r>
              <w:rPr>
                <w:rFonts w:ascii="Arial" w:cs="Arial" w:eastAsia="Arial" w:hAnsi="Arial"/>
                <w:sz w:val="16"/>
                <w:szCs w:val="16"/>
                <w:color w:val="auto"/>
              </w:rPr>
              <w:t>(in thousands)</w:t>
            </w:r>
          </w:p>
        </w:tc>
        <w:tc>
          <w:tcPr>
            <w:tcW w:w="4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r>
      <w:tr>
        <w:trPr>
          <w:trHeight w:val="213"/>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3000" w:type="dxa"/>
            <w:vAlign w:val="bottom"/>
            <w:tcBorders>
              <w:top w:val="single" w:sz="8" w:color="CFF0FC"/>
            </w:tcBorders>
            <w:gridSpan w:val="2"/>
          </w:tcPr>
          <w:p>
            <w:pPr>
              <w:spacing w:after="0"/>
              <w:rPr>
                <w:sz w:val="18"/>
                <w:szCs w:val="18"/>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522,304</w:t>
            </w:r>
          </w:p>
        </w:tc>
        <w:tc>
          <w:tcPr>
            <w:tcW w:w="300" w:type="dxa"/>
            <w:vAlign w:val="bottom"/>
            <w:tcBorders>
              <w:top w:val="single" w:sz="8" w:color="CFF0FC"/>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931,129</w:t>
            </w:r>
          </w:p>
        </w:tc>
        <w:tc>
          <w:tcPr>
            <w:tcW w:w="26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1,453,433</w:t>
            </w:r>
          </w:p>
        </w:tc>
      </w:tr>
      <w:tr>
        <w:trPr>
          <w:trHeight w:val="219"/>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131,410</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(344 )</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131,066</w:t>
            </w:r>
          </w:p>
        </w:tc>
      </w:tr>
      <w:tr>
        <w:trPr>
          <w:trHeight w:val="213"/>
        </w:trPr>
        <w:tc>
          <w:tcPr>
            <w:tcW w:w="20" w:type="dxa"/>
            <w:vAlign w:val="bottom"/>
          </w:tcPr>
          <w:p>
            <w:pPr>
              <w:spacing w:after="0"/>
              <w:rPr>
                <w:sz w:val="18"/>
                <w:szCs w:val="18"/>
                <w:color w:val="auto"/>
              </w:rPr>
            </w:pPr>
          </w:p>
        </w:tc>
        <w:tc>
          <w:tcPr>
            <w:tcW w:w="4180" w:type="dxa"/>
            <w:vAlign w:val="bottom"/>
            <w:gridSpan w:val="3"/>
          </w:tcPr>
          <w:p>
            <w:pPr>
              <w:ind w:left="100"/>
              <w:spacing w:after="0"/>
              <w:rPr>
                <w:sz w:val="20"/>
                <w:szCs w:val="20"/>
                <w:color w:val="auto"/>
              </w:rPr>
            </w:pPr>
            <w:r>
              <w:rPr>
                <w:rFonts w:ascii="Arial" w:cs="Arial" w:eastAsia="Arial" w:hAnsi="Arial"/>
                <w:sz w:val="16"/>
                <w:szCs w:val="16"/>
                <w:color w:val="auto"/>
              </w:rPr>
              <w:t>Wholesale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24,578</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24,578</w:t>
            </w:r>
          </w:p>
        </w:tc>
      </w:tr>
      <w:tr>
        <w:trPr>
          <w:trHeight w:val="219"/>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37,487</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37,836</w:t>
            </w:r>
          </w:p>
        </w:tc>
      </w:tr>
      <w:tr>
        <w:trPr>
          <w:trHeight w:val="216"/>
        </w:trPr>
        <w:tc>
          <w:tcPr>
            <w:tcW w:w="20" w:type="dxa"/>
            <w:vAlign w:val="bottom"/>
          </w:tcPr>
          <w:p>
            <w:pPr>
              <w:spacing w:after="0"/>
              <w:rPr>
                <w:sz w:val="18"/>
                <w:szCs w:val="18"/>
                <w:color w:val="auto"/>
              </w:rPr>
            </w:pPr>
          </w:p>
        </w:tc>
        <w:tc>
          <w:tcPr>
            <w:tcW w:w="4180" w:type="dxa"/>
            <w:vAlign w:val="bottom"/>
            <w:gridSpan w:val="3"/>
          </w:tcPr>
          <w:p>
            <w:pPr>
              <w:ind w:left="100"/>
              <w:spacing w:after="0"/>
              <w:rPr>
                <w:sz w:val="20"/>
                <w:szCs w:val="20"/>
                <w:color w:val="auto"/>
              </w:rPr>
            </w:pPr>
            <w:r>
              <w:rPr>
                <w:rFonts w:ascii="Arial" w:cs="Arial" w:eastAsia="Arial" w:hAnsi="Arial"/>
                <w:sz w:val="16"/>
                <w:szCs w:val="16"/>
                <w:color w:val="auto"/>
              </w:rPr>
              <w:t>Transmission/Other</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54,727</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28,833</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(13,120 )</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70,440</w:t>
            </w:r>
          </w:p>
        </w:tc>
      </w:tr>
      <w:tr>
        <w:trPr>
          <w:trHeight w:val="210"/>
        </w:trPr>
        <w:tc>
          <w:tcPr>
            <w:tcW w:w="20" w:type="dxa"/>
            <w:vAlign w:val="bottom"/>
            <w:shd w:val="clear" w:color="auto" w:fill="CFF0FC"/>
          </w:tcPr>
          <w:p>
            <w:pPr>
              <w:spacing w:after="0"/>
              <w:rPr>
                <w:sz w:val="18"/>
                <w:szCs w:val="18"/>
                <w:color w:val="auto"/>
              </w:rPr>
            </w:pPr>
          </w:p>
        </w:tc>
        <w:tc>
          <w:tcPr>
            <w:tcW w:w="418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639,096</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1,091,721</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(13,464 ) $</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1,717,353</w:t>
            </w:r>
          </w:p>
        </w:tc>
      </w:tr>
      <w:tr>
        <w:trPr>
          <w:trHeight w:val="216"/>
        </w:trPr>
        <w:tc>
          <w:tcPr>
            <w:tcW w:w="20" w:type="dxa"/>
            <w:vAlign w:val="bottom"/>
          </w:tcPr>
          <w:p>
            <w:pPr>
              <w:spacing w:after="0"/>
              <w:rPr>
                <w:sz w:val="18"/>
                <w:szCs w:val="18"/>
                <w:color w:val="auto"/>
              </w:rPr>
            </w:pPr>
          </w:p>
        </w:tc>
        <w:tc>
          <w:tcPr>
            <w:tcW w:w="4180" w:type="dxa"/>
            <w:vAlign w:val="bottom"/>
            <w:gridSpan w:val="3"/>
          </w:tcPr>
          <w:p>
            <w:pPr>
              <w:ind w:left="10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10,015</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12,200</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22,215</w:t>
            </w:r>
          </w:p>
        </w:tc>
      </w:tr>
      <w:tr>
        <w:trPr>
          <w:trHeight w:val="249"/>
        </w:trPr>
        <w:tc>
          <w:tcPr>
            <w:tcW w:w="420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649,111</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1,103,921</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(13,464 ) $</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1,739,568</w:t>
            </w:r>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2"/>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20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180" w:type="dxa"/>
            <w:vAlign w:val="bottom"/>
            <w:gridSpan w:val="3"/>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24,344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24,344</w:t>
            </w:r>
          </w:p>
        </w:tc>
      </w:tr>
      <w:tr>
        <w:trPr>
          <w:trHeight w:val="219"/>
        </w:trPr>
        <w:tc>
          <w:tcPr>
            <w:tcW w:w="20" w:type="dxa"/>
            <w:vAlign w:val="bottom"/>
            <w:tcBorders>
              <w:bottom w:val="single" w:sz="8" w:color="CFF0FC"/>
            </w:tcBorders>
            <w:shd w:val="clear" w:color="auto" w:fill="CFF0FC"/>
          </w:tcPr>
          <w:p>
            <w:pPr>
              <w:spacing w:after="0"/>
              <w:rPr>
                <w:sz w:val="19"/>
                <w:szCs w:val="19"/>
                <w:color w:val="auto"/>
              </w:rPr>
            </w:pPr>
          </w:p>
        </w:tc>
        <w:tc>
          <w:tcPr>
            <w:tcW w:w="4180" w:type="dxa"/>
            <w:vAlign w:val="bottom"/>
            <w:tcBorders>
              <w:bottom w:val="single" w:sz="8" w:color="CFF0FC"/>
            </w:tcBorders>
            <w:gridSpan w:val="3"/>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614,752</w:t>
            </w:r>
          </w:p>
        </w:tc>
        <w:tc>
          <w:tcPr>
            <w:tcW w:w="3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1,091,721</w:t>
            </w:r>
          </w:p>
        </w:tc>
        <w:tc>
          <w:tcPr>
            <w:tcW w:w="2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(13,464 )</w:t>
            </w: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1,693,009</w:t>
            </w:r>
          </w:p>
        </w:tc>
      </w:tr>
      <w:tr>
        <w:trPr>
          <w:trHeight w:val="209"/>
        </w:trPr>
        <w:tc>
          <w:tcPr>
            <w:tcW w:w="20" w:type="dxa"/>
            <w:vAlign w:val="bottom"/>
          </w:tcPr>
          <w:p>
            <w:pPr>
              <w:spacing w:after="0"/>
              <w:rPr>
                <w:sz w:val="18"/>
                <w:szCs w:val="18"/>
                <w:color w:val="auto"/>
              </w:rPr>
            </w:pPr>
          </w:p>
        </w:tc>
        <w:tc>
          <w:tcPr>
            <w:tcW w:w="4180" w:type="dxa"/>
            <w:vAlign w:val="bottom"/>
            <w:gridSpan w:val="3"/>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639,096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1,091,721</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(13,464 ) $</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1,717,353</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94"/>
        </w:trPr>
        <w:tc>
          <w:tcPr>
            <w:tcW w:w="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4200" w:type="dxa"/>
            <w:vAlign w:val="bottom"/>
            <w:gridSpan w:val="5"/>
          </w:tcPr>
          <w:p>
            <w:pPr>
              <w:spacing w:after="0"/>
              <w:rPr>
                <w:sz w:val="20"/>
                <w:szCs w:val="20"/>
                <w:color w:val="auto"/>
              </w:rPr>
            </w:pPr>
            <w:r>
              <w:rPr>
                <w:rFonts w:ascii="Arial" w:cs="Arial" w:eastAsia="Arial" w:hAnsi="Arial"/>
                <w:sz w:val="16"/>
                <w:szCs w:val="16"/>
                <w:b w:val="1"/>
                <w:bCs w:val="1"/>
                <w:color w:val="0000FF"/>
              </w:rPr>
              <w:t>Table of Contents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577"/>
        </w:trPr>
        <w:tc>
          <w:tcPr>
            <w:tcW w:w="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color w:val="auto"/>
              </w:rPr>
              <w:t>Inter-segment</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0"/>
        </w:trPr>
        <w:tc>
          <w:tcPr>
            <w:tcW w:w="420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color w:val="auto"/>
              </w:rPr>
              <w:t>Nine Months Ended September 30, 2022</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Electric Utilities</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Gas Utilities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Total</w:t>
            </w:r>
          </w:p>
        </w:tc>
      </w:tr>
      <w:tr>
        <w:trPr>
          <w:trHeight w:val="192"/>
        </w:trPr>
        <w:tc>
          <w:tcPr>
            <w:tcW w:w="20" w:type="dxa"/>
            <w:vAlign w:val="bottom"/>
            <w:shd w:val="clear" w:color="auto" w:fill="CFF0FC"/>
          </w:tcPr>
          <w:p>
            <w:pPr>
              <w:spacing w:after="0"/>
              <w:rPr>
                <w:sz w:val="16"/>
                <w:szCs w:val="16"/>
                <w:color w:val="auto"/>
              </w:rPr>
            </w:pPr>
          </w:p>
        </w:tc>
        <w:tc>
          <w:tcPr>
            <w:tcW w:w="4180" w:type="dxa"/>
            <w:vAlign w:val="bottom"/>
            <w:gridSpan w:val="4"/>
            <w:shd w:val="clear" w:color="auto" w:fill="CFF0FC"/>
          </w:tcPr>
          <w:p>
            <w:pPr>
              <w:spacing w:after="0" w:line="172" w:lineRule="exact"/>
              <w:rPr>
                <w:sz w:val="20"/>
                <w:szCs w:val="20"/>
                <w:color w:val="auto"/>
              </w:rPr>
            </w:pPr>
            <w:r>
              <w:rPr>
                <w:rFonts w:ascii="Arial" w:cs="Arial" w:eastAsia="Arial" w:hAnsi="Arial"/>
                <w:sz w:val="16"/>
                <w:szCs w:val="16"/>
                <w:color w:val="auto"/>
              </w:rPr>
              <w:t>Customer types:</w:t>
            </w: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60" w:type="dxa"/>
            <w:vAlign w:val="bottom"/>
            <w:gridSpan w:val="3"/>
            <w:shd w:val="clear" w:color="auto" w:fill="CFF0FC"/>
          </w:tcPr>
          <w:p>
            <w:pPr>
              <w:jc w:val="right"/>
              <w:ind w:right="1219"/>
              <w:spacing w:after="0" w:line="172" w:lineRule="exact"/>
              <w:rPr>
                <w:sz w:val="20"/>
                <w:szCs w:val="20"/>
                <w:color w:val="auto"/>
              </w:rPr>
            </w:pPr>
            <w:r>
              <w:rPr>
                <w:rFonts w:ascii="Arial" w:cs="Arial" w:eastAsia="Arial" w:hAnsi="Arial"/>
                <w:sz w:val="16"/>
                <w:szCs w:val="16"/>
                <w:color w:val="auto"/>
              </w:rPr>
              <w:t>(in thousands)</w:t>
            </w:r>
          </w:p>
        </w:tc>
        <w:tc>
          <w:tcPr>
            <w:tcW w:w="4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r>
      <w:tr>
        <w:trPr>
          <w:trHeight w:val="213"/>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3000" w:type="dxa"/>
            <w:vAlign w:val="bottom"/>
            <w:tcBorders>
              <w:top w:val="single" w:sz="8" w:color="CFF0FC"/>
            </w:tcBorders>
            <w:gridSpan w:val="3"/>
          </w:tcPr>
          <w:p>
            <w:pPr>
              <w:spacing w:after="0"/>
              <w:rPr>
                <w:sz w:val="18"/>
                <w:szCs w:val="18"/>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553,327</w:t>
            </w:r>
          </w:p>
        </w:tc>
        <w:tc>
          <w:tcPr>
            <w:tcW w:w="300" w:type="dxa"/>
            <w:vAlign w:val="bottom"/>
            <w:tcBorders>
              <w:top w:val="single" w:sz="8" w:color="CFF0FC"/>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947,290</w:t>
            </w:r>
          </w:p>
        </w:tc>
        <w:tc>
          <w:tcPr>
            <w:tcW w:w="26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1,500,617</w:t>
            </w:r>
          </w:p>
        </w:tc>
      </w:tr>
      <w:tr>
        <w:trPr>
          <w:trHeight w:val="219"/>
        </w:trPr>
        <w:tc>
          <w:tcPr>
            <w:tcW w:w="20" w:type="dxa"/>
            <w:vAlign w:val="bottom"/>
            <w:shd w:val="clear" w:color="auto" w:fill="CFF0FC"/>
          </w:tcPr>
          <w:p>
            <w:pPr>
              <w:spacing w:after="0"/>
              <w:rPr>
                <w:sz w:val="19"/>
                <w:szCs w:val="19"/>
                <w:color w:val="auto"/>
              </w:rPr>
            </w:pPr>
          </w:p>
        </w:tc>
        <w:tc>
          <w:tcPr>
            <w:tcW w:w="418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125,196</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(298 )</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124,898</w:t>
            </w:r>
          </w:p>
        </w:tc>
      </w:tr>
      <w:tr>
        <w:trPr>
          <w:trHeight w:val="213"/>
        </w:trPr>
        <w:tc>
          <w:tcPr>
            <w:tcW w:w="20" w:type="dxa"/>
            <w:vAlign w:val="bottom"/>
          </w:tcPr>
          <w:p>
            <w:pPr>
              <w:spacing w:after="0"/>
              <w:rPr>
                <w:sz w:val="18"/>
                <w:szCs w:val="18"/>
                <w:color w:val="auto"/>
              </w:rPr>
            </w:pPr>
          </w:p>
        </w:tc>
        <w:tc>
          <w:tcPr>
            <w:tcW w:w="4180" w:type="dxa"/>
            <w:vAlign w:val="bottom"/>
            <w:gridSpan w:val="4"/>
          </w:tcPr>
          <w:p>
            <w:pPr>
              <w:ind w:left="100"/>
              <w:spacing w:after="0"/>
              <w:rPr>
                <w:sz w:val="20"/>
                <w:szCs w:val="20"/>
                <w:color w:val="auto"/>
              </w:rPr>
            </w:pPr>
            <w:r>
              <w:rPr>
                <w:rFonts w:ascii="Arial" w:cs="Arial" w:eastAsia="Arial" w:hAnsi="Arial"/>
                <w:sz w:val="16"/>
                <w:szCs w:val="16"/>
                <w:color w:val="auto"/>
              </w:rPr>
              <w:t>Wholesale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32,370</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32,370</w:t>
            </w:r>
          </w:p>
        </w:tc>
      </w:tr>
      <w:tr>
        <w:trPr>
          <w:trHeight w:val="219"/>
        </w:trPr>
        <w:tc>
          <w:tcPr>
            <w:tcW w:w="20" w:type="dxa"/>
            <w:vAlign w:val="bottom"/>
            <w:shd w:val="clear" w:color="auto" w:fill="CFF0FC"/>
          </w:tcPr>
          <w:p>
            <w:pPr>
              <w:spacing w:after="0"/>
              <w:rPr>
                <w:sz w:val="19"/>
                <w:szCs w:val="19"/>
                <w:color w:val="auto"/>
              </w:rPr>
            </w:pPr>
          </w:p>
        </w:tc>
        <w:tc>
          <w:tcPr>
            <w:tcW w:w="418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32,590</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33,192</w:t>
            </w:r>
          </w:p>
        </w:tc>
      </w:tr>
      <w:tr>
        <w:trPr>
          <w:trHeight w:val="216"/>
        </w:trPr>
        <w:tc>
          <w:tcPr>
            <w:tcW w:w="20" w:type="dxa"/>
            <w:vAlign w:val="bottom"/>
          </w:tcPr>
          <w:p>
            <w:pPr>
              <w:spacing w:after="0"/>
              <w:rPr>
                <w:sz w:val="18"/>
                <w:szCs w:val="18"/>
                <w:color w:val="auto"/>
              </w:rPr>
            </w:pPr>
          </w:p>
        </w:tc>
        <w:tc>
          <w:tcPr>
            <w:tcW w:w="4180" w:type="dxa"/>
            <w:vAlign w:val="bottom"/>
            <w:gridSpan w:val="4"/>
          </w:tcPr>
          <w:p>
            <w:pPr>
              <w:ind w:left="100"/>
              <w:spacing w:after="0"/>
              <w:rPr>
                <w:sz w:val="20"/>
                <w:szCs w:val="20"/>
                <w:color w:val="auto"/>
              </w:rPr>
            </w:pPr>
            <w:r>
              <w:rPr>
                <w:rFonts w:ascii="Arial" w:cs="Arial" w:eastAsia="Arial" w:hAnsi="Arial"/>
                <w:sz w:val="16"/>
                <w:szCs w:val="16"/>
                <w:color w:val="auto"/>
              </w:rPr>
              <w:t>Transmission/Other</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46,535</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27,794</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(12,445 )</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61,884</w:t>
            </w:r>
          </w:p>
        </w:tc>
      </w:tr>
      <w:tr>
        <w:trPr>
          <w:trHeight w:val="210"/>
        </w:trPr>
        <w:tc>
          <w:tcPr>
            <w:tcW w:w="20" w:type="dxa"/>
            <w:vAlign w:val="bottom"/>
            <w:shd w:val="clear" w:color="auto" w:fill="CFF0FC"/>
          </w:tcPr>
          <w:p>
            <w:pPr>
              <w:spacing w:after="0"/>
              <w:rPr>
                <w:sz w:val="18"/>
                <w:szCs w:val="18"/>
                <w:color w:val="auto"/>
              </w:rPr>
            </w:pPr>
          </w:p>
        </w:tc>
        <w:tc>
          <w:tcPr>
            <w:tcW w:w="418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664,822</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1,100,882</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(12,743 ) $</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1,752,961</w:t>
            </w:r>
          </w:p>
        </w:tc>
      </w:tr>
      <w:tr>
        <w:trPr>
          <w:trHeight w:val="216"/>
        </w:trPr>
        <w:tc>
          <w:tcPr>
            <w:tcW w:w="20" w:type="dxa"/>
            <w:vAlign w:val="bottom"/>
          </w:tcPr>
          <w:p>
            <w:pPr>
              <w:spacing w:after="0"/>
              <w:rPr>
                <w:sz w:val="18"/>
                <w:szCs w:val="18"/>
                <w:color w:val="auto"/>
              </w:rPr>
            </w:pPr>
          </w:p>
        </w:tc>
        <w:tc>
          <w:tcPr>
            <w:tcW w:w="4180" w:type="dxa"/>
            <w:vAlign w:val="bottom"/>
            <w:gridSpan w:val="4"/>
          </w:tcPr>
          <w:p>
            <w:pPr>
              <w:ind w:left="10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4,764</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2,967</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(315 )</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7,416</w:t>
            </w:r>
          </w:p>
        </w:tc>
      </w:tr>
      <w:tr>
        <w:trPr>
          <w:trHeight w:val="249"/>
        </w:trPr>
        <w:tc>
          <w:tcPr>
            <w:tcW w:w="420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669,586</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1,103,849</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(13,058 ) $</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1,760,377</w:t>
            </w:r>
          </w:p>
        </w:tc>
      </w:tr>
      <w:tr>
        <w:trPr>
          <w:trHeight w:val="19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3"/>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20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21,712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21,712</w:t>
            </w:r>
          </w:p>
        </w:tc>
      </w:tr>
      <w:tr>
        <w:trPr>
          <w:trHeight w:val="219"/>
        </w:trPr>
        <w:tc>
          <w:tcPr>
            <w:tcW w:w="20" w:type="dxa"/>
            <w:vAlign w:val="bottom"/>
            <w:tcBorders>
              <w:bottom w:val="single" w:sz="8" w:color="CFF0FC"/>
            </w:tcBorders>
            <w:shd w:val="clear" w:color="auto" w:fill="CFF0FC"/>
          </w:tcPr>
          <w:p>
            <w:pPr>
              <w:spacing w:after="0"/>
              <w:rPr>
                <w:sz w:val="19"/>
                <w:szCs w:val="19"/>
                <w:color w:val="auto"/>
              </w:rPr>
            </w:pPr>
          </w:p>
        </w:tc>
        <w:tc>
          <w:tcPr>
            <w:tcW w:w="4180" w:type="dxa"/>
            <w:vAlign w:val="bottom"/>
            <w:tcBorders>
              <w:bottom w:val="single" w:sz="8" w:color="CFF0FC"/>
            </w:tcBorders>
            <w:gridSpan w:val="4"/>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643,110</w:t>
            </w:r>
          </w:p>
        </w:tc>
        <w:tc>
          <w:tcPr>
            <w:tcW w:w="3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1,100,882</w:t>
            </w:r>
          </w:p>
        </w:tc>
        <w:tc>
          <w:tcPr>
            <w:tcW w:w="2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(12,743 )</w:t>
            </w: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1,731,249</w:t>
            </w:r>
          </w:p>
        </w:tc>
      </w:tr>
      <w:tr>
        <w:trPr>
          <w:trHeight w:val="210"/>
        </w:trPr>
        <w:tc>
          <w:tcPr>
            <w:tcW w:w="20" w:type="dxa"/>
            <w:vAlign w:val="bottom"/>
          </w:tcPr>
          <w:p>
            <w:pPr>
              <w:spacing w:after="0"/>
              <w:rPr>
                <w:sz w:val="18"/>
                <w:szCs w:val="18"/>
                <w:color w:val="auto"/>
              </w:rPr>
            </w:pPr>
          </w:p>
        </w:tc>
        <w:tc>
          <w:tcPr>
            <w:tcW w:w="4180" w:type="dxa"/>
            <w:vAlign w:val="bottom"/>
            <w:gridSpan w:val="4"/>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664,822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1,100,882</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(12,743 ) $</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1,752,961</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Financing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Shelf Registration Statement</w:t>
      </w:r>
    </w:p>
    <w:p>
      <w:pPr>
        <w:spacing w:after="0" w:line="202"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We maintain an effective shelf registration statement with the SEC under which we may issue, from time to time, an unspecified amount of senior debt securities, subordinated debt securities, common stock, preferred stock, warrants and other securities. In anticipation of the approaching expiration of our previous shelf registration statement on Form S-3 originally filed on August 4, 2020 (Registration No. 333-240320), we filed a new shelf registration statement on Form S-3 on June 16, 2023 (Registration No. 333-272739).</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On May 9, 2023, we amended and restated our corporate Revolving Credit Facility, which replaced LIBOR as a benchmark interest rate with the SOFR. The adoption of SOFR as a benchmark interest rate was in advance of the scheduled elimination of LIBOR as a benchmark interest rate on June 30, 2023. No other significant terms or conditions, including borrowing capacity, credit spreads or financial covenants were modified under these amendments and restatements.</w:t>
      </w:r>
    </w:p>
    <w:p>
      <w:pPr>
        <w:spacing w:after="0" w:line="160" w:lineRule="exact"/>
        <w:rPr>
          <w:sz w:val="20"/>
          <w:szCs w:val="20"/>
          <w:color w:val="auto"/>
        </w:rPr>
      </w:pPr>
    </w:p>
    <w:p>
      <w:pPr>
        <w:ind w:right="320"/>
        <w:spacing w:after="0" w:line="276" w:lineRule="auto"/>
        <w:rPr>
          <w:sz w:val="20"/>
          <w:szCs w:val="20"/>
          <w:color w:val="auto"/>
        </w:rPr>
      </w:pPr>
      <w:r>
        <w:rPr>
          <w:rFonts w:ascii="Arial" w:cs="Arial" w:eastAsia="Arial" w:hAnsi="Arial"/>
          <w:sz w:val="16"/>
          <w:szCs w:val="16"/>
          <w:color w:val="auto"/>
        </w:rPr>
        <w:t>Our Revolving Credit Facility and CP Program, which are classified as Notes payable on the Consolidated Balance Sheets, had the following borrowings, outstanding letters of credit, and available capacity (dollars in thousands) as of:</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180" w:type="dxa"/>
            <w:vAlign w:val="bottom"/>
          </w:tcPr>
          <w:p>
            <w:pPr>
              <w:jc w:val="right"/>
              <w:ind w:right="439"/>
              <w:spacing w:after="0"/>
              <w:rPr>
                <w:sz w:val="20"/>
                <w:szCs w:val="20"/>
                <w:color w:val="auto"/>
              </w:rPr>
            </w:pPr>
            <w:r>
              <w:rPr>
                <w:rFonts w:ascii="Arial" w:cs="Arial" w:eastAsia="Arial" w:hAnsi="Arial"/>
                <w:sz w:val="16"/>
                <w:szCs w:val="16"/>
                <w:color w:val="auto"/>
              </w:rPr>
              <w:t>September 30, 2023</w:t>
            </w:r>
          </w:p>
        </w:tc>
        <w:tc>
          <w:tcPr>
            <w:tcW w:w="420" w:type="dxa"/>
            <w:vAlign w:val="bottom"/>
          </w:tcPr>
          <w:p>
            <w:pPr>
              <w:spacing w:after="0"/>
              <w:rPr>
                <w:sz w:val="18"/>
                <w:szCs w:val="18"/>
                <w:color w:val="auto"/>
              </w:rPr>
            </w:pPr>
          </w:p>
        </w:tc>
        <w:tc>
          <w:tcPr>
            <w:tcW w:w="2480" w:type="dxa"/>
            <w:vAlign w:val="bottom"/>
            <w:gridSpan w:val="2"/>
          </w:tcPr>
          <w:p>
            <w:pPr>
              <w:jc w:val="right"/>
              <w:ind w:right="780"/>
              <w:spacing w:after="0"/>
              <w:rPr>
                <w:sz w:val="20"/>
                <w:szCs w:val="20"/>
                <w:color w:val="auto"/>
              </w:rPr>
            </w:pPr>
            <w:r>
              <w:rPr>
                <w:rFonts w:ascii="Arial" w:cs="Arial" w:eastAsia="Arial" w:hAnsi="Arial"/>
                <w:sz w:val="16"/>
                <w:szCs w:val="16"/>
                <w:color w:val="auto"/>
              </w:rPr>
              <w:t>December 31, 2022</w:t>
            </w:r>
          </w:p>
        </w:tc>
      </w:tr>
      <w:tr>
        <w:trPr>
          <w:trHeight w:val="212"/>
        </w:trPr>
        <w:tc>
          <w:tcPr>
            <w:tcW w:w="4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Amount outstanding</w:t>
            </w:r>
          </w:p>
        </w:tc>
        <w:tc>
          <w:tcPr>
            <w:tcW w:w="208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24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535,600</w:t>
            </w:r>
          </w:p>
        </w:tc>
        <w:tc>
          <w:tcPr>
            <w:tcW w:w="40" w:type="dxa"/>
            <w:vAlign w:val="bottom"/>
          </w:tcPr>
          <w:p>
            <w:pPr>
              <w:spacing w:after="0"/>
              <w:rPr>
                <w:sz w:val="18"/>
                <w:szCs w:val="18"/>
                <w:color w:val="auto"/>
              </w:rPr>
            </w:pPr>
          </w:p>
        </w:tc>
      </w:tr>
      <w:tr>
        <w:trPr>
          <w:trHeight w:val="216"/>
        </w:trPr>
        <w:tc>
          <w:tcPr>
            <w:tcW w:w="41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20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180" w:type="dxa"/>
            <w:vAlign w:val="bottom"/>
          </w:tcPr>
          <w:p>
            <w:pPr>
              <w:jc w:val="right"/>
              <w:spacing w:after="0"/>
              <w:rPr>
                <w:sz w:val="20"/>
                <w:szCs w:val="20"/>
                <w:color w:val="auto"/>
              </w:rPr>
            </w:pPr>
            <w:r>
              <w:rPr>
                <w:rFonts w:ascii="Arial" w:cs="Arial" w:eastAsia="Arial" w:hAnsi="Arial"/>
                <w:sz w:val="16"/>
                <w:szCs w:val="16"/>
                <w:color w:val="auto"/>
              </w:rPr>
              <w:t>3,707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40" w:type="dxa"/>
            <w:vAlign w:val="bottom"/>
          </w:tcPr>
          <w:p>
            <w:pPr>
              <w:jc w:val="right"/>
              <w:ind w:right="39"/>
              <w:spacing w:after="0"/>
              <w:rPr>
                <w:sz w:val="20"/>
                <w:szCs w:val="20"/>
                <w:color w:val="auto"/>
              </w:rPr>
            </w:pPr>
            <w:r>
              <w:rPr>
                <w:rFonts w:ascii="Arial" w:cs="Arial" w:eastAsia="Arial" w:hAnsi="Arial"/>
                <w:sz w:val="16"/>
                <w:szCs w:val="16"/>
                <w:color w:val="auto"/>
              </w:rPr>
              <w:t>24,626</w:t>
            </w:r>
          </w:p>
        </w:tc>
        <w:tc>
          <w:tcPr>
            <w:tcW w:w="40" w:type="dxa"/>
            <w:vAlign w:val="bottom"/>
          </w:tcPr>
          <w:p>
            <w:pPr>
              <w:spacing w:after="0"/>
              <w:rPr>
                <w:sz w:val="18"/>
                <w:szCs w:val="18"/>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Available capacity</w:t>
            </w:r>
          </w:p>
        </w:tc>
        <w:tc>
          <w:tcPr>
            <w:tcW w:w="2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746,293</w:t>
            </w:r>
          </w:p>
        </w:tc>
        <w:tc>
          <w:tcPr>
            <w:tcW w:w="4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2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189,774</w:t>
            </w:r>
          </w:p>
        </w:tc>
        <w:tc>
          <w:tcPr>
            <w:tcW w:w="40" w:type="dxa"/>
            <w:vAlign w:val="bottom"/>
          </w:tcPr>
          <w:p>
            <w:pPr>
              <w:spacing w:after="0"/>
              <w:rPr>
                <w:sz w:val="18"/>
                <w:szCs w:val="18"/>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6"/>
                <w:szCs w:val="16"/>
                <w:color w:val="auto"/>
              </w:rPr>
              <w:t>Weighted average interest rates</w:t>
            </w:r>
          </w:p>
        </w:tc>
        <w:tc>
          <w:tcPr>
            <w:tcW w:w="208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N/A</w:t>
            </w:r>
          </w:p>
        </w:tc>
        <w:tc>
          <w:tcPr>
            <w:tcW w:w="420" w:type="dxa"/>
            <w:vAlign w:val="bottom"/>
          </w:tcPr>
          <w:p>
            <w:pPr>
              <w:spacing w:after="0"/>
              <w:rPr>
                <w:sz w:val="18"/>
                <w:szCs w:val="18"/>
                <w:color w:val="auto"/>
              </w:rPr>
            </w:pPr>
          </w:p>
        </w:tc>
        <w:tc>
          <w:tcPr>
            <w:tcW w:w="2480" w:type="dxa"/>
            <w:vAlign w:val="bottom"/>
            <w:gridSpan w:val="2"/>
          </w:tcPr>
          <w:p>
            <w:pPr>
              <w:jc w:val="right"/>
              <w:spacing w:after="0"/>
              <w:rPr>
                <w:sz w:val="20"/>
                <w:szCs w:val="20"/>
                <w:color w:val="auto"/>
              </w:rPr>
            </w:pPr>
            <w:r>
              <w:rPr>
                <w:rFonts w:ascii="Arial" w:cs="Arial" w:eastAsia="Arial" w:hAnsi="Arial"/>
                <w:sz w:val="16"/>
                <w:szCs w:val="16"/>
                <w:color w:val="auto"/>
              </w:rPr>
              <w:t>4.88 %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458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24" w:lineRule="exact"/>
        <w:rPr>
          <w:sz w:val="20"/>
          <w:szCs w:val="20"/>
          <w:color w:val="auto"/>
        </w:rPr>
      </w:pPr>
    </w:p>
    <w:p>
      <w:pPr>
        <w:ind w:right="1920" w:firstLine="8"/>
        <w:spacing w:after="0" w:line="501" w:lineRule="auto"/>
        <w:tabs>
          <w:tab w:leader="none" w:pos="509" w:val="left"/>
        </w:tabs>
        <w:numPr>
          <w:ilvl w:val="0"/>
          <w:numId w:val="8"/>
        </w:numPr>
        <w:rPr>
          <w:rFonts w:ascii="Arial" w:cs="Arial" w:eastAsia="Arial" w:hAnsi="Arial"/>
          <w:sz w:val="14"/>
          <w:szCs w:val="14"/>
          <w:color w:val="auto"/>
        </w:rPr>
      </w:pPr>
      <w:r>
        <w:rPr>
          <w:rFonts w:ascii="Arial" w:cs="Arial" w:eastAsia="Arial" w:hAnsi="Arial"/>
          <w:sz w:val="14"/>
          <w:szCs w:val="14"/>
          <w:color w:val="auto"/>
        </w:rPr>
        <w:t>Letters of credit are off-balance sheet commitments that reduce the borrowing capacity available on our corporate Revolving Credit Facility</w:t>
      </w:r>
      <w:r>
        <w:rPr>
          <w:rFonts w:ascii="Arial" w:cs="Arial" w:eastAsia="Arial" w:hAnsi="Arial"/>
          <w:sz w:val="16"/>
          <w:szCs w:val="16"/>
          <w:color w:val="auto"/>
        </w:rPr>
        <w:t>.</w:t>
      </w:r>
      <w:r>
        <w:rPr>
          <w:rFonts w:ascii="Arial" w:cs="Arial" w:eastAsia="Arial" w:hAnsi="Arial"/>
          <w:sz w:val="14"/>
          <w:szCs w:val="14"/>
          <w:color w:val="auto"/>
        </w:rPr>
        <w:t xml:space="preserve"> </w:t>
      </w:r>
      <w:r>
        <w:rPr>
          <w:rFonts w:ascii="Arial" w:cs="Arial" w:eastAsia="Arial" w:hAnsi="Arial"/>
          <w:sz w:val="16"/>
          <w:szCs w:val="16"/>
          <w:color w:val="auto"/>
        </w:rPr>
        <w:t>Revolving Credit Facility and CP Program borrowing activity was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4440" w:type="dxa"/>
            <w:vAlign w:val="bottom"/>
            <w:gridSpan w:val="3"/>
          </w:tcPr>
          <w:p>
            <w:pPr>
              <w:ind w:left="1820"/>
              <w:spacing w:after="0"/>
              <w:rPr>
                <w:sz w:val="20"/>
                <w:szCs w:val="20"/>
                <w:color w:val="auto"/>
              </w:rPr>
            </w:pPr>
            <w:r>
              <w:rPr>
                <w:rFonts w:ascii="Arial" w:cs="Arial" w:eastAsia="Arial" w:hAnsi="Arial"/>
                <w:sz w:val="16"/>
                <w:szCs w:val="16"/>
                <w:color w:val="auto"/>
              </w:rPr>
              <w:t>Nine Months Ended September 30,</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59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ind w:left="1820"/>
              <w:spacing w:after="0"/>
              <w:rPr>
                <w:sz w:val="20"/>
                <w:szCs w:val="20"/>
                <w:color w:val="auto"/>
              </w:rPr>
            </w:pPr>
            <w:r>
              <w:rPr>
                <w:rFonts w:ascii="Arial" w:cs="Arial" w:eastAsia="Arial" w:hAnsi="Arial"/>
                <w:sz w:val="16"/>
                <w:szCs w:val="16"/>
                <w:color w:val="auto"/>
              </w:rPr>
              <w:t>2023</w:t>
            </w:r>
          </w:p>
        </w:tc>
        <w:tc>
          <w:tcPr>
            <w:tcW w:w="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2022</w:t>
            </w:r>
          </w:p>
        </w:tc>
        <w:tc>
          <w:tcPr>
            <w:tcW w:w="8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Maximum amount outstanding (based on daily outstanding balances)</w:t>
            </w:r>
          </w:p>
        </w:tc>
        <w:tc>
          <w:tcPr>
            <w:tcW w:w="2280" w:type="dxa"/>
            <w:vAlign w:val="bottom"/>
            <w:shd w:val="clear" w:color="auto" w:fill="CFF0FC"/>
          </w:tcPr>
          <w:p>
            <w:pPr>
              <w:jc w:val="right"/>
              <w:ind w:right="10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548,700</w:t>
            </w:r>
          </w:p>
        </w:tc>
        <w:tc>
          <w:tcPr>
            <w:tcW w:w="140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508,200</w:t>
            </w:r>
          </w:p>
        </w:tc>
        <w:tc>
          <w:tcPr>
            <w:tcW w:w="40" w:type="dxa"/>
            <w:vAlign w:val="bottom"/>
          </w:tcPr>
          <w:p>
            <w:pPr>
              <w:spacing w:after="0"/>
              <w:rPr>
                <w:sz w:val="18"/>
                <w:szCs w:val="18"/>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Average amount outstanding (based on daily outstanding balances)</w:t>
            </w:r>
          </w:p>
        </w:tc>
        <w:tc>
          <w:tcPr>
            <w:tcW w:w="2280" w:type="dxa"/>
            <w:vAlign w:val="bottom"/>
          </w:tcPr>
          <w:p>
            <w:pPr>
              <w:jc w:val="right"/>
              <w:ind w:right="10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109,209</w:t>
            </w:r>
          </w:p>
        </w:tc>
        <w:tc>
          <w:tcPr>
            <w:tcW w:w="140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347,121</w:t>
            </w:r>
          </w:p>
        </w:tc>
        <w:tc>
          <w:tcPr>
            <w:tcW w:w="40" w:type="dxa"/>
            <w:vAlign w:val="bottom"/>
          </w:tcPr>
          <w:p>
            <w:pPr>
              <w:spacing w:after="0"/>
              <w:rPr>
                <w:sz w:val="18"/>
                <w:szCs w:val="18"/>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6"/>
                <w:szCs w:val="16"/>
                <w:color w:val="auto"/>
              </w:rPr>
              <w:t>Weighted average interest rates</w:t>
            </w:r>
          </w:p>
        </w:tc>
        <w:tc>
          <w:tcPr>
            <w:tcW w:w="2280" w:type="dxa"/>
            <w:vAlign w:val="bottom"/>
          </w:tcPr>
          <w:p>
            <w:pPr>
              <w:spacing w:after="0"/>
              <w:rPr>
                <w:sz w:val="18"/>
                <w:szCs w:val="18"/>
                <w:color w:val="auto"/>
              </w:rPr>
            </w:pPr>
          </w:p>
        </w:tc>
        <w:tc>
          <w:tcPr>
            <w:tcW w:w="2160" w:type="dxa"/>
            <w:vAlign w:val="bottom"/>
            <w:gridSpan w:val="2"/>
          </w:tcPr>
          <w:p>
            <w:pPr>
              <w:jc w:val="right"/>
              <w:ind w:right="1219"/>
              <w:spacing w:after="0"/>
              <w:rPr>
                <w:sz w:val="20"/>
                <w:szCs w:val="20"/>
                <w:color w:val="auto"/>
              </w:rPr>
            </w:pPr>
            <w:r>
              <w:rPr>
                <w:rFonts w:ascii="Arial" w:cs="Arial" w:eastAsia="Arial" w:hAnsi="Arial"/>
                <w:sz w:val="16"/>
                <w:szCs w:val="16"/>
                <w:color w:val="auto"/>
              </w:rPr>
              <w:t>4.91 %</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202"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On September 15, 2023, we completed a public debt offering of $450 million, 6.15% senior unsecured notes due May 15, 2034. Proceeds from the offering, which were net of $7.2 million of deferred financing costs, were used for general corporate purposes. We also plan to use the proceeds from the offering, along with cash on hand, to repay all of our $525 million principal amount outstanding notes on their November 30, 2023 maturity date.</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8" w:right="29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On March 7, 2023, we completed a public debt offering of $350 million, 5.95% five year senior unsecured notes due March 15, 2028. The proceeds from the offering, which were net of $4.2 million of deferred financing costs, were used to repay notes outstanding under our CP Program and for other general corporate purposes.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Covenants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We were in compliance with all of our Revolving Credit Facility covenants as of September 30, 2023. We are required to maintain a Consolidated Indebtedness to Capitalization Ratio not to exceed 0.65 to 1.00. Subject to applicable cure periods, a violation of this covenant would constitute an event of default that entitles the lenders to terminate their remaining commitments and accelerate all principal and interest outstanding. As of September 30, 2023, our Consolidated Indebtedness to Capitalization Ratio was 0.61 to 1.00.</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19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Wyoming Electric was in compliance with all covenants within its financing agreements as of September 30, 2023. Wyoming Electric is required to maintain a debt to capitalization ratio of no more than 0.60 to 1.00. As of September 30, 2023, Wyoming Electric's debt to capitalization ratio was 0.53 to 1.00.</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At-the-Market Equity Offering Program</w:t>
      </w:r>
    </w:p>
    <w:p>
      <w:pPr>
        <w:spacing w:after="0" w:line="19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As previously disclosed, on August 4, 2020, we entered into an Amended and Restated Equity Distribution Sales Agreement ("Previous Sales Agreement") to sell shares of common stock up to an aggregate of $400 million, from time to time, through our ATM program utilizing our shelf registration statement. On June 16, 2023, in conjunction with the new shelf registration statement filing discussed above, we entered into a new Equity Distribution Sales Agreement ("Sales Agreement") and terminated the Previous Sales Agreement. The Sales Agreement, which is similar to the Previous Sales Agreement, allows us to sell shares of common stock up to an aggregate of $400 million through our ATM program.</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ATM activity was as follows (net proceeds and issuance costs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40" w:type="dxa"/>
            <w:vAlign w:val="bottom"/>
            <w:gridSpan w:val="2"/>
          </w:tcPr>
          <w:p>
            <w:pPr>
              <w:jc w:val="right"/>
              <w:spacing w:after="0"/>
              <w:rPr>
                <w:sz w:val="20"/>
                <w:szCs w:val="20"/>
                <w:color w:val="auto"/>
              </w:rPr>
            </w:pPr>
            <w:r>
              <w:rPr>
                <w:rFonts w:ascii="Arial" w:cs="Arial" w:eastAsia="Arial" w:hAnsi="Arial"/>
                <w:sz w:val="16"/>
                <w:szCs w:val="16"/>
                <w:color w:val="auto"/>
              </w:rPr>
              <w:t>Three Months Ended September 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3"/>
          </w:tcPr>
          <w:p>
            <w:pPr>
              <w:jc w:val="right"/>
              <w:ind w:right="15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2023</w:t>
            </w: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2023</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2022</w:t>
            </w:r>
          </w:p>
        </w:tc>
      </w:tr>
      <w:tr>
        <w:trPr>
          <w:trHeight w:val="172"/>
        </w:trPr>
        <w:tc>
          <w:tcPr>
            <w:tcW w:w="5000" w:type="dxa"/>
            <w:vAlign w:val="bottom"/>
            <w:gridSpan w:val="5"/>
          </w:tcPr>
          <w:p>
            <w:pPr>
              <w:ind w:left="20"/>
              <w:spacing w:after="0" w:line="172" w:lineRule="exact"/>
              <w:rPr>
                <w:sz w:val="20"/>
                <w:szCs w:val="20"/>
                <w:color w:val="auto"/>
              </w:rPr>
            </w:pPr>
            <w:r>
              <w:rPr>
                <w:rFonts w:ascii="Arial" w:cs="Arial" w:eastAsia="Arial" w:hAnsi="Arial"/>
                <w:sz w:val="16"/>
                <w:szCs w:val="16"/>
                <w:i w:val="1"/>
                <w:iCs w:val="1"/>
                <w:color w:val="auto"/>
              </w:rPr>
              <w:t>August 4, 2020 ATM Program</w:t>
            </w: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5480" w:type="dxa"/>
            <w:vAlign w:val="bottom"/>
            <w:gridSpan w:val="6"/>
            <w:shd w:val="clear" w:color="auto" w:fill="CFF0FC"/>
          </w:tcPr>
          <w:p>
            <w:pPr>
              <w:ind w:left="20"/>
              <w:spacing w:after="0"/>
              <w:rPr>
                <w:sz w:val="20"/>
                <w:szCs w:val="20"/>
                <w:color w:val="auto"/>
              </w:rPr>
            </w:pPr>
            <w:r>
              <w:rPr>
                <w:rFonts w:ascii="Arial" w:cs="Arial" w:eastAsia="Arial" w:hAnsi="Arial"/>
                <w:sz w:val="16"/>
                <w:szCs w:val="16"/>
                <w:color w:val="auto"/>
              </w:rPr>
              <w:t>Proceeds, (net of issuance costs of $0, $0, $(0.5) and $(0.2), respectively) $</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0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20.2</w:t>
            </w:r>
          </w:p>
        </w:tc>
      </w:tr>
      <w:tr>
        <w:trPr>
          <w:trHeight w:val="213"/>
        </w:trPr>
        <w:tc>
          <w:tcPr>
            <w:tcW w:w="5000" w:type="dxa"/>
            <w:vAlign w:val="bottom"/>
            <w:gridSpan w:val="5"/>
          </w:tcPr>
          <w:p>
            <w:pPr>
              <w:ind w:left="20"/>
              <w:spacing w:after="0"/>
              <w:rPr>
                <w:sz w:val="20"/>
                <w:szCs w:val="20"/>
                <w:color w:val="auto"/>
              </w:rPr>
            </w:pPr>
            <w:r>
              <w:rPr>
                <w:rFonts w:ascii="Arial" w:cs="Arial" w:eastAsia="Arial" w:hAnsi="Arial"/>
                <w:sz w:val="16"/>
                <w:szCs w:val="16"/>
                <w:color w:val="auto"/>
              </w:rPr>
              <w:t>Number of shares issued</w:t>
            </w:r>
          </w:p>
        </w:tc>
        <w:tc>
          <w:tcPr>
            <w:tcW w:w="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775,225</w:t>
            </w:r>
          </w:p>
        </w:tc>
        <w:tc>
          <w:tcPr>
            <w:tcW w:w="3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272,592</w:t>
            </w:r>
          </w:p>
        </w:tc>
      </w:tr>
      <w:tr>
        <w:trPr>
          <w:trHeight w:val="219"/>
        </w:trPr>
        <w:tc>
          <w:tcPr>
            <w:tcW w:w="2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175"/>
        </w:trPr>
        <w:tc>
          <w:tcPr>
            <w:tcW w:w="5000" w:type="dxa"/>
            <w:vAlign w:val="bottom"/>
            <w:gridSpan w:val="5"/>
          </w:tcPr>
          <w:p>
            <w:pPr>
              <w:ind w:left="20"/>
              <w:spacing w:after="0" w:line="175" w:lineRule="exact"/>
              <w:rPr>
                <w:sz w:val="20"/>
                <w:szCs w:val="20"/>
                <w:color w:val="auto"/>
              </w:rPr>
            </w:pPr>
            <w:r>
              <w:rPr>
                <w:rFonts w:ascii="Arial" w:cs="Arial" w:eastAsia="Arial" w:hAnsi="Arial"/>
                <w:sz w:val="16"/>
                <w:szCs w:val="16"/>
                <w:i w:val="1"/>
                <w:iCs w:val="1"/>
                <w:color w:val="auto"/>
              </w:rPr>
              <w:t>June 16, 2023 ATM Program</w:t>
            </w: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5480" w:type="dxa"/>
            <w:vAlign w:val="bottom"/>
            <w:gridSpan w:val="6"/>
            <w:shd w:val="clear" w:color="auto" w:fill="CFF0FC"/>
          </w:tcPr>
          <w:p>
            <w:pPr>
              <w:ind w:left="20"/>
              <w:spacing w:after="0"/>
              <w:rPr>
                <w:sz w:val="20"/>
                <w:szCs w:val="20"/>
                <w:color w:val="auto"/>
              </w:rPr>
            </w:pPr>
            <w:r>
              <w:rPr>
                <w:rFonts w:ascii="Arial" w:cs="Arial" w:eastAsia="Arial" w:hAnsi="Arial"/>
                <w:sz w:val="16"/>
                <w:szCs w:val="16"/>
                <w:color w:val="auto"/>
              </w:rPr>
              <w:t>Proceeds, (net of issuance costs of $(0.5), $0, $(0.6) and $0, respectively) $</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1320" w:type="dxa"/>
            <w:vAlign w:val="bottom"/>
            <w:shd w:val="clear" w:color="auto" w:fill="CFF0FC"/>
          </w:tcPr>
          <w:p>
            <w:pPr>
              <w:jc w:val="right"/>
              <w:ind w:right="10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5000" w:type="dxa"/>
            <w:vAlign w:val="bottom"/>
            <w:gridSpan w:val="5"/>
          </w:tcPr>
          <w:p>
            <w:pPr>
              <w:ind w:left="20"/>
              <w:spacing w:after="0"/>
              <w:rPr>
                <w:sz w:val="20"/>
                <w:szCs w:val="20"/>
                <w:color w:val="auto"/>
              </w:rPr>
            </w:pPr>
            <w:r>
              <w:rPr>
                <w:rFonts w:ascii="Arial" w:cs="Arial" w:eastAsia="Arial" w:hAnsi="Arial"/>
                <w:sz w:val="16"/>
                <w:szCs w:val="16"/>
                <w:color w:val="auto"/>
              </w:rPr>
              <w:t>Number of shares issued</w:t>
            </w:r>
          </w:p>
        </w:tc>
        <w:tc>
          <w:tcPr>
            <w:tcW w:w="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930,844</w:t>
            </w:r>
          </w:p>
        </w:tc>
        <w:tc>
          <w:tcPr>
            <w:tcW w:w="1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1,037,399</w:t>
            </w:r>
          </w:p>
        </w:tc>
        <w:tc>
          <w:tcPr>
            <w:tcW w:w="3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176"/>
        </w:trPr>
        <w:tc>
          <w:tcPr>
            <w:tcW w:w="5000" w:type="dxa"/>
            <w:vAlign w:val="bottom"/>
            <w:gridSpan w:val="5"/>
          </w:tcPr>
          <w:p>
            <w:pPr>
              <w:ind w:left="20"/>
              <w:spacing w:after="0" w:line="175" w:lineRule="exact"/>
              <w:rPr>
                <w:sz w:val="20"/>
                <w:szCs w:val="20"/>
                <w:color w:val="auto"/>
              </w:rPr>
            </w:pPr>
            <w:r>
              <w:rPr>
                <w:rFonts w:ascii="Arial" w:cs="Arial" w:eastAsia="Arial" w:hAnsi="Arial"/>
                <w:sz w:val="16"/>
                <w:szCs w:val="16"/>
                <w:i w:val="1"/>
                <w:iCs w:val="1"/>
                <w:color w:val="auto"/>
              </w:rPr>
              <w:t>Total activity under both ATM Programs</w:t>
            </w: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500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Proceeds, (net of issuance costs of $(0.5), $0, $(1.1) and $(0.2),</w:t>
            </w:r>
          </w:p>
        </w:tc>
        <w:tc>
          <w:tcPr>
            <w:tcW w:w="4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213"/>
        </w:trPr>
        <w:tc>
          <w:tcPr>
            <w:tcW w:w="500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respectively)</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1320" w:type="dxa"/>
            <w:vAlign w:val="bottom"/>
            <w:shd w:val="clear" w:color="auto" w:fill="CFF0FC"/>
          </w:tcPr>
          <w:p>
            <w:pPr>
              <w:jc w:val="right"/>
              <w:ind w:right="10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107.7</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20.2</w:t>
            </w:r>
          </w:p>
        </w:tc>
      </w:tr>
      <w:tr>
        <w:trPr>
          <w:trHeight w:val="213"/>
        </w:trPr>
        <w:tc>
          <w:tcPr>
            <w:tcW w:w="5000" w:type="dxa"/>
            <w:vAlign w:val="bottom"/>
            <w:gridSpan w:val="5"/>
          </w:tcPr>
          <w:p>
            <w:pPr>
              <w:ind w:left="20"/>
              <w:spacing w:after="0"/>
              <w:rPr>
                <w:sz w:val="20"/>
                <w:szCs w:val="20"/>
                <w:color w:val="auto"/>
              </w:rPr>
            </w:pPr>
            <w:r>
              <w:rPr>
                <w:rFonts w:ascii="Arial" w:cs="Arial" w:eastAsia="Arial" w:hAnsi="Arial"/>
                <w:sz w:val="16"/>
                <w:szCs w:val="16"/>
                <w:color w:val="auto"/>
              </w:rPr>
              <w:t>Number of shares issued</w:t>
            </w:r>
          </w:p>
        </w:tc>
        <w:tc>
          <w:tcPr>
            <w:tcW w:w="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930,844</w:t>
            </w:r>
          </w:p>
        </w:tc>
        <w:tc>
          <w:tcPr>
            <w:tcW w:w="1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1,812,624</w:t>
            </w:r>
          </w:p>
        </w:tc>
        <w:tc>
          <w:tcPr>
            <w:tcW w:w="3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272,592</w:t>
            </w:r>
          </w:p>
        </w:tc>
      </w:tr>
      <w:tr>
        <w:trPr>
          <w:trHeight w:val="219"/>
        </w:trPr>
        <w:tc>
          <w:tcPr>
            <w:tcW w:w="500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Average price per share</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57.33</w:t>
            </w:r>
          </w:p>
        </w:tc>
        <w:tc>
          <w:tcPr>
            <w:tcW w:w="1320" w:type="dxa"/>
            <w:vAlign w:val="bottom"/>
            <w:shd w:val="clear" w:color="auto" w:fill="CFF0FC"/>
          </w:tcPr>
          <w:p>
            <w:pPr>
              <w:jc w:val="right"/>
              <w:ind w:right="10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60.02</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74.84</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Shareholder Dividend Reinvestment and Stock Purchase Plan</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Effective as of July 7, 2023, we terminated our DRSPP. On July 10, 2023, we filed a post-effective amendment to amend the Registration Statement on Form S-3 (File No. 333-240319) filed with the SEC on August 4, 2020. The filing of this post-effective amendment de-registered all shares of common stock that were issuable under the DRSPP but not sold as of July 7, 2023. With the termination of the DRSPP, a direct stock purchase plan was offered which allows shareholders to continue making share transactions. This plan is sponsored and administered solely by EQ Shareowner Services, our transfer agent.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202" w:lineRule="exact"/>
        <w:rPr>
          <w:sz w:val="20"/>
          <w:szCs w:val="20"/>
          <w:color w:val="auto"/>
        </w:rPr>
      </w:pPr>
    </w:p>
    <w:p>
      <w:pPr>
        <w:ind w:right="740"/>
        <w:spacing w:after="0" w:line="276" w:lineRule="auto"/>
        <w:rPr>
          <w:sz w:val="20"/>
          <w:szCs w:val="20"/>
          <w:color w:val="auto"/>
        </w:rPr>
      </w:pPr>
      <w:r>
        <w:rPr>
          <w:rFonts w:ascii="Arial" w:cs="Arial" w:eastAsia="Arial" w:hAnsi="Arial"/>
          <w:sz w:val="16"/>
          <w:szCs w:val="16"/>
          <w:color w:val="auto"/>
        </w:rPr>
        <w:t>A reconciliation of share amounts used to compute earnings per share in the accompanying Consolidated Statements of Income was as follows (in thousands, except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3220" w:type="dxa"/>
            <w:vAlign w:val="bottom"/>
            <w:gridSpan w:val="4"/>
          </w:tcPr>
          <w:p>
            <w:pPr>
              <w:jc w:val="right"/>
              <w:ind w:right="239"/>
              <w:spacing w:after="0"/>
              <w:rPr>
                <w:sz w:val="20"/>
                <w:szCs w:val="20"/>
                <w:color w:val="auto"/>
              </w:rPr>
            </w:pPr>
            <w:r>
              <w:rPr>
                <w:rFonts w:ascii="Arial" w:cs="Arial" w:eastAsia="Arial" w:hAnsi="Arial"/>
                <w:sz w:val="16"/>
                <w:szCs w:val="16"/>
                <w:color w:val="auto"/>
              </w:rPr>
              <w:t>Three Months Ended September 30,</w:t>
            </w:r>
          </w:p>
        </w:tc>
        <w:tc>
          <w:tcPr>
            <w:tcW w:w="260" w:type="dxa"/>
            <w:vAlign w:val="bottom"/>
          </w:tcPr>
          <w:p>
            <w:pPr>
              <w:spacing w:after="0"/>
              <w:rPr>
                <w:sz w:val="17"/>
                <w:szCs w:val="17"/>
                <w:color w:val="auto"/>
              </w:rPr>
            </w:pPr>
          </w:p>
        </w:tc>
        <w:tc>
          <w:tcPr>
            <w:tcW w:w="3040" w:type="dxa"/>
            <w:vAlign w:val="bottom"/>
            <w:gridSpan w:val="3"/>
          </w:tcPr>
          <w:p>
            <w:pPr>
              <w:jc w:val="right"/>
              <w:ind w:right="31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47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2023</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2022</w:t>
            </w:r>
          </w:p>
        </w:tc>
      </w:tr>
      <w:tr>
        <w:trPr>
          <w:trHeight w:val="253"/>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available for common stock</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45,383</w:t>
            </w:r>
          </w:p>
        </w:tc>
        <w:tc>
          <w:tcPr>
            <w:tcW w:w="4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34,973</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182,520</w:t>
            </w:r>
          </w:p>
        </w:tc>
        <w:tc>
          <w:tcPr>
            <w:tcW w:w="4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185,914</w:t>
            </w:r>
          </w:p>
        </w:tc>
      </w:tr>
      <w:tr>
        <w:trPr>
          <w:trHeight w:val="196"/>
        </w:trPr>
        <w:tc>
          <w:tcPr>
            <w:tcW w:w="4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shares - basic</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67,315</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64,876</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66,652</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64,722</w:t>
            </w: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Dilutive effect of:</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4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Equity compensation</w:t>
            </w:r>
          </w:p>
        </w:tc>
        <w:tc>
          <w:tcPr>
            <w:tcW w:w="9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4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2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188</w:t>
            </w: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Weighted average shares - diluted</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67,389</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65,061</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66,725</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64,910</w:t>
            </w:r>
          </w:p>
        </w:tc>
      </w:tr>
      <w:tr>
        <w:trPr>
          <w:trHeight w:val="20"/>
        </w:trPr>
        <w:tc>
          <w:tcPr>
            <w:tcW w:w="4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47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Earnings per share of common stock:</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Earnings per share, Basic</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0.67</w:t>
            </w:r>
          </w:p>
        </w:tc>
        <w:tc>
          <w:tcPr>
            <w:tcW w:w="4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0.54</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4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2.87</w:t>
            </w:r>
          </w:p>
        </w:tc>
      </w:tr>
      <w:tr>
        <w:trPr>
          <w:trHeight w:val="210"/>
        </w:trPr>
        <w:tc>
          <w:tcPr>
            <w:tcW w:w="4720" w:type="dxa"/>
            <w:vAlign w:val="bottom"/>
          </w:tcPr>
          <w:p>
            <w:pPr>
              <w:ind w:left="120"/>
              <w:spacing w:after="0"/>
              <w:rPr>
                <w:sz w:val="20"/>
                <w:szCs w:val="20"/>
                <w:color w:val="auto"/>
              </w:rPr>
            </w:pPr>
            <w:r>
              <w:rPr>
                <w:rFonts w:ascii="Arial" w:cs="Arial" w:eastAsia="Arial" w:hAnsi="Arial"/>
                <w:sz w:val="16"/>
                <w:szCs w:val="16"/>
                <w:color w:val="auto"/>
              </w:rPr>
              <w:t>Earnings per share, Diluted</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0.67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0.54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2.74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2.86</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excluded from the diluted earnings per share computation because of their anti-dilutive nature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3380" w:type="dxa"/>
            <w:vAlign w:val="bottom"/>
            <w:gridSpan w:val="2"/>
          </w:tcPr>
          <w:p>
            <w:pPr>
              <w:jc w:val="right"/>
              <w:ind w:right="139"/>
              <w:spacing w:after="0"/>
              <w:rPr>
                <w:sz w:val="20"/>
                <w:szCs w:val="20"/>
                <w:color w:val="auto"/>
              </w:rPr>
            </w:pPr>
            <w:r>
              <w:rPr>
                <w:rFonts w:ascii="Arial" w:cs="Arial" w:eastAsia="Arial" w:hAnsi="Arial"/>
                <w:sz w:val="16"/>
                <w:szCs w:val="16"/>
                <w:color w:val="auto"/>
              </w:rPr>
              <w:t>Three Months Ended September 30,</w:t>
            </w:r>
          </w:p>
        </w:tc>
        <w:tc>
          <w:tcPr>
            <w:tcW w:w="640" w:type="dxa"/>
            <w:vAlign w:val="bottom"/>
          </w:tcPr>
          <w:p>
            <w:pPr>
              <w:spacing w:after="0"/>
              <w:rPr>
                <w:sz w:val="17"/>
                <w:szCs w:val="17"/>
                <w:color w:val="auto"/>
              </w:rPr>
            </w:pPr>
          </w:p>
        </w:tc>
        <w:tc>
          <w:tcPr>
            <w:tcW w:w="3580" w:type="dxa"/>
            <w:vAlign w:val="bottom"/>
            <w:gridSpan w:val="2"/>
          </w:tcPr>
          <w:p>
            <w:pPr>
              <w:jc w:val="right"/>
              <w:ind w:right="61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3640" w:type="dxa"/>
            <w:vAlign w:val="bottom"/>
          </w:tcPr>
          <w:p>
            <w:pPr>
              <w:spacing w:after="0"/>
              <w:rPr>
                <w:sz w:val="19"/>
                <w:szCs w:val="19"/>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2023</w:t>
            </w:r>
          </w:p>
        </w:tc>
        <w:tc>
          <w:tcPr>
            <w:tcW w:w="2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6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rPr>
              <w:t>2023</w:t>
            </w:r>
          </w:p>
        </w:tc>
        <w:tc>
          <w:tcPr>
            <w:tcW w:w="16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2022</w:t>
            </w:r>
          </w:p>
        </w:tc>
      </w:tr>
      <w:tr>
        <w:trPr>
          <w:trHeight w:val="213"/>
        </w:trPr>
        <w:tc>
          <w:tcPr>
            <w:tcW w:w="49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Equity compensation</w:t>
            </w:r>
          </w:p>
        </w:tc>
        <w:tc>
          <w:tcPr>
            <w:tcW w:w="2040" w:type="dxa"/>
            <w:vAlign w:val="bottom"/>
            <w:shd w:val="clear" w:color="auto" w:fill="CFF0FC"/>
          </w:tcPr>
          <w:p>
            <w:pPr>
              <w:jc w:val="right"/>
              <w:ind w:right="1519"/>
              <w:spacing w:after="0"/>
              <w:rPr>
                <w:sz w:val="20"/>
                <w:szCs w:val="20"/>
                <w:color w:val="auto"/>
              </w:rPr>
            </w:pPr>
            <w:r>
              <w:rPr>
                <w:rFonts w:ascii="Arial" w:cs="Arial" w:eastAsia="Arial" w:hAnsi="Arial"/>
                <w:sz w:val="16"/>
                <w:szCs w:val="16"/>
                <w:color w:val="auto"/>
              </w:rPr>
              <w:t>74</w:t>
            </w:r>
          </w:p>
        </w:tc>
        <w:tc>
          <w:tcPr>
            <w:tcW w:w="6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96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48</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364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1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1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49"/>
        </w:trPr>
        <w:tc>
          <w:tcPr>
            <w:tcW w:w="36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Anti-dilutive shares</w:t>
            </w:r>
          </w:p>
        </w:tc>
        <w:tc>
          <w:tcPr>
            <w:tcW w:w="1340" w:type="dxa"/>
            <w:vAlign w:val="bottom"/>
            <w:tcBorders>
              <w:bottom w:val="single" w:sz="8" w:color="auto"/>
            </w:tcBorders>
            <w:shd w:val="clear" w:color="auto" w:fill="CFF0FC"/>
          </w:tcPr>
          <w:p>
            <w:pPr>
              <w:spacing w:after="0"/>
              <w:rPr>
                <w:sz w:val="21"/>
                <w:szCs w:val="21"/>
                <w:color w:val="auto"/>
              </w:rPr>
            </w:pPr>
          </w:p>
        </w:tc>
        <w:tc>
          <w:tcPr>
            <w:tcW w:w="2040" w:type="dxa"/>
            <w:vAlign w:val="bottom"/>
            <w:tcBorders>
              <w:bottom w:val="single" w:sz="8" w:color="auto"/>
            </w:tcBorders>
            <w:shd w:val="clear" w:color="auto" w:fill="CFF0FC"/>
          </w:tcPr>
          <w:p>
            <w:pPr>
              <w:jc w:val="right"/>
              <w:ind w:right="1519"/>
              <w:spacing w:after="0"/>
              <w:rPr>
                <w:sz w:val="20"/>
                <w:szCs w:val="20"/>
                <w:color w:val="auto"/>
              </w:rPr>
            </w:pPr>
            <w:r>
              <w:rPr>
                <w:rFonts w:ascii="Arial" w:cs="Arial" w:eastAsia="Arial" w:hAnsi="Arial"/>
                <w:sz w:val="16"/>
                <w:szCs w:val="16"/>
                <w:color w:val="auto"/>
              </w:rPr>
              <w:t>74</w:t>
            </w:r>
          </w:p>
        </w:tc>
        <w:tc>
          <w:tcPr>
            <w:tcW w:w="6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6"/>
                <w:szCs w:val="16"/>
                <w:color w:val="auto"/>
              </w:rPr>
              <w:t>48</w:t>
            </w:r>
          </w:p>
        </w:tc>
        <w:tc>
          <w:tcPr>
            <w:tcW w:w="1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bl>
    <w:p>
      <w:pPr>
        <w:spacing w:after="0" w:line="360" w:lineRule="exact"/>
        <w:rPr>
          <w:sz w:val="20"/>
          <w:szCs w:val="20"/>
          <w:color w:val="auto"/>
        </w:rPr>
      </w:pPr>
    </w:p>
    <w:p>
      <w:pPr>
        <w:ind w:right="8100" w:firstLine="8"/>
        <w:spacing w:after="0" w:line="498" w:lineRule="auto"/>
        <w:tabs>
          <w:tab w:leader="none" w:pos="509"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ind w:right="40"/>
        <w:spacing w:after="0" w:line="261" w:lineRule="auto"/>
        <w:rPr>
          <w:sz w:val="20"/>
          <w:szCs w:val="20"/>
          <w:color w:val="auto"/>
        </w:rPr>
      </w:pPr>
      <w:r>
        <w:rPr>
          <w:rFonts w:ascii="Arial" w:cs="Arial" w:eastAsia="Arial" w:hAnsi="Arial"/>
          <w:sz w:val="16"/>
          <w:szCs w:val="16"/>
          <w:color w:val="auto"/>
        </w:rPr>
        <w:t>Our activities in the energy industry expose us to a number of risks in the normal operations of our businesses. Depending on the activity, we are exposed to varying degrees of market risk and credit risk. Valuation methodologies for our derivatives are detailed within Note 1 of the Notes to the Consolidated Financial Statements in our 2022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194" w:lineRule="exact"/>
        <w:rPr>
          <w:sz w:val="20"/>
          <w:szCs w:val="20"/>
          <w:color w:val="auto"/>
        </w:rPr>
      </w:pPr>
    </w:p>
    <w:p>
      <w:pPr>
        <w:ind w:right="540"/>
        <w:spacing w:after="0" w:line="27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44" w:lineRule="exact"/>
        <w:rPr>
          <w:sz w:val="20"/>
          <w:szCs w:val="20"/>
          <w:color w:val="auto"/>
        </w:rPr>
      </w:pPr>
    </w:p>
    <w:p>
      <w:pPr>
        <w:ind w:left="900" w:right="160" w:hanging="518"/>
        <w:spacing w:after="0" w:line="25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weather, geopolitical events, pandemics, market speculation, recession, inflation, pipeline constraints, and other factors that may impact natural gas and electric supply and demand; and</w:t>
      </w:r>
    </w:p>
    <w:p>
      <w:pPr>
        <w:spacing w:after="0" w:line="159" w:lineRule="exact"/>
        <w:rPr>
          <w:rFonts w:ascii="Arial" w:cs="Arial" w:eastAsia="Arial" w:hAnsi="Arial"/>
          <w:sz w:val="16"/>
          <w:szCs w:val="16"/>
          <w:color w:val="auto"/>
        </w:rPr>
      </w:pPr>
    </w:p>
    <w:p>
      <w:pPr>
        <w:ind w:left="900" w:hanging="518"/>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194"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5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perform periodic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202"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color w:val="auto"/>
        </w:rPr>
        <w:t xml:space="preserve">Our derivative and hedging activities included in the accompanying Consolidated Balance Sheets, Consolidated Statements of Income and Consolidated Statements of Comprehensive Income are detailed below and in </w:t>
      </w:r>
      <w:r>
        <w:rPr>
          <w:rFonts w:ascii="Arial" w:cs="Arial" w:eastAsia="Arial" w:hAnsi="Arial"/>
          <w:sz w:val="16"/>
          <w:szCs w:val="16"/>
          <w:u w:val="single" w:color="auto"/>
          <w:color w:val="0000FF"/>
        </w:rPr>
        <w:t>Note 8</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-38735</wp:posOffset>
            </wp:positionV>
            <wp:extent cx="302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enter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64"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regulatory commission guidelines. When the related costs are recovered through our rates, the hedging activity is recognized in the Consolidated Statements of Income.</w:t>
      </w:r>
    </w:p>
    <w:p>
      <w:pPr>
        <w:spacing w:after="0" w:line="35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use wholesale power purchase and sale contracts to manage purchased power costs and load requirements associated with serving our electric customers. Periodically, certain wholesale energy contracts are considered derivative instruments due to not qualifying for the normal purchase and normal sales exception to derivative accounting. Changes in the fair value of these commodity derivatives are recognized in the Consolidated Statements of Income.</w:t>
      </w:r>
    </w:p>
    <w:p>
      <w:pPr>
        <w:spacing w:after="0" w:line="15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To support our Choice Gas Program customers, 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during time frames ranging from October 2023 through October 2025.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spacing w:after="0" w:line="165"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The contract or notional amounts and terms of the electric and natural gas derivative commodity instruments held at our Utilities are composed of both long and short positions. We had the following net long positions as of:</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08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6"/>
                <w:szCs w:val="16"/>
                <w:color w:val="auto"/>
              </w:rPr>
              <w:t>September 30, 2023</w:t>
            </w:r>
          </w:p>
        </w:tc>
        <w:tc>
          <w:tcPr>
            <w:tcW w:w="314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color w:val="auto"/>
              </w:rPr>
              <w:t>December 31, 2022</w:t>
            </w:r>
          </w:p>
        </w:tc>
      </w:tr>
      <w:tr>
        <w:trPr>
          <w:trHeight w:val="160"/>
        </w:trPr>
        <w:tc>
          <w:tcPr>
            <w:tcW w:w="5020" w:type="dxa"/>
            <w:vAlign w:val="bottom"/>
          </w:tcPr>
          <w:p>
            <w:pPr>
              <w:spacing w:after="0"/>
              <w:rPr>
                <w:sz w:val="13"/>
                <w:szCs w:val="13"/>
                <w:color w:val="auto"/>
              </w:rPr>
            </w:pPr>
          </w:p>
        </w:tc>
        <w:tc>
          <w:tcPr>
            <w:tcW w:w="1580" w:type="dxa"/>
            <w:vAlign w:val="bottom"/>
          </w:tcPr>
          <w:p>
            <w:pPr>
              <w:jc w:val="right"/>
              <w:ind w:right="159"/>
              <w:spacing w:after="0" w:line="161" w:lineRule="exact"/>
              <w:rPr>
                <w:sz w:val="20"/>
                <w:szCs w:val="20"/>
                <w:color w:val="auto"/>
              </w:rPr>
            </w:pPr>
            <w:r>
              <w:rPr>
                <w:rFonts w:ascii="Arial" w:cs="Arial" w:eastAsia="Arial" w:hAnsi="Arial"/>
                <w:sz w:val="16"/>
                <w:szCs w:val="16"/>
                <w:color w:val="auto"/>
              </w:rPr>
              <w:t>Notional Amounts</w:t>
            </w:r>
          </w:p>
        </w:tc>
        <w:tc>
          <w:tcPr>
            <w:tcW w:w="1500" w:type="dxa"/>
            <w:vAlign w:val="bottom"/>
          </w:tcPr>
          <w:p>
            <w:pPr>
              <w:jc w:val="right"/>
              <w:ind w:right="179"/>
              <w:spacing w:after="0" w:line="161" w:lineRule="exact"/>
              <w:rPr>
                <w:sz w:val="20"/>
                <w:szCs w:val="20"/>
                <w:color w:val="auto"/>
              </w:rPr>
            </w:pPr>
            <w:r>
              <w:rPr>
                <w:rFonts w:ascii="Arial" w:cs="Arial" w:eastAsia="Arial" w:hAnsi="Arial"/>
                <w:sz w:val="16"/>
                <w:szCs w:val="16"/>
                <w:color w:val="auto"/>
              </w:rPr>
              <w:t>Maximum Term</w:t>
            </w:r>
          </w:p>
        </w:tc>
        <w:tc>
          <w:tcPr>
            <w:tcW w:w="1580" w:type="dxa"/>
            <w:vAlign w:val="bottom"/>
          </w:tcPr>
          <w:p>
            <w:pPr>
              <w:jc w:val="right"/>
              <w:ind w:right="139"/>
              <w:spacing w:after="0" w:line="161" w:lineRule="exact"/>
              <w:rPr>
                <w:sz w:val="20"/>
                <w:szCs w:val="20"/>
                <w:color w:val="auto"/>
              </w:rPr>
            </w:pPr>
            <w:r>
              <w:rPr>
                <w:rFonts w:ascii="Arial" w:cs="Arial" w:eastAsia="Arial" w:hAnsi="Arial"/>
                <w:sz w:val="16"/>
                <w:szCs w:val="16"/>
                <w:color w:val="auto"/>
              </w:rPr>
              <w:t>Notional Amounts</w:t>
            </w:r>
          </w:p>
        </w:tc>
        <w:tc>
          <w:tcPr>
            <w:tcW w:w="1560" w:type="dxa"/>
            <w:vAlign w:val="bottom"/>
          </w:tcPr>
          <w:p>
            <w:pPr>
              <w:jc w:val="right"/>
              <w:ind w:right="239"/>
              <w:spacing w:after="0" w:line="161" w:lineRule="exact"/>
              <w:rPr>
                <w:sz w:val="20"/>
                <w:szCs w:val="20"/>
                <w:color w:val="auto"/>
              </w:rPr>
            </w:pPr>
            <w:r>
              <w:rPr>
                <w:rFonts w:ascii="Arial" w:cs="Arial" w:eastAsia="Arial" w:hAnsi="Arial"/>
                <w:sz w:val="16"/>
                <w:szCs w:val="16"/>
                <w:color w:val="auto"/>
              </w:rPr>
              <w:t>Maximum Term</w:t>
            </w:r>
          </w:p>
        </w:tc>
      </w:tr>
      <w:tr>
        <w:trPr>
          <w:trHeight w:val="241"/>
        </w:trPr>
        <w:tc>
          <w:tcPr>
            <w:tcW w:w="5020" w:type="dxa"/>
            <w:vAlign w:val="bottom"/>
          </w:tcPr>
          <w:p>
            <w:pPr>
              <w:spacing w:after="0"/>
              <w:rPr>
                <w:sz w:val="20"/>
                <w:szCs w:val="20"/>
                <w:color w:val="auto"/>
              </w:rPr>
            </w:pPr>
          </w:p>
        </w:tc>
        <w:tc>
          <w:tcPr>
            <w:tcW w:w="15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(MMBtus)</w:t>
            </w: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 xml:space="preserve">(months) </w:t>
            </w:r>
            <w:r>
              <w:rPr>
                <w:rFonts w:ascii="Arial" w:cs="Arial" w:eastAsia="Arial" w:hAnsi="Arial"/>
                <w:sz w:val="21"/>
                <w:szCs w:val="21"/>
                <w:color w:val="auto"/>
                <w:vertAlign w:val="superscript"/>
              </w:rPr>
              <w:t>(a)</w:t>
            </w:r>
          </w:p>
        </w:tc>
        <w:tc>
          <w:tcPr>
            <w:tcW w:w="1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(MMBtus)</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 xml:space="preserve">(months) </w:t>
            </w:r>
            <w:r>
              <w:rPr>
                <w:rFonts w:ascii="Arial" w:cs="Arial" w:eastAsia="Arial" w:hAnsi="Arial"/>
                <w:sz w:val="21"/>
                <w:szCs w:val="21"/>
                <w:color w:val="auto"/>
                <w:vertAlign w:val="superscript"/>
              </w:rPr>
              <w:t>(a)</w:t>
            </w:r>
          </w:p>
        </w:tc>
      </w:tr>
      <w:tr>
        <w:trPr>
          <w:trHeight w:val="210"/>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Natural gas futures purchased</w:t>
            </w:r>
          </w:p>
        </w:tc>
        <w:tc>
          <w:tcPr>
            <w:tcW w:w="15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1,730,000</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5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630,000</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7,780,000</w:t>
            </w:r>
          </w:p>
        </w:tc>
        <w:tc>
          <w:tcPr>
            <w:tcW w:w="1500" w:type="dxa"/>
            <w:vAlign w:val="bottom"/>
          </w:tcPr>
          <w:p>
            <w:pPr>
              <w:jc w:val="right"/>
              <w:spacing w:after="0"/>
              <w:rPr>
                <w:sz w:val="20"/>
                <w:szCs w:val="20"/>
                <w:color w:val="auto"/>
              </w:rPr>
            </w:pPr>
            <w:r>
              <w:rPr>
                <w:rFonts w:ascii="Arial" w:cs="Arial" w:eastAsia="Arial" w:hAnsi="Arial"/>
                <w:sz w:val="16"/>
                <w:szCs w:val="16"/>
                <w:color w:val="auto"/>
              </w:rPr>
              <w:t>6</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1,790,000</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w:t>
            </w:r>
          </w:p>
        </w:tc>
      </w:tr>
      <w:tr>
        <w:trPr>
          <w:trHeight w:val="219"/>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Natural gas basis swaps purchased</w:t>
            </w:r>
          </w:p>
        </w:tc>
        <w:tc>
          <w:tcPr>
            <w:tcW w:w="15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1,730,000</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5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900,000</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r>
      <w:tr>
        <w:trPr>
          <w:trHeight w:val="216"/>
        </w:trPr>
        <w:tc>
          <w:tcPr>
            <w:tcW w:w="50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5,610,000</w:t>
            </w:r>
          </w:p>
        </w:tc>
        <w:tc>
          <w:tcPr>
            <w:tcW w:w="1500" w:type="dxa"/>
            <w:vAlign w:val="bottom"/>
          </w:tcPr>
          <w:p>
            <w:pPr>
              <w:jc w:val="right"/>
              <w:spacing w:after="0"/>
              <w:rPr>
                <w:sz w:val="20"/>
                <w:szCs w:val="20"/>
                <w:color w:val="auto"/>
              </w:rPr>
            </w:pPr>
            <w:r>
              <w:rPr>
                <w:rFonts w:ascii="Arial" w:cs="Arial" w:eastAsia="Arial" w:hAnsi="Arial"/>
                <w:sz w:val="16"/>
                <w:szCs w:val="16"/>
                <w:color w:val="auto"/>
              </w:rPr>
              <w:t>24</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4,460,000</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24</w:t>
            </w:r>
          </w:p>
        </w:tc>
      </w:tr>
      <w:tr>
        <w:trPr>
          <w:trHeight w:val="216"/>
        </w:trPr>
        <w:tc>
          <w:tcPr>
            <w:tcW w:w="502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5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21,323,455</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5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17,864,412</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23"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1" w:lineRule="exact"/>
        <w:rPr>
          <w:rFonts w:ascii="Arial" w:cs="Arial" w:eastAsia="Arial" w:hAnsi="Arial"/>
          <w:sz w:val="14"/>
          <w:szCs w:val="14"/>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September 30, 2023, 2,979,300 MMBtus of natural gas over-the-counter swaps purchases were designated as cash flow hedges.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purchases and normal sales exception permitted by GAAP.</w:t>
      </w:r>
    </w:p>
    <w:p>
      <w:pPr>
        <w:spacing w:after="0" w:line="175"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September 30, 2023, the Company posted $0.6 million related to such provisions, which is included in Other current assets on the Consolidated Balance Sheets.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and balance sheet classification of our derivative instruments (in thousands) as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September 30,</w:t>
            </w:r>
          </w:p>
        </w:tc>
        <w:tc>
          <w:tcPr>
            <w:tcW w:w="180" w:type="dxa"/>
            <w:vAlign w:val="bottom"/>
          </w:tcPr>
          <w:p>
            <w:pPr>
              <w:spacing w:after="0"/>
              <w:rPr>
                <w:sz w:val="16"/>
                <w:szCs w:val="16"/>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December 31,</w:t>
            </w:r>
          </w:p>
        </w:tc>
      </w:tr>
      <w:tr>
        <w:trPr>
          <w:trHeight w:val="210"/>
        </w:trPr>
        <w:tc>
          <w:tcPr>
            <w:tcW w:w="4120" w:type="dxa"/>
            <w:vAlign w:val="bottom"/>
          </w:tcPr>
          <w:p>
            <w:pPr>
              <w:spacing w:after="0"/>
              <w:rPr>
                <w:sz w:val="18"/>
                <w:szCs w:val="18"/>
                <w:color w:val="auto"/>
              </w:rPr>
            </w:pPr>
          </w:p>
        </w:tc>
        <w:tc>
          <w:tcPr>
            <w:tcW w:w="398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Balance Sheet Location</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2022</w:t>
            </w:r>
          </w:p>
        </w:tc>
      </w:tr>
      <w:tr>
        <w:trPr>
          <w:trHeight w:val="213"/>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designated as hedges:</w:t>
            </w:r>
          </w:p>
        </w:tc>
        <w:tc>
          <w:tcPr>
            <w:tcW w:w="3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3"/>
        </w:trPr>
        <w:tc>
          <w:tcPr>
            <w:tcW w:w="4120" w:type="dxa"/>
            <w:vAlign w:val="bottom"/>
          </w:tcPr>
          <w:p>
            <w:pPr>
              <w:ind w:left="120"/>
              <w:spacing w:after="0"/>
              <w:rPr>
                <w:sz w:val="20"/>
                <w:szCs w:val="20"/>
                <w:color w:val="auto"/>
              </w:rPr>
            </w:pPr>
            <w:r>
              <w:rPr>
                <w:rFonts w:ascii="Arial" w:cs="Arial" w:eastAsia="Arial" w:hAnsi="Arial"/>
                <w:sz w:val="16"/>
                <w:szCs w:val="16"/>
                <w:color w:val="auto"/>
              </w:rPr>
              <w:t>Asset derivative instruments:</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4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commodity derivatives</w:t>
            </w:r>
          </w:p>
        </w:tc>
        <w:tc>
          <w:tcPr>
            <w:tcW w:w="3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 assets, current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118</w:t>
            </w:r>
          </w:p>
        </w:tc>
      </w:tr>
      <w:tr>
        <w:trPr>
          <w:trHeight w:val="213"/>
        </w:trPr>
        <w:tc>
          <w:tcPr>
            <w:tcW w:w="4120" w:type="dxa"/>
            <w:vAlign w:val="bottom"/>
          </w:tcPr>
          <w:p>
            <w:pPr>
              <w:ind w:left="200"/>
              <w:spacing w:after="0"/>
              <w:rPr>
                <w:sz w:val="20"/>
                <w:szCs w:val="20"/>
                <w:color w:val="auto"/>
              </w:rPr>
            </w:pPr>
            <w:r>
              <w:rPr>
                <w:rFonts w:ascii="Arial" w:cs="Arial" w:eastAsia="Arial" w:hAnsi="Arial"/>
                <w:sz w:val="16"/>
                <w:szCs w:val="16"/>
                <w:color w:val="auto"/>
              </w:rPr>
              <w:t>Noncurrent commodity derivatives</w:t>
            </w:r>
          </w:p>
        </w:tc>
        <w:tc>
          <w:tcPr>
            <w:tcW w:w="3980" w:type="dxa"/>
            <w:vAlign w:val="bottom"/>
          </w:tcPr>
          <w:p>
            <w:pPr>
              <w:ind w:left="20"/>
              <w:spacing w:after="0"/>
              <w:rPr>
                <w:sz w:val="20"/>
                <w:szCs w:val="20"/>
                <w:color w:val="auto"/>
              </w:rPr>
            </w:pPr>
            <w:r>
              <w:rPr>
                <w:rFonts w:ascii="Arial" w:cs="Arial" w:eastAsia="Arial" w:hAnsi="Arial"/>
                <w:sz w:val="16"/>
                <w:szCs w:val="16"/>
                <w:color w:val="auto"/>
              </w:rPr>
              <w:t>Other assets, non-current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(18 )</w:t>
            </w:r>
          </w:p>
        </w:tc>
        <w:tc>
          <w:tcPr>
            <w:tcW w:w="18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198</w:t>
            </w:r>
          </w:p>
        </w:tc>
      </w:tr>
      <w:tr>
        <w:trPr>
          <w:trHeight w:val="219"/>
        </w:trPr>
        <w:tc>
          <w:tcPr>
            <w:tcW w:w="41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Liability derivative instruments:</w:t>
            </w:r>
          </w:p>
        </w:tc>
        <w:tc>
          <w:tcPr>
            <w:tcW w:w="3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13"/>
        </w:trPr>
        <w:tc>
          <w:tcPr>
            <w:tcW w:w="4120" w:type="dxa"/>
            <w:vAlign w:val="bottom"/>
          </w:tcPr>
          <w:p>
            <w:pPr>
              <w:ind w:left="200"/>
              <w:spacing w:after="0"/>
              <w:rPr>
                <w:sz w:val="20"/>
                <w:szCs w:val="20"/>
                <w:color w:val="auto"/>
              </w:rPr>
            </w:pPr>
            <w:r>
              <w:rPr>
                <w:rFonts w:ascii="Arial" w:cs="Arial" w:eastAsia="Arial" w:hAnsi="Arial"/>
                <w:sz w:val="16"/>
                <w:szCs w:val="16"/>
                <w:color w:val="auto"/>
              </w:rPr>
              <w:t>Current commodity derivatives</w:t>
            </w:r>
          </w:p>
        </w:tc>
        <w:tc>
          <w:tcPr>
            <w:tcW w:w="3980" w:type="dxa"/>
            <w:vAlign w:val="bottom"/>
          </w:tcPr>
          <w:p>
            <w:pPr>
              <w:ind w:left="20"/>
              <w:spacing w:after="0"/>
              <w:rPr>
                <w:sz w:val="20"/>
                <w:szCs w:val="20"/>
                <w:color w:val="auto"/>
              </w:rPr>
            </w:pPr>
            <w:r>
              <w:rPr>
                <w:rFonts w:ascii="Arial" w:cs="Arial" w:eastAsia="Arial" w:hAnsi="Arial"/>
                <w:sz w:val="16"/>
                <w:szCs w:val="16"/>
                <w:color w:val="auto"/>
              </w:rPr>
              <w:t>Derivative liabilities, current</w:t>
            </w:r>
          </w:p>
        </w:tc>
        <w:tc>
          <w:tcPr>
            <w:tcW w:w="14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(1,703 )</w:t>
            </w:r>
          </w:p>
        </w:tc>
      </w:tr>
      <w:tr>
        <w:trPr>
          <w:trHeight w:val="219"/>
        </w:trPr>
        <w:tc>
          <w:tcPr>
            <w:tcW w:w="4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Noncurrent commodity derivatives</w:t>
            </w:r>
          </w:p>
        </w:tc>
        <w:tc>
          <w:tcPr>
            <w:tcW w:w="3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 non-current</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(20 )</w:t>
            </w: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4120" w:type="dxa"/>
            <w:vAlign w:val="bottom"/>
          </w:tcPr>
          <w:p>
            <w:pPr>
              <w:ind w:left="20"/>
              <w:spacing w:after="0"/>
              <w:rPr>
                <w:sz w:val="20"/>
                <w:szCs w:val="20"/>
                <w:color w:val="auto"/>
              </w:rPr>
            </w:pPr>
            <w:r>
              <w:rPr>
                <w:rFonts w:ascii="Arial" w:cs="Arial" w:eastAsia="Arial" w:hAnsi="Arial"/>
                <w:sz w:val="16"/>
                <w:szCs w:val="16"/>
                <w:color w:val="auto"/>
              </w:rPr>
              <w:t>Total derivatives designated as hedges</w:t>
            </w:r>
          </w:p>
        </w:tc>
        <w:tc>
          <w:tcPr>
            <w:tcW w:w="39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(1,387 )</w:t>
            </w:r>
          </w:p>
        </w:tc>
      </w:tr>
      <w:tr>
        <w:trPr>
          <w:trHeight w:val="20"/>
        </w:trPr>
        <w:tc>
          <w:tcPr>
            <w:tcW w:w="4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4120" w:type="dxa"/>
            <w:vAlign w:val="bottom"/>
            <w:shd w:val="clear" w:color="auto" w:fill="CFF0FC"/>
          </w:tcPr>
          <w:p>
            <w:pPr>
              <w:spacing w:after="0"/>
              <w:rPr>
                <w:sz w:val="17"/>
                <w:szCs w:val="17"/>
                <w:color w:val="auto"/>
              </w:rPr>
            </w:pPr>
          </w:p>
        </w:tc>
        <w:tc>
          <w:tcPr>
            <w:tcW w:w="3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Derivatives not designated as hedges:</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41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Asset derivative instruments:</w:t>
            </w:r>
          </w:p>
        </w:tc>
        <w:tc>
          <w:tcPr>
            <w:tcW w:w="3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13"/>
        </w:trPr>
        <w:tc>
          <w:tcPr>
            <w:tcW w:w="4120" w:type="dxa"/>
            <w:vAlign w:val="bottom"/>
          </w:tcPr>
          <w:p>
            <w:pPr>
              <w:ind w:left="200"/>
              <w:spacing w:after="0"/>
              <w:rPr>
                <w:sz w:val="20"/>
                <w:szCs w:val="20"/>
                <w:color w:val="auto"/>
              </w:rPr>
            </w:pPr>
            <w:r>
              <w:rPr>
                <w:rFonts w:ascii="Arial" w:cs="Arial" w:eastAsia="Arial" w:hAnsi="Arial"/>
                <w:sz w:val="16"/>
                <w:szCs w:val="16"/>
                <w:color w:val="auto"/>
              </w:rPr>
              <w:t>Current commodity derivatives</w:t>
            </w:r>
          </w:p>
        </w:tc>
        <w:tc>
          <w:tcPr>
            <w:tcW w:w="3980" w:type="dxa"/>
            <w:vAlign w:val="bottom"/>
          </w:tcPr>
          <w:p>
            <w:pPr>
              <w:ind w:left="20"/>
              <w:spacing w:after="0"/>
              <w:rPr>
                <w:sz w:val="20"/>
                <w:szCs w:val="20"/>
                <w:color w:val="auto"/>
              </w:rPr>
            </w:pPr>
            <w:r>
              <w:rPr>
                <w:rFonts w:ascii="Arial" w:cs="Arial" w:eastAsia="Arial" w:hAnsi="Arial"/>
                <w:sz w:val="16"/>
                <w:szCs w:val="16"/>
                <w:color w:val="auto"/>
              </w:rPr>
              <w:t>Derivative assets, current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464</w:t>
            </w:r>
          </w:p>
        </w:tc>
      </w:tr>
      <w:tr>
        <w:trPr>
          <w:trHeight w:val="219"/>
        </w:trPr>
        <w:tc>
          <w:tcPr>
            <w:tcW w:w="4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Noncurrent commodity derivatives</w:t>
            </w:r>
          </w:p>
        </w:tc>
        <w:tc>
          <w:tcPr>
            <w:tcW w:w="3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assets, non-current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337</w:t>
            </w:r>
          </w:p>
        </w:tc>
      </w:tr>
      <w:tr>
        <w:trPr>
          <w:trHeight w:val="213"/>
        </w:trPr>
        <w:tc>
          <w:tcPr>
            <w:tcW w:w="4120" w:type="dxa"/>
            <w:vAlign w:val="bottom"/>
          </w:tcPr>
          <w:p>
            <w:pPr>
              <w:ind w:left="120"/>
              <w:spacing w:after="0"/>
              <w:rPr>
                <w:sz w:val="20"/>
                <w:szCs w:val="20"/>
                <w:color w:val="auto"/>
              </w:rPr>
            </w:pPr>
            <w:r>
              <w:rPr>
                <w:rFonts w:ascii="Arial" w:cs="Arial" w:eastAsia="Arial" w:hAnsi="Arial"/>
                <w:sz w:val="16"/>
                <w:szCs w:val="16"/>
                <w:color w:val="auto"/>
              </w:rPr>
              <w:t>Liability derivative instruments:</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4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commodity derivatives</w:t>
            </w:r>
          </w:p>
        </w:tc>
        <w:tc>
          <w:tcPr>
            <w:tcW w:w="3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 liabilities, current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(2,336 )</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(4,897 )</w:t>
            </w:r>
          </w:p>
        </w:tc>
      </w:tr>
      <w:tr>
        <w:trPr>
          <w:trHeight w:val="216"/>
        </w:trPr>
        <w:tc>
          <w:tcPr>
            <w:tcW w:w="4120" w:type="dxa"/>
            <w:vAlign w:val="bottom"/>
          </w:tcPr>
          <w:p>
            <w:pPr>
              <w:ind w:left="200"/>
              <w:spacing w:after="0"/>
              <w:rPr>
                <w:sz w:val="20"/>
                <w:szCs w:val="20"/>
                <w:color w:val="auto"/>
              </w:rPr>
            </w:pPr>
            <w:r>
              <w:rPr>
                <w:rFonts w:ascii="Arial" w:cs="Arial" w:eastAsia="Arial" w:hAnsi="Arial"/>
                <w:sz w:val="16"/>
                <w:szCs w:val="16"/>
                <w:color w:val="auto"/>
              </w:rPr>
              <w:t>Noncurrent commodity derivatives</w:t>
            </w:r>
          </w:p>
        </w:tc>
        <w:tc>
          <w:tcPr>
            <w:tcW w:w="3980" w:type="dxa"/>
            <w:vAlign w:val="bottom"/>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r>
      <w:tr>
        <w:trPr>
          <w:trHeight w:val="249"/>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derivatives not designated as hedges</w:t>
            </w:r>
          </w:p>
        </w:tc>
        <w:tc>
          <w:tcPr>
            <w:tcW w:w="39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(2,190 ) $</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(4,114 )</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impacts of cash flow hedges on our Consolidated Statements of Comprehensive Income and Consolidated Statements of Income are presented below for the three and nine months ended September 30, 2023 and 2022.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3"/>
          </w:tcPr>
          <w:p>
            <w:pPr>
              <w:jc w:val="center"/>
              <w:ind w:right="159"/>
              <w:spacing w:after="0"/>
              <w:rPr>
                <w:sz w:val="20"/>
                <w:szCs w:val="20"/>
                <w:color w:val="auto"/>
              </w:rPr>
            </w:pPr>
            <w:r>
              <w:rPr>
                <w:rFonts w:ascii="Arial" w:cs="Arial" w:eastAsia="Arial" w:hAnsi="Arial"/>
                <w:sz w:val="16"/>
                <w:szCs w:val="16"/>
                <w:color w:val="auto"/>
              </w:rPr>
              <w:t>Three Months Ended</w:t>
            </w: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center"/>
              <w:ind w:right="139"/>
              <w:spacing w:after="0"/>
              <w:rPr>
                <w:sz w:val="20"/>
                <w:szCs w:val="20"/>
                <w:color w:val="auto"/>
              </w:rPr>
            </w:pPr>
            <w:r>
              <w:rPr>
                <w:rFonts w:ascii="Arial" w:cs="Arial" w:eastAsia="Arial" w:hAnsi="Arial"/>
                <w:sz w:val="16"/>
                <w:szCs w:val="16"/>
                <w:color w:val="auto"/>
              </w:rPr>
              <w:t>Three Months Ended</w:t>
            </w:r>
          </w:p>
        </w:tc>
      </w:tr>
      <w:tr>
        <w:trPr>
          <w:trHeight w:val="207"/>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jc w:val="center"/>
              <w:ind w:right="179"/>
              <w:spacing w:after="0"/>
              <w:rPr>
                <w:sz w:val="20"/>
                <w:szCs w:val="20"/>
                <w:color w:val="auto"/>
              </w:rPr>
            </w:pPr>
            <w:r>
              <w:rPr>
                <w:rFonts w:ascii="Arial" w:cs="Arial" w:eastAsia="Arial" w:hAnsi="Arial"/>
                <w:sz w:val="16"/>
                <w:szCs w:val="16"/>
                <w:color w:val="auto"/>
              </w:rPr>
              <w:t>September 30,</w:t>
            </w: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center"/>
              <w:ind w:right="139"/>
              <w:spacing w:after="0"/>
              <w:rPr>
                <w:sz w:val="20"/>
                <w:szCs w:val="20"/>
                <w:color w:val="auto"/>
              </w:rPr>
            </w:pPr>
            <w:r>
              <w:rPr>
                <w:rFonts w:ascii="Arial" w:cs="Arial" w:eastAsia="Arial" w:hAnsi="Arial"/>
                <w:sz w:val="16"/>
                <w:szCs w:val="16"/>
                <w:color w:val="auto"/>
              </w:rPr>
              <w:t>September 30,</w:t>
            </w:r>
          </w:p>
        </w:tc>
      </w:tr>
      <w:tr>
        <w:trPr>
          <w:trHeight w:val="219"/>
        </w:trPr>
        <w:tc>
          <w:tcPr>
            <w:tcW w:w="3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3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2023</w:t>
            </w: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r>
      <w:tr>
        <w:trPr>
          <w:trHeight w:val="189"/>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center"/>
              <w:ind w:right="199"/>
              <w:spacing w:after="0"/>
              <w:rPr>
                <w:sz w:val="20"/>
                <w:szCs w:val="20"/>
                <w:color w:val="auto"/>
              </w:rPr>
            </w:pPr>
            <w:r>
              <w:rPr>
                <w:rFonts w:ascii="Arial" w:cs="Arial" w:eastAsia="Arial" w:hAnsi="Arial"/>
                <w:sz w:val="16"/>
                <w:szCs w:val="16"/>
                <w:color w:val="auto"/>
              </w:rPr>
              <w:t>Amount of Gain/(Loss)</w:t>
            </w:r>
          </w:p>
        </w:tc>
      </w:tr>
      <w:tr>
        <w:trPr>
          <w:trHeight w:val="189"/>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3"/>
          </w:tcPr>
          <w:p>
            <w:pPr>
              <w:jc w:val="center"/>
              <w:ind w:right="219"/>
              <w:spacing w:after="0"/>
              <w:rPr>
                <w:sz w:val="20"/>
                <w:szCs w:val="20"/>
                <w:color w:val="auto"/>
              </w:rPr>
            </w:pPr>
            <w:r>
              <w:rPr>
                <w:rFonts w:ascii="Arial" w:cs="Arial" w:eastAsia="Arial" w:hAnsi="Arial"/>
                <w:sz w:val="16"/>
                <w:szCs w:val="16"/>
                <w:color w:val="auto"/>
              </w:rPr>
              <w:t>Amount of Gain/(Loss)</w:t>
            </w:r>
          </w:p>
        </w:tc>
        <w:tc>
          <w:tcPr>
            <w:tcW w:w="3520" w:type="dxa"/>
            <w:vAlign w:val="bottom"/>
          </w:tcPr>
          <w:p>
            <w:pPr>
              <w:spacing w:after="0"/>
              <w:rPr>
                <w:sz w:val="16"/>
                <w:szCs w:val="16"/>
                <w:color w:val="auto"/>
              </w:rPr>
            </w:pPr>
          </w:p>
        </w:tc>
        <w:tc>
          <w:tcPr>
            <w:tcW w:w="2020" w:type="dxa"/>
            <w:vAlign w:val="bottom"/>
            <w:gridSpan w:val="3"/>
          </w:tcPr>
          <w:p>
            <w:pPr>
              <w:jc w:val="center"/>
              <w:ind w:right="59"/>
              <w:spacing w:after="0"/>
              <w:rPr>
                <w:sz w:val="20"/>
                <w:szCs w:val="20"/>
                <w:color w:val="auto"/>
              </w:rPr>
            </w:pPr>
            <w:r>
              <w:rPr>
                <w:rFonts w:ascii="Arial" w:cs="Arial" w:eastAsia="Arial" w:hAnsi="Arial"/>
                <w:sz w:val="16"/>
                <w:szCs w:val="16"/>
                <w:color w:val="auto"/>
              </w:rPr>
              <w:t>Reclassified from AOCI</w:t>
            </w:r>
          </w:p>
        </w:tc>
      </w:tr>
      <w:tr>
        <w:trPr>
          <w:trHeight w:val="210"/>
        </w:trPr>
        <w:tc>
          <w:tcPr>
            <w:tcW w:w="3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Derivatives in Cash Flow Hedging Relationships</w:t>
            </w: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6"/>
                <w:szCs w:val="16"/>
                <w:color w:val="auto"/>
              </w:rPr>
              <w:t>Recognized in OCI</w:t>
            </w:r>
          </w:p>
        </w:tc>
        <w:tc>
          <w:tcPr>
            <w:tcW w:w="352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Income Statement Location</w:t>
            </w: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color w:val="auto"/>
              </w:rPr>
              <w:t>into Income</w:t>
            </w:r>
          </w:p>
        </w:tc>
      </w:tr>
      <w:tr>
        <w:trPr>
          <w:trHeight w:val="209"/>
        </w:trPr>
        <w:tc>
          <w:tcPr>
            <w:tcW w:w="3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6"/>
                <w:szCs w:val="16"/>
                <w:color w:val="auto"/>
              </w:rPr>
              <w:t>(in thousands)</w:t>
            </w:r>
          </w:p>
        </w:tc>
        <w:tc>
          <w:tcPr>
            <w:tcW w:w="3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color w:val="auto"/>
              </w:rPr>
              <w:t>(in thousands)</w:t>
            </w:r>
          </w:p>
        </w:tc>
      </w:tr>
      <w:tr>
        <w:trPr>
          <w:trHeight w:val="213"/>
        </w:trPr>
        <w:tc>
          <w:tcPr>
            <w:tcW w:w="3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712</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712</w:t>
            </w:r>
          </w:p>
        </w:tc>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(712 ) $</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(712 )</w:t>
            </w:r>
          </w:p>
        </w:tc>
      </w:t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Fuel, purchased power and cost of natural gas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(219 )</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2,292</w:t>
            </w:r>
          </w:p>
        </w:tc>
        <w:tc>
          <w:tcPr>
            <w:tcW w:w="3520" w:type="dxa"/>
            <w:vAlign w:val="bottom"/>
          </w:tcPr>
          <w:p>
            <w:pPr>
              <w:spacing w:after="0"/>
              <w:rPr>
                <w:sz w:val="20"/>
                <w:szCs w:val="20"/>
                <w:color w:val="auto"/>
              </w:rPr>
            </w:pPr>
            <w:r>
              <w:rPr>
                <w:rFonts w:ascii="Arial" w:cs="Arial" w:eastAsia="Arial" w:hAnsi="Arial"/>
                <w:sz w:val="16"/>
                <w:szCs w:val="16"/>
                <w:color w:val="auto"/>
              </w:rPr>
              <w:t>sold</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(34 )</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w:t>
            </w:r>
          </w:p>
        </w:tc>
      </w:tr>
      <w:tr>
        <w:trPr>
          <w:trHeight w:val="250"/>
        </w:trPr>
        <w:tc>
          <w:tcPr>
            <w:tcW w:w="36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3,004</w:t>
            </w:r>
          </w:p>
        </w:tc>
        <w:tc>
          <w:tcPr>
            <w:tcW w:w="35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(746 ) $</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(669 )</w:t>
            </w:r>
          </w:p>
        </w:tc>
      </w:tr>
      <w:tr>
        <w:trPr>
          <w:trHeight w:val="362"/>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center"/>
              <w:ind w:right="179"/>
              <w:spacing w:after="0"/>
              <w:rPr>
                <w:sz w:val="20"/>
                <w:szCs w:val="20"/>
                <w:color w:val="auto"/>
              </w:rPr>
            </w:pPr>
            <w:r>
              <w:rPr>
                <w:rFonts w:ascii="Arial" w:cs="Arial" w:eastAsia="Arial" w:hAnsi="Arial"/>
                <w:sz w:val="16"/>
                <w:szCs w:val="16"/>
                <w:color w:val="auto"/>
              </w:rPr>
              <w:t>Nine Months Ended</w:t>
            </w: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center"/>
              <w:ind w:right="139"/>
              <w:spacing w:after="0"/>
              <w:rPr>
                <w:sz w:val="20"/>
                <w:szCs w:val="20"/>
                <w:color w:val="auto"/>
              </w:rPr>
            </w:pPr>
            <w:r>
              <w:rPr>
                <w:rFonts w:ascii="Arial" w:cs="Arial" w:eastAsia="Arial" w:hAnsi="Arial"/>
                <w:sz w:val="16"/>
                <w:szCs w:val="16"/>
                <w:color w:val="auto"/>
              </w:rPr>
              <w:t>Nine Months Ended</w:t>
            </w:r>
          </w:p>
        </w:tc>
      </w:tr>
      <w:tr>
        <w:trPr>
          <w:trHeight w:val="207"/>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jc w:val="center"/>
              <w:ind w:right="179"/>
              <w:spacing w:after="0"/>
              <w:rPr>
                <w:sz w:val="20"/>
                <w:szCs w:val="20"/>
                <w:color w:val="auto"/>
              </w:rPr>
            </w:pPr>
            <w:r>
              <w:rPr>
                <w:rFonts w:ascii="Arial" w:cs="Arial" w:eastAsia="Arial" w:hAnsi="Arial"/>
                <w:sz w:val="16"/>
                <w:szCs w:val="16"/>
                <w:color w:val="auto"/>
              </w:rPr>
              <w:t>September 30,</w:t>
            </w: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center"/>
              <w:ind w:right="139"/>
              <w:spacing w:after="0"/>
              <w:rPr>
                <w:sz w:val="20"/>
                <w:szCs w:val="20"/>
                <w:color w:val="auto"/>
              </w:rPr>
            </w:pPr>
            <w:r>
              <w:rPr>
                <w:rFonts w:ascii="Arial" w:cs="Arial" w:eastAsia="Arial" w:hAnsi="Arial"/>
                <w:sz w:val="16"/>
                <w:szCs w:val="16"/>
                <w:color w:val="auto"/>
              </w:rPr>
              <w:t>September 30,</w:t>
            </w:r>
          </w:p>
        </w:tc>
      </w:tr>
      <w:tr>
        <w:trPr>
          <w:trHeight w:val="219"/>
        </w:trPr>
        <w:tc>
          <w:tcPr>
            <w:tcW w:w="3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3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2023</w:t>
            </w: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r>
      <w:tr>
        <w:trPr>
          <w:trHeight w:val="189"/>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center"/>
              <w:ind w:right="199"/>
              <w:spacing w:after="0"/>
              <w:rPr>
                <w:sz w:val="20"/>
                <w:szCs w:val="20"/>
                <w:color w:val="auto"/>
              </w:rPr>
            </w:pPr>
            <w:r>
              <w:rPr>
                <w:rFonts w:ascii="Arial" w:cs="Arial" w:eastAsia="Arial" w:hAnsi="Arial"/>
                <w:sz w:val="16"/>
                <w:szCs w:val="16"/>
                <w:color w:val="auto"/>
              </w:rPr>
              <w:t>Amount of Gain/(Loss)</w:t>
            </w:r>
          </w:p>
        </w:tc>
      </w:tr>
      <w:tr>
        <w:trPr>
          <w:trHeight w:val="189"/>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3"/>
          </w:tcPr>
          <w:p>
            <w:pPr>
              <w:jc w:val="center"/>
              <w:ind w:right="219"/>
              <w:spacing w:after="0"/>
              <w:rPr>
                <w:sz w:val="20"/>
                <w:szCs w:val="20"/>
                <w:color w:val="auto"/>
              </w:rPr>
            </w:pPr>
            <w:r>
              <w:rPr>
                <w:rFonts w:ascii="Arial" w:cs="Arial" w:eastAsia="Arial" w:hAnsi="Arial"/>
                <w:sz w:val="16"/>
                <w:szCs w:val="16"/>
                <w:color w:val="auto"/>
              </w:rPr>
              <w:t>Amount of Gain/(Loss)</w:t>
            </w:r>
          </w:p>
        </w:tc>
        <w:tc>
          <w:tcPr>
            <w:tcW w:w="3520" w:type="dxa"/>
            <w:vAlign w:val="bottom"/>
          </w:tcPr>
          <w:p>
            <w:pPr>
              <w:spacing w:after="0"/>
              <w:rPr>
                <w:sz w:val="16"/>
                <w:szCs w:val="16"/>
                <w:color w:val="auto"/>
              </w:rPr>
            </w:pPr>
          </w:p>
        </w:tc>
        <w:tc>
          <w:tcPr>
            <w:tcW w:w="2020" w:type="dxa"/>
            <w:vAlign w:val="bottom"/>
            <w:gridSpan w:val="3"/>
          </w:tcPr>
          <w:p>
            <w:pPr>
              <w:jc w:val="center"/>
              <w:ind w:right="59"/>
              <w:spacing w:after="0"/>
              <w:rPr>
                <w:sz w:val="20"/>
                <w:szCs w:val="20"/>
                <w:color w:val="auto"/>
              </w:rPr>
            </w:pPr>
            <w:r>
              <w:rPr>
                <w:rFonts w:ascii="Arial" w:cs="Arial" w:eastAsia="Arial" w:hAnsi="Arial"/>
                <w:sz w:val="16"/>
                <w:szCs w:val="16"/>
                <w:color w:val="auto"/>
              </w:rPr>
              <w:t>Reclassified from AOCI</w:t>
            </w:r>
          </w:p>
        </w:tc>
      </w:tr>
      <w:tr>
        <w:trPr>
          <w:trHeight w:val="210"/>
        </w:trPr>
        <w:tc>
          <w:tcPr>
            <w:tcW w:w="3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Derivatives in Cash Flow Hedging Relationships</w:t>
            </w: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6"/>
                <w:szCs w:val="16"/>
                <w:color w:val="auto"/>
              </w:rPr>
              <w:t>Recognized in OCI</w:t>
            </w:r>
          </w:p>
        </w:tc>
        <w:tc>
          <w:tcPr>
            <w:tcW w:w="352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Income Statement Location</w:t>
            </w: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color w:val="auto"/>
              </w:rPr>
              <w:t>into Income</w:t>
            </w:r>
          </w:p>
        </w:tc>
      </w:tr>
      <w:tr>
        <w:trPr>
          <w:trHeight w:val="210"/>
        </w:trPr>
        <w:tc>
          <w:tcPr>
            <w:tcW w:w="3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6"/>
                <w:szCs w:val="16"/>
                <w:color w:val="auto"/>
              </w:rPr>
              <w:t>(in thousands)</w:t>
            </w:r>
          </w:p>
        </w:tc>
        <w:tc>
          <w:tcPr>
            <w:tcW w:w="3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color w:val="auto"/>
              </w:rPr>
              <w:t>(in thousands)</w:t>
            </w:r>
          </w:p>
        </w:tc>
      </w:tr>
      <w:tr>
        <w:trPr>
          <w:trHeight w:val="212"/>
        </w:trPr>
        <w:tc>
          <w:tcPr>
            <w:tcW w:w="3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2,138</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2,138</w:t>
            </w:r>
          </w:p>
        </w:tc>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(2,138 ) $</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(2,138 )</w:t>
            </w:r>
          </w:p>
        </w:tc>
      </w:t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Fuel, purchased power and cost of natural gas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1,244</w:t>
            </w:r>
          </w:p>
        </w:tc>
        <w:tc>
          <w:tcPr>
            <w:tcW w:w="200" w:type="dxa"/>
            <w:vAlign w:val="bottom"/>
          </w:tcPr>
          <w:p>
            <w:pPr>
              <w:spacing w:after="0"/>
              <w:rPr>
                <w:sz w:val="18"/>
                <w:szCs w:val="18"/>
                <w:color w:val="auto"/>
              </w:rPr>
            </w:pPr>
          </w:p>
        </w:tc>
        <w:tc>
          <w:tcPr>
            <w:tcW w:w="4360" w:type="dxa"/>
            <w:vAlign w:val="bottom"/>
            <w:gridSpan w:val="2"/>
          </w:tcPr>
          <w:p>
            <w:pPr>
              <w:ind w:left="260"/>
              <w:spacing w:after="0"/>
              <w:rPr>
                <w:sz w:val="20"/>
                <w:szCs w:val="20"/>
                <w:color w:val="auto"/>
              </w:rPr>
            </w:pPr>
            <w:r>
              <w:rPr>
                <w:rFonts w:ascii="Arial" w:cs="Arial" w:eastAsia="Arial" w:hAnsi="Arial"/>
                <w:sz w:val="16"/>
                <w:szCs w:val="16"/>
                <w:color w:val="auto"/>
              </w:rPr>
              <w:t>(2,946 ) sold</w:t>
            </w:r>
          </w:p>
        </w:tc>
        <w:tc>
          <w:tcPr>
            <w:tcW w:w="12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(2,473 )</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3,620</w:t>
            </w:r>
          </w:p>
        </w:tc>
      </w:tr>
      <w:tr>
        <w:trPr>
          <w:trHeight w:val="250"/>
        </w:trPr>
        <w:tc>
          <w:tcPr>
            <w:tcW w:w="36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3,382</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(808 )</w:t>
            </w:r>
          </w:p>
        </w:tc>
        <w:tc>
          <w:tcPr>
            <w:tcW w:w="35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(4,611 ) $</w:t>
            </w:r>
          </w:p>
        </w:tc>
        <w:tc>
          <w:tcPr>
            <w:tcW w:w="8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-1645285</wp:posOffset>
            </wp:positionV>
            <wp:extent cx="22459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4599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-1628140</wp:posOffset>
            </wp:positionV>
            <wp:extent cx="22459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4599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22459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4599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22459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59"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As of September 30, 2023, $3.2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Consolidated Statements of Income for the three and nine months ended September 30, 2023 and 2022. Note that this presentation does not reflect the expected gains or losses arising from the underlying physical transactions; therefore, it is not indicative of the economic profit or loss we realized when the underlying physical and financial transactions were settled.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420" w:type="dxa"/>
            <w:vAlign w:val="bottom"/>
            <w:gridSpan w:val="3"/>
          </w:tcPr>
          <w:p>
            <w:pPr>
              <w:jc w:val="center"/>
              <w:ind w:left="479"/>
              <w:spacing w:after="0"/>
              <w:rPr>
                <w:sz w:val="20"/>
                <w:szCs w:val="20"/>
                <w:color w:val="auto"/>
              </w:rPr>
            </w:pPr>
            <w:r>
              <w:rPr>
                <w:rFonts w:ascii="Arial" w:cs="Arial" w:eastAsia="Arial" w:hAnsi="Arial"/>
                <w:sz w:val="16"/>
                <w:szCs w:val="16"/>
                <w:color w:val="auto"/>
              </w:rPr>
              <w:t>Three Months Ended September 30,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2023</w:t>
            </w:r>
          </w:p>
        </w:tc>
        <w:tc>
          <w:tcPr>
            <w:tcW w:w="6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2022</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500" w:type="dxa"/>
            <w:vAlign w:val="bottom"/>
          </w:tcPr>
          <w:p>
            <w:pPr>
              <w:ind w:left="420"/>
              <w:spacing w:after="0"/>
              <w:rPr>
                <w:sz w:val="20"/>
                <w:szCs w:val="20"/>
                <w:color w:val="auto"/>
              </w:rPr>
            </w:pPr>
            <w:r>
              <w:rPr>
                <w:rFonts w:ascii="Arial" w:cs="Arial" w:eastAsia="Arial" w:hAnsi="Arial"/>
                <w:sz w:val="16"/>
                <w:szCs w:val="16"/>
                <w:color w:val="auto"/>
              </w:rPr>
              <w:t>Derivatives Not Designated as Hedging</w:t>
            </w:r>
          </w:p>
        </w:tc>
        <w:tc>
          <w:tcPr>
            <w:tcW w:w="3680" w:type="dxa"/>
            <w:vAlign w:val="bottom"/>
          </w:tcPr>
          <w:p>
            <w:pPr>
              <w:jc w:val="center"/>
              <w:ind w:left="99"/>
              <w:spacing w:after="0"/>
              <w:rPr>
                <w:sz w:val="20"/>
                <w:szCs w:val="20"/>
                <w:color w:val="auto"/>
              </w:rPr>
            </w:pPr>
            <w:r>
              <w:rPr>
                <w:rFonts w:ascii="Arial" w:cs="Arial" w:eastAsia="Arial" w:hAnsi="Arial"/>
                <w:sz w:val="16"/>
                <w:szCs w:val="16"/>
                <w:color w:val="auto"/>
              </w:rPr>
              <w:t>Location of Gain/(Loss) on Derivatives</w:t>
            </w:r>
          </w:p>
        </w:tc>
        <w:tc>
          <w:tcPr>
            <w:tcW w:w="4060" w:type="dxa"/>
            <w:vAlign w:val="bottom"/>
            <w:gridSpan w:val="4"/>
          </w:tcPr>
          <w:p>
            <w:pPr>
              <w:jc w:val="center"/>
              <w:ind w:right="59"/>
              <w:spacing w:after="0"/>
              <w:rPr>
                <w:sz w:val="20"/>
                <w:szCs w:val="20"/>
                <w:color w:val="auto"/>
              </w:rPr>
            </w:pPr>
            <w:r>
              <w:rPr>
                <w:rFonts w:ascii="Arial" w:cs="Arial" w:eastAsia="Arial" w:hAnsi="Arial"/>
                <w:sz w:val="16"/>
                <w:szCs w:val="16"/>
                <w:color w:val="auto"/>
              </w:rPr>
              <w:t>Amount of Gain/(Loss) on Derivatives Recognized in</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1440"/>
              <w:spacing w:after="0"/>
              <w:rPr>
                <w:sz w:val="20"/>
                <w:szCs w:val="20"/>
                <w:color w:val="auto"/>
              </w:rPr>
            </w:pPr>
            <w:r>
              <w:rPr>
                <w:rFonts w:ascii="Arial" w:cs="Arial" w:eastAsia="Arial" w:hAnsi="Arial"/>
                <w:sz w:val="16"/>
                <w:szCs w:val="16"/>
                <w:color w:val="auto"/>
              </w:rPr>
              <w:t>Instruments</w:t>
            </w:r>
          </w:p>
        </w:tc>
        <w:tc>
          <w:tcPr>
            <w:tcW w:w="36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Recognized in Income</w:t>
            </w:r>
          </w:p>
        </w:tc>
        <w:tc>
          <w:tcPr>
            <w:tcW w:w="1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center"/>
              <w:ind w:right="679"/>
              <w:spacing w:after="0"/>
              <w:rPr>
                <w:sz w:val="20"/>
                <w:szCs w:val="20"/>
                <w:color w:val="auto"/>
              </w:rPr>
            </w:pPr>
            <w:r>
              <w:rPr>
                <w:rFonts w:ascii="Arial" w:cs="Arial" w:eastAsia="Arial" w:hAnsi="Arial"/>
                <w:sz w:val="16"/>
                <w:szCs w:val="16"/>
                <w:color w:val="auto"/>
                <w:w w:val="99"/>
              </w:rPr>
              <w:t>Income</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20" w:type="dxa"/>
            <w:vAlign w:val="bottom"/>
            <w:gridSpan w:val="2"/>
          </w:tcPr>
          <w:p>
            <w:pPr>
              <w:jc w:val="center"/>
              <w:ind w:right="679"/>
              <w:spacing w:after="0"/>
              <w:rPr>
                <w:sz w:val="20"/>
                <w:szCs w:val="20"/>
                <w:color w:val="auto"/>
              </w:rPr>
            </w:pPr>
            <w:r>
              <w:rPr>
                <w:rFonts w:ascii="Arial" w:cs="Arial" w:eastAsia="Arial" w:hAnsi="Arial"/>
                <w:sz w:val="16"/>
                <w:szCs w:val="16"/>
                <w:color w:val="auto"/>
              </w:rPr>
              <w:t>(in thousands)</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00" w:type="dxa"/>
            <w:vAlign w:val="bottom"/>
            <w:shd w:val="clear" w:color="auto" w:fill="CFF0FC"/>
          </w:tcPr>
          <w:p>
            <w:pPr>
              <w:spacing w:after="0"/>
              <w:rPr>
                <w:sz w:val="16"/>
                <w:szCs w:val="16"/>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Fuel, purchased power and cost of natural gas</w:t>
            </w:r>
          </w:p>
        </w:tc>
        <w:tc>
          <w:tcPr>
            <w:tcW w:w="1300" w:type="dxa"/>
            <w:vAlign w:val="bottom"/>
            <w:vMerge w:val="restart"/>
            <w:shd w:val="clear" w:color="auto" w:fill="CFF0FC"/>
          </w:tcPr>
          <w:p>
            <w:pPr>
              <w:jc w:val="right"/>
              <w:ind w:right="1099"/>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1440" w:type="dxa"/>
            <w:vAlign w:val="bottom"/>
            <w:vMerge w:val="restart"/>
            <w:shd w:val="clear" w:color="auto" w:fill="CFF0FC"/>
          </w:tcPr>
          <w:p>
            <w:pPr>
              <w:jc w:val="right"/>
              <w:ind w:right="1199"/>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1,617</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Commodity derivatives</w:t>
            </w:r>
          </w:p>
        </w:tc>
        <w:tc>
          <w:tcPr>
            <w:tcW w:w="36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sold</w:t>
            </w:r>
          </w:p>
        </w:tc>
        <w:tc>
          <w:tcPr>
            <w:tcW w:w="1300" w:type="dxa"/>
            <w:vAlign w:val="bottom"/>
            <w:tcBorders>
              <w:bottom w:val="single" w:sz="8" w:color="auto"/>
            </w:tcBorders>
            <w:vMerge w:val="continue"/>
            <w:shd w:val="clear" w:color="auto" w:fill="CFF0FC"/>
          </w:tcPr>
          <w:p>
            <w:pPr>
              <w:spacing w:after="0"/>
              <w:rPr>
                <w:sz w:val="17"/>
                <w:szCs w:val="17"/>
                <w:color w:val="auto"/>
              </w:rPr>
            </w:pPr>
          </w:p>
        </w:tc>
        <w:tc>
          <w:tcPr>
            <w:tcW w:w="680" w:type="dxa"/>
            <w:vAlign w:val="bottom"/>
            <w:tcBorders>
              <w:bottom w:val="single" w:sz="8" w:color="auto"/>
            </w:tcBorders>
            <w:vMerge w:val="continue"/>
            <w:shd w:val="clear" w:color="auto" w:fill="CFF0FC"/>
          </w:tcPr>
          <w:p>
            <w:pPr>
              <w:spacing w:after="0"/>
              <w:rPr>
                <w:sz w:val="17"/>
                <w:szCs w:val="17"/>
                <w:color w:val="auto"/>
              </w:rPr>
            </w:pPr>
          </w:p>
        </w:tc>
        <w:tc>
          <w:tcPr>
            <w:tcW w:w="1440" w:type="dxa"/>
            <w:vAlign w:val="bottom"/>
            <w:tcBorders>
              <w:bottom w:val="single" w:sz="8" w:color="auto"/>
            </w:tcBorders>
            <w:vMerge w:val="continue"/>
            <w:shd w:val="clear" w:color="auto" w:fill="CFF0FC"/>
          </w:tcPr>
          <w:p>
            <w:pPr>
              <w:spacing w:after="0"/>
              <w:rPr>
                <w:sz w:val="17"/>
                <w:szCs w:val="17"/>
                <w:color w:val="auto"/>
              </w:rPr>
            </w:pPr>
          </w:p>
        </w:tc>
        <w:tc>
          <w:tcPr>
            <w:tcW w:w="64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30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44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2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5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420" w:type="dxa"/>
            <w:vAlign w:val="bottom"/>
            <w:gridSpan w:val="3"/>
          </w:tcPr>
          <w:p>
            <w:pPr>
              <w:jc w:val="center"/>
              <w:ind w:left="459"/>
              <w:spacing w:after="0"/>
              <w:rPr>
                <w:sz w:val="20"/>
                <w:szCs w:val="20"/>
                <w:color w:val="auto"/>
              </w:rPr>
            </w:pPr>
            <w:r>
              <w:rPr>
                <w:rFonts w:ascii="Arial" w:cs="Arial" w:eastAsia="Arial" w:hAnsi="Arial"/>
                <w:sz w:val="16"/>
                <w:szCs w:val="16"/>
                <w:color w:val="auto"/>
              </w:rPr>
              <w:t>Nine Months Ended September 30,</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2023</w:t>
            </w:r>
          </w:p>
        </w:tc>
        <w:tc>
          <w:tcPr>
            <w:tcW w:w="6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2022</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500" w:type="dxa"/>
            <w:vAlign w:val="bottom"/>
          </w:tcPr>
          <w:p>
            <w:pPr>
              <w:ind w:left="420"/>
              <w:spacing w:after="0"/>
              <w:rPr>
                <w:sz w:val="20"/>
                <w:szCs w:val="20"/>
                <w:color w:val="auto"/>
              </w:rPr>
            </w:pPr>
            <w:r>
              <w:rPr>
                <w:rFonts w:ascii="Arial" w:cs="Arial" w:eastAsia="Arial" w:hAnsi="Arial"/>
                <w:sz w:val="16"/>
                <w:szCs w:val="16"/>
                <w:color w:val="auto"/>
              </w:rPr>
              <w:t>Derivatives Not Designated as Hedging</w:t>
            </w:r>
          </w:p>
        </w:tc>
        <w:tc>
          <w:tcPr>
            <w:tcW w:w="3680" w:type="dxa"/>
            <w:vAlign w:val="bottom"/>
          </w:tcPr>
          <w:p>
            <w:pPr>
              <w:jc w:val="center"/>
              <w:ind w:left="99"/>
              <w:spacing w:after="0"/>
              <w:rPr>
                <w:sz w:val="20"/>
                <w:szCs w:val="20"/>
                <w:color w:val="auto"/>
              </w:rPr>
            </w:pPr>
            <w:r>
              <w:rPr>
                <w:rFonts w:ascii="Arial" w:cs="Arial" w:eastAsia="Arial" w:hAnsi="Arial"/>
                <w:sz w:val="16"/>
                <w:szCs w:val="16"/>
                <w:color w:val="auto"/>
              </w:rPr>
              <w:t>Location of Gain/(Loss) on Derivatives</w:t>
            </w:r>
          </w:p>
        </w:tc>
        <w:tc>
          <w:tcPr>
            <w:tcW w:w="4060" w:type="dxa"/>
            <w:vAlign w:val="bottom"/>
            <w:gridSpan w:val="4"/>
          </w:tcPr>
          <w:p>
            <w:pPr>
              <w:jc w:val="center"/>
              <w:ind w:right="59"/>
              <w:spacing w:after="0"/>
              <w:rPr>
                <w:sz w:val="20"/>
                <w:szCs w:val="20"/>
                <w:color w:val="auto"/>
              </w:rPr>
            </w:pPr>
            <w:r>
              <w:rPr>
                <w:rFonts w:ascii="Arial" w:cs="Arial" w:eastAsia="Arial" w:hAnsi="Arial"/>
                <w:sz w:val="16"/>
                <w:szCs w:val="16"/>
                <w:color w:val="auto"/>
              </w:rPr>
              <w:t>Amount of Gain/(Loss) on Derivatives Recognized in</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1440"/>
              <w:spacing w:after="0"/>
              <w:rPr>
                <w:sz w:val="20"/>
                <w:szCs w:val="20"/>
                <w:color w:val="auto"/>
              </w:rPr>
            </w:pPr>
            <w:r>
              <w:rPr>
                <w:rFonts w:ascii="Arial" w:cs="Arial" w:eastAsia="Arial" w:hAnsi="Arial"/>
                <w:sz w:val="16"/>
                <w:szCs w:val="16"/>
                <w:color w:val="auto"/>
              </w:rPr>
              <w:t>Instruments</w:t>
            </w:r>
          </w:p>
        </w:tc>
        <w:tc>
          <w:tcPr>
            <w:tcW w:w="36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Recognized in Income</w:t>
            </w:r>
          </w:p>
        </w:tc>
        <w:tc>
          <w:tcPr>
            <w:tcW w:w="1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center"/>
              <w:ind w:right="679"/>
              <w:spacing w:after="0"/>
              <w:rPr>
                <w:sz w:val="20"/>
                <w:szCs w:val="20"/>
                <w:color w:val="auto"/>
              </w:rPr>
            </w:pPr>
            <w:r>
              <w:rPr>
                <w:rFonts w:ascii="Arial" w:cs="Arial" w:eastAsia="Arial" w:hAnsi="Arial"/>
                <w:sz w:val="16"/>
                <w:szCs w:val="16"/>
                <w:color w:val="auto"/>
                <w:w w:val="99"/>
              </w:rPr>
              <w:t>Income</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20" w:type="dxa"/>
            <w:vAlign w:val="bottom"/>
            <w:gridSpan w:val="2"/>
          </w:tcPr>
          <w:p>
            <w:pPr>
              <w:jc w:val="center"/>
              <w:ind w:right="679"/>
              <w:spacing w:after="0"/>
              <w:rPr>
                <w:sz w:val="20"/>
                <w:szCs w:val="20"/>
                <w:color w:val="auto"/>
              </w:rPr>
            </w:pPr>
            <w:r>
              <w:rPr>
                <w:rFonts w:ascii="Arial" w:cs="Arial" w:eastAsia="Arial" w:hAnsi="Arial"/>
                <w:sz w:val="16"/>
                <w:szCs w:val="16"/>
                <w:color w:val="auto"/>
              </w:rPr>
              <w:t>(in thousands)</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00" w:type="dxa"/>
            <w:vAlign w:val="bottom"/>
            <w:shd w:val="clear" w:color="auto" w:fill="CFF0FC"/>
          </w:tcPr>
          <w:p>
            <w:pPr>
              <w:spacing w:after="0"/>
              <w:rPr>
                <w:sz w:val="16"/>
                <w:szCs w:val="16"/>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Fuel, purchased power and cost of natural gas</w:t>
            </w:r>
          </w:p>
        </w:tc>
        <w:tc>
          <w:tcPr>
            <w:tcW w:w="1300" w:type="dxa"/>
            <w:vAlign w:val="bottom"/>
            <w:vMerge w:val="restart"/>
            <w:shd w:val="clear" w:color="auto" w:fill="CFF0FC"/>
          </w:tcPr>
          <w:p>
            <w:pPr>
              <w:jc w:val="right"/>
              <w:ind w:right="1099"/>
              <w:spacing w:after="0"/>
              <w:rPr>
                <w:sz w:val="20"/>
                <w:szCs w:val="20"/>
                <w:color w:val="auto"/>
              </w:rPr>
            </w:pPr>
            <w:r>
              <w:rPr>
                <w:rFonts w:ascii="Arial" w:cs="Arial" w:eastAsia="Arial" w:hAnsi="Arial"/>
                <w:sz w:val="16"/>
                <w:szCs w:val="16"/>
                <w:color w:val="auto"/>
              </w:rPr>
              <w:t>$</w:t>
            </w:r>
          </w:p>
        </w:tc>
        <w:tc>
          <w:tcPr>
            <w:tcW w:w="2120" w:type="dxa"/>
            <w:vAlign w:val="bottom"/>
            <w:gridSpan w:val="2"/>
            <w:vMerge w:val="restart"/>
            <w:shd w:val="clear" w:color="auto" w:fill="CFF0FC"/>
          </w:tcPr>
          <w:p>
            <w:pPr>
              <w:jc w:val="right"/>
              <w:ind w:right="1199"/>
              <w:spacing w:after="0"/>
              <w:rPr>
                <w:sz w:val="20"/>
                <w:szCs w:val="20"/>
                <w:color w:val="auto"/>
              </w:rPr>
            </w:pPr>
            <w:r>
              <w:rPr>
                <w:rFonts w:ascii="Arial" w:cs="Arial" w:eastAsia="Arial" w:hAnsi="Arial"/>
                <w:sz w:val="16"/>
                <w:szCs w:val="16"/>
                <w:color w:val="auto"/>
              </w:rPr>
              <w:t>(2,445 ) $</w:t>
            </w:r>
          </w:p>
        </w:tc>
        <w:tc>
          <w:tcPr>
            <w:tcW w:w="6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2,779</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Commodity derivatives</w:t>
            </w:r>
          </w:p>
        </w:tc>
        <w:tc>
          <w:tcPr>
            <w:tcW w:w="36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sold</w:t>
            </w:r>
          </w:p>
        </w:tc>
        <w:tc>
          <w:tcPr>
            <w:tcW w:w="1300" w:type="dxa"/>
            <w:vAlign w:val="bottom"/>
            <w:tcBorders>
              <w:bottom w:val="single" w:sz="8" w:color="auto"/>
            </w:tcBorders>
            <w:vMerge w:val="continue"/>
            <w:shd w:val="clear" w:color="auto" w:fill="CFF0FC"/>
          </w:tcPr>
          <w:p>
            <w:pPr>
              <w:spacing w:after="0"/>
              <w:rPr>
                <w:sz w:val="17"/>
                <w:szCs w:val="17"/>
                <w:color w:val="auto"/>
              </w:rPr>
            </w:pPr>
          </w:p>
        </w:tc>
        <w:tc>
          <w:tcPr>
            <w:tcW w:w="2120" w:type="dxa"/>
            <w:vAlign w:val="bottom"/>
            <w:tcBorders>
              <w:bottom w:val="single" w:sz="8" w:color="auto"/>
            </w:tcBorders>
            <w:gridSpan w:val="2"/>
            <w:vMerge w:val="continue"/>
            <w:shd w:val="clear" w:color="auto" w:fill="CFF0FC"/>
          </w:tcPr>
          <w:p>
            <w:pPr>
              <w:spacing w:after="0"/>
              <w:rPr>
                <w:sz w:val="17"/>
                <w:szCs w:val="17"/>
                <w:color w:val="auto"/>
              </w:rPr>
            </w:pPr>
          </w:p>
        </w:tc>
        <w:tc>
          <w:tcPr>
            <w:tcW w:w="64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30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gridSpan w:val="2"/>
          </w:tcPr>
          <w:p>
            <w:pPr>
              <w:jc w:val="right"/>
              <w:ind w:right="1199"/>
              <w:spacing w:after="0"/>
              <w:rPr>
                <w:sz w:val="20"/>
                <w:szCs w:val="20"/>
                <w:color w:val="auto"/>
              </w:rPr>
            </w:pPr>
            <w:r>
              <w:rPr>
                <w:rFonts w:ascii="Arial" w:cs="Arial" w:eastAsia="Arial" w:hAnsi="Arial"/>
                <w:sz w:val="16"/>
                <w:szCs w:val="16"/>
                <w:color w:val="auto"/>
              </w:rPr>
              <w:t>(2,445 ) $</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2,779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100"/>
        <w:spacing w:after="0" w:line="256"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 accounts related to these financial instruments in our Gas Utilities were $3.8 million and $8.8 million as of as of September 30, 2023 and December 31, 2022, respectively.</w:t>
      </w:r>
    </w:p>
    <w:p>
      <w:pPr>
        <w:spacing w:after="0" w:line="34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18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56"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4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5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 For additional information, see Note 1 of our Notes to the Consolidated Financial Statements in our 2022 Annual Report on Form 10-K.</w:t>
      </w:r>
    </w:p>
    <w:p>
      <w:pPr>
        <w:spacing w:after="0" w:line="168" w:lineRule="exact"/>
        <w:rPr>
          <w:sz w:val="20"/>
          <w:szCs w:val="20"/>
          <w:color w:val="auto"/>
        </w:rPr>
      </w:pPr>
    </w:p>
    <w:p>
      <w:pPr>
        <w:ind w:right="580"/>
        <w:spacing w:after="0" w:line="276" w:lineRule="auto"/>
        <w:rPr>
          <w:sz w:val="20"/>
          <w:szCs w:val="20"/>
          <w:color w:val="auto"/>
        </w:rPr>
      </w:pPr>
      <w:r>
        <w:rPr>
          <w:rFonts w:ascii="Arial" w:cs="Arial" w:eastAsia="Arial" w:hAnsi="Arial"/>
          <w:sz w:val="16"/>
          <w:szCs w:val="16"/>
          <w:color w:val="auto"/>
        </w:rPr>
        <w:t>The following tables set forth, by level within the fair value hierarchy, our gross assets and gross liabilities and related offsetting of cash collateral and contractual netting rights as permitted by GAAP that were accounted for at fair value on a recurring basis for derivative instruments.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580" w:type="dxa"/>
            <w:vAlign w:val="bottom"/>
            <w:gridSpan w:val="4"/>
          </w:tcPr>
          <w:p>
            <w:pPr>
              <w:jc w:val="right"/>
              <w:ind w:right="1599"/>
              <w:spacing w:after="0"/>
              <w:rPr>
                <w:sz w:val="20"/>
                <w:szCs w:val="20"/>
                <w:color w:val="auto"/>
              </w:rPr>
            </w:pPr>
            <w:r>
              <w:rPr>
                <w:rFonts w:ascii="Arial" w:cs="Arial" w:eastAsia="Arial" w:hAnsi="Arial"/>
                <w:sz w:val="16"/>
                <w:szCs w:val="16"/>
                <w:color w:val="auto"/>
              </w:rPr>
              <w:t>As of September 30, 2023</w:t>
            </w:r>
          </w:p>
        </w:tc>
        <w:tc>
          <w:tcPr>
            <w:tcW w:w="1040" w:type="dxa"/>
            <w:vAlign w:val="bottom"/>
          </w:tcPr>
          <w:p>
            <w:pPr>
              <w:spacing w:after="0"/>
              <w:rPr>
                <w:sz w:val="17"/>
                <w:szCs w:val="17"/>
                <w:color w:val="auto"/>
              </w:rPr>
            </w:pPr>
          </w:p>
        </w:tc>
      </w:tr>
      <w:tr>
        <w:trPr>
          <w:trHeight w:val="170"/>
        </w:trPr>
        <w:tc>
          <w:tcPr>
            <w:tcW w:w="4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jc w:val="right"/>
              <w:ind w:right="499"/>
              <w:spacing w:after="0" w:line="170" w:lineRule="exact"/>
              <w:rPr>
                <w:sz w:val="20"/>
                <w:szCs w:val="20"/>
                <w:color w:val="auto"/>
              </w:rPr>
            </w:pPr>
            <w:r>
              <w:rPr>
                <w:rFonts w:ascii="Arial" w:cs="Arial" w:eastAsia="Arial" w:hAnsi="Arial"/>
                <w:sz w:val="16"/>
                <w:szCs w:val="16"/>
                <w:color w:val="auto"/>
              </w:rPr>
              <w:t>Cash Collateral and</w:t>
            </w:r>
          </w:p>
        </w:tc>
        <w:tc>
          <w:tcPr>
            <w:tcW w:w="1040" w:type="dxa"/>
            <w:vAlign w:val="bottom"/>
          </w:tcPr>
          <w:p>
            <w:pPr>
              <w:spacing w:after="0"/>
              <w:rPr>
                <w:sz w:val="14"/>
                <w:szCs w:val="14"/>
                <w:color w:val="auto"/>
              </w:rPr>
            </w:pPr>
          </w:p>
        </w:tc>
      </w:tr>
      <w:tr>
        <w:trPr>
          <w:trHeight w:val="241"/>
        </w:trPr>
        <w:tc>
          <w:tcPr>
            <w:tcW w:w="4040" w:type="dxa"/>
            <w:vAlign w:val="bottom"/>
          </w:tcPr>
          <w:p>
            <w:pPr>
              <w:spacing w:after="0"/>
              <w:rPr>
                <w:sz w:val="20"/>
                <w:szCs w:val="20"/>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Level 1</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Level 2</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Level 3</w:t>
            </w: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color w:val="auto"/>
              </w:rPr>
              <w:t xml:space="preserve">Counterparty Netting </w:t>
            </w:r>
            <w:r>
              <w:rPr>
                <w:rFonts w:ascii="Arial" w:cs="Arial" w:eastAsia="Arial" w:hAnsi="Arial"/>
                <w:sz w:val="21"/>
                <w:szCs w:val="21"/>
                <w:color w:val="auto"/>
                <w:vertAlign w:val="superscript"/>
              </w:rPr>
              <w:t>(a)</w:t>
            </w: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Total</w:t>
            </w:r>
          </w:p>
        </w:tc>
      </w:tr>
      <w:tr>
        <w:trPr>
          <w:trHeight w:val="207"/>
        </w:trPr>
        <w:tc>
          <w:tcPr>
            <w:tcW w:w="4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2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5,183</w:t>
            </w:r>
          </w:p>
        </w:tc>
        <w:tc>
          <w:tcPr>
            <w:tcW w:w="11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(5,057 ) $</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126</w:t>
            </w:r>
          </w:p>
        </w:tc>
      </w:tr>
      <w:tr>
        <w:trPr>
          <w:trHeight w:val="24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5,183</w:t>
            </w:r>
          </w:p>
        </w:tc>
        <w:tc>
          <w:tcPr>
            <w:tcW w:w="112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(5,057 ) $</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126</w:t>
            </w:r>
          </w:p>
        </w:tc>
      </w:tr>
      <w:tr>
        <w:trPr>
          <w:trHeight w:val="197"/>
        </w:trPr>
        <w:tc>
          <w:tcPr>
            <w:tcW w:w="4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w:t>
            </w:r>
          </w:p>
        </w:tc>
        <w:tc>
          <w:tcPr>
            <w:tcW w:w="11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(2,598 ) $</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2,211</w:t>
            </w:r>
          </w:p>
        </w:tc>
      </w:tr>
      <w:tr>
        <w:trPr>
          <w:trHeight w:val="24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4,809</w:t>
            </w:r>
          </w:p>
        </w:tc>
        <w:tc>
          <w:tcPr>
            <w:tcW w:w="112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(2,598 ) $</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23" w:lineRule="exact"/>
        <w:rPr>
          <w:sz w:val="20"/>
          <w:szCs w:val="20"/>
          <w:color w:val="auto"/>
        </w:rPr>
      </w:pPr>
    </w:p>
    <w:p>
      <w:pPr>
        <w:ind w:left="520" w:right="360" w:hanging="512"/>
        <w:spacing w:after="0" w:line="273"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September 30, 2023, $5.1 million of our commodity derivative assets and $2.6 million of our commodity derivative liabilities, as well as related gross collateral amounts, were subject to master netting agreements.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560" w:type="dxa"/>
            <w:vAlign w:val="bottom"/>
            <w:gridSpan w:val="4"/>
          </w:tcPr>
          <w:p>
            <w:pPr>
              <w:jc w:val="right"/>
              <w:ind w:right="1619"/>
              <w:spacing w:after="0"/>
              <w:rPr>
                <w:sz w:val="20"/>
                <w:szCs w:val="20"/>
                <w:color w:val="auto"/>
              </w:rPr>
            </w:pPr>
            <w:r>
              <w:rPr>
                <w:rFonts w:ascii="Arial" w:cs="Arial" w:eastAsia="Arial" w:hAnsi="Arial"/>
                <w:sz w:val="16"/>
                <w:szCs w:val="16"/>
                <w:color w:val="auto"/>
              </w:rPr>
              <w:t>As of December 31, 2022</w:t>
            </w:r>
          </w:p>
        </w:tc>
        <w:tc>
          <w:tcPr>
            <w:tcW w:w="1040" w:type="dxa"/>
            <w:vAlign w:val="bottom"/>
          </w:tcPr>
          <w:p>
            <w:pPr>
              <w:spacing w:after="0"/>
              <w:rPr>
                <w:sz w:val="17"/>
                <w:szCs w:val="17"/>
                <w:color w:val="auto"/>
              </w:rPr>
            </w:pPr>
          </w:p>
        </w:tc>
      </w:tr>
      <w:tr>
        <w:trPr>
          <w:trHeight w:val="183"/>
        </w:trPr>
        <w:tc>
          <w:tcPr>
            <w:tcW w:w="4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tcPr>
          <w:p>
            <w:pPr>
              <w:jc w:val="right"/>
              <w:ind w:right="499"/>
              <w:spacing w:after="0"/>
              <w:rPr>
                <w:sz w:val="20"/>
                <w:szCs w:val="20"/>
                <w:color w:val="auto"/>
              </w:rPr>
            </w:pPr>
            <w:r>
              <w:rPr>
                <w:rFonts w:ascii="Arial" w:cs="Arial" w:eastAsia="Arial" w:hAnsi="Arial"/>
                <w:sz w:val="16"/>
                <w:szCs w:val="16"/>
                <w:color w:val="auto"/>
              </w:rPr>
              <w:t>Cash Collateral and</w:t>
            </w:r>
          </w:p>
        </w:tc>
        <w:tc>
          <w:tcPr>
            <w:tcW w:w="1040" w:type="dxa"/>
            <w:vAlign w:val="bottom"/>
          </w:tcPr>
          <w:p>
            <w:pPr>
              <w:spacing w:after="0"/>
              <w:rPr>
                <w:sz w:val="15"/>
                <w:szCs w:val="15"/>
                <w:color w:val="auto"/>
              </w:rPr>
            </w:pPr>
          </w:p>
        </w:tc>
      </w:tr>
      <w:tr>
        <w:trPr>
          <w:trHeight w:val="228"/>
        </w:trPr>
        <w:tc>
          <w:tcPr>
            <w:tcW w:w="4040" w:type="dxa"/>
            <w:vAlign w:val="bottom"/>
          </w:tcPr>
          <w:p>
            <w:pPr>
              <w:spacing w:after="0"/>
              <w:rPr>
                <w:sz w:val="19"/>
                <w:szCs w:val="19"/>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Level 1</w:t>
            </w: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Level 2</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Level 3</w:t>
            </w:r>
          </w:p>
        </w:tc>
        <w:tc>
          <w:tcPr>
            <w:tcW w:w="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2"/>
          </w:tcPr>
          <w:p>
            <w:pPr>
              <w:jc w:val="right"/>
              <w:ind w:right="339"/>
              <w:spacing w:after="0" w:line="228" w:lineRule="exact"/>
              <w:rPr>
                <w:sz w:val="20"/>
                <w:szCs w:val="20"/>
                <w:color w:val="auto"/>
              </w:rPr>
            </w:pPr>
            <w:r>
              <w:rPr>
                <w:rFonts w:ascii="Arial" w:cs="Arial" w:eastAsia="Arial" w:hAnsi="Arial"/>
                <w:sz w:val="16"/>
                <w:szCs w:val="16"/>
                <w:color w:val="auto"/>
              </w:rPr>
              <w:t xml:space="preserve">Counterparty Netting </w:t>
            </w:r>
            <w:r>
              <w:rPr>
                <w:rFonts w:ascii="Arial" w:cs="Arial" w:eastAsia="Arial" w:hAnsi="Arial"/>
                <w:sz w:val="21"/>
                <w:szCs w:val="21"/>
                <w:color w:val="auto"/>
                <w:vertAlign w:val="superscript"/>
              </w:rPr>
              <w:t>(a)</w:t>
            </w: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Total</w:t>
            </w:r>
          </w:p>
        </w:tc>
      </w:tr>
      <w:tr>
        <w:trPr>
          <w:trHeight w:val="207"/>
        </w:trPr>
        <w:tc>
          <w:tcPr>
            <w:tcW w:w="4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2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5,407</w:t>
            </w:r>
          </w:p>
        </w:tc>
        <w:tc>
          <w:tcPr>
            <w:tcW w:w="11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(4,290 ) $</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1,117</w:t>
            </w:r>
          </w:p>
        </w:tc>
      </w:tr>
      <w:tr>
        <w:trPr>
          <w:trHeight w:val="25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5,407</w:t>
            </w:r>
          </w:p>
        </w:tc>
        <w:tc>
          <w:tcPr>
            <w:tcW w:w="11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(4,290 ) $</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1,117</w:t>
            </w:r>
          </w:p>
        </w:tc>
      </w:tr>
      <w:tr>
        <w:trPr>
          <w:trHeight w:val="197"/>
        </w:trPr>
        <w:tc>
          <w:tcPr>
            <w:tcW w:w="4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11,455</w:t>
            </w:r>
          </w:p>
        </w:tc>
        <w:tc>
          <w:tcPr>
            <w:tcW w:w="11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(4,837 ) $</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6,618</w:t>
            </w:r>
          </w:p>
        </w:tc>
      </w:tr>
      <w:tr>
        <w:trPr>
          <w:trHeight w:val="25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11,455</w:t>
            </w:r>
          </w:p>
        </w:tc>
        <w:tc>
          <w:tcPr>
            <w:tcW w:w="11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(4,837 ) $</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58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7" w:lineRule="exact"/>
        <w:rPr>
          <w:sz w:val="20"/>
          <w:szCs w:val="20"/>
          <w:color w:val="auto"/>
        </w:rPr>
      </w:pPr>
    </w:p>
    <w:p>
      <w:pPr>
        <w:ind w:left="520" w:right="400" w:hanging="512"/>
        <w:spacing w:after="0" w:line="273"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December 31, 2022, $4.3 million of our commodity derivative assets and $4.8 million of our commodity derivative liabilities, as well as related gross collateral amounts, were subject to master netting agreements.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198"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13 to the Consolidated Financial Statements included in our 2022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Measures</w:t>
      </w:r>
    </w:p>
    <w:p>
      <w:pPr>
        <w:spacing w:after="0" w:line="19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71"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Consolidated Balance Sheets (in thousands) as of:</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color w:val="auto"/>
              </w:rPr>
              <w:t>September 30, 2023</w:t>
            </w:r>
          </w:p>
        </w:tc>
        <w:tc>
          <w:tcPr>
            <w:tcW w:w="4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color w:val="auto"/>
              </w:rPr>
              <w:t>December 31, 2022</w:t>
            </w:r>
          </w:p>
        </w:tc>
      </w:tr>
      <w:tr>
        <w:trPr>
          <w:trHeight w:val="209"/>
        </w:trPr>
        <w:tc>
          <w:tcPr>
            <w:tcW w:w="5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Carrying Amount</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Fair Value</w:t>
            </w:r>
          </w:p>
        </w:tc>
        <w:tc>
          <w:tcPr>
            <w:tcW w:w="14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Carrying Amount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Fair Value</w:t>
            </w:r>
          </w:p>
        </w:tc>
      </w:tr>
      <w:tr>
        <w:trPr>
          <w:trHeight w:val="213"/>
        </w:trPr>
        <w:tc>
          <w:tcPr>
            <w:tcW w:w="5480" w:type="dxa"/>
            <w:vAlign w:val="bottom"/>
            <w:shd w:val="clear" w:color="auto" w:fill="CFF0FC"/>
          </w:tcPr>
          <w:p>
            <w:pPr>
              <w:ind w:left="20"/>
              <w:spacing w:after="0" w:line="213"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4,924,510</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4,481,989</w:t>
            </w:r>
          </w:p>
        </w:tc>
        <w:tc>
          <w:tcPr>
            <w:tcW w:w="4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4,132,340</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3,760,848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23" w:lineRule="exact"/>
        <w:rPr>
          <w:sz w:val="20"/>
          <w:szCs w:val="20"/>
          <w:color w:val="auto"/>
        </w:rPr>
      </w:pPr>
    </w:p>
    <w:p>
      <w:pPr>
        <w:ind w:left="520" w:right="220" w:hanging="512"/>
        <w:spacing w:after="0" w:line="273"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323"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202"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for the period, net of tax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100" w:type="dxa"/>
            <w:vAlign w:val="bottom"/>
            <w:gridSpan w:val="3"/>
          </w:tcPr>
          <w:p>
            <w:pPr>
              <w:jc w:val="center"/>
              <w:ind w:right="59"/>
              <w:spacing w:after="0"/>
              <w:rPr>
                <w:sz w:val="20"/>
                <w:szCs w:val="20"/>
                <w:color w:val="auto"/>
              </w:rPr>
            </w:pPr>
            <w:r>
              <w:rPr>
                <w:rFonts w:ascii="Arial" w:cs="Arial" w:eastAsia="Arial" w:hAnsi="Arial"/>
                <w:sz w:val="16"/>
                <w:szCs w:val="16"/>
                <w:color w:val="auto"/>
              </w:rPr>
              <w:t>Amount Reclassified from</w:t>
            </w:r>
          </w:p>
        </w:tc>
        <w:tc>
          <w:tcPr>
            <w:tcW w:w="2100" w:type="dxa"/>
            <w:vAlign w:val="bottom"/>
            <w:gridSpan w:val="3"/>
          </w:tcPr>
          <w:p>
            <w:pPr>
              <w:jc w:val="center"/>
              <w:ind w:right="59"/>
              <w:spacing w:after="0"/>
              <w:rPr>
                <w:sz w:val="20"/>
                <w:szCs w:val="20"/>
                <w:color w:val="auto"/>
              </w:rPr>
            </w:pPr>
            <w:r>
              <w:rPr>
                <w:rFonts w:ascii="Arial" w:cs="Arial" w:eastAsia="Arial" w:hAnsi="Arial"/>
                <w:sz w:val="16"/>
                <w:szCs w:val="16"/>
                <w:color w:val="auto"/>
              </w:rPr>
              <w:t>Amount Reclassified from</w:t>
            </w:r>
          </w:p>
        </w:tc>
        <w:tc>
          <w:tcPr>
            <w:tcW w:w="0" w:type="dxa"/>
            <w:vAlign w:val="bottom"/>
          </w:tcPr>
          <w:p>
            <w:pPr>
              <w:spacing w:after="0"/>
              <w:rPr>
                <w:sz w:val="1"/>
                <w:szCs w:val="1"/>
                <w:color w:val="auto"/>
              </w:rPr>
            </w:pPr>
          </w:p>
        </w:tc>
      </w:tr>
      <w:tr>
        <w:trPr>
          <w:trHeight w:val="207"/>
        </w:trPr>
        <w:tc>
          <w:tcPr>
            <w:tcW w:w="39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left="479"/>
              <w:spacing w:after="0"/>
              <w:rPr>
                <w:sz w:val="20"/>
                <w:szCs w:val="20"/>
                <w:color w:val="auto"/>
              </w:rPr>
            </w:pPr>
            <w:r>
              <w:rPr>
                <w:rFonts w:ascii="Arial" w:cs="Arial" w:eastAsia="Arial" w:hAnsi="Arial"/>
                <w:sz w:val="16"/>
                <w:szCs w:val="16"/>
                <w:color w:val="auto"/>
              </w:rPr>
              <w:t>AOCI</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left="439"/>
              <w:spacing w:after="0"/>
              <w:rPr>
                <w:sz w:val="20"/>
                <w:szCs w:val="20"/>
                <w:color w:val="auto"/>
              </w:rPr>
            </w:pPr>
            <w:r>
              <w:rPr>
                <w:rFonts w:ascii="Arial" w:cs="Arial" w:eastAsia="Arial" w:hAnsi="Arial"/>
                <w:sz w:val="16"/>
                <w:szCs w:val="16"/>
                <w:color w:val="auto"/>
              </w:rPr>
              <w:t>AOCI</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3140" w:type="dxa"/>
            <w:vAlign w:val="bottom"/>
          </w:tcPr>
          <w:p>
            <w:pPr>
              <w:ind w:left="100"/>
              <w:spacing w:after="0"/>
              <w:rPr>
                <w:sz w:val="20"/>
                <w:szCs w:val="20"/>
                <w:color w:val="auto"/>
              </w:rPr>
            </w:pPr>
            <w:r>
              <w:rPr>
                <w:rFonts w:ascii="Arial" w:cs="Arial" w:eastAsia="Arial" w:hAnsi="Arial"/>
                <w:sz w:val="16"/>
                <w:szCs w:val="16"/>
                <w:color w:val="auto"/>
              </w:rPr>
              <w:t>Location on the Consolidated Statements</w:t>
            </w:r>
          </w:p>
        </w:tc>
        <w:tc>
          <w:tcPr>
            <w:tcW w:w="160" w:type="dxa"/>
            <w:vAlign w:val="bottom"/>
          </w:tcPr>
          <w:p>
            <w:pPr>
              <w:spacing w:after="0"/>
              <w:rPr>
                <w:sz w:val="17"/>
                <w:szCs w:val="17"/>
                <w:color w:val="auto"/>
              </w:rPr>
            </w:pPr>
          </w:p>
        </w:tc>
        <w:tc>
          <w:tcPr>
            <w:tcW w:w="1940" w:type="dxa"/>
            <w:vAlign w:val="bottom"/>
            <w:gridSpan w:val="2"/>
          </w:tcPr>
          <w:p>
            <w:pPr>
              <w:jc w:val="center"/>
              <w:ind w:right="219"/>
              <w:spacing w:after="0"/>
              <w:rPr>
                <w:sz w:val="20"/>
                <w:szCs w:val="20"/>
                <w:color w:val="auto"/>
              </w:rPr>
            </w:pPr>
            <w:r>
              <w:rPr>
                <w:rFonts w:ascii="Arial" w:cs="Arial" w:eastAsia="Arial" w:hAnsi="Arial"/>
                <w:sz w:val="16"/>
                <w:szCs w:val="16"/>
                <w:color w:val="auto"/>
              </w:rPr>
              <w:t>Three Months Ended</w:t>
            </w:r>
          </w:p>
        </w:tc>
        <w:tc>
          <w:tcPr>
            <w:tcW w:w="200" w:type="dxa"/>
            <w:vAlign w:val="bottom"/>
          </w:tcPr>
          <w:p>
            <w:pPr>
              <w:spacing w:after="0"/>
              <w:rPr>
                <w:sz w:val="17"/>
                <w:szCs w:val="17"/>
                <w:color w:val="auto"/>
              </w:rPr>
            </w:pPr>
          </w:p>
        </w:tc>
        <w:tc>
          <w:tcPr>
            <w:tcW w:w="1900" w:type="dxa"/>
            <w:vAlign w:val="bottom"/>
            <w:gridSpan w:val="2"/>
          </w:tcPr>
          <w:p>
            <w:pPr>
              <w:jc w:val="center"/>
              <w:ind w:right="23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13"/>
        </w:trPr>
        <w:tc>
          <w:tcPr>
            <w:tcW w:w="3900" w:type="dxa"/>
            <w:vAlign w:val="bottom"/>
          </w:tcPr>
          <w:p>
            <w:pPr>
              <w:spacing w:after="0"/>
              <w:rPr>
                <w:sz w:val="18"/>
                <w:szCs w:val="18"/>
                <w:color w:val="auto"/>
              </w:rPr>
            </w:pPr>
          </w:p>
        </w:tc>
        <w:tc>
          <w:tcPr>
            <w:tcW w:w="3140" w:type="dxa"/>
            <w:vAlign w:val="bottom"/>
          </w:tcPr>
          <w:p>
            <w:pPr>
              <w:ind w:left="1240"/>
              <w:spacing w:after="0"/>
              <w:rPr>
                <w:sz w:val="20"/>
                <w:szCs w:val="20"/>
                <w:color w:val="auto"/>
              </w:rPr>
            </w:pPr>
            <w:r>
              <w:rPr>
                <w:rFonts w:ascii="Arial" w:cs="Arial" w:eastAsia="Arial" w:hAnsi="Arial"/>
                <w:sz w:val="16"/>
                <w:szCs w:val="16"/>
                <w:color w:val="auto"/>
              </w:rPr>
              <w:t>of Income</w:t>
            </w: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center"/>
              <w:ind w:right="159"/>
              <w:spacing w:after="0"/>
              <w:rPr>
                <w:sz w:val="20"/>
                <w:szCs w:val="20"/>
                <w:color w:val="auto"/>
              </w:rPr>
            </w:pPr>
            <w:r>
              <w:rPr>
                <w:rFonts w:ascii="Arial" w:cs="Arial" w:eastAsia="Arial" w:hAnsi="Arial"/>
                <w:sz w:val="16"/>
                <w:szCs w:val="16"/>
                <w:color w:val="auto"/>
              </w:rPr>
              <w:t>September 30,</w:t>
            </w: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19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06"/>
        </w:trPr>
        <w:tc>
          <w:tcPr>
            <w:tcW w:w="39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2023</w:t>
            </w: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2023</w:t>
            </w: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3"/>
        </w:trPr>
        <w:tc>
          <w:tcPr>
            <w:tcW w:w="3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Gains and (losses) on cash flow hedges:</w:t>
            </w:r>
          </w:p>
        </w:tc>
        <w:tc>
          <w:tcPr>
            <w:tcW w:w="3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3140" w:type="dxa"/>
            <w:vAlign w:val="bottom"/>
          </w:tcPr>
          <w:p>
            <w:pPr>
              <w:ind w:left="80"/>
              <w:spacing w:after="0"/>
              <w:rPr>
                <w:sz w:val="20"/>
                <w:szCs w:val="20"/>
                <w:color w:val="auto"/>
              </w:rPr>
            </w:pPr>
            <w:r>
              <w:rPr>
                <w:rFonts w:ascii="Arial" w:cs="Arial" w:eastAsia="Arial" w:hAnsi="Arial"/>
                <w:sz w:val="16"/>
                <w:szCs w:val="16"/>
                <w:color w:val="auto"/>
              </w:rPr>
              <w:t>Interest expense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(712 )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(712 ) $</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(2,138 ) $</w:t>
            </w:r>
          </w:p>
        </w:tc>
        <w:tc>
          <w:tcPr>
            <w:tcW w:w="820" w:type="dxa"/>
            <w:vAlign w:val="bottom"/>
          </w:tcPr>
          <w:p>
            <w:pPr>
              <w:jc w:val="right"/>
              <w:spacing w:after="0"/>
              <w:rPr>
                <w:sz w:val="20"/>
                <w:szCs w:val="20"/>
                <w:color w:val="auto"/>
              </w:rPr>
            </w:pPr>
            <w:r>
              <w:rPr>
                <w:rFonts w:ascii="Arial" w:cs="Arial" w:eastAsia="Arial" w:hAnsi="Arial"/>
                <w:sz w:val="16"/>
                <w:szCs w:val="16"/>
                <w:color w:val="auto"/>
              </w:rPr>
              <w:t>(2,138 )</w:t>
            </w:r>
          </w:p>
        </w:tc>
        <w:tc>
          <w:tcPr>
            <w:tcW w:w="0" w:type="dxa"/>
            <w:vAlign w:val="bottom"/>
          </w:tcPr>
          <w:p>
            <w:pPr>
              <w:spacing w:after="0"/>
              <w:rPr>
                <w:sz w:val="1"/>
                <w:szCs w:val="1"/>
                <w:color w:val="auto"/>
              </w:rPr>
            </w:pPr>
          </w:p>
        </w:tc>
      </w:tr>
      <w:tr>
        <w:trPr>
          <w:trHeight w:val="195"/>
        </w:trPr>
        <w:tc>
          <w:tcPr>
            <w:tcW w:w="3900" w:type="dxa"/>
            <w:vAlign w:val="bottom"/>
            <w:shd w:val="clear" w:color="auto" w:fill="CFF0FC"/>
          </w:tcPr>
          <w:p>
            <w:pPr>
              <w:spacing w:after="0"/>
              <w:rPr>
                <w:sz w:val="16"/>
                <w:szCs w:val="16"/>
                <w:color w:val="auto"/>
              </w:rPr>
            </w:pPr>
          </w:p>
        </w:tc>
        <w:tc>
          <w:tcPr>
            <w:tcW w:w="3140" w:type="dxa"/>
            <w:vAlign w:val="bottom"/>
            <w:shd w:val="clear" w:color="auto" w:fill="CFF0FC"/>
          </w:tcPr>
          <w:p>
            <w:pPr>
              <w:ind w:left="80"/>
              <w:spacing w:after="0"/>
              <w:rPr>
                <w:sz w:val="20"/>
                <w:szCs w:val="20"/>
                <w:color w:val="auto"/>
              </w:rPr>
            </w:pPr>
            <w:r>
              <w:rPr>
                <w:rFonts w:ascii="Arial" w:cs="Arial" w:eastAsia="Arial" w:hAnsi="Arial"/>
                <w:sz w:val="16"/>
                <w:szCs w:val="16"/>
                <w:color w:val="auto"/>
              </w:rPr>
              <w:t>Fuel, purchased power and cost of natural</w:t>
            </w:r>
          </w:p>
        </w:tc>
        <w:tc>
          <w:tcPr>
            <w:tcW w:w="16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(34 )</w:t>
            </w:r>
          </w:p>
        </w:tc>
        <w:tc>
          <w:tcPr>
            <w:tcW w:w="82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43</w:t>
            </w:r>
          </w:p>
        </w:tc>
        <w:tc>
          <w:tcPr>
            <w:tcW w:w="200" w:type="dxa"/>
            <w:vAlign w:val="bottom"/>
            <w:shd w:val="clear" w:color="auto" w:fill="CFF0FC"/>
          </w:tcPr>
          <w:p>
            <w:pPr>
              <w:spacing w:after="0"/>
              <w:rPr>
                <w:sz w:val="16"/>
                <w:szCs w:val="16"/>
                <w:color w:val="auto"/>
              </w:rPr>
            </w:pPr>
          </w:p>
        </w:tc>
        <w:tc>
          <w:tcPr>
            <w:tcW w:w="1080" w:type="dxa"/>
            <w:vAlign w:val="bottom"/>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(2,473 )</w:t>
            </w:r>
          </w:p>
        </w:tc>
        <w:tc>
          <w:tcPr>
            <w:tcW w:w="8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3,620</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Commodity contracts</w:t>
            </w:r>
          </w:p>
        </w:tc>
        <w:tc>
          <w:tcPr>
            <w:tcW w:w="31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gas sold</w:t>
            </w:r>
          </w:p>
        </w:tc>
        <w:tc>
          <w:tcPr>
            <w:tcW w:w="1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82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vMerge w:val="continue"/>
            <w:shd w:val="clear" w:color="auto" w:fill="CFF0FC"/>
          </w:tcPr>
          <w:p>
            <w:pPr>
              <w:spacing w:after="0"/>
              <w:rPr>
                <w:sz w:val="17"/>
                <w:szCs w:val="17"/>
                <w:color w:val="auto"/>
              </w:rPr>
            </w:pPr>
          </w:p>
        </w:tc>
        <w:tc>
          <w:tcPr>
            <w:tcW w:w="82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(746 )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(669 ) $</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(4,611 ) $</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219"/>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w:t>
            </w:r>
          </w:p>
        </w:tc>
        <w:tc>
          <w:tcPr>
            <w:tcW w:w="31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170</w:t>
            </w:r>
          </w:p>
        </w:tc>
        <w:tc>
          <w:tcPr>
            <w:tcW w:w="8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124</w:t>
            </w: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1,081</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(332 )</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Arial" w:cs="Arial" w:eastAsia="Arial" w:hAnsi="Arial"/>
                <w:sz w:val="16"/>
                <w:szCs w:val="16"/>
                <w:color w:val="auto"/>
              </w:rPr>
              <w:t>Total reclassification adjustments related to cash flow</w:t>
            </w:r>
          </w:p>
        </w:tc>
        <w:tc>
          <w:tcPr>
            <w:tcW w:w="314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(576 ) $</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(545 ) $</w:t>
            </w: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color w:val="auto"/>
              </w:rPr>
              <w:t>(3,530 ) $</w:t>
            </w: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04"/>
        </w:trPr>
        <w:tc>
          <w:tcPr>
            <w:tcW w:w="3900" w:type="dxa"/>
            <w:vAlign w:val="bottom"/>
          </w:tcPr>
          <w:p>
            <w:pPr>
              <w:ind w:left="20"/>
              <w:spacing w:after="0"/>
              <w:rPr>
                <w:sz w:val="20"/>
                <w:szCs w:val="20"/>
                <w:color w:val="auto"/>
              </w:rPr>
            </w:pPr>
            <w:r>
              <w:rPr>
                <w:rFonts w:ascii="Arial" w:cs="Arial" w:eastAsia="Arial" w:hAnsi="Arial"/>
                <w:sz w:val="16"/>
                <w:szCs w:val="16"/>
                <w:color w:val="auto"/>
              </w:rPr>
              <w:t>hedges, net of tax</w:t>
            </w:r>
          </w:p>
        </w:tc>
        <w:tc>
          <w:tcPr>
            <w:tcW w:w="314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FF0FC"/>
          </w:tcPr>
          <w:p>
            <w:pPr>
              <w:spacing w:after="0"/>
              <w:rPr>
                <w:sz w:val="18"/>
                <w:szCs w:val="18"/>
                <w:color w:val="auto"/>
              </w:rPr>
            </w:pPr>
          </w:p>
        </w:tc>
        <w:tc>
          <w:tcPr>
            <w:tcW w:w="3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Amortization of components of defined benefit plans: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Prior service cost</w:t>
            </w:r>
          </w:p>
        </w:tc>
        <w:tc>
          <w:tcPr>
            <w:tcW w:w="3140" w:type="dxa"/>
            <w:vAlign w:val="bottom"/>
            <w:shd w:val="clear" w:color="auto" w:fill="CFF0FC"/>
          </w:tcPr>
          <w:p>
            <w:pPr>
              <w:ind w:left="80"/>
              <w:spacing w:after="0"/>
              <w:rPr>
                <w:sz w:val="20"/>
                <w:szCs w:val="20"/>
                <w:color w:val="auto"/>
              </w:rPr>
            </w:pPr>
            <w:r>
              <w:rPr>
                <w:rFonts w:ascii="Arial" w:cs="Arial" w:eastAsia="Arial" w:hAnsi="Arial"/>
                <w:sz w:val="16"/>
                <w:szCs w:val="16"/>
                <w:color w:val="auto"/>
              </w:rPr>
              <w:t>Operations and maintenance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  $</w:t>
            </w: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  $</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Actuarial gain (loss)</w:t>
            </w:r>
          </w:p>
        </w:tc>
        <w:tc>
          <w:tcPr>
            <w:tcW w:w="3140" w:type="dxa"/>
            <w:vAlign w:val="bottom"/>
          </w:tcPr>
          <w:p>
            <w:pPr>
              <w:ind w:left="80"/>
              <w:spacing w:after="0"/>
              <w:rPr>
                <w:sz w:val="20"/>
                <w:szCs w:val="20"/>
                <w:color w:val="auto"/>
              </w:rPr>
            </w:pPr>
            <w:r>
              <w:rPr>
                <w:rFonts w:ascii="Arial" w:cs="Arial" w:eastAsia="Arial" w:hAnsi="Arial"/>
                <w:sz w:val="16"/>
                <w:szCs w:val="16"/>
                <w:color w:val="auto"/>
              </w:rPr>
              <w:t>Operations and maintenance</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(43 )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(188 )</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(129 )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(563 )</w:t>
            </w:r>
          </w:p>
        </w:tc>
        <w:tc>
          <w:tcPr>
            <w:tcW w:w="0" w:type="dxa"/>
            <w:vAlign w:val="bottom"/>
          </w:tcPr>
          <w:p>
            <w:pPr>
              <w:spacing w:after="0"/>
              <w:rPr>
                <w:sz w:val="1"/>
                <w:szCs w:val="1"/>
                <w:color w:val="auto"/>
              </w:rPr>
            </w:pPr>
          </w:p>
        </w:tc>
      </w:tr>
      <w:tr>
        <w:trPr>
          <w:trHeight w:val="209"/>
        </w:trPr>
        <w:tc>
          <w:tcPr>
            <w:tcW w:w="3900" w:type="dxa"/>
            <w:vAlign w:val="bottom"/>
            <w:shd w:val="clear" w:color="auto" w:fill="CFF0FC"/>
          </w:tcPr>
          <w:p>
            <w:pPr>
              <w:spacing w:after="0"/>
              <w:rPr>
                <w:sz w:val="18"/>
                <w:szCs w:val="18"/>
                <w:color w:val="auto"/>
              </w:rPr>
            </w:pPr>
          </w:p>
        </w:tc>
        <w:tc>
          <w:tcPr>
            <w:tcW w:w="3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(43 ) $</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(164 ) $</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(129 ) $</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(493 )</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Income tax</w:t>
            </w:r>
          </w:p>
        </w:tc>
        <w:tc>
          <w:tcPr>
            <w:tcW w:w="3140" w:type="dxa"/>
            <w:vAlign w:val="bottom"/>
          </w:tcPr>
          <w:p>
            <w:pPr>
              <w:ind w:left="8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19</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62</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186"/>
        </w:trPr>
        <w:tc>
          <w:tcPr>
            <w:tcW w:w="3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reclassification adjustments related to defined</w:t>
            </w:r>
          </w:p>
        </w:tc>
        <w:tc>
          <w:tcPr>
            <w:tcW w:w="3140" w:type="dxa"/>
            <w:vAlign w:val="bottom"/>
            <w:shd w:val="clear" w:color="auto" w:fill="CFF0FC"/>
          </w:tcPr>
          <w:p>
            <w:pPr>
              <w:spacing w:after="0"/>
              <w:rPr>
                <w:sz w:val="16"/>
                <w:szCs w:val="16"/>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(24 ) $</w:t>
            </w: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(106 ) $</w:t>
            </w:r>
          </w:p>
        </w:tc>
        <w:tc>
          <w:tcPr>
            <w:tcW w:w="108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(67 ) $</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(336 )</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benefit plans, net of tax</w:t>
            </w:r>
          </w:p>
        </w:tc>
        <w:tc>
          <w:tcPr>
            <w:tcW w:w="3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vMerge w:val="continue"/>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020" w:type="dxa"/>
            <w:vAlign w:val="bottom"/>
            <w:tcBorders>
              <w:bottom w:val="single" w:sz="8" w:color="auto"/>
            </w:tcBorders>
            <w:gridSpan w:val="2"/>
            <w:vMerge w:val="continue"/>
            <w:shd w:val="clear" w:color="auto" w:fill="CFF0FC"/>
          </w:tcPr>
          <w:p>
            <w:pPr>
              <w:spacing w:after="0"/>
              <w:rPr>
                <w:sz w:val="17"/>
                <w:szCs w:val="17"/>
                <w:color w:val="auto"/>
              </w:rPr>
            </w:pPr>
          </w:p>
        </w:tc>
        <w:tc>
          <w:tcPr>
            <w:tcW w:w="1080" w:type="dxa"/>
            <w:vAlign w:val="bottom"/>
            <w:tcBorders>
              <w:bottom w:val="single" w:sz="8" w:color="auto"/>
            </w:tcBorders>
            <w:vMerge w:val="continue"/>
            <w:shd w:val="clear" w:color="auto" w:fill="CFF0FC"/>
          </w:tcPr>
          <w:p>
            <w:pPr>
              <w:spacing w:after="0"/>
              <w:rPr>
                <w:sz w:val="17"/>
                <w:szCs w:val="17"/>
                <w:color w:val="auto"/>
              </w:rPr>
            </w:pPr>
          </w:p>
        </w:tc>
        <w:tc>
          <w:tcPr>
            <w:tcW w:w="82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20"/>
              <w:spacing w:after="0"/>
              <w:rPr>
                <w:sz w:val="20"/>
                <w:szCs w:val="20"/>
                <w:color w:val="auto"/>
              </w:rPr>
            </w:pPr>
            <w:r>
              <w:rPr>
                <w:rFonts w:ascii="Arial" w:cs="Arial" w:eastAsia="Arial" w:hAnsi="Arial"/>
                <w:sz w:val="16"/>
                <w:szCs w:val="16"/>
                <w:color w:val="auto"/>
              </w:rPr>
              <w:t>Total reclassifications</w:t>
            </w:r>
          </w:p>
        </w:tc>
        <w:tc>
          <w:tcPr>
            <w:tcW w:w="3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(600 ) $</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(651 ) $</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(3,597 ) $</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Consolidated Balance Sheets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color w:val="auto"/>
              </w:rPr>
              <w:t>Derivatives Designated as Cash Flow Hedges</w:t>
            </w: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Interest Rate Swaps</w:t>
            </w:r>
          </w:p>
        </w:tc>
        <w:tc>
          <w:tcPr>
            <w:tcW w:w="426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color w:val="auto"/>
              </w:rPr>
              <w:t>Commodity Derivatives  Employee Benefit Plans</w:t>
            </w:r>
          </w:p>
        </w:tc>
        <w:tc>
          <w:tcPr>
            <w:tcW w:w="16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Total</w:t>
            </w:r>
          </w:p>
        </w:tc>
      </w:tr>
      <w:tr>
        <w:trPr>
          <w:trHeight w:val="212"/>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 of December 31, 2022</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2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(8,255 ) $</w:t>
            </w:r>
          </w:p>
        </w:tc>
        <w:tc>
          <w:tcPr>
            <w:tcW w:w="2440" w:type="dxa"/>
            <w:vAlign w:val="bottom"/>
            <w:gridSpan w:val="2"/>
            <w:shd w:val="clear" w:color="auto" w:fill="CFF0FC"/>
          </w:tcPr>
          <w:p>
            <w:pPr>
              <w:jc w:val="right"/>
              <w:ind w:right="620"/>
              <w:spacing w:after="0"/>
              <w:rPr>
                <w:sz w:val="20"/>
                <w:szCs w:val="20"/>
                <w:color w:val="auto"/>
              </w:rPr>
            </w:pPr>
            <w:r>
              <w:rPr>
                <w:rFonts w:ascii="Arial" w:cs="Arial" w:eastAsia="Arial" w:hAnsi="Arial"/>
                <w:sz w:val="16"/>
                <w:szCs w:val="16"/>
                <w:color w:val="auto"/>
              </w:rPr>
              <w:t>(1,200 ) $</w:t>
            </w:r>
          </w:p>
        </w:tc>
        <w:tc>
          <w:tcPr>
            <w:tcW w:w="16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(6,112 ) $</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(15,567 )</w:t>
            </w:r>
          </w:p>
        </w:tc>
      </w:tr>
      <w:tr>
        <w:trPr>
          <w:trHeight w:val="213"/>
        </w:trPr>
        <w:tc>
          <w:tcPr>
            <w:tcW w:w="326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32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before reclassifications</w:t>
            </w:r>
          </w:p>
        </w:tc>
        <w:tc>
          <w:tcPr>
            <w:tcW w:w="20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(937 )</w:t>
            </w:r>
          </w:p>
        </w:tc>
        <w:tc>
          <w:tcPr>
            <w:tcW w:w="72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(937 )</w:t>
            </w:r>
          </w:p>
        </w:tc>
      </w:tr>
      <w:tr>
        <w:trPr>
          <w:trHeight w:val="216"/>
        </w:trPr>
        <w:tc>
          <w:tcPr>
            <w:tcW w:w="3260" w:type="dxa"/>
            <w:vAlign w:val="bottom"/>
          </w:tcPr>
          <w:p>
            <w:pPr>
              <w:ind w:left="20"/>
              <w:spacing w:after="0"/>
              <w:rPr>
                <w:sz w:val="20"/>
                <w:szCs w:val="20"/>
                <w:color w:val="auto"/>
              </w:rPr>
            </w:pPr>
            <w:r>
              <w:rPr>
                <w:rFonts w:ascii="Arial" w:cs="Arial" w:eastAsia="Arial" w:hAnsi="Arial"/>
                <w:sz w:val="16"/>
                <w:szCs w:val="16"/>
                <w:color w:val="auto"/>
              </w:rPr>
              <w:t>Amounts reclassified from AOCI</w:t>
            </w: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1,881</w:t>
            </w:r>
          </w:p>
        </w:tc>
        <w:tc>
          <w:tcPr>
            <w:tcW w:w="7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67</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3,597</w:t>
            </w:r>
          </w:p>
        </w:tc>
      </w:tr>
      <w:tr>
        <w:trPr>
          <w:trHeight w:val="250"/>
        </w:trPr>
        <w:tc>
          <w:tcPr>
            <w:tcW w:w="3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As of September 30, 2023</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(6,606 ) $</w:t>
            </w:r>
          </w:p>
        </w:tc>
        <w:tc>
          <w:tcPr>
            <w:tcW w:w="2440" w:type="dxa"/>
            <w:vAlign w:val="bottom"/>
            <w:tcBorders>
              <w:bottom w:val="single" w:sz="8" w:color="auto"/>
            </w:tcBorders>
            <w:gridSpan w:val="2"/>
            <w:shd w:val="clear" w:color="auto" w:fill="CFF0FC"/>
          </w:tcPr>
          <w:p>
            <w:pPr>
              <w:jc w:val="right"/>
              <w:ind w:right="620"/>
              <w:spacing w:after="0"/>
              <w:rPr>
                <w:sz w:val="20"/>
                <w:szCs w:val="20"/>
                <w:color w:val="auto"/>
              </w:rPr>
            </w:pPr>
            <w:r>
              <w:rPr>
                <w:rFonts w:ascii="Arial" w:cs="Arial" w:eastAsia="Arial" w:hAnsi="Arial"/>
                <w:sz w:val="16"/>
                <w:szCs w:val="16"/>
                <w:color w:val="auto"/>
              </w:rPr>
              <w:t>(256 ) $</w:t>
            </w:r>
          </w:p>
        </w:tc>
        <w:tc>
          <w:tcPr>
            <w:tcW w:w="16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(6,045 ) $</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(12,907 )</w:t>
            </w:r>
          </w:p>
        </w:tc>
      </w:tr>
      <w:tr>
        <w:trPr>
          <w:trHeight w:val="393"/>
        </w:trPr>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ind w:right="1439"/>
              <w:spacing w:after="0"/>
              <w:rPr>
                <w:sz w:val="20"/>
                <w:szCs w:val="20"/>
                <w:color w:val="auto"/>
              </w:rPr>
            </w:pPr>
            <w:r>
              <w:rPr>
                <w:rFonts w:ascii="Arial" w:cs="Arial" w:eastAsia="Arial" w:hAnsi="Arial"/>
                <w:sz w:val="16"/>
                <w:szCs w:val="16"/>
                <w:color w:val="auto"/>
              </w:rPr>
              <w:t>24</w:t>
            </w: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94"/>
        </w:trPr>
        <w:tc>
          <w:tcPr>
            <w:tcW w:w="3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33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595"/>
        </w:trPr>
        <w:tc>
          <w:tcPr>
            <w:tcW w:w="1360" w:type="dxa"/>
            <w:vAlign w:val="bottom"/>
            <w:tcBorders>
              <w:top w:val="single" w:sz="8" w:color="0000FF"/>
            </w:tcBorders>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color w:val="auto"/>
              </w:rPr>
              <w:t>Derivatives Designated as Cash Flow Hedges</w:t>
            </w: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3"/>
        </w:trPr>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Interest Rate Swaps</w:t>
            </w:r>
          </w:p>
        </w:tc>
        <w:tc>
          <w:tcPr>
            <w:tcW w:w="19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Commodity Derivatives</w:t>
            </w:r>
          </w:p>
        </w:tc>
        <w:tc>
          <w:tcPr>
            <w:tcW w:w="236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color w:val="auto"/>
              </w:rPr>
              <w:t>Employee Benefit Plans</w:t>
            </w:r>
          </w:p>
        </w:tc>
        <w:tc>
          <w:tcPr>
            <w:tcW w:w="16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Total</w:t>
            </w:r>
          </w:p>
        </w:tc>
      </w:tr>
      <w:tr>
        <w:trPr>
          <w:trHeight w:val="212"/>
        </w:trPr>
        <w:tc>
          <w:tcPr>
            <w:tcW w:w="33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As of December 31, 2021</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580" w:type="dxa"/>
            <w:vAlign w:val="bottom"/>
            <w:gridSpan w:val="2"/>
            <w:shd w:val="clear" w:color="auto" w:fill="CFF0FC"/>
          </w:tcPr>
          <w:p>
            <w:pPr>
              <w:jc w:val="right"/>
              <w:ind w:right="499"/>
              <w:spacing w:after="0"/>
              <w:rPr>
                <w:sz w:val="20"/>
                <w:szCs w:val="20"/>
                <w:color w:val="auto"/>
              </w:rPr>
            </w:pPr>
            <w:r>
              <w:rPr>
                <w:rFonts w:ascii="Arial" w:cs="Arial" w:eastAsia="Arial" w:hAnsi="Arial"/>
                <w:sz w:val="16"/>
                <w:szCs w:val="16"/>
                <w:color w:val="auto"/>
              </w:rPr>
              <w:t>(10,384 ) $</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1,476</w:t>
            </w:r>
          </w:p>
        </w:tc>
        <w:tc>
          <w:tcPr>
            <w:tcW w:w="66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(11,176 ) $</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(20,084 )</w:t>
            </w: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3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before reclassifications</w:t>
            </w:r>
          </w:p>
        </w:tc>
        <w:tc>
          <w:tcPr>
            <w:tcW w:w="1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509</w:t>
            </w:r>
          </w:p>
        </w:tc>
        <w:tc>
          <w:tcPr>
            <w:tcW w:w="6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509</w:t>
            </w: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w:t>
            </w: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(2,739 )</w:t>
            </w:r>
          </w:p>
        </w:tc>
        <w:tc>
          <w:tcPr>
            <w:tcW w:w="6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336</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(814 )</w:t>
            </w:r>
          </w:p>
        </w:tc>
      </w:tr>
      <w:tr>
        <w:trPr>
          <w:trHeight w:val="249"/>
        </w:trPr>
        <w:tc>
          <w:tcPr>
            <w:tcW w:w="33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As of September 30, 2022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580" w:type="dxa"/>
            <w:vAlign w:val="bottom"/>
            <w:tcBorders>
              <w:bottom w:val="single" w:sz="8" w:color="auto"/>
            </w:tcBorders>
            <w:gridSpan w:val="2"/>
            <w:shd w:val="clear" w:color="auto" w:fill="CFF0FC"/>
          </w:tcPr>
          <w:p>
            <w:pPr>
              <w:jc w:val="right"/>
              <w:ind w:right="499"/>
              <w:spacing w:after="0"/>
              <w:rPr>
                <w:sz w:val="20"/>
                <w:szCs w:val="20"/>
                <w:color w:val="auto"/>
              </w:rPr>
            </w:pPr>
            <w:r>
              <w:rPr>
                <w:rFonts w:ascii="Arial" w:cs="Arial" w:eastAsia="Arial" w:hAnsi="Arial"/>
                <w:sz w:val="16"/>
                <w:szCs w:val="16"/>
                <w:color w:val="auto"/>
              </w:rPr>
              <w:t>(8,795 ) $</w:t>
            </w:r>
          </w:p>
        </w:tc>
        <w:tc>
          <w:tcPr>
            <w:tcW w:w="1820" w:type="dxa"/>
            <w:vAlign w:val="bottom"/>
            <w:tcBorders>
              <w:bottom w:val="single" w:sz="8" w:color="auto"/>
            </w:tcBorders>
            <w:gridSpan w:val="2"/>
            <w:shd w:val="clear" w:color="auto" w:fill="CFF0FC"/>
          </w:tcPr>
          <w:p>
            <w:pPr>
              <w:jc w:val="right"/>
              <w:ind w:right="479"/>
              <w:spacing w:after="0"/>
              <w:rPr>
                <w:sz w:val="20"/>
                <w:szCs w:val="20"/>
                <w:color w:val="auto"/>
              </w:rPr>
            </w:pPr>
            <w:r>
              <w:rPr>
                <w:rFonts w:ascii="Arial" w:cs="Arial" w:eastAsia="Arial" w:hAnsi="Arial"/>
                <w:sz w:val="16"/>
                <w:szCs w:val="16"/>
                <w:color w:val="auto"/>
              </w:rPr>
              <w:t>(754 ) $</w:t>
            </w:r>
          </w:p>
        </w:tc>
        <w:tc>
          <w:tcPr>
            <w:tcW w:w="170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(10,840 ) $</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(20,389 )</w:t>
            </w:r>
          </w:p>
        </w:tc>
      </w:tr>
    </w:tbl>
    <w:p>
      <w:pPr>
        <w:spacing w:after="0" w:line="360"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Components of Net Periodic Expense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expense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4"/>
          </w:tcPr>
          <w:p>
            <w:pPr>
              <w:jc w:val="right"/>
              <w:ind w:right="319"/>
              <w:spacing w:after="0"/>
              <w:rPr>
                <w:sz w:val="20"/>
                <w:szCs w:val="20"/>
                <w:color w:val="auto"/>
              </w:rPr>
            </w:pPr>
            <w:r>
              <w:rPr>
                <w:rFonts w:ascii="Arial" w:cs="Arial" w:eastAsia="Arial" w:hAnsi="Arial"/>
                <w:sz w:val="16"/>
                <w:szCs w:val="16"/>
                <w:color w:val="auto"/>
              </w:rPr>
              <w:t>Supplemental Non-qualified</w:t>
            </w:r>
          </w:p>
        </w:tc>
        <w:tc>
          <w:tcPr>
            <w:tcW w:w="120" w:type="dxa"/>
            <w:vAlign w:val="bottom"/>
          </w:tcPr>
          <w:p>
            <w:pPr>
              <w:spacing w:after="0"/>
              <w:rPr>
                <w:sz w:val="16"/>
                <w:szCs w:val="16"/>
                <w:color w:val="auto"/>
              </w:rPr>
            </w:pPr>
          </w:p>
        </w:tc>
        <w:tc>
          <w:tcPr>
            <w:tcW w:w="2500" w:type="dxa"/>
            <w:vAlign w:val="bottom"/>
            <w:gridSpan w:val="4"/>
          </w:tcPr>
          <w:p>
            <w:pPr>
              <w:jc w:val="right"/>
              <w:ind w:right="259"/>
              <w:spacing w:after="0"/>
              <w:rPr>
                <w:sz w:val="20"/>
                <w:szCs w:val="20"/>
                <w:color w:val="auto"/>
              </w:rPr>
            </w:pPr>
            <w:r>
              <w:rPr>
                <w:rFonts w:ascii="Arial" w:cs="Arial" w:eastAsia="Arial" w:hAnsi="Arial"/>
                <w:sz w:val="16"/>
                <w:szCs w:val="16"/>
                <w:color w:val="auto"/>
              </w:rPr>
              <w:t>Non-pension Defined Benefit</w:t>
            </w:r>
          </w:p>
        </w:tc>
      </w:tr>
      <w:tr>
        <w:trPr>
          <w:trHeight w:val="207"/>
        </w:trPr>
        <w:tc>
          <w:tcPr>
            <w:tcW w:w="36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color w:val="auto"/>
              </w:rPr>
              <w:t>Defined Benefit Pension Plan</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color w:val="auto"/>
              </w:rPr>
              <w:t>Defined Benefit Plans</w:t>
            </w: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color w:val="auto"/>
              </w:rPr>
              <w:t>Postretirement Healthcare Plan</w:t>
            </w:r>
          </w:p>
        </w:tc>
      </w:tr>
      <w:tr>
        <w:trPr>
          <w:trHeight w:val="21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Three Months Ended September 30,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2023</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r>
      <w:tr>
        <w:trPr>
          <w:trHeight w:val="213"/>
        </w:trPr>
        <w:tc>
          <w:tcPr>
            <w:tcW w:w="3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614</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982</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(77 ) $</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(271 ) $</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381</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492</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4,381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369</w:t>
            </w:r>
          </w:p>
        </w:tc>
        <w:tc>
          <w:tcPr>
            <w:tcW w:w="3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594</w:t>
            </w:r>
          </w:p>
        </w:tc>
        <w:tc>
          <w:tcPr>
            <w:tcW w:w="2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321</w:t>
            </w:r>
          </w:p>
        </w:tc>
      </w:tr>
      <w:tr>
        <w:trPr>
          <w:trHeight w:val="219"/>
        </w:trPr>
        <w:tc>
          <w:tcPr>
            <w:tcW w:w="3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(4,672 )</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(4,631 )</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(55 )</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(31 )</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Net amortization of prior service costs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(17 )</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(72 )</w:t>
            </w:r>
          </w:p>
        </w:tc>
      </w:tr>
      <w:tr>
        <w:trPr>
          <w:trHeight w:val="219"/>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Recognized net actuarial loss</w:t>
            </w: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498</w:t>
            </w: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1,522</w:t>
            </w: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(3 )</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w:t>
            </w: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Net periodic expense (benefit)</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w:t>
            </w:r>
          </w:p>
        </w:tc>
        <w:tc>
          <w:tcPr>
            <w:tcW w:w="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927</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726</w:t>
            </w:r>
          </w:p>
        </w:tc>
      </w:tr>
      <w:tr>
        <w:trPr>
          <w:trHeight w:val="20"/>
        </w:trPr>
        <w:tc>
          <w:tcPr>
            <w:tcW w:w="3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3"/>
          </w:tcPr>
          <w:p>
            <w:pPr>
              <w:spacing w:after="0" w:line="20" w:lineRule="exact"/>
              <w:rPr>
                <w:sz w:val="1"/>
                <w:szCs w:val="1"/>
                <w:color w:val="auto"/>
              </w:rPr>
            </w:pPr>
          </w:p>
        </w:tc>
      </w:tr>
      <w:tr>
        <w:trPr>
          <w:trHeight w:val="362"/>
        </w:trPr>
        <w:tc>
          <w:tcPr>
            <w:tcW w:w="3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3"/>
          </w:tcPr>
          <w:p>
            <w:pPr>
              <w:jc w:val="center"/>
              <w:ind w:right="119"/>
              <w:spacing w:after="0"/>
              <w:rPr>
                <w:sz w:val="20"/>
                <w:szCs w:val="20"/>
                <w:color w:val="auto"/>
              </w:rPr>
            </w:pPr>
            <w:r>
              <w:rPr>
                <w:rFonts w:ascii="Arial" w:cs="Arial" w:eastAsia="Arial" w:hAnsi="Arial"/>
                <w:sz w:val="16"/>
                <w:szCs w:val="16"/>
                <w:color w:val="auto"/>
              </w:rPr>
              <w:t>Supplemental Non-qualified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3"/>
          </w:tcPr>
          <w:p>
            <w:pPr>
              <w:jc w:val="right"/>
              <w:ind w:right="219"/>
              <w:spacing w:after="0"/>
              <w:rPr>
                <w:sz w:val="20"/>
                <w:szCs w:val="20"/>
                <w:color w:val="auto"/>
              </w:rPr>
            </w:pPr>
            <w:r>
              <w:rPr>
                <w:rFonts w:ascii="Arial" w:cs="Arial" w:eastAsia="Arial" w:hAnsi="Arial"/>
                <w:sz w:val="16"/>
                <w:szCs w:val="16"/>
                <w:color w:val="auto"/>
              </w:rPr>
              <w:t>Non-pension Defined Benefit</w:t>
            </w:r>
          </w:p>
        </w:tc>
      </w:tr>
      <w:tr>
        <w:trPr>
          <w:trHeight w:val="207"/>
        </w:trPr>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Defined Benefit Pension Plan</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6"/>
                <w:szCs w:val="16"/>
                <w:color w:val="auto"/>
              </w:rPr>
              <w:t>Defined Benefit Plans</w:t>
            </w: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color w:val="auto"/>
              </w:rPr>
              <w:t>Postretirement Healthcare Plan</w:t>
            </w:r>
          </w:p>
        </w:tc>
      </w:tr>
      <w:tr>
        <w:trPr>
          <w:trHeight w:val="21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Nine Months Ended September 30,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2023</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r>
      <w:tr>
        <w:trPr>
          <w:trHeight w:val="213"/>
        </w:trPr>
        <w:tc>
          <w:tcPr>
            <w:tcW w:w="3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1,842</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2,946</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1,607</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(2,018 ) $</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1,143</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1,476</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13,142</w:t>
            </w:r>
          </w:p>
        </w:tc>
        <w:tc>
          <w:tcPr>
            <w:tcW w:w="140" w:type="dxa"/>
            <w:vAlign w:val="bottom"/>
          </w:tcPr>
          <w:p>
            <w:pPr>
              <w:spacing w:after="0"/>
              <w:rPr>
                <w:sz w:val="18"/>
                <w:szCs w:val="18"/>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6"/>
                <w:szCs w:val="16"/>
                <w:color w:val="auto"/>
              </w:rPr>
              <w:t>8,114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1,783</w:t>
            </w:r>
          </w:p>
        </w:tc>
        <w:tc>
          <w:tcPr>
            <w:tcW w:w="2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963</w:t>
            </w:r>
          </w:p>
        </w:tc>
      </w:tr>
      <w:tr>
        <w:trPr>
          <w:trHeight w:val="219"/>
        </w:trPr>
        <w:tc>
          <w:tcPr>
            <w:tcW w:w="3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(14,016 )</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(13,892 )</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(167 )</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(93 )</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Net amortization of prior service costs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(51 )</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(51 )</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(217 )</w:t>
            </w:r>
          </w:p>
        </w:tc>
      </w:tr>
      <w:tr>
        <w:trPr>
          <w:trHeight w:val="219"/>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Recognized net actuarial loss (gain)</w:t>
            </w: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1,494</w:t>
            </w: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4,568</w:t>
            </w: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(9 )</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w:t>
            </w: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Net periodic expense (benefit)</w:t>
            </w: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2,411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9"/>
              <w:spacing w:after="0"/>
              <w:rPr>
                <w:sz w:val="20"/>
                <w:szCs w:val="20"/>
                <w:color w:val="auto"/>
              </w:rPr>
            </w:pPr>
            <w:r>
              <w:rPr>
                <w:rFonts w:ascii="Arial" w:cs="Arial" w:eastAsia="Arial" w:hAnsi="Arial"/>
                <w:sz w:val="16"/>
                <w:szCs w:val="16"/>
                <w:color w:val="auto"/>
              </w:rPr>
              <w:t>1,685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2,738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(1,185 ) $</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2,780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2,177</w:t>
            </w:r>
          </w:p>
        </w:tc>
      </w:tr>
      <w:tr>
        <w:trPr>
          <w:trHeight w:val="20"/>
        </w:trPr>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Contributions</w:t>
      </w:r>
    </w:p>
    <w:p>
      <w:pPr>
        <w:spacing w:after="0" w:line="194"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Contributions to the Defined Benefit Pension Plan are cash contributions made directly to the Pension Plan Trust account. Contributions to the Postretirement Healthcare and Supplemental Plans are primarily made in the form of benefit payments. Contributions made in the first nine months of 2023 and anticipated contributions for 2023 and 2024 are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jc w:val="center"/>
              <w:ind w:right="119"/>
              <w:spacing w:after="0"/>
              <w:rPr>
                <w:sz w:val="20"/>
                <w:szCs w:val="20"/>
                <w:color w:val="auto"/>
              </w:rPr>
            </w:pPr>
            <w:r>
              <w:rPr>
                <w:rFonts w:ascii="Arial" w:cs="Arial" w:eastAsia="Arial" w:hAnsi="Arial"/>
                <w:sz w:val="16"/>
                <w:szCs w:val="16"/>
                <w:color w:val="auto"/>
              </w:rPr>
              <w:t>Contributions Made</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rPr>
              <w:t>Additional Contributions</w:t>
            </w:r>
          </w:p>
        </w:tc>
        <w:tc>
          <w:tcPr>
            <w:tcW w:w="300" w:type="dxa"/>
            <w:vAlign w:val="bottom"/>
          </w:tcPr>
          <w:p>
            <w:pPr>
              <w:spacing w:after="0"/>
              <w:rPr>
                <w:sz w:val="17"/>
                <w:szCs w:val="17"/>
                <w:color w:val="auto"/>
              </w:rPr>
            </w:pPr>
          </w:p>
        </w:tc>
        <w:tc>
          <w:tcPr>
            <w:tcW w:w="1680" w:type="dxa"/>
            <w:vAlign w:val="bottom"/>
          </w:tcPr>
          <w:p>
            <w:pPr>
              <w:jc w:val="center"/>
              <w:ind w:right="259"/>
              <w:spacing w:after="0"/>
              <w:rPr>
                <w:sz w:val="20"/>
                <w:szCs w:val="20"/>
                <w:color w:val="auto"/>
              </w:rPr>
            </w:pPr>
            <w:r>
              <w:rPr>
                <w:rFonts w:ascii="Arial" w:cs="Arial" w:eastAsia="Arial" w:hAnsi="Arial"/>
                <w:sz w:val="16"/>
                <w:szCs w:val="16"/>
                <w:color w:val="auto"/>
                <w:w w:val="99"/>
              </w:rPr>
              <w:t>Contributions</w:t>
            </w:r>
          </w:p>
        </w:tc>
      </w:tr>
      <w:tr>
        <w:trPr>
          <w:trHeight w:val="198"/>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jc w:val="center"/>
              <w:ind w:right="179"/>
              <w:spacing w:after="0"/>
              <w:rPr>
                <w:sz w:val="20"/>
                <w:szCs w:val="20"/>
                <w:color w:val="auto"/>
              </w:rPr>
            </w:pPr>
            <w:r>
              <w:rPr>
                <w:rFonts w:ascii="Arial" w:cs="Arial" w:eastAsia="Arial" w:hAnsi="Arial"/>
                <w:sz w:val="16"/>
                <w:szCs w:val="16"/>
                <w:color w:val="auto"/>
              </w:rPr>
              <w:t>Nine Months Ended</w:t>
            </w:r>
          </w:p>
        </w:tc>
        <w:tc>
          <w:tcPr>
            <w:tcW w:w="280" w:type="dxa"/>
            <w:vAlign w:val="bottom"/>
          </w:tcPr>
          <w:p>
            <w:pPr>
              <w:spacing w:after="0"/>
              <w:rPr>
                <w:sz w:val="17"/>
                <w:szCs w:val="17"/>
                <w:color w:val="auto"/>
              </w:rPr>
            </w:pPr>
          </w:p>
        </w:tc>
        <w:tc>
          <w:tcPr>
            <w:tcW w:w="1620" w:type="dxa"/>
            <w:vAlign w:val="bottom"/>
          </w:tcPr>
          <w:p>
            <w:pPr>
              <w:jc w:val="center"/>
              <w:ind w:right="239"/>
              <w:spacing w:after="0"/>
              <w:rPr>
                <w:sz w:val="20"/>
                <w:szCs w:val="20"/>
                <w:color w:val="auto"/>
              </w:rPr>
            </w:pPr>
            <w:r>
              <w:rPr>
                <w:rFonts w:ascii="Arial" w:cs="Arial" w:eastAsia="Arial" w:hAnsi="Arial"/>
                <w:sz w:val="16"/>
                <w:szCs w:val="16"/>
                <w:color w:val="auto"/>
                <w:w w:val="99"/>
              </w:rPr>
              <w:t>Anticipated for</w:t>
            </w:r>
          </w:p>
        </w:tc>
        <w:tc>
          <w:tcPr>
            <w:tcW w:w="300" w:type="dxa"/>
            <w:vAlign w:val="bottom"/>
          </w:tcPr>
          <w:p>
            <w:pPr>
              <w:spacing w:after="0"/>
              <w:rPr>
                <w:sz w:val="17"/>
                <w:szCs w:val="17"/>
                <w:color w:val="auto"/>
              </w:rPr>
            </w:pPr>
          </w:p>
        </w:tc>
        <w:tc>
          <w:tcPr>
            <w:tcW w:w="1680" w:type="dxa"/>
            <w:vAlign w:val="bottom"/>
          </w:tcPr>
          <w:p>
            <w:pPr>
              <w:jc w:val="center"/>
              <w:ind w:right="319"/>
              <w:spacing w:after="0"/>
              <w:rPr>
                <w:sz w:val="20"/>
                <w:szCs w:val="20"/>
                <w:color w:val="auto"/>
              </w:rPr>
            </w:pPr>
            <w:r>
              <w:rPr>
                <w:rFonts w:ascii="Arial" w:cs="Arial" w:eastAsia="Arial" w:hAnsi="Arial"/>
                <w:sz w:val="16"/>
                <w:szCs w:val="16"/>
                <w:color w:val="auto"/>
              </w:rPr>
              <w:t>Anticipated for</w:t>
            </w:r>
          </w:p>
        </w:tc>
      </w:tr>
      <w:tr>
        <w:trPr>
          <w:trHeight w:val="210"/>
        </w:trPr>
        <w:tc>
          <w:tcPr>
            <w:tcW w:w="5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September 30, 2023</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rPr>
              <w:t>2023</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rPr>
              <w:t>2024</w:t>
            </w:r>
          </w:p>
        </w:tc>
      </w:tr>
      <w:tr>
        <w:trPr>
          <w:trHeight w:val="213"/>
        </w:trPr>
        <w:tc>
          <w:tcPr>
            <w:tcW w:w="5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Defined Benefit Pension Plan</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color w:val="auto"/>
              </w:rPr>
              <w:t>Non-pension Defined Benefit Postretirement Healthcare Plan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3,690</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1,230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4,808</w:t>
            </w:r>
          </w:p>
        </w:tc>
      </w:tr>
      <w:tr>
        <w:trPr>
          <w:trHeight w:val="195"/>
        </w:trPr>
        <w:tc>
          <w:tcPr>
            <w:tcW w:w="5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Supplemental Non-qualified Defined Benefit and Defined Contribution</w:t>
            </w:r>
          </w:p>
        </w:tc>
        <w:tc>
          <w:tcPr>
            <w:tcW w:w="14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r>
      <w:tr>
        <w:trPr>
          <w:trHeight w:val="213"/>
        </w:trPr>
        <w:tc>
          <w:tcPr>
            <w:tcW w:w="5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Plans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1,673</w:t>
            </w:r>
          </w:p>
        </w:tc>
        <w:tc>
          <w:tcPr>
            <w:tcW w:w="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2,417</w:t>
            </w:r>
          </w:p>
        </w:tc>
      </w:tr>
      <w:tr>
        <w:trPr>
          <w:trHeight w:val="790"/>
        </w:trPr>
        <w:tc>
          <w:tcPr>
            <w:tcW w:w="5460" w:type="dxa"/>
            <w:vAlign w:val="bottom"/>
          </w:tcPr>
          <w:p>
            <w:pPr>
              <w:spacing w:after="0"/>
              <w:rPr>
                <w:sz w:val="24"/>
                <w:szCs w:val="24"/>
                <w:color w:val="auto"/>
              </w:rPr>
            </w:pPr>
          </w:p>
        </w:tc>
        <w:tc>
          <w:tcPr>
            <w:tcW w:w="1900" w:type="dxa"/>
            <w:vAlign w:val="bottom"/>
            <w:gridSpan w:val="2"/>
          </w:tcPr>
          <w:p>
            <w:pPr>
              <w:jc w:val="right"/>
              <w:ind w:right="1559"/>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8"/>
        </w:trPr>
        <w:tc>
          <w:tcPr>
            <w:tcW w:w="5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IRS Revenue Procedure 2023-15</w:t>
      </w:r>
    </w:p>
    <w:p>
      <w:pPr>
        <w:spacing w:after="0" w:line="202" w:lineRule="exact"/>
        <w:rPr>
          <w:sz w:val="20"/>
          <w:szCs w:val="20"/>
          <w:color w:val="auto"/>
        </w:rPr>
      </w:pPr>
    </w:p>
    <w:p>
      <w:pPr>
        <w:ind w:right="360"/>
        <w:spacing w:after="0" w:line="261" w:lineRule="auto"/>
        <w:rPr>
          <w:sz w:val="20"/>
          <w:szCs w:val="20"/>
          <w:color w:val="auto"/>
        </w:rPr>
      </w:pPr>
      <w:r>
        <w:rPr>
          <w:rFonts w:ascii="Arial" w:cs="Arial" w:eastAsia="Arial" w:hAnsi="Arial"/>
          <w:sz w:val="16"/>
          <w:szCs w:val="16"/>
          <w:color w:val="auto"/>
        </w:rPr>
        <w:t>On April 14, 2023, the IRS released Revenue Procedure 2023-15 “Amounts paid to improve tangible property.” The Revenue Procedure provides a safe harbor method of accounting that taxpayers may use to determine whether costs to repair, maintain, replace, or improve natural gas transmission and distribution property must be capitalized. We are currently assessing the Revenue Procedure to determine its impact on our tax repairs deduction.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Benefit (Expense) and Effective Tax Rates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2023 Compared to the Three Months Ended September 30, 2022</w:t>
      </w:r>
    </w:p>
    <w:p>
      <w:pPr>
        <w:spacing w:after="0" w:line="194" w:lineRule="exact"/>
        <w:rPr>
          <w:sz w:val="20"/>
          <w:szCs w:val="20"/>
          <w:color w:val="auto"/>
        </w:rPr>
      </w:pPr>
    </w:p>
    <w:p>
      <w:pPr>
        <w:jc w:val="both"/>
        <w:ind w:right="180"/>
        <w:spacing w:after="0" w:line="261" w:lineRule="auto"/>
        <w:rPr>
          <w:sz w:val="20"/>
          <w:szCs w:val="20"/>
          <w:color w:val="auto"/>
        </w:rPr>
      </w:pPr>
      <w:r>
        <w:rPr>
          <w:rFonts w:ascii="Arial" w:cs="Arial" w:eastAsia="Arial" w:hAnsi="Arial"/>
          <w:sz w:val="16"/>
          <w:szCs w:val="16"/>
          <w:color w:val="auto"/>
        </w:rPr>
        <w:t>Income tax (expense) for the three months ended September 30, 2023 was $(7.4) million compared to $(2.1) million reported for the same period in 2022. For the three months ended September 30, 2023, the effective tax rate was 13.1% compared to 5.2% for the same period in 2022. The higher effective tax rate was primarily due to $1.4 million of lower tax benefits from various current and prior year state rate changes.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2023 Compared to the Nine Months Ended September 30, 2022</w:t>
      </w:r>
    </w:p>
    <w:p>
      <w:pPr>
        <w:spacing w:after="0" w:line="19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Income tax (expense) for the nine months ended September 30, 2023 was $(16.0) million compared to $(15.9) million reported for the same period in 2022. For the nine months ended September 30, 2023, the effective tax rate was 7.6% compared to 7.6% for the same period in 2022. The effective tax rate was comparable primarily due to a $8.2 million tax benefit from a current year Nebraska income tax rate decrease offset by $5.8 million of lower tax benefits from various current and prior year state tax rate changes and $2.3 million of lower wind PTCs driven by the March 2023 sale of Northern Iowa Windpower assets.</w:t>
      </w:r>
    </w:p>
    <w:p>
      <w:pPr>
        <w:spacing w:after="0" w:line="200" w:lineRule="exact"/>
        <w:rPr>
          <w:sz w:val="20"/>
          <w:szCs w:val="20"/>
          <w:color w:val="auto"/>
        </w:rPr>
      </w:pPr>
    </w:p>
    <w:p>
      <w:pPr>
        <w:spacing w:after="0" w:line="336"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202"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Our Chief Executive Officer, who is considered to be our CODM, reviews financial information presented on an operating segment basis for purposes of making decisions, allocating resources and assessing financial performance. Our CODM assesses the performance of our operating segments based on operating income.</w:t>
      </w:r>
    </w:p>
    <w:p>
      <w:pPr>
        <w:spacing w:after="0" w:line="156" w:lineRule="exact"/>
        <w:rPr>
          <w:sz w:val="20"/>
          <w:szCs w:val="20"/>
          <w:color w:val="auto"/>
        </w:rPr>
      </w:pPr>
    </w:p>
    <w:p>
      <w:pPr>
        <w:ind w:right="580"/>
        <w:spacing w:after="0" w:line="276"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Our operating segments are equivalent to our reportable segments.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20"/>
                <w:szCs w:val="20"/>
                <w:color w:val="auto"/>
              </w:rPr>
            </w:pPr>
            <w:r>
              <w:rPr>
                <w:rFonts w:ascii="Arial" w:cs="Arial" w:eastAsia="Arial" w:hAnsi="Arial"/>
                <w:sz w:val="16"/>
                <w:szCs w:val="16"/>
                <w:color w:val="252525"/>
              </w:rPr>
              <w:t>Segment information was as follows (in thousands):</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91"/>
        </w:trPr>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3"/>
          </w:tcPr>
          <w:p>
            <w:pPr>
              <w:jc w:val="right"/>
              <w:ind w:right="219"/>
              <w:spacing w:after="0"/>
              <w:rPr>
                <w:sz w:val="20"/>
                <w:szCs w:val="20"/>
                <w:color w:val="auto"/>
              </w:rPr>
            </w:pPr>
            <w:r>
              <w:rPr>
                <w:rFonts w:ascii="Arial" w:cs="Arial" w:eastAsia="Arial" w:hAnsi="Arial"/>
                <w:sz w:val="16"/>
                <w:szCs w:val="16"/>
                <w:color w:val="auto"/>
              </w:rPr>
              <w:t>Three Months Ended September 30,</w:t>
            </w:r>
          </w:p>
        </w:tc>
        <w:tc>
          <w:tcPr>
            <w:tcW w:w="180" w:type="dxa"/>
            <w:vAlign w:val="bottom"/>
          </w:tcPr>
          <w:p>
            <w:pPr>
              <w:spacing w:after="0"/>
              <w:rPr>
                <w:sz w:val="24"/>
                <w:szCs w:val="24"/>
                <w:color w:val="auto"/>
              </w:rPr>
            </w:pPr>
          </w:p>
        </w:tc>
        <w:tc>
          <w:tcPr>
            <w:tcW w:w="2940" w:type="dxa"/>
            <w:vAlign w:val="bottom"/>
            <w:gridSpan w:val="3"/>
          </w:tcPr>
          <w:p>
            <w:pPr>
              <w:jc w:val="right"/>
              <w:ind w:right="25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4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2023</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2023</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2022</w:t>
            </w:r>
          </w:p>
        </w:tc>
      </w:tr>
      <w:tr>
        <w:trPr>
          <w:trHeight w:val="213"/>
        </w:trPr>
        <w:tc>
          <w:tcPr>
            <w:tcW w:w="4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3"/>
        </w:trPr>
        <w:tc>
          <w:tcPr>
            <w:tcW w:w="4980" w:type="dxa"/>
            <w:vAlign w:val="bottom"/>
          </w:tcPr>
          <w:p>
            <w:pPr>
              <w:ind w:left="120"/>
              <w:spacing w:after="0"/>
              <w:rPr>
                <w:sz w:val="20"/>
                <w:szCs w:val="20"/>
                <w:color w:val="auto"/>
              </w:rPr>
            </w:pPr>
            <w:r>
              <w:rPr>
                <w:rFonts w:ascii="Arial" w:cs="Arial" w:eastAsia="Arial" w:hAnsi="Arial"/>
                <w:sz w:val="16"/>
                <w:szCs w:val="16"/>
                <w:color w:val="auto"/>
              </w:rPr>
              <w:t>Electric Utilities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External Customers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234,490</w:t>
            </w:r>
          </w:p>
        </w:tc>
        <w:tc>
          <w:tcPr>
            <w:tcW w:w="3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255,741</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640,595</w:t>
            </w:r>
          </w:p>
        </w:tc>
        <w:tc>
          <w:tcPr>
            <w:tcW w:w="3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660,800</w:t>
            </w:r>
          </w:p>
        </w:tc>
      </w:tr>
      <w:tr>
        <w:trPr>
          <w:trHeight w:val="216"/>
        </w:trPr>
        <w:tc>
          <w:tcPr>
            <w:tcW w:w="4980" w:type="dxa"/>
            <w:vAlign w:val="bottom"/>
          </w:tcPr>
          <w:p>
            <w:pPr>
              <w:ind w:left="200"/>
              <w:spacing w:after="0"/>
              <w:rPr>
                <w:sz w:val="20"/>
                <w:szCs w:val="20"/>
                <w:color w:val="auto"/>
              </w:rPr>
            </w:pPr>
            <w:r>
              <w:rPr>
                <w:rFonts w:ascii="Arial" w:cs="Arial" w:eastAsia="Arial" w:hAnsi="Arial"/>
                <w:sz w:val="16"/>
                <w:szCs w:val="16"/>
                <w:color w:val="auto"/>
              </w:rPr>
              <w:t>Inter-segment</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2,839</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2,928</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8,516</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8,786</w:t>
            </w:r>
          </w:p>
        </w:tc>
      </w:tr>
      <w:tr>
        <w:trPr>
          <w:trHeight w:val="210"/>
        </w:trPr>
        <w:tc>
          <w:tcPr>
            <w:tcW w:w="4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Total Electric Utilities Revenue</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237,329</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258,669</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649,111</w:t>
            </w: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669,586</w:t>
            </w:r>
          </w:p>
        </w:tc>
      </w:tr>
      <w:tr>
        <w:trPr>
          <w:trHeight w:val="210"/>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Gas Utilities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3"/>
        </w:trPr>
        <w:tc>
          <w:tcPr>
            <w:tcW w:w="4980" w:type="dxa"/>
            <w:vAlign w:val="bottom"/>
          </w:tcPr>
          <w:p>
            <w:pPr>
              <w:ind w:left="200"/>
              <w:spacing w:after="0"/>
              <w:rPr>
                <w:sz w:val="20"/>
                <w:szCs w:val="20"/>
                <w:color w:val="auto"/>
              </w:rPr>
            </w:pPr>
            <w:r>
              <w:rPr>
                <w:rFonts w:ascii="Arial" w:cs="Arial" w:eastAsia="Arial" w:hAnsi="Arial"/>
                <w:sz w:val="16"/>
                <w:szCs w:val="16"/>
                <w:color w:val="auto"/>
              </w:rPr>
              <w:t>External Customers</w:t>
            </w:r>
          </w:p>
        </w:tc>
        <w:tc>
          <w:tcPr>
            <w:tcW w:w="16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172,636</w:t>
            </w:r>
          </w:p>
        </w:tc>
        <w:tc>
          <w:tcPr>
            <w:tcW w:w="3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206,871</w:t>
            </w:r>
          </w:p>
        </w:tc>
        <w:tc>
          <w:tcPr>
            <w:tcW w:w="1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1,098,973</w:t>
            </w:r>
          </w:p>
        </w:tc>
        <w:tc>
          <w:tcPr>
            <w:tcW w:w="34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1,099,577</w:t>
            </w:r>
          </w:p>
        </w:tc>
      </w:tr>
      <w:tr>
        <w:trPr>
          <w:trHeight w:val="219"/>
        </w:trPr>
        <w:tc>
          <w:tcPr>
            <w:tcW w:w="4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Inter-segment</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1,649</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1,417</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4,948</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4,272</w:t>
            </w:r>
          </w:p>
        </w:tc>
      </w:tr>
      <w:tr>
        <w:trPr>
          <w:trHeight w:val="209"/>
        </w:trPr>
        <w:tc>
          <w:tcPr>
            <w:tcW w:w="4980" w:type="dxa"/>
            <w:vAlign w:val="bottom"/>
          </w:tcPr>
          <w:p>
            <w:pPr>
              <w:ind w:left="120"/>
              <w:spacing w:after="0"/>
              <w:rPr>
                <w:sz w:val="20"/>
                <w:szCs w:val="20"/>
                <w:color w:val="auto"/>
              </w:rPr>
            </w:pPr>
            <w:r>
              <w:rPr>
                <w:rFonts w:ascii="Arial" w:cs="Arial" w:eastAsia="Arial" w:hAnsi="Arial"/>
                <w:sz w:val="16"/>
                <w:szCs w:val="16"/>
                <w:color w:val="auto"/>
              </w:rPr>
              <w:t>Total Gas Utilities Revenue</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174,285</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208,288</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1,103,921</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1,103,849</w:t>
            </w:r>
          </w:p>
        </w:tc>
      </w:tr>
      <w:tr>
        <w:trPr>
          <w:trHeight w:val="210"/>
        </w:trPr>
        <w:tc>
          <w:tcPr>
            <w:tcW w:w="4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3"/>
        </w:trPr>
        <w:tc>
          <w:tcPr>
            <w:tcW w:w="4980" w:type="dxa"/>
            <w:vAlign w:val="bottom"/>
          </w:tcPr>
          <w:p>
            <w:pPr>
              <w:ind w:left="120"/>
              <w:spacing w:after="0"/>
              <w:rPr>
                <w:sz w:val="20"/>
                <w:szCs w:val="20"/>
                <w:color w:val="auto"/>
              </w:rPr>
            </w:pPr>
            <w:r>
              <w:rPr>
                <w:rFonts w:ascii="Arial" w:cs="Arial" w:eastAsia="Arial" w:hAnsi="Arial"/>
                <w:sz w:val="16"/>
                <w:szCs w:val="16"/>
                <w:color w:val="auto"/>
              </w:rPr>
              <w:t>Inter-segment eliminations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(4,488 )</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(4,345 )</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(13,464 )</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(13,058 )</w:t>
            </w:r>
          </w:p>
        </w:tc>
      </w:tr>
      <w:tr>
        <w:trPr>
          <w:trHeight w:val="219"/>
        </w:trPr>
        <w:tc>
          <w:tcPr>
            <w:tcW w:w="49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r>
      <w:tr>
        <w:trPr>
          <w:trHeight w:val="210"/>
        </w:trPr>
        <w:tc>
          <w:tcPr>
            <w:tcW w:w="498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407,126</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462,612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1,739,568</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1,760,377</w:t>
            </w: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6"/>
        </w:trPr>
        <w:tc>
          <w:tcPr>
            <w:tcW w:w="4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Electric Utilities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83,016</w:t>
            </w:r>
          </w:p>
        </w:tc>
        <w:tc>
          <w:tcPr>
            <w:tcW w:w="3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69,483</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190,695</w:t>
            </w:r>
          </w:p>
        </w:tc>
        <w:tc>
          <w:tcPr>
            <w:tcW w:w="3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165,455</w:t>
            </w:r>
          </w:p>
        </w:tc>
      </w:tr>
      <w:tr>
        <w:trPr>
          <w:trHeight w:val="213"/>
        </w:trPr>
        <w:tc>
          <w:tcPr>
            <w:tcW w:w="4980" w:type="dxa"/>
            <w:vAlign w:val="bottom"/>
          </w:tcPr>
          <w:p>
            <w:pPr>
              <w:ind w:left="120"/>
              <w:spacing w:after="0"/>
              <w:rPr>
                <w:sz w:val="20"/>
                <w:szCs w:val="20"/>
                <w:color w:val="auto"/>
              </w:rPr>
            </w:pPr>
            <w:r>
              <w:rPr>
                <w:rFonts w:ascii="Arial" w:cs="Arial" w:eastAsia="Arial" w:hAnsi="Arial"/>
                <w:sz w:val="16"/>
                <w:szCs w:val="16"/>
                <w:color w:val="auto"/>
              </w:rPr>
              <w:t>Gas Utilities</w:t>
            </w:r>
          </w:p>
        </w:tc>
        <w:tc>
          <w:tcPr>
            <w:tcW w:w="16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15,400</w:t>
            </w:r>
          </w:p>
        </w:tc>
        <w:tc>
          <w:tcPr>
            <w:tcW w:w="3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10,583</w:t>
            </w:r>
          </w:p>
        </w:tc>
        <w:tc>
          <w:tcPr>
            <w:tcW w:w="1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147,750</w:t>
            </w:r>
          </w:p>
        </w:tc>
        <w:tc>
          <w:tcPr>
            <w:tcW w:w="34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162,318</w:t>
            </w:r>
          </w:p>
        </w:tc>
      </w:tr>
      <w:tr>
        <w:trPr>
          <w:trHeight w:val="219"/>
        </w:trPr>
        <w:tc>
          <w:tcPr>
            <w:tcW w:w="4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Corporate and Other</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(645 )</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(587 )</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(2,275 )</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(2,552 )</w:t>
            </w:r>
          </w:p>
        </w:tc>
      </w:tr>
      <w:tr>
        <w:trPr>
          <w:trHeight w:val="210"/>
        </w:trPr>
        <w:tc>
          <w:tcPr>
            <w:tcW w:w="4980" w:type="dxa"/>
            <w:vAlign w:val="bottom"/>
          </w:tcPr>
          <w:p>
            <w:pPr>
              <w:ind w:left="20"/>
              <w:spacing w:after="0"/>
              <w:rPr>
                <w:sz w:val="20"/>
                <w:szCs w:val="20"/>
                <w:color w:val="auto"/>
              </w:rPr>
            </w:pPr>
            <w:r>
              <w:rPr>
                <w:rFonts w:ascii="Arial" w:cs="Arial" w:eastAsia="Arial" w:hAnsi="Arial"/>
                <w:sz w:val="16"/>
                <w:szCs w:val="16"/>
                <w:color w:val="auto"/>
              </w:rPr>
              <w:t>Total Operating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97,771</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79,479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336,170</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325,221</w:t>
            </w: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93"/>
        </w:trPr>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ind w:left="400"/>
              <w:spacing w:after="0"/>
              <w:rPr>
                <w:sz w:val="20"/>
                <w:szCs w:val="20"/>
                <w:color w:val="auto"/>
              </w:rPr>
            </w:pPr>
            <w:r>
              <w:rPr>
                <w:rFonts w:ascii="Arial" w:cs="Arial" w:eastAsia="Arial" w:hAnsi="Arial"/>
                <w:sz w:val="16"/>
                <w:szCs w:val="16"/>
                <w:color w:val="auto"/>
              </w:rPr>
              <w:t>26</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94"/>
        </w:trPr>
        <w:tc>
          <w:tcPr>
            <w:tcW w:w="49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66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787"/>
        </w:trPr>
        <w:tc>
          <w:tcPr>
            <w:tcW w:w="66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Total assets (net of inter-segment eliminations) as of:</w:t>
            </w: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September 30, 2023</w:t>
            </w:r>
          </w:p>
        </w:tc>
        <w:tc>
          <w:tcPr>
            <w:tcW w:w="3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December 31, 2022</w:t>
            </w:r>
          </w:p>
        </w:tc>
      </w:tr>
      <w:tr>
        <w:trPr>
          <w:trHeight w:val="213"/>
        </w:trPr>
        <w:tc>
          <w:tcPr>
            <w:tcW w:w="66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Electric Utilities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3,938,835</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3,929,721</w:t>
            </w:r>
          </w:p>
        </w:tc>
      </w:tr>
      <w:tr>
        <w:trPr>
          <w:trHeight w:val="213"/>
        </w:trPr>
        <w:tc>
          <w:tcPr>
            <w:tcW w:w="6600" w:type="dxa"/>
            <w:vAlign w:val="bottom"/>
            <w:gridSpan w:val="2"/>
          </w:tcPr>
          <w:p>
            <w:pPr>
              <w:ind w:left="200"/>
              <w:spacing w:after="0"/>
              <w:rPr>
                <w:sz w:val="20"/>
                <w:szCs w:val="20"/>
                <w:color w:val="auto"/>
              </w:rPr>
            </w:pPr>
            <w:r>
              <w:rPr>
                <w:rFonts w:ascii="Arial" w:cs="Arial" w:eastAsia="Arial" w:hAnsi="Arial"/>
                <w:sz w:val="16"/>
                <w:szCs w:val="16"/>
                <w:color w:val="auto"/>
              </w:rPr>
              <w:t>Gas Utilities</w:t>
            </w: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5,301,383</w:t>
            </w:r>
          </w:p>
        </w:tc>
        <w:tc>
          <w:tcPr>
            <w:tcW w:w="300" w:type="dxa"/>
            <w:vAlign w:val="bottom"/>
          </w:tcPr>
          <w:p>
            <w:pPr>
              <w:spacing w:after="0"/>
              <w:rPr>
                <w:sz w:val="18"/>
                <w:szCs w:val="18"/>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5,578,282</w:t>
            </w:r>
          </w:p>
        </w:tc>
      </w:tr>
      <w:tr>
        <w:trPr>
          <w:trHeight w:val="219"/>
        </w:trPr>
        <w:tc>
          <w:tcPr>
            <w:tcW w:w="66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Corporate and Other</w:t>
            </w:r>
          </w:p>
        </w:tc>
        <w:tc>
          <w:tcPr>
            <w:tcW w:w="240" w:type="dxa"/>
            <w:vAlign w:val="bottom"/>
            <w:tcBorders>
              <w:bottom w:val="single" w:sz="8" w:color="auto"/>
            </w:tcBorders>
            <w:shd w:val="clear" w:color="auto" w:fill="CFF0FC"/>
          </w:tcPr>
          <w:p>
            <w:pPr>
              <w:spacing w:after="0"/>
              <w:rPr>
                <w:sz w:val="19"/>
                <w:szCs w:val="19"/>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692,710</w:t>
            </w:r>
          </w:p>
        </w:tc>
        <w:tc>
          <w:tcPr>
            <w:tcW w:w="300" w:type="dxa"/>
            <w:vAlign w:val="bottom"/>
            <w:tcBorders>
              <w:bottom w:val="single" w:sz="8" w:color="auto"/>
            </w:tcBorders>
            <w:shd w:val="clear" w:color="auto" w:fill="CFF0FC"/>
          </w:tcPr>
          <w:p>
            <w:pPr>
              <w:spacing w:after="0"/>
              <w:rPr>
                <w:sz w:val="19"/>
                <w:szCs w:val="19"/>
                <w:color w:val="auto"/>
              </w:rPr>
            </w:pPr>
          </w:p>
        </w:tc>
        <w:tc>
          <w:tcPr>
            <w:tcW w:w="2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110,227</w:t>
            </w:r>
          </w:p>
        </w:tc>
      </w:tr>
      <w:tr>
        <w:trPr>
          <w:trHeight w:val="209"/>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9,932,928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9,618,230</w:t>
            </w:r>
          </w:p>
        </w:tc>
      </w:tr>
      <w:tr>
        <w:trPr>
          <w:trHeight w:val="20"/>
        </w:trPr>
        <w:tc>
          <w:tcPr>
            <w:tcW w:w="13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Selected Balance Sheet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 and Allowance for Credit Losses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net included in the accompanying Consolidated Balance Sheets (in thousands) as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September 30, 2023</w:t>
            </w: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December 31, 2022</w:t>
            </w:r>
          </w:p>
        </w:tc>
      </w:tr>
      <w:tr>
        <w:trPr>
          <w:trHeight w:val="213"/>
        </w:trPr>
        <w:tc>
          <w:tcPr>
            <w:tcW w:w="5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Billed Accounts Receivable</w:t>
            </w:r>
          </w:p>
        </w:tc>
        <w:tc>
          <w:tcPr>
            <w:tcW w:w="2100" w:type="dxa"/>
            <w:vAlign w:val="bottom"/>
            <w:shd w:val="clear" w:color="auto" w:fill="CFF0FC"/>
          </w:tcPr>
          <w:p>
            <w:pPr>
              <w:jc w:val="right"/>
              <w:ind w:right="19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164,171</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2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267,571</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Unbilled Revenue</w:t>
            </w:r>
          </w:p>
        </w:tc>
        <w:tc>
          <w:tcPr>
            <w:tcW w:w="21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66,478</w:t>
            </w:r>
          </w:p>
        </w:tc>
        <w:tc>
          <w:tcPr>
            <w:tcW w:w="380" w:type="dxa"/>
            <w:vAlign w:val="bottom"/>
          </w:tcPr>
          <w:p>
            <w:pPr>
              <w:spacing w:after="0"/>
              <w:rPr>
                <w:sz w:val="18"/>
                <w:szCs w:val="18"/>
                <w:color w:val="auto"/>
              </w:rPr>
            </w:pPr>
          </w:p>
        </w:tc>
        <w:tc>
          <w:tcPr>
            <w:tcW w:w="2400" w:type="dxa"/>
            <w:vAlign w:val="bottom"/>
          </w:tcPr>
          <w:p>
            <w:pPr>
              <w:jc w:val="right"/>
              <w:ind w:right="39"/>
              <w:spacing w:after="0"/>
              <w:rPr>
                <w:sz w:val="20"/>
                <w:szCs w:val="20"/>
                <w:color w:val="auto"/>
              </w:rPr>
            </w:pPr>
            <w:r>
              <w:rPr>
                <w:rFonts w:ascii="Arial" w:cs="Arial" w:eastAsia="Arial" w:hAnsi="Arial"/>
                <w:sz w:val="16"/>
                <w:szCs w:val="16"/>
                <w:color w:val="auto"/>
              </w:rPr>
              <w:t>243,574</w:t>
            </w:r>
          </w:p>
        </w:tc>
      </w:tr>
      <w:tr>
        <w:trPr>
          <w:trHeight w:val="219"/>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Less: Allowance for Credit Losses</w:t>
            </w:r>
          </w:p>
        </w:tc>
        <w:tc>
          <w:tcPr>
            <w:tcW w:w="2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(1,819 )</w:t>
            </w:r>
          </w:p>
        </w:tc>
        <w:tc>
          <w:tcPr>
            <w:tcW w:w="380" w:type="dxa"/>
            <w:vAlign w:val="bottom"/>
            <w:tcBorders>
              <w:bottom w:val="single" w:sz="8" w:color="auto"/>
            </w:tcBorders>
            <w:shd w:val="clear" w:color="auto" w:fill="CFF0FC"/>
          </w:tcPr>
          <w:p>
            <w:pPr>
              <w:spacing w:after="0"/>
              <w:rPr>
                <w:sz w:val="19"/>
                <w:szCs w:val="19"/>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(2,953 )</w:t>
            </w:r>
          </w:p>
        </w:tc>
      </w:tr>
      <w:tr>
        <w:trPr>
          <w:trHeight w:val="209"/>
        </w:trPr>
        <w:tc>
          <w:tcPr>
            <w:tcW w:w="5660" w:type="dxa"/>
            <w:vAlign w:val="bottom"/>
          </w:tcPr>
          <w:p>
            <w:pPr>
              <w:ind w:left="20"/>
              <w:spacing w:after="0"/>
              <w:rPr>
                <w:sz w:val="20"/>
                <w:szCs w:val="20"/>
                <w:color w:val="auto"/>
              </w:rPr>
            </w:pPr>
            <w:r>
              <w:rPr>
                <w:rFonts w:ascii="Arial" w:cs="Arial" w:eastAsia="Arial" w:hAnsi="Arial"/>
                <w:sz w:val="16"/>
                <w:szCs w:val="16"/>
                <w:color w:val="auto"/>
              </w:rPr>
              <w:t>Account Receivable, net</w:t>
            </w:r>
          </w:p>
        </w:tc>
        <w:tc>
          <w:tcPr>
            <w:tcW w:w="2100" w:type="dxa"/>
            <w:vAlign w:val="bottom"/>
            <w:tcBorders>
              <w:bottom w:val="single" w:sz="8" w:color="auto"/>
            </w:tcBorders>
          </w:tcPr>
          <w:p>
            <w:pPr>
              <w:jc w:val="right"/>
              <w:ind w:right="19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228,830</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508,192</w:t>
            </w:r>
          </w:p>
        </w:tc>
      </w:tr>
      <w:tr>
        <w:trPr>
          <w:trHeight w:val="20"/>
        </w:trPr>
        <w:tc>
          <w:tcPr>
            <w:tcW w:w="56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nine months ended September 30, 2023 and 2022, respectively,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Balance at Beginning of</w:t>
            </w:r>
          </w:p>
        </w:tc>
        <w:tc>
          <w:tcPr>
            <w:tcW w:w="1880" w:type="dxa"/>
            <w:vAlign w:val="bottom"/>
            <w:gridSpan w:val="2"/>
          </w:tcPr>
          <w:p>
            <w:pPr>
              <w:jc w:val="right"/>
              <w:ind w:right="119"/>
              <w:spacing w:after="0"/>
              <w:rPr>
                <w:sz w:val="20"/>
                <w:szCs w:val="20"/>
                <w:color w:val="auto"/>
              </w:rPr>
            </w:pPr>
            <w:r>
              <w:rPr>
                <w:rFonts w:ascii="Arial" w:cs="Arial" w:eastAsia="Arial" w:hAnsi="Arial"/>
                <w:sz w:val="16"/>
                <w:szCs w:val="16"/>
                <w:color w:val="auto"/>
              </w:rPr>
              <w:t>Additions Charged to</w:t>
            </w:r>
          </w:p>
        </w:tc>
        <w:tc>
          <w:tcPr>
            <w:tcW w:w="1820" w:type="dxa"/>
            <w:vAlign w:val="bottom"/>
            <w:gridSpan w:val="2"/>
          </w:tcPr>
          <w:p>
            <w:pPr>
              <w:jc w:val="right"/>
              <w:ind w:right="59"/>
              <w:spacing w:after="0"/>
              <w:rPr>
                <w:sz w:val="20"/>
                <w:szCs w:val="20"/>
                <w:color w:val="auto"/>
              </w:rPr>
            </w:pPr>
            <w:r>
              <w:rPr>
                <w:rFonts w:ascii="Arial" w:cs="Arial" w:eastAsia="Arial" w:hAnsi="Arial"/>
                <w:sz w:val="16"/>
                <w:szCs w:val="16"/>
                <w:color w:val="auto"/>
              </w:rPr>
              <w:t>Recoveries and Other</w:t>
            </w:r>
          </w:p>
        </w:tc>
        <w:tc>
          <w:tcPr>
            <w:tcW w:w="160" w:type="dxa"/>
            <w:vAlign w:val="bottom"/>
          </w:tcPr>
          <w:p>
            <w:pPr>
              <w:spacing w:after="0"/>
              <w:rPr>
                <w:sz w:val="16"/>
                <w:szCs w:val="16"/>
                <w:color w:val="auto"/>
              </w:rPr>
            </w:pPr>
          </w:p>
        </w:tc>
        <w:tc>
          <w:tcPr>
            <w:tcW w:w="1600" w:type="dxa"/>
            <w:vAlign w:val="bottom"/>
          </w:tcPr>
          <w:p>
            <w:pPr>
              <w:spacing w:after="0"/>
              <w:rPr>
                <w:sz w:val="20"/>
                <w:szCs w:val="20"/>
                <w:color w:val="auto"/>
              </w:rPr>
            </w:pPr>
            <w:r>
              <w:rPr>
                <w:rFonts w:ascii="Arial" w:cs="Arial" w:eastAsia="Arial" w:hAnsi="Arial"/>
                <w:sz w:val="16"/>
                <w:szCs w:val="16"/>
                <w:color w:val="auto"/>
              </w:rPr>
              <w:t>Write-offs and Other</w:t>
            </w:r>
          </w:p>
        </w:tc>
        <w:tc>
          <w:tcPr>
            <w:tcW w:w="1940" w:type="dxa"/>
            <w:vAlign w:val="bottom"/>
            <w:gridSpan w:val="2"/>
          </w:tcPr>
          <w:p>
            <w:pPr>
              <w:jc w:val="right"/>
              <w:ind w:right="99"/>
              <w:spacing w:after="0"/>
              <w:rPr>
                <w:sz w:val="20"/>
                <w:szCs w:val="20"/>
                <w:color w:val="auto"/>
              </w:rPr>
            </w:pPr>
            <w:r>
              <w:rPr>
                <w:rFonts w:ascii="Arial" w:cs="Arial" w:eastAsia="Arial" w:hAnsi="Arial"/>
                <w:sz w:val="16"/>
                <w:szCs w:val="16"/>
                <w:color w:val="auto"/>
              </w:rPr>
              <w:t>Balance at September</w:t>
            </w:r>
          </w:p>
        </w:tc>
      </w:tr>
      <w:tr>
        <w:trPr>
          <w:trHeight w:val="210"/>
        </w:trPr>
        <w:tc>
          <w:tcPr>
            <w:tcW w:w="20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Year</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Costs and Expenses</w:t>
            </w: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Additions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Deductions</w:t>
            </w:r>
          </w:p>
        </w:tc>
        <w:tc>
          <w:tcPr>
            <w:tcW w:w="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30,</w:t>
            </w:r>
          </w:p>
        </w:tc>
      </w:tr>
      <w:tr>
        <w:trPr>
          <w:trHeight w:val="213"/>
        </w:trPr>
        <w:tc>
          <w:tcPr>
            <w:tcW w:w="2040" w:type="dxa"/>
            <w:vAlign w:val="bottom"/>
            <w:shd w:val="clear" w:color="auto" w:fill="CFF0FC"/>
          </w:tcPr>
          <w:p>
            <w:pPr>
              <w:jc w:val="right"/>
              <w:ind w:right="1579"/>
              <w:spacing w:after="0"/>
              <w:rPr>
                <w:sz w:val="20"/>
                <w:szCs w:val="20"/>
                <w:color w:val="auto"/>
              </w:rPr>
            </w:pPr>
            <w:r>
              <w:rPr>
                <w:rFonts w:ascii="Arial" w:cs="Arial" w:eastAsia="Arial" w:hAnsi="Arial"/>
                <w:sz w:val="16"/>
                <w:szCs w:val="16"/>
                <w:color w:val="auto"/>
              </w:rPr>
              <w:t>2023</w:t>
            </w:r>
          </w:p>
        </w:tc>
        <w:tc>
          <w:tcPr>
            <w:tcW w:w="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2,953</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7,195</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2,445</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14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(10,774 ) $</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1,819</w:t>
            </w:r>
          </w:p>
        </w:tc>
      </w:tr>
      <w:tr>
        <w:trPr>
          <w:trHeight w:val="210"/>
        </w:trPr>
        <w:tc>
          <w:tcPr>
            <w:tcW w:w="2040" w:type="dxa"/>
            <w:vAlign w:val="bottom"/>
          </w:tcPr>
          <w:p>
            <w:pPr>
              <w:jc w:val="right"/>
              <w:ind w:right="1579"/>
              <w:spacing w:after="0"/>
              <w:rPr>
                <w:sz w:val="20"/>
                <w:szCs w:val="20"/>
                <w:color w:val="auto"/>
              </w:rPr>
            </w:pPr>
            <w:r>
              <w:rPr>
                <w:rFonts w:ascii="Arial" w:cs="Arial" w:eastAsia="Arial" w:hAnsi="Arial"/>
                <w:sz w:val="16"/>
                <w:szCs w:val="16"/>
                <w:color w:val="auto"/>
              </w:rPr>
              <w:t>2022</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6,473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2,117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gridSpan w:val="2"/>
          </w:tcPr>
          <w:p>
            <w:pPr>
              <w:jc w:val="right"/>
              <w:ind w:right="239"/>
              <w:spacing w:after="0"/>
              <w:rPr>
                <w:sz w:val="20"/>
                <w:szCs w:val="20"/>
                <w:color w:val="auto"/>
              </w:rPr>
            </w:pPr>
            <w:r>
              <w:rPr>
                <w:rFonts w:ascii="Arial" w:cs="Arial" w:eastAsia="Arial" w:hAnsi="Arial"/>
                <w:sz w:val="16"/>
                <w:szCs w:val="16"/>
                <w:color w:val="auto"/>
              </w:rPr>
              <w:t>(8,768 ) $</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1,935</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Materials, Supplies and Fuel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Consolidated Balance Sheets (in thousands)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as of:</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Materials and supplies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Fuel - Electric Utilities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Natural gas in storage</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materials, supplies and fuel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Accrued Liabilities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September 30, 2023</w:t>
            </w:r>
          </w:p>
        </w:tc>
        <w:tc>
          <w:tcPr>
            <w:tcW w:w="4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December 31, 2022</w:t>
            </w:r>
          </w:p>
        </w:tc>
      </w:tr>
      <w:tr>
        <w:trPr>
          <w:trHeight w:val="207"/>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2340" w:type="dxa"/>
            <w:vAlign w:val="bottom"/>
          </w:tcPr>
          <w:p>
            <w:pPr>
              <w:jc w:val="right"/>
              <w:spacing w:after="0"/>
              <w:rPr>
                <w:sz w:val="20"/>
                <w:szCs w:val="20"/>
                <w:color w:val="auto"/>
              </w:rPr>
            </w:pPr>
            <w:r>
              <w:rPr>
                <w:rFonts w:ascii="Arial" w:cs="Arial" w:eastAsia="Arial" w:hAnsi="Arial"/>
                <w:sz w:val="16"/>
                <w:szCs w:val="16"/>
                <w:color w:val="auto"/>
              </w:rPr>
              <w:t>104,945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380" w:type="dxa"/>
            <w:vAlign w:val="bottom"/>
          </w:tcPr>
          <w:p>
            <w:pPr>
              <w:jc w:val="right"/>
              <w:ind w:right="39"/>
              <w:spacing w:after="0"/>
              <w:rPr>
                <w:sz w:val="20"/>
                <w:szCs w:val="20"/>
                <w:color w:val="auto"/>
              </w:rPr>
            </w:pPr>
            <w:r>
              <w:rPr>
                <w:rFonts w:ascii="Arial" w:cs="Arial" w:eastAsia="Arial" w:hAnsi="Arial"/>
                <w:sz w:val="16"/>
                <w:szCs w:val="16"/>
                <w:color w:val="auto"/>
              </w:rPr>
              <w:t>99,734</w:t>
            </w:r>
          </w:p>
        </w:tc>
      </w:tr>
      <w:tr>
        <w:trPr>
          <w:trHeight w:val="216"/>
        </w:trPr>
        <w:tc>
          <w:tcPr>
            <w:tcW w:w="3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7,674</w:t>
            </w:r>
          </w:p>
        </w:tc>
        <w:tc>
          <w:tcPr>
            <w:tcW w:w="420" w:type="dxa"/>
            <w:vAlign w:val="bottom"/>
          </w:tcPr>
          <w:p>
            <w:pPr>
              <w:spacing w:after="0"/>
              <w:rPr>
                <w:sz w:val="18"/>
                <w:szCs w:val="18"/>
                <w:color w:val="auto"/>
              </w:rPr>
            </w:pPr>
          </w:p>
        </w:tc>
        <w:tc>
          <w:tcPr>
            <w:tcW w:w="2380" w:type="dxa"/>
            <w:vAlign w:val="bottom"/>
          </w:tcPr>
          <w:p>
            <w:pPr>
              <w:jc w:val="right"/>
              <w:ind w:right="39"/>
              <w:spacing w:after="0"/>
              <w:rPr>
                <w:sz w:val="20"/>
                <w:szCs w:val="20"/>
                <w:color w:val="auto"/>
              </w:rPr>
            </w:pPr>
            <w:r>
              <w:rPr>
                <w:rFonts w:ascii="Arial" w:cs="Arial" w:eastAsia="Arial" w:hAnsi="Arial"/>
                <w:sz w:val="16"/>
                <w:szCs w:val="16"/>
                <w:color w:val="auto"/>
              </w:rPr>
              <w:t>3,115</w:t>
            </w:r>
          </w:p>
        </w:tc>
      </w:tr>
      <w:tr>
        <w:trPr>
          <w:trHeight w:val="219"/>
        </w:trPr>
        <w:tc>
          <w:tcPr>
            <w:tcW w:w="3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55,460</w:t>
            </w:r>
          </w:p>
        </w:tc>
        <w:tc>
          <w:tcPr>
            <w:tcW w:w="4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104,572</w:t>
            </w:r>
          </w:p>
        </w:tc>
      </w:tr>
      <w:tr>
        <w:trPr>
          <w:trHeight w:val="209"/>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168,079</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207,421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-582295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-307975</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62" w:lineRule="exact"/>
        <w:rPr>
          <w:sz w:val="20"/>
          <w:szCs w:val="20"/>
          <w:color w:val="auto"/>
        </w:rPr>
      </w:pPr>
    </w:p>
    <w:p>
      <w:pPr>
        <w:sectPr>
          <w:pgSz w:w="11900" w:h="16838" w:orient="portrait"/>
          <w:cols w:equalWidth="0" w:num="2">
            <w:col w:w="5020" w:space="720"/>
            <w:col w:w="5500"/>
          </w:cols>
          <w:pgMar w:left="320" w:top="118"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Accrued liabilities on the accompanying Consolidated Balance Sheets (in thousands) as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September 30, 2023</w:t>
            </w: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December 31, 2022</w:t>
            </w:r>
          </w:p>
        </w:tc>
      </w:tr>
      <w:tr>
        <w:trPr>
          <w:trHeight w:val="213"/>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employee compensation, benefits and withholdings</w:t>
            </w:r>
          </w:p>
        </w:tc>
        <w:tc>
          <w:tcPr>
            <w:tcW w:w="2100" w:type="dxa"/>
            <w:vAlign w:val="bottom"/>
            <w:shd w:val="clear" w:color="auto" w:fill="CFF0FC"/>
          </w:tcPr>
          <w:p>
            <w:pPr>
              <w:jc w:val="right"/>
              <w:ind w:right="19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65,620</w:t>
            </w:r>
          </w:p>
        </w:tc>
        <w:tc>
          <w:tcPr>
            <w:tcW w:w="3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62,890</w:t>
            </w: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2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46,309</w:t>
            </w:r>
          </w:p>
        </w:tc>
        <w:tc>
          <w:tcPr>
            <w:tcW w:w="380" w:type="dxa"/>
            <w:vAlign w:val="bottom"/>
          </w:tcPr>
          <w:p>
            <w:pPr>
              <w:spacing w:after="0"/>
              <w:rPr>
                <w:sz w:val="18"/>
                <w:szCs w:val="18"/>
                <w:color w:val="auto"/>
              </w:rPr>
            </w:pPr>
          </w:p>
        </w:tc>
        <w:tc>
          <w:tcPr>
            <w:tcW w:w="2300" w:type="dxa"/>
            <w:vAlign w:val="bottom"/>
          </w:tcPr>
          <w:p>
            <w:pPr>
              <w:jc w:val="right"/>
              <w:ind w:right="39"/>
              <w:spacing w:after="0"/>
              <w:rPr>
                <w:sz w:val="20"/>
                <w:szCs w:val="20"/>
                <w:color w:val="auto"/>
              </w:rPr>
            </w:pPr>
            <w:r>
              <w:rPr>
                <w:rFonts w:ascii="Arial" w:cs="Arial" w:eastAsia="Arial" w:hAnsi="Arial"/>
                <w:sz w:val="16"/>
                <w:szCs w:val="16"/>
                <w:color w:val="auto"/>
              </w:rPr>
              <w:t>52,430</w:t>
            </w:r>
          </w:p>
        </w:tc>
      </w:tr>
      <w:tr>
        <w:trPr>
          <w:trHeight w:val="219"/>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Customer deposits and prepayments</w:t>
            </w:r>
          </w:p>
        </w:tc>
        <w:tc>
          <w:tcPr>
            <w:tcW w:w="2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57,100</w:t>
            </w:r>
          </w:p>
        </w:tc>
        <w:tc>
          <w:tcPr>
            <w:tcW w:w="380" w:type="dxa"/>
            <w:vAlign w:val="bottom"/>
            <w:shd w:val="clear" w:color="auto" w:fill="CFF0FC"/>
          </w:tcPr>
          <w:p>
            <w:pPr>
              <w:spacing w:after="0"/>
              <w:rPr>
                <w:sz w:val="19"/>
                <w:szCs w:val="19"/>
                <w:color w:val="auto"/>
              </w:rPr>
            </w:pPr>
          </w:p>
        </w:tc>
        <w:tc>
          <w:tcPr>
            <w:tcW w:w="2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47,655</w:t>
            </w: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49,314</w:t>
            </w:r>
          </w:p>
        </w:tc>
        <w:tc>
          <w:tcPr>
            <w:tcW w:w="380" w:type="dxa"/>
            <w:vAlign w:val="bottom"/>
          </w:tcPr>
          <w:p>
            <w:pPr>
              <w:spacing w:after="0"/>
              <w:rPr>
                <w:sz w:val="18"/>
                <w:szCs w:val="18"/>
                <w:color w:val="auto"/>
              </w:rPr>
            </w:pPr>
          </w:p>
        </w:tc>
        <w:tc>
          <w:tcPr>
            <w:tcW w:w="2300" w:type="dxa"/>
            <w:vAlign w:val="bottom"/>
          </w:tcPr>
          <w:p>
            <w:pPr>
              <w:jc w:val="right"/>
              <w:ind w:right="39"/>
              <w:spacing w:after="0"/>
              <w:rPr>
                <w:sz w:val="20"/>
                <w:szCs w:val="20"/>
                <w:color w:val="auto"/>
              </w:rPr>
            </w:pPr>
            <w:r>
              <w:rPr>
                <w:rFonts w:ascii="Arial" w:cs="Arial" w:eastAsia="Arial" w:hAnsi="Arial"/>
                <w:sz w:val="16"/>
                <w:szCs w:val="16"/>
                <w:color w:val="auto"/>
              </w:rPr>
              <w:t>33,798</w:t>
            </w:r>
          </w:p>
        </w:tc>
      </w:tr>
      <w:tr>
        <w:trPr>
          <w:trHeight w:val="219"/>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(none of which is individually significant)</w:t>
            </w:r>
          </w:p>
        </w:tc>
        <w:tc>
          <w:tcPr>
            <w:tcW w:w="2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39,115</w:t>
            </w:r>
          </w:p>
        </w:tc>
        <w:tc>
          <w:tcPr>
            <w:tcW w:w="380" w:type="dxa"/>
            <w:vAlign w:val="bottom"/>
            <w:tcBorders>
              <w:bottom w:val="single" w:sz="8" w:color="auto"/>
            </w:tcBorders>
            <w:shd w:val="clear" w:color="auto" w:fill="CFF0FC"/>
          </w:tcPr>
          <w:p>
            <w:pPr>
              <w:spacing w:after="0"/>
              <w:rPr>
                <w:sz w:val="19"/>
                <w:szCs w:val="19"/>
                <w:color w:val="auto"/>
              </w:rPr>
            </w:pPr>
          </w:p>
        </w:tc>
        <w:tc>
          <w:tcPr>
            <w:tcW w:w="2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46,684</w:t>
            </w:r>
          </w:p>
        </w:tc>
      </w:tr>
      <w:tr>
        <w:trPr>
          <w:trHeight w:val="210"/>
        </w:trPr>
        <w:tc>
          <w:tcPr>
            <w:tcW w:w="5780" w:type="dxa"/>
            <w:vAlign w:val="bottom"/>
          </w:tcPr>
          <w:p>
            <w:pPr>
              <w:ind w:left="200"/>
              <w:spacing w:after="0"/>
              <w:rPr>
                <w:sz w:val="20"/>
                <w:szCs w:val="20"/>
                <w:color w:val="auto"/>
              </w:rPr>
            </w:pPr>
            <w:r>
              <w:rPr>
                <w:rFonts w:ascii="Arial" w:cs="Arial" w:eastAsia="Arial" w:hAnsi="Arial"/>
                <w:sz w:val="16"/>
                <w:szCs w:val="16"/>
                <w:color w:val="auto"/>
              </w:rPr>
              <w:t>Total accrued liabilities</w:t>
            </w:r>
          </w:p>
        </w:tc>
        <w:tc>
          <w:tcPr>
            <w:tcW w:w="2100" w:type="dxa"/>
            <w:vAlign w:val="bottom"/>
            <w:tcBorders>
              <w:bottom w:val="single" w:sz="8" w:color="auto"/>
            </w:tcBorders>
          </w:tcPr>
          <w:p>
            <w:pPr>
              <w:jc w:val="right"/>
              <w:ind w:right="19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257,458</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243,457</w:t>
            </w:r>
          </w:p>
        </w:tc>
      </w:tr>
      <w:tr>
        <w:trPr>
          <w:trHeight w:val="20"/>
        </w:trPr>
        <w:tc>
          <w:tcPr>
            <w:tcW w:w="57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 xml:space="preserve">Except as described in </w:t>
      </w:r>
      <w:r>
        <w:rPr>
          <w:rFonts w:ascii="Arial" w:cs="Arial" w:eastAsia="Arial" w:hAnsi="Arial"/>
          <w:sz w:val="16"/>
          <w:szCs w:val="16"/>
          <w:u w:val="single" w:color="auto"/>
          <w:color w:val="0000FF"/>
        </w:rPr>
        <w:t>Notes 2</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3</w:t>
      </w:r>
      <w:r>
        <w:rPr>
          <w:rFonts w:ascii="Arial" w:cs="Arial" w:eastAsia="Arial" w:hAnsi="Arial"/>
          <w:sz w:val="16"/>
          <w:szCs w:val="16"/>
          <w:color w:val="auto"/>
        </w:rPr>
        <w:t>, there have been no events subsequent to September 30, 2023, which would require recognition in the Consolidated Financial Statements or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-158750</wp:posOffset>
            </wp:positionV>
            <wp:extent cx="3543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433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-158750</wp:posOffset>
            </wp:positionV>
            <wp:extent cx="571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The following discussions should be read in conjunction with the Notes contained herein and Management's Discussion and Analysis of Financial Condition and Results of Operations appearing in the 2022 Form 10-K.</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Executive Summary</w:t>
      </w:r>
    </w:p>
    <w:p>
      <w:pPr>
        <w:spacing w:after="0" w:line="198"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We are a customer-focused energy solutions provider with a mission of </w:t>
      </w:r>
      <w:r>
        <w:rPr>
          <w:rFonts w:ascii="Arial" w:cs="Arial" w:eastAsia="Arial" w:hAnsi="Arial"/>
          <w:sz w:val="16"/>
          <w:szCs w:val="16"/>
          <w:i w:val="1"/>
          <w:iCs w:val="1"/>
          <w:color w:val="auto"/>
        </w:rPr>
        <w:t>Improving Life with Energy</w:t>
      </w:r>
      <w:r>
        <w:rPr>
          <w:rFonts w:ascii="Arial" w:cs="Arial" w:eastAsia="Arial" w:hAnsi="Arial"/>
          <w:sz w:val="16"/>
          <w:szCs w:val="16"/>
          <w:color w:val="auto"/>
        </w:rPr>
        <w:t xml:space="preserve"> for more than 1.3 million customers and 800+ communities we serve. Our vision to be the </w:t>
      </w:r>
      <w:r>
        <w:rPr>
          <w:rFonts w:ascii="Arial" w:cs="Arial" w:eastAsia="Arial" w:hAnsi="Arial"/>
          <w:sz w:val="16"/>
          <w:szCs w:val="16"/>
          <w:i w:val="1"/>
          <w:iCs w:val="1"/>
          <w:color w:val="auto"/>
        </w:rPr>
        <w:t>Energy Partner of Choice</w:t>
      </w:r>
      <w:r>
        <w:rPr>
          <w:rFonts w:ascii="Arial" w:cs="Arial" w:eastAsia="Arial" w:hAnsi="Arial"/>
          <w:sz w:val="16"/>
          <w:szCs w:val="16"/>
          <w:color w:val="auto"/>
        </w:rPr>
        <w:t xml:space="preserve"> directs our strategy to invest in the safety, sustainability and growth of our eight-state service territory, including Arkansas, Colorado, Iowa, Kansas, Montana, Nebraska, South Dakota and Wyoming, and to meet our essential objective of providing safe, reliable and cost-effective electricity and natural gas.</w:t>
      </w:r>
    </w:p>
    <w:p>
      <w:pPr>
        <w:spacing w:after="0" w:line="158"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We conduct our utility operations under the name Black Hills Energy predominantly in rural areas of the Rocky Mountains and Midwestern states. We consider ourself a domestic electric and natural gas utility company.</w:t>
      </w:r>
    </w:p>
    <w:p>
      <w:pPr>
        <w:spacing w:after="0" w:line="156"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We have provided energy and served customers for 139 years, since the 1883 gold rush days in Deadwood, South Dakota. Throughout our history, the common thread that unites the past to the present is our commitment to serve our customers and communities. By being responsive and service focused, we can help our customers and communities thrive while meeting rapidly changing customer expectations.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Recent Developments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194"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Wyoming Electric.</w:t>
      </w:r>
    </w:p>
    <w:p>
      <w:pPr>
        <w:spacing w:after="0" w:line="207" w:lineRule="exact"/>
        <w:rPr>
          <w:rFonts w:ascii="Arial" w:cs="Arial" w:eastAsia="Arial" w:hAnsi="Arial"/>
          <w:sz w:val="16"/>
          <w:szCs w:val="16"/>
          <w:color w:val="auto"/>
        </w:rPr>
      </w:pPr>
    </w:p>
    <w:p>
      <w:pPr>
        <w:ind w:left="1020" w:hanging="503"/>
        <w:spacing w:after="0" w:line="252"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July 31, 2023, Colorado Electric issued a request for proposals for 400 MW of new resources to be in service between 2026 and 2029 to achieve objectives in its Clean Energy Plan. In March 2023, the CPUC approved a unanimous settlement for Colorado Electric's Clean Energy Plan filed May 25, 2022. The Clean Energy Plan supports Colorado Electric's voluntary election to reduce carbon emissions 80% from 2005 levels by 2030. Final bids were due in October 2023, and we received a diverse project proposal response. We are evaluating bids and expect a publicly available bid summary in the 30-day report on November 19, 2023, and will select finalists as part of a 120-day report to be submitted to the CPUC during the first quarter of 2024.</w:t>
      </w:r>
    </w:p>
    <w:p>
      <w:pPr>
        <w:spacing w:after="0" w:line="163" w:lineRule="exact"/>
        <w:rPr>
          <w:rFonts w:ascii="Arial" w:cs="Arial" w:eastAsia="Arial" w:hAnsi="Arial"/>
          <w:sz w:val="16"/>
          <w:szCs w:val="16"/>
          <w:color w:val="auto"/>
        </w:rPr>
      </w:pPr>
    </w:p>
    <w:p>
      <w:pPr>
        <w:ind w:left="1020" w:right="280" w:hanging="503"/>
        <w:spacing w:after="0" w:line="276"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July 24, 2023, Wyoming Electric set a new all-time and summer peak load of 312 MW, surpassing the previous peak of 294 MW set on July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-1247775</wp:posOffset>
            </wp:positionV>
            <wp:extent cx="302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194" w:lineRule="exact"/>
        <w:rPr>
          <w:sz w:val="20"/>
          <w:szCs w:val="20"/>
          <w:color w:val="auto"/>
        </w:rPr>
      </w:pPr>
    </w:p>
    <w:p>
      <w:pPr>
        <w:ind w:left="1020" w:right="560" w:hanging="503"/>
        <w:spacing w:after="0" w:line="276"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Colorado Gas, RMNG and Wyoming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-158750</wp:posOffset>
            </wp:positionV>
            <wp:extent cx="302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194" w:lineRule="exact"/>
        <w:rPr>
          <w:sz w:val="20"/>
          <w:szCs w:val="20"/>
          <w:color w:val="auto"/>
        </w:rPr>
      </w:pPr>
    </w:p>
    <w:p>
      <w:pPr>
        <w:ind w:left="1020" w:right="60" w:hanging="503"/>
        <w:spacing w:after="0" w:line="276"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Condensed Notes to Consolidated Financial Statements for recent updates regarding the GT Resources, LLC v. Black Hills Corporation lawsuit.</w:t>
      </w:r>
    </w:p>
    <w:p>
      <w:pPr>
        <w:spacing w:after="0" w:line="143" w:lineRule="exact"/>
        <w:rPr>
          <w:rFonts w:ascii="Arial" w:cs="Arial" w:eastAsia="Arial" w:hAnsi="Arial"/>
          <w:sz w:val="16"/>
          <w:szCs w:val="16"/>
          <w:color w:val="auto"/>
        </w:rPr>
      </w:pPr>
    </w:p>
    <w:p>
      <w:pPr>
        <w:ind w:left="1020" w:right="260" w:hanging="503"/>
        <w:spacing w:after="0" w:line="276"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information regarding our March 7, 2023 and September 15, 2023 debt offerings.</w:t>
      </w:r>
    </w:p>
    <w:p>
      <w:pPr>
        <w:spacing w:after="0" w:line="143" w:lineRule="exact"/>
        <w:rPr>
          <w:rFonts w:ascii="Arial" w:cs="Arial" w:eastAsia="Arial" w:hAnsi="Arial"/>
          <w:sz w:val="16"/>
          <w:szCs w:val="16"/>
          <w:color w:val="auto"/>
        </w:rPr>
      </w:pPr>
    </w:p>
    <w:p>
      <w:pPr>
        <w:ind w:left="1020" w:right="200" w:hanging="503"/>
        <w:spacing w:after="0" w:line="276"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information regarding our new shelf registration with the SEC and our new Equity Distribution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-878840</wp:posOffset>
            </wp:positionV>
            <wp:extent cx="302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2895"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-518795</wp:posOffset>
            </wp:positionV>
            <wp:extent cx="302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2895"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-158750</wp:posOffset>
            </wp:positionV>
            <wp:extent cx="302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02"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nine months ended September 30, 2023 and 2022, and our financial condition as of September 30, 2023 and December 31, 2022, are not necessarily indicative of the results of operations and financial condition to be expected as of or for any other period or for the entire year.</w:t>
      </w:r>
    </w:p>
    <w:p>
      <w:pPr>
        <w:spacing w:after="0" w:line="165" w:lineRule="exact"/>
        <w:rPr>
          <w:sz w:val="20"/>
          <w:szCs w:val="20"/>
          <w:color w:val="auto"/>
        </w:rPr>
      </w:pPr>
    </w:p>
    <w:p>
      <w:pPr>
        <w:ind w:right="580"/>
        <w:spacing w:after="0" w:line="276" w:lineRule="auto"/>
        <w:rPr>
          <w:sz w:val="20"/>
          <w:szCs w:val="20"/>
          <w:color w:val="auto"/>
        </w:rPr>
      </w:pPr>
      <w:r>
        <w:rPr>
          <w:rFonts w:ascii="Arial" w:cs="Arial" w:eastAsia="Arial" w:hAnsi="Arial"/>
          <w:sz w:val="16"/>
          <w:szCs w:val="16"/>
          <w:color w:val="auto"/>
        </w:rPr>
        <w:t>Segment information does not include inter-segment eliminations and all amounts are presented on a pre-tax basis unless otherwise indicated. Minor differences in amounts may result due to rounding.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60" w:type="dxa"/>
            <w:vAlign w:val="bottom"/>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80"/>
        </w:trPr>
        <w:tc>
          <w:tcPr>
            <w:tcW w:w="4760" w:type="dxa"/>
            <w:vAlign w:val="bottom"/>
          </w:tcPr>
          <w:p>
            <w:pPr>
              <w:spacing w:after="0"/>
              <w:rPr>
                <w:sz w:val="24"/>
                <w:szCs w:val="24"/>
                <w:color w:val="auto"/>
              </w:rPr>
            </w:pPr>
          </w:p>
        </w:tc>
        <w:tc>
          <w:tcPr>
            <w:tcW w:w="3260" w:type="dxa"/>
            <w:vAlign w:val="bottom"/>
            <w:gridSpan w:val="4"/>
          </w:tcPr>
          <w:p>
            <w:pPr>
              <w:jc w:val="right"/>
              <w:ind w:right="299"/>
              <w:spacing w:after="0"/>
              <w:rPr>
                <w:sz w:val="20"/>
                <w:szCs w:val="20"/>
                <w:color w:val="auto"/>
              </w:rPr>
            </w:pPr>
            <w:r>
              <w:rPr>
                <w:rFonts w:ascii="Arial" w:cs="Arial" w:eastAsia="Arial" w:hAnsi="Arial"/>
                <w:sz w:val="16"/>
                <w:szCs w:val="16"/>
                <w:color w:val="auto"/>
              </w:rPr>
              <w:t>Three Months Ended September 30,</w:t>
            </w:r>
          </w:p>
        </w:tc>
        <w:tc>
          <w:tcPr>
            <w:tcW w:w="200" w:type="dxa"/>
            <w:vAlign w:val="bottom"/>
          </w:tcPr>
          <w:p>
            <w:pPr>
              <w:spacing w:after="0"/>
              <w:rPr>
                <w:sz w:val="24"/>
                <w:szCs w:val="24"/>
                <w:color w:val="auto"/>
              </w:rPr>
            </w:pPr>
          </w:p>
        </w:tc>
        <w:tc>
          <w:tcPr>
            <w:tcW w:w="3020" w:type="dxa"/>
            <w:vAlign w:val="bottom"/>
            <w:gridSpan w:val="3"/>
          </w:tcPr>
          <w:p>
            <w:pPr>
              <w:jc w:val="right"/>
              <w:ind w:right="31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47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2023</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2022</w:t>
            </w:r>
          </w:p>
        </w:tc>
      </w:tr>
      <w:tr>
        <w:trPr>
          <w:trHeight w:val="210"/>
        </w:trPr>
        <w:tc>
          <w:tcPr>
            <w:tcW w:w="47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color w:val="auto"/>
              </w:rPr>
              <w:t>(in thousands, except per share amounts)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2"/>
        </w:trPr>
        <w:tc>
          <w:tcPr>
            <w:tcW w:w="4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 (loss):</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3"/>
        </w:trPr>
        <w:tc>
          <w:tcPr>
            <w:tcW w:w="4760" w:type="dxa"/>
            <w:vAlign w:val="bottom"/>
          </w:tcPr>
          <w:p>
            <w:pPr>
              <w:ind w:left="120"/>
              <w:spacing w:after="0"/>
              <w:rPr>
                <w:sz w:val="20"/>
                <w:szCs w:val="20"/>
                <w:color w:val="auto"/>
              </w:rPr>
            </w:pPr>
            <w:r>
              <w:rPr>
                <w:rFonts w:ascii="Arial" w:cs="Arial" w:eastAsia="Arial" w:hAnsi="Arial"/>
                <w:sz w:val="16"/>
                <w:szCs w:val="16"/>
                <w:color w:val="auto"/>
              </w:rPr>
              <w:t>Electric Utilities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83,016</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69,483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190,695</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165,455</w:t>
            </w:r>
          </w:p>
        </w:tc>
      </w:tr>
      <w:tr>
        <w:trPr>
          <w:trHeight w:val="219"/>
        </w:trPr>
        <w:tc>
          <w:tcPr>
            <w:tcW w:w="47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Gas Utilities</w:t>
            </w: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15,400</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10,583</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147,750</w:t>
            </w: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162,318</w:t>
            </w:r>
          </w:p>
        </w:tc>
      </w:tr>
      <w:tr>
        <w:trPr>
          <w:trHeight w:val="216"/>
        </w:trPr>
        <w:tc>
          <w:tcPr>
            <w:tcW w:w="4760" w:type="dxa"/>
            <w:vAlign w:val="bottom"/>
          </w:tcPr>
          <w:p>
            <w:pPr>
              <w:ind w:left="120"/>
              <w:spacing w:after="0"/>
              <w:rPr>
                <w:sz w:val="20"/>
                <w:szCs w:val="20"/>
                <w:color w:val="auto"/>
              </w:rPr>
            </w:pPr>
            <w:r>
              <w:rPr>
                <w:rFonts w:ascii="Arial" w:cs="Arial" w:eastAsia="Arial" w:hAnsi="Arial"/>
                <w:sz w:val="16"/>
                <w:szCs w:val="16"/>
                <w:color w:val="auto"/>
              </w:rPr>
              <w:t>Corporate and Other</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(645 )</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(587 )</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(2,275 )</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(2,552 )</w:t>
            </w:r>
          </w:p>
        </w:tc>
      </w:tr>
      <w:tr>
        <w:trPr>
          <w:trHeight w:val="210"/>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9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97,771</w:t>
            </w: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79,479</w:t>
            </w: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336,170</w:t>
            </w: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325,221</w:t>
            </w:r>
          </w:p>
        </w:tc>
      </w:tr>
      <w:tr>
        <w:trPr>
          <w:trHeight w:val="209"/>
        </w:trPr>
        <w:tc>
          <w:tcPr>
            <w:tcW w:w="4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(40,998 )</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(40,019 )</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(126,023 )</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(117,328 )</w:t>
            </w: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(647 )</w:t>
            </w:r>
          </w:p>
        </w:tc>
        <w:tc>
          <w:tcPr>
            <w:tcW w:w="3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464</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(1,513 )</w:t>
            </w:r>
          </w:p>
        </w:tc>
        <w:tc>
          <w:tcPr>
            <w:tcW w:w="3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2,731</w:t>
            </w:r>
          </w:p>
        </w:tc>
      </w:tr>
      <w:tr>
        <w:trPr>
          <w:trHeight w:val="219"/>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9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(7,366 )</w:t>
            </w: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(2,090 )</w:t>
            </w: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(15,950 )</w:t>
            </w:r>
          </w:p>
        </w:tc>
        <w:tc>
          <w:tcPr>
            <w:tcW w:w="3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(15,920 )</w:t>
            </w:r>
          </w:p>
        </w:tc>
      </w:tr>
      <w:tr>
        <w:trPr>
          <w:trHeight w:val="206"/>
        </w:trPr>
        <w:tc>
          <w:tcPr>
            <w:tcW w:w="47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48,760</w:t>
            </w:r>
          </w:p>
        </w:tc>
        <w:tc>
          <w:tcPr>
            <w:tcW w:w="3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37,834</w:t>
            </w:r>
          </w:p>
        </w:tc>
        <w:tc>
          <w:tcPr>
            <w:tcW w:w="20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192,684</w:t>
            </w:r>
          </w:p>
        </w:tc>
        <w:tc>
          <w:tcPr>
            <w:tcW w:w="34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194,704</w:t>
            </w:r>
          </w:p>
        </w:tc>
      </w:tr>
      <w:tr>
        <w:trPr>
          <w:trHeight w:val="219"/>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9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(3,377 )</w:t>
            </w: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(2,861 )</w:t>
            </w: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(10,164 )</w:t>
            </w:r>
          </w:p>
        </w:tc>
        <w:tc>
          <w:tcPr>
            <w:tcW w:w="3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(8,790 )</w:t>
            </w:r>
          </w:p>
        </w:tc>
      </w:tr>
      <w:tr>
        <w:trPr>
          <w:trHeight w:val="209"/>
        </w:trPr>
        <w:tc>
          <w:tcPr>
            <w:tcW w:w="4760" w:type="dxa"/>
            <w:vAlign w:val="bottom"/>
          </w:tcPr>
          <w:p>
            <w:pPr>
              <w:ind w:left="20"/>
              <w:spacing w:after="0"/>
              <w:rPr>
                <w:sz w:val="20"/>
                <w:szCs w:val="20"/>
                <w:color w:val="auto"/>
              </w:rPr>
            </w:pPr>
            <w:r>
              <w:rPr>
                <w:rFonts w:ascii="Arial" w:cs="Arial" w:eastAsia="Arial" w:hAnsi="Arial"/>
                <w:sz w:val="16"/>
                <w:szCs w:val="16"/>
                <w:color w:val="auto"/>
              </w:rPr>
              <w:t>Net income available for common stock</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45,383</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34,973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182,520</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185,914</w:t>
            </w:r>
          </w:p>
        </w:tc>
      </w:tr>
      <w:tr>
        <w:trPr>
          <w:trHeight w:val="20"/>
        </w:trPr>
        <w:tc>
          <w:tcPr>
            <w:tcW w:w="4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47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0.67</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2.74</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2.86</w:t>
            </w:r>
          </w:p>
        </w:tc>
      </w:tr>
      <w:tr>
        <w:trPr>
          <w:trHeight w:val="20"/>
        </w:trPr>
        <w:tc>
          <w:tcPr>
            <w:tcW w:w="4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2023 Compared to the Three Months Ended September 30,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194" w:lineRule="exact"/>
        <w:rPr>
          <w:sz w:val="20"/>
          <w:szCs w:val="20"/>
          <w:color w:val="auto"/>
        </w:rPr>
      </w:pPr>
    </w:p>
    <w:p>
      <w:pPr>
        <w:ind w:left="1020" w:right="100" w:hanging="503"/>
        <w:spacing w:after="0" w:line="261"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Electric Utilities' operating income increased $13.5 million primarily due to a one-time recovery from our business interruption insurance related to the 2021 Wygen I unplanned outage, a gain on a strategic sale of land in Wyoming to a customer to support continued load growth, and new rates and rider recovery, partially offset by unfavorable weather;</w:t>
      </w:r>
    </w:p>
    <w:p>
      <w:pPr>
        <w:spacing w:after="0" w:line="155" w:lineRule="exact"/>
        <w:rPr>
          <w:rFonts w:ascii="Arial" w:cs="Arial" w:eastAsia="Arial" w:hAnsi="Arial"/>
          <w:sz w:val="16"/>
          <w:szCs w:val="16"/>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Gas Utilities' operating income increased $4.8 million primarily due to new rates and rider recovery and lower operating expenses;</w:t>
      </w:r>
    </w:p>
    <w:p>
      <w:pPr>
        <w:spacing w:after="0" w:line="207" w:lineRule="exact"/>
        <w:rPr>
          <w:rFonts w:ascii="Arial" w:cs="Arial" w:eastAsia="Arial" w:hAnsi="Arial"/>
          <w:sz w:val="16"/>
          <w:szCs w:val="16"/>
          <w:color w:val="auto"/>
        </w:rPr>
      </w:pPr>
    </w:p>
    <w:p>
      <w:pPr>
        <w:ind w:left="1020" w:right="80" w:hanging="503"/>
        <w:spacing w:after="0" w:line="268"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Income tax expense increased $5.3 million driven by higher pre-tax income and an effective tax rate of 13.1% compared to 5.2% for the same period in 2022. The higher effective tax rate was primarily due to decreased tax benefits from various current and prior year state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285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2023 Compared to the Nine Months Ended September 30,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194" w:lineRule="exact"/>
        <w:rPr>
          <w:sz w:val="20"/>
          <w:szCs w:val="20"/>
          <w:color w:val="auto"/>
        </w:rPr>
      </w:pPr>
    </w:p>
    <w:p>
      <w:pPr>
        <w:ind w:left="1020" w:right="180" w:hanging="503"/>
        <w:spacing w:after="0" w:line="254"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Electric Utilities’ operating income increased $25.2 million primarily due to new rates and rider recovery, increased transmission services revenue and off-system excess energy sales, a one-time gain on the planned sale of Northern Iowa Windpower assets, a gain on a strategic</w:t>
      </w:r>
    </w:p>
    <w:p>
      <w:pPr>
        <w:spacing w:after="0" w:line="1" w:lineRule="exact"/>
        <w:rPr>
          <w:sz w:val="20"/>
          <w:szCs w:val="20"/>
          <w:color w:val="auto"/>
        </w:rPr>
      </w:pPr>
    </w:p>
    <w:p>
      <w:pPr>
        <w:ind w:left="1020" w:right="300"/>
        <w:spacing w:after="0" w:line="246" w:lineRule="auto"/>
        <w:rPr>
          <w:sz w:val="20"/>
          <w:szCs w:val="20"/>
          <w:color w:val="auto"/>
        </w:rPr>
      </w:pPr>
      <w:r>
        <w:rPr>
          <w:rFonts w:ascii="Arial" w:cs="Arial" w:eastAsia="Arial" w:hAnsi="Arial"/>
          <w:sz w:val="16"/>
          <w:szCs w:val="16"/>
          <w:color w:val="auto"/>
        </w:rPr>
        <w:t>sale of land in Wyoming to a customer to support continued load growth, and a one-time recovery from our business interruption insurance related to the 2021 Wygen I unplanned outage partially offset by higher employee-related expenses and unfavorable weather;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020" w:right="60" w:hanging="503"/>
        <w:spacing w:after="0" w:line="261"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Gas Utilities’ operating income decreased $14.6 million primarily due to higher employee-related expenses, a prior year one-time true-up of carrying costs accrued on Winter Storm Uri regulatory assets and unfavorable mark-to-market adjustments on wholesale commodity contracts partially offset by new rates and rider recovery and retail customer growth and demand;</w:t>
      </w:r>
    </w:p>
    <w:p>
      <w:pPr>
        <w:spacing w:after="0" w:line="155" w:lineRule="exact"/>
        <w:rPr>
          <w:rFonts w:ascii="Arial" w:cs="Arial" w:eastAsia="Arial" w:hAnsi="Arial"/>
          <w:sz w:val="16"/>
          <w:szCs w:val="16"/>
          <w:color w:val="auto"/>
        </w:rPr>
      </w:pPr>
    </w:p>
    <w:p>
      <w:pPr>
        <w:ind w:left="1020" w:right="160" w:hanging="503"/>
        <w:spacing w:after="0" w:line="276"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Interest expense, net increased $8.7 million due to higher interest rates partially offset by increased interest income on higher cash and cash equivalents balances; and</w:t>
      </w:r>
    </w:p>
    <w:p>
      <w:pPr>
        <w:spacing w:after="0" w:line="143" w:lineRule="exact"/>
        <w:rPr>
          <w:rFonts w:ascii="Arial" w:cs="Arial" w:eastAsia="Arial" w:hAnsi="Arial"/>
          <w:sz w:val="16"/>
          <w:szCs w:val="16"/>
          <w:color w:val="auto"/>
        </w:rPr>
      </w:pPr>
    </w:p>
    <w:p>
      <w:pPr>
        <w:ind w:left="1020" w:right="320" w:hanging="503"/>
        <w:spacing w:after="0" w:line="276"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expense, net increased $4.2 million primarily due to higher non-service benefit plan costs driven by higher discount rates and higher costs for our non-qualified benefit plans driven by market performance.</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discussion of operating results from our business segments follows.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Electric and Gas Utility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Electric and Gas Utility margin (revenue less cost of sales) is a non-GAAP financial measure due to the exclusion of operation and maintenance expenses, depreciation and amortization expenses, and property and production taxes from the measure.</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Electric Utility margin is calculated as operating revenue less cost of fuel and purchased power. Gas Utility margin is calculated as operating revenue less cost of natural gas sold. Our Electric and Gas Utility margin is impacted by the fluctuations in power and natural gas purchases and other fuel supply costs. However, while these fluctuating costs impact Electric and Gas Utility margin as a percentage of revenue, they only impact total Electric and Gas Utility margin if the costs cannot be passed through to our customers.</w:t>
      </w:r>
    </w:p>
    <w:p>
      <w:pPr>
        <w:spacing w:after="0" w:line="160" w:lineRule="exact"/>
        <w:rPr>
          <w:sz w:val="20"/>
          <w:szCs w:val="20"/>
          <w:color w:val="auto"/>
        </w:rPr>
      </w:pPr>
    </w:p>
    <w:p>
      <w:pPr>
        <w:ind w:right="580"/>
        <w:spacing w:after="0" w:line="276" w:lineRule="auto"/>
        <w:rPr>
          <w:sz w:val="20"/>
          <w:szCs w:val="20"/>
          <w:color w:val="auto"/>
        </w:rPr>
      </w:pPr>
      <w:r>
        <w:rPr>
          <w:rFonts w:ascii="Arial" w:cs="Arial" w:eastAsia="Arial" w:hAnsi="Arial"/>
          <w:sz w:val="16"/>
          <w:szCs w:val="16"/>
          <w:color w:val="auto"/>
        </w:rPr>
        <w:t>Our Electric and Gas Utility margin measure may not be comparable to other companies’ Electric and Gas Utility margin measures. Furthermore, this measure is not intended to replace operating income as determined in accordance with GAAP as an indicator of operating performance.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 Utilities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Electric Utilities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60" w:type="dxa"/>
            <w:vAlign w:val="bottom"/>
            <w:gridSpan w:val="5"/>
          </w:tcPr>
          <w:p>
            <w:pPr>
              <w:jc w:val="right"/>
              <w:ind w:right="459"/>
              <w:spacing w:after="0"/>
              <w:rPr>
                <w:sz w:val="20"/>
                <w:szCs w:val="20"/>
                <w:color w:val="auto"/>
              </w:rPr>
            </w:pPr>
            <w:r>
              <w:rPr>
                <w:rFonts w:ascii="Arial" w:cs="Arial" w:eastAsia="Arial" w:hAnsi="Arial"/>
                <w:sz w:val="16"/>
                <w:szCs w:val="16"/>
                <w:color w:val="auto"/>
              </w:rPr>
              <w:t>Three Months Ended September 30,</w:t>
            </w:r>
          </w:p>
        </w:tc>
        <w:tc>
          <w:tcPr>
            <w:tcW w:w="240" w:type="dxa"/>
            <w:vAlign w:val="bottom"/>
          </w:tcPr>
          <w:p>
            <w:pPr>
              <w:spacing w:after="0"/>
              <w:rPr>
                <w:sz w:val="17"/>
                <w:szCs w:val="17"/>
                <w:color w:val="auto"/>
              </w:rPr>
            </w:pPr>
          </w:p>
        </w:tc>
        <w:tc>
          <w:tcPr>
            <w:tcW w:w="3300" w:type="dxa"/>
            <w:vAlign w:val="bottom"/>
            <w:gridSpan w:val="5"/>
          </w:tcPr>
          <w:p>
            <w:pPr>
              <w:jc w:val="right"/>
              <w:ind w:right="47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4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2023</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Variance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Variance</w:t>
            </w:r>
          </w:p>
        </w:tc>
      </w:tr>
      <w:tr>
        <w:trPr>
          <w:trHeight w:val="213"/>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4100" w:type="dxa"/>
            <w:vAlign w:val="bottom"/>
          </w:tcPr>
          <w:p>
            <w:pPr>
              <w:ind w:left="120"/>
              <w:spacing w:after="0"/>
              <w:rPr>
                <w:sz w:val="20"/>
                <w:szCs w:val="20"/>
                <w:color w:val="auto"/>
              </w:rPr>
            </w:pPr>
            <w:r>
              <w:rPr>
                <w:rFonts w:ascii="Arial" w:cs="Arial" w:eastAsia="Arial" w:hAnsi="Arial"/>
                <w:sz w:val="16"/>
                <w:szCs w:val="16"/>
                <w:color w:val="auto"/>
              </w:rPr>
              <w:t>Electric - regulated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221,715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245,269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(23,554 ) $</w:t>
            </w:r>
          </w:p>
        </w:tc>
        <w:tc>
          <w:tcPr>
            <w:tcW w:w="900" w:type="dxa"/>
            <w:vAlign w:val="bottom"/>
          </w:tcPr>
          <w:p>
            <w:pPr>
              <w:jc w:val="right"/>
              <w:spacing w:after="0"/>
              <w:rPr>
                <w:sz w:val="20"/>
                <w:szCs w:val="20"/>
                <w:color w:val="auto"/>
              </w:rPr>
            </w:pPr>
            <w:r>
              <w:rPr>
                <w:rFonts w:ascii="Arial" w:cs="Arial" w:eastAsia="Arial" w:hAnsi="Arial"/>
                <w:sz w:val="16"/>
                <w:szCs w:val="16"/>
                <w:color w:val="auto"/>
              </w:rPr>
              <w:t>611,238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635,190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(23,952 )</w:t>
            </w:r>
          </w:p>
        </w:tc>
      </w:tr>
      <w:tr>
        <w:trPr>
          <w:trHeight w:val="219"/>
        </w:trPr>
        <w:tc>
          <w:tcPr>
            <w:tcW w:w="41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 non-regulated</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15,614</w:t>
            </w: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13,401</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2,213</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37,873</w:t>
            </w: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34,396</w:t>
            </w: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3,477</w:t>
            </w:r>
          </w:p>
        </w:tc>
      </w:tr>
      <w:tr>
        <w:trPr>
          <w:trHeight w:val="210"/>
        </w:trPr>
        <w:tc>
          <w:tcPr>
            <w:tcW w:w="4100" w:type="dxa"/>
            <w:vAlign w:val="bottom"/>
          </w:tcPr>
          <w:p>
            <w:pPr>
              <w:ind w:left="20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237,329</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258,669</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(21,340 )</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649,111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669,586</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(20,475 )</w:t>
            </w:r>
          </w:p>
        </w:tc>
      </w:tr>
      <w:tr>
        <w:trPr>
          <w:trHeight w:val="210"/>
        </w:trPr>
        <w:tc>
          <w:tcPr>
            <w:tcW w:w="4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Cost of fuel and purchased power: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4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Electric - regulated</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54,974</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84,309</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(29,335 )</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145,662</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191,511</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(45,849 )</w:t>
            </w:r>
          </w:p>
        </w:tc>
      </w:tr>
      <w:tr>
        <w:trPr>
          <w:trHeight w:val="216"/>
        </w:trPr>
        <w:tc>
          <w:tcPr>
            <w:tcW w:w="4100" w:type="dxa"/>
            <w:vAlign w:val="bottom"/>
          </w:tcPr>
          <w:p>
            <w:pPr>
              <w:ind w:left="120"/>
              <w:spacing w:after="0"/>
              <w:rPr>
                <w:sz w:val="20"/>
                <w:szCs w:val="20"/>
                <w:color w:val="auto"/>
              </w:rPr>
            </w:pPr>
            <w:r>
              <w:rPr>
                <w:rFonts w:ascii="Arial" w:cs="Arial" w:eastAsia="Arial" w:hAnsi="Arial"/>
                <w:sz w:val="16"/>
                <w:szCs w:val="16"/>
                <w:color w:val="auto"/>
              </w:rPr>
              <w:t>Other - non-regulated</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(1,190 )</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3,484</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(1,898 )</w:t>
            </w:r>
          </w:p>
        </w:tc>
      </w:tr>
      <w:tr>
        <w:trPr>
          <w:trHeight w:val="210"/>
        </w:trPr>
        <w:tc>
          <w:tcPr>
            <w:tcW w:w="4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cost of fuel and purchased power</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55,428</w:t>
            </w: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85,953</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(30,525 )</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147,248</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194,995</w:t>
            </w: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(47,747 )</w:t>
            </w:r>
          </w:p>
        </w:tc>
      </w:tr>
      <w:tr>
        <w:trPr>
          <w:trHeight w:val="209"/>
        </w:trPr>
        <w:tc>
          <w:tcPr>
            <w:tcW w:w="4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Electric Utility margin (non-GAAP)</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181,901</w:t>
            </w: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172,716</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9,185</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501,863</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474,591</w:t>
            </w: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27,272</w:t>
            </w:r>
          </w:p>
        </w:tc>
      </w:tr>
      <w:tr>
        <w:trPr>
          <w:trHeight w:val="210"/>
        </w:trPr>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63,114</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68,896</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(5,782 )</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204,487</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207,565</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(3,078 )</w:t>
            </w: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35,771</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34,337</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1,434</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106,681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101,571</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5,110</w:t>
            </w:r>
          </w:p>
        </w:tc>
      </w:tr>
      <w:tr>
        <w:trPr>
          <w:trHeight w:val="206"/>
        </w:trPr>
        <w:tc>
          <w:tcPr>
            <w:tcW w:w="4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98,885</w:t>
            </w: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103,233</w:t>
            </w: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(4,348 )</w:t>
            </w: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311,168</w:t>
            </w: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309,136</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2,032</w:t>
            </w:r>
          </w:p>
        </w:tc>
      </w:tr>
      <w:tr>
        <w:trPr>
          <w:trHeight w:val="213"/>
        </w:trPr>
        <w:tc>
          <w:tcPr>
            <w:tcW w:w="4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50"/>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83,016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69,483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13,533</w:t>
            </w: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190,695</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165,455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25,240</w:t>
            </w:r>
          </w:p>
        </w:tc>
      </w:tr>
      <w:tr>
        <w:trPr>
          <w:trHeight w:val="393"/>
        </w:trPr>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659"/>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8"/>
        </w:trPr>
        <w:tc>
          <w:tcPr>
            <w:tcW w:w="4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8780" w:type="dxa"/>
            <w:vAlign w:val="bottom"/>
            <w:gridSpan w:val="5"/>
          </w:tcPr>
          <w:p>
            <w:pPr>
              <w:spacing w:after="0"/>
              <w:rPr>
                <w:sz w:val="20"/>
                <w:szCs w:val="20"/>
                <w:color w:val="auto"/>
              </w:rPr>
            </w:pPr>
            <w:r>
              <w:rPr>
                <w:rFonts w:ascii="Arial" w:cs="Arial" w:eastAsia="Arial" w:hAnsi="Arial"/>
                <w:sz w:val="16"/>
                <w:szCs w:val="16"/>
                <w:b w:val="1"/>
                <w:bCs w:val="1"/>
                <w:color w:val="0000FF"/>
              </w:rPr>
              <w:t>Table of Contents</w:t>
            </w:r>
          </w:p>
        </w:tc>
        <w:tc>
          <w:tcPr>
            <w:tcW w:w="4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736"/>
        </w:trPr>
        <w:tc>
          <w:tcPr>
            <w:tcW w:w="8780" w:type="dxa"/>
            <w:vAlign w:val="bottom"/>
            <w:gridSpan w:val="5"/>
          </w:tcPr>
          <w:p>
            <w:pPr>
              <w:spacing w:after="0"/>
              <w:rPr>
                <w:sz w:val="20"/>
                <w:szCs w:val="20"/>
                <w:color w:val="auto"/>
              </w:rPr>
            </w:pPr>
            <w:r>
              <w:rPr>
                <w:rFonts w:ascii="Arial" w:cs="Arial" w:eastAsia="Arial" w:hAnsi="Arial"/>
                <w:sz w:val="16"/>
                <w:szCs w:val="16"/>
                <w:color w:val="auto"/>
              </w:rPr>
              <w:t>Three Months Ended September 30, 2023, Compared to the Three Months Ended September 30, 2022:</w:t>
            </w:r>
          </w:p>
        </w:tc>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58"/>
        </w:trPr>
        <w:tc>
          <w:tcPr>
            <w:tcW w:w="744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Electric Utility margin increased as a result of the following:</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09"/>
        </w:trPr>
        <w:tc>
          <w:tcPr>
            <w:tcW w:w="1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(in millions)</w:t>
            </w:r>
          </w:p>
        </w:tc>
      </w:tr>
      <w:tr>
        <w:trPr>
          <w:trHeight w:val="213"/>
        </w:trPr>
        <w:tc>
          <w:tcPr>
            <w:tcW w:w="8780" w:type="dxa"/>
            <w:vAlign w:val="bottom"/>
            <w:gridSpan w:val="5"/>
            <w:shd w:val="clear" w:color="auto" w:fill="CCF0FC"/>
          </w:tcPr>
          <w:p>
            <w:pPr>
              <w:ind w:left="20"/>
              <w:spacing w:after="0"/>
              <w:rPr>
                <w:sz w:val="20"/>
                <w:szCs w:val="20"/>
                <w:color w:val="auto"/>
              </w:rPr>
            </w:pPr>
            <w:r>
              <w:rPr>
                <w:rFonts w:ascii="Arial" w:cs="Arial" w:eastAsia="Arial" w:hAnsi="Arial"/>
                <w:sz w:val="16"/>
                <w:szCs w:val="16"/>
                <w:color w:val="auto"/>
              </w:rPr>
              <w:t>New rates and rider recovery</w:t>
            </w:r>
          </w:p>
        </w:tc>
        <w:tc>
          <w:tcPr>
            <w:tcW w:w="440" w:type="dxa"/>
            <w:vAlign w:val="bottom"/>
            <w:shd w:val="clear" w:color="auto" w:fill="CCF0FC"/>
          </w:tcPr>
          <w:p>
            <w:pPr>
              <w:jc w:val="right"/>
              <w:ind w:right="259"/>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F0FC"/>
          </w:tcPr>
          <w:p>
            <w:pPr>
              <w:jc w:val="right"/>
              <w:ind w:right="39"/>
              <w:spacing w:after="0"/>
              <w:rPr>
                <w:sz w:val="20"/>
                <w:szCs w:val="20"/>
                <w:color w:val="auto"/>
              </w:rPr>
            </w:pPr>
            <w:r>
              <w:rPr>
                <w:rFonts w:ascii="Arial" w:cs="Arial" w:eastAsia="Arial" w:hAnsi="Arial"/>
                <w:sz w:val="16"/>
                <w:szCs w:val="16"/>
                <w:color w:val="auto"/>
              </w:rPr>
              <w:t>5.7</w:t>
            </w:r>
          </w:p>
        </w:tc>
      </w:tr>
      <w:tr>
        <w:trPr>
          <w:trHeight w:val="216"/>
        </w:trPr>
        <w:tc>
          <w:tcPr>
            <w:tcW w:w="878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Wygen I revenue recovery under business interruption insurance </w:t>
            </w:r>
            <w:r>
              <w:rPr>
                <w:rFonts w:ascii="Arial" w:cs="Arial" w:eastAsia="Arial" w:hAnsi="Arial"/>
                <w:sz w:val="21"/>
                <w:szCs w:val="21"/>
                <w:color w:val="auto"/>
                <w:vertAlign w:val="superscript"/>
              </w:rPr>
              <w:t>(a)</w:t>
            </w:r>
          </w:p>
        </w:tc>
        <w:tc>
          <w:tcPr>
            <w:tcW w:w="440" w:type="dxa"/>
            <w:vAlign w:val="bottom"/>
          </w:tcPr>
          <w:p>
            <w:pPr>
              <w:spacing w:after="0"/>
              <w:rPr>
                <w:sz w:val="18"/>
                <w:szCs w:val="18"/>
                <w:color w:val="auto"/>
              </w:rPr>
            </w:pPr>
          </w:p>
        </w:tc>
        <w:tc>
          <w:tcPr>
            <w:tcW w:w="2020" w:type="dxa"/>
            <w:vAlign w:val="bottom"/>
          </w:tcPr>
          <w:p>
            <w:pPr>
              <w:jc w:val="right"/>
              <w:ind w:right="39"/>
              <w:spacing w:after="0"/>
              <w:rPr>
                <w:sz w:val="20"/>
                <w:szCs w:val="20"/>
                <w:color w:val="auto"/>
              </w:rPr>
            </w:pPr>
            <w:r>
              <w:rPr>
                <w:rFonts w:ascii="Arial" w:cs="Arial" w:eastAsia="Arial" w:hAnsi="Arial"/>
                <w:sz w:val="16"/>
                <w:szCs w:val="16"/>
                <w:color w:val="auto"/>
              </w:rPr>
              <w:t>5.0</w:t>
            </w:r>
          </w:p>
        </w:tc>
      </w:tr>
      <w:tr>
        <w:trPr>
          <w:trHeight w:val="216"/>
        </w:trPr>
        <w:tc>
          <w:tcPr>
            <w:tcW w:w="8780" w:type="dxa"/>
            <w:vAlign w:val="bottom"/>
            <w:gridSpan w:val="5"/>
            <w:shd w:val="clear" w:color="auto" w:fill="CCF0FC"/>
          </w:tcPr>
          <w:p>
            <w:pPr>
              <w:ind w:left="20"/>
              <w:spacing w:after="0"/>
              <w:rPr>
                <w:sz w:val="20"/>
                <w:szCs w:val="20"/>
                <w:color w:val="auto"/>
              </w:rPr>
            </w:pPr>
            <w:r>
              <w:rPr>
                <w:rFonts w:ascii="Arial" w:cs="Arial" w:eastAsia="Arial" w:hAnsi="Arial"/>
                <w:sz w:val="16"/>
                <w:szCs w:val="16"/>
                <w:color w:val="auto"/>
              </w:rPr>
              <w:t>Weather</w:t>
            </w:r>
          </w:p>
        </w:tc>
        <w:tc>
          <w:tcPr>
            <w:tcW w:w="440" w:type="dxa"/>
            <w:vAlign w:val="bottom"/>
            <w:shd w:val="clear" w:color="auto" w:fill="CCF0FC"/>
          </w:tcPr>
          <w:p>
            <w:pPr>
              <w:spacing w:after="0"/>
              <w:rPr>
                <w:sz w:val="18"/>
                <w:szCs w:val="18"/>
                <w:color w:val="auto"/>
              </w:rPr>
            </w:pPr>
          </w:p>
        </w:tc>
        <w:tc>
          <w:tcPr>
            <w:tcW w:w="2020" w:type="dxa"/>
            <w:vAlign w:val="bottom"/>
            <w:shd w:val="clear" w:color="auto" w:fill="CCF0FC"/>
          </w:tcPr>
          <w:p>
            <w:pPr>
              <w:jc w:val="right"/>
              <w:spacing w:after="0"/>
              <w:rPr>
                <w:sz w:val="20"/>
                <w:szCs w:val="20"/>
                <w:color w:val="auto"/>
              </w:rPr>
            </w:pPr>
            <w:r>
              <w:rPr>
                <w:rFonts w:ascii="Arial" w:cs="Arial" w:eastAsia="Arial" w:hAnsi="Arial"/>
                <w:sz w:val="16"/>
                <w:szCs w:val="16"/>
                <w:color w:val="auto"/>
              </w:rPr>
              <w:t>(2.3 )</w:t>
            </w:r>
          </w:p>
        </w:tc>
      </w:tr>
      <w:tr>
        <w:trPr>
          <w:trHeight w:val="216"/>
        </w:trPr>
        <w:tc>
          <w:tcPr>
            <w:tcW w:w="8780" w:type="dxa"/>
            <w:vAlign w:val="bottom"/>
            <w:gridSpan w:val="5"/>
          </w:tcPr>
          <w:p>
            <w:pPr>
              <w:ind w:left="2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0.8</w:t>
            </w:r>
          </w:p>
        </w:tc>
      </w:tr>
      <w:tr>
        <w:trPr>
          <w:trHeight w:val="247"/>
        </w:trPr>
        <w:tc>
          <w:tcPr>
            <w:tcW w:w="1380" w:type="dxa"/>
            <w:vAlign w:val="bottom"/>
            <w:tcBorders>
              <w:bottom w:val="single" w:sz="8" w:color="CCF0FC"/>
              <w:right w:val="single" w:sz="8" w:color="CCF0FC"/>
            </w:tcBorders>
            <w:shd w:val="clear" w:color="auto" w:fill="CCF0FC"/>
          </w:tcPr>
          <w:p>
            <w:pPr>
              <w:spacing w:after="0"/>
              <w:rPr>
                <w:sz w:val="21"/>
                <w:szCs w:val="21"/>
                <w:color w:val="auto"/>
              </w:rPr>
            </w:pPr>
          </w:p>
        </w:tc>
        <w:tc>
          <w:tcPr>
            <w:tcW w:w="140" w:type="dxa"/>
            <w:vAlign w:val="bottom"/>
            <w:tcBorders>
              <w:bottom w:val="single" w:sz="8" w:color="CCF0FC"/>
            </w:tcBorders>
            <w:shd w:val="clear" w:color="auto" w:fill="CCF0FC"/>
          </w:tcPr>
          <w:p>
            <w:pPr>
              <w:spacing w:after="0"/>
              <w:rPr>
                <w:sz w:val="21"/>
                <w:szCs w:val="21"/>
                <w:color w:val="auto"/>
              </w:rPr>
            </w:pPr>
          </w:p>
        </w:tc>
        <w:tc>
          <w:tcPr>
            <w:tcW w:w="140" w:type="dxa"/>
            <w:vAlign w:val="bottom"/>
            <w:tcBorders>
              <w:bottom w:val="single" w:sz="8" w:color="CCF0FC"/>
            </w:tcBorders>
            <w:shd w:val="clear" w:color="auto" w:fill="CCF0FC"/>
          </w:tcPr>
          <w:p>
            <w:pPr>
              <w:spacing w:after="0"/>
              <w:rPr>
                <w:sz w:val="21"/>
                <w:szCs w:val="21"/>
                <w:color w:val="auto"/>
              </w:rPr>
            </w:pPr>
          </w:p>
        </w:tc>
        <w:tc>
          <w:tcPr>
            <w:tcW w:w="5780" w:type="dxa"/>
            <w:vAlign w:val="bottom"/>
            <w:tcBorders>
              <w:bottom w:val="single" w:sz="8" w:color="CCF0FC"/>
            </w:tcBorders>
            <w:shd w:val="clear" w:color="auto" w:fill="CCF0FC"/>
          </w:tcPr>
          <w:p>
            <w:pPr>
              <w:spacing w:after="0"/>
              <w:rPr>
                <w:sz w:val="21"/>
                <w:szCs w:val="21"/>
                <w:color w:val="auto"/>
              </w:rPr>
            </w:pPr>
          </w:p>
        </w:tc>
        <w:tc>
          <w:tcPr>
            <w:tcW w:w="1340" w:type="dxa"/>
            <w:vAlign w:val="bottom"/>
            <w:tcBorders>
              <w:bottom w:val="single" w:sz="8" w:color="CCF0FC"/>
            </w:tcBorders>
            <w:shd w:val="clear" w:color="auto" w:fill="CCF0FC"/>
          </w:tcPr>
          <w:p>
            <w:pPr>
              <w:spacing w:after="0"/>
              <w:rPr>
                <w:sz w:val="21"/>
                <w:szCs w:val="21"/>
                <w:color w:val="auto"/>
              </w:rPr>
            </w:pPr>
          </w:p>
        </w:tc>
        <w:tc>
          <w:tcPr>
            <w:tcW w:w="440" w:type="dxa"/>
            <w:vAlign w:val="bottom"/>
            <w:tcBorders>
              <w:bottom w:val="single" w:sz="8" w:color="auto"/>
            </w:tcBorders>
            <w:shd w:val="clear" w:color="auto" w:fill="CCF0FC"/>
          </w:tcPr>
          <w:p>
            <w:pPr>
              <w:jc w:val="right"/>
              <w:ind w:right="25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shd w:val="clear" w:color="auto" w:fill="CCF0FC"/>
          </w:tcPr>
          <w:p>
            <w:pPr>
              <w:jc w:val="right"/>
              <w:ind w:right="39"/>
              <w:spacing w:after="0"/>
              <w:rPr>
                <w:sz w:val="20"/>
                <w:szCs w:val="20"/>
                <w:color w:val="auto"/>
              </w:rPr>
            </w:pPr>
            <w:r>
              <w:rPr>
                <w:rFonts w:ascii="Arial" w:cs="Arial" w:eastAsia="Arial" w:hAnsi="Arial"/>
                <w:sz w:val="16"/>
                <w:szCs w:val="16"/>
                <w:color w:val="auto"/>
              </w:rPr>
              <w:t>9.2</w:t>
            </w:r>
          </w:p>
        </w:tc>
      </w:tr>
      <w:tr>
        <w:trPr>
          <w:trHeight w:val="118"/>
        </w:trPr>
        <w:tc>
          <w:tcPr>
            <w:tcW w:w="1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20" w:type="dxa"/>
            <w:vAlign w:val="bottom"/>
          </w:tcPr>
          <w:p>
            <w:pPr>
              <w:spacing w:after="0"/>
              <w:rPr>
                <w:sz w:val="10"/>
                <w:szCs w:val="10"/>
                <w:color w:val="auto"/>
              </w:rPr>
            </w:pPr>
          </w:p>
        </w:tc>
      </w:tr>
    </w:tbl>
    <w:p>
      <w:pPr>
        <w:spacing w:after="0" w:line="35" w:lineRule="exact"/>
        <w:rPr>
          <w:sz w:val="20"/>
          <w:szCs w:val="20"/>
          <w:color w:val="auto"/>
        </w:rPr>
      </w:pPr>
    </w:p>
    <w:p>
      <w:pPr>
        <w:ind w:left="520" w:right="240" w:hanging="512"/>
        <w:spacing w:after="0" w:line="257"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In 2021, Wygen I experienced an unplanned outage which resulted in lost revenue. A claim for these losses was submitted under our business interruption insurance policy. During the third quarter of 2023, we recovered $5.0 million from our business interruption insurance which was recognized as Revenue. See </w:t>
      </w:r>
      <w:r>
        <w:rPr>
          <w:rFonts w:ascii="Arial" w:cs="Arial" w:eastAsia="Arial" w:hAnsi="Arial"/>
          <w:sz w:val="14"/>
          <w:szCs w:val="14"/>
          <w:u w:val="single" w:color="auto"/>
          <w:color w:val="0000FF"/>
        </w:rPr>
        <w:t>Note 3</w:t>
      </w:r>
      <w:r>
        <w:rPr>
          <w:rFonts w:ascii="Arial" w:cs="Arial" w:eastAsia="Arial" w:hAnsi="Arial"/>
          <w:sz w:val="14"/>
          <w:szCs w:val="14"/>
          <w:color w:val="auto"/>
        </w:rPr>
        <w:t xml:space="preserve"> of the Condensed Notes to Consolidated Financial Statements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6287770</wp:posOffset>
            </wp:positionH>
            <wp:positionV relativeFrom="paragraph">
              <wp:posOffset>-127000</wp:posOffset>
            </wp:positionV>
            <wp:extent cx="2692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173" w:lineRule="exact"/>
        <w:rPr>
          <w:sz w:val="20"/>
          <w:szCs w:val="20"/>
          <w:color w:val="auto"/>
        </w:rPr>
      </w:pPr>
    </w:p>
    <w:p>
      <w:pPr>
        <w:ind w:right="620"/>
        <w:spacing w:after="0" w:line="27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decreased primarily due to a $3.9 million gain on a strategic sale of land in Wyoming to a customer to support continued load growth.</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current year and prior year capital expenditures.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gridSpan w:val="3"/>
          </w:tcPr>
          <w:p>
            <w:pPr>
              <w:spacing w:after="0"/>
              <w:rPr>
                <w:sz w:val="20"/>
                <w:szCs w:val="20"/>
                <w:color w:val="auto"/>
              </w:rPr>
            </w:pPr>
            <w:r>
              <w:rPr>
                <w:rFonts w:ascii="Arial" w:cs="Arial" w:eastAsia="Arial" w:hAnsi="Arial"/>
                <w:sz w:val="16"/>
                <w:szCs w:val="16"/>
                <w:color w:val="auto"/>
              </w:rPr>
              <w:t>Nine Months Ended September 30, 2023, Compared to the Nine Months Ended September 30, 2022:</w:t>
            </w:r>
          </w:p>
        </w:tc>
        <w:tc>
          <w:tcPr>
            <w:tcW w:w="4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58"/>
        </w:trPr>
        <w:tc>
          <w:tcPr>
            <w:tcW w:w="72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Electric Utility margin increased as a result of the following:</w:t>
            </w: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09"/>
        </w:trPr>
        <w:tc>
          <w:tcPr>
            <w:tcW w:w="1520" w:type="dxa"/>
            <w:vAlign w:val="bottom"/>
            <w:tcBorders>
              <w:top w:val="single" w:sz="8" w:color="auto"/>
            </w:tcBorders>
          </w:tcPr>
          <w:p>
            <w:pPr>
              <w:spacing w:after="0"/>
              <w:rPr>
                <w:sz w:val="24"/>
                <w:szCs w:val="24"/>
                <w:color w:val="auto"/>
              </w:rPr>
            </w:pPr>
          </w:p>
        </w:tc>
        <w:tc>
          <w:tcPr>
            <w:tcW w:w="5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(in millions)</w:t>
            </w:r>
          </w:p>
        </w:tc>
      </w:tr>
      <w:tr>
        <w:trPr>
          <w:trHeight w:val="213"/>
        </w:trPr>
        <w:tc>
          <w:tcPr>
            <w:tcW w:w="8720" w:type="dxa"/>
            <w:vAlign w:val="bottom"/>
            <w:gridSpan w:val="3"/>
            <w:shd w:val="clear" w:color="auto" w:fill="CCF0FC"/>
          </w:tcPr>
          <w:p>
            <w:pPr>
              <w:ind w:left="20"/>
              <w:spacing w:after="0"/>
              <w:rPr>
                <w:sz w:val="20"/>
                <w:szCs w:val="20"/>
                <w:color w:val="auto"/>
              </w:rPr>
            </w:pPr>
            <w:r>
              <w:rPr>
                <w:rFonts w:ascii="Arial" w:cs="Arial" w:eastAsia="Arial" w:hAnsi="Arial"/>
                <w:sz w:val="16"/>
                <w:szCs w:val="16"/>
                <w:color w:val="auto"/>
              </w:rPr>
              <w:t>New rates and rider recovery</w:t>
            </w:r>
          </w:p>
        </w:tc>
        <w:tc>
          <w:tcPr>
            <w:tcW w:w="460" w:type="dxa"/>
            <w:vAlign w:val="bottom"/>
            <w:shd w:val="clear" w:color="auto" w:fill="CCF0FC"/>
          </w:tcPr>
          <w:p>
            <w:pPr>
              <w:jc w:val="right"/>
              <w:ind w:right="259"/>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F0FC"/>
          </w:tcPr>
          <w:p>
            <w:pPr>
              <w:jc w:val="right"/>
              <w:ind w:right="39"/>
              <w:spacing w:after="0"/>
              <w:rPr>
                <w:sz w:val="20"/>
                <w:szCs w:val="20"/>
                <w:color w:val="auto"/>
              </w:rPr>
            </w:pPr>
            <w:r>
              <w:rPr>
                <w:rFonts w:ascii="Arial" w:cs="Arial" w:eastAsia="Arial" w:hAnsi="Arial"/>
                <w:sz w:val="16"/>
                <w:szCs w:val="16"/>
                <w:color w:val="auto"/>
              </w:rPr>
              <w:t>15.9</w:t>
            </w:r>
          </w:p>
        </w:tc>
      </w:tr>
      <w:tr>
        <w:trPr>
          <w:trHeight w:val="216"/>
        </w:trPr>
        <w:tc>
          <w:tcPr>
            <w:tcW w:w="8720" w:type="dxa"/>
            <w:vAlign w:val="bottom"/>
            <w:gridSpan w:val="3"/>
          </w:tcPr>
          <w:p>
            <w:pPr>
              <w:ind w:left="20"/>
              <w:spacing w:after="0" w:line="216" w:lineRule="exact"/>
              <w:rPr>
                <w:sz w:val="20"/>
                <w:szCs w:val="20"/>
                <w:color w:val="auto"/>
              </w:rPr>
            </w:pPr>
            <w:r>
              <w:rPr>
                <w:rFonts w:ascii="Arial" w:cs="Arial" w:eastAsia="Arial" w:hAnsi="Arial"/>
                <w:sz w:val="16"/>
                <w:szCs w:val="16"/>
                <w:color w:val="auto"/>
              </w:rPr>
              <w:t xml:space="preserve">Wygen I revenue recovery under business interruption insurance </w:t>
            </w:r>
            <w:r>
              <w:rPr>
                <w:rFonts w:ascii="Arial" w:cs="Arial" w:eastAsia="Arial" w:hAnsi="Arial"/>
                <w:sz w:val="21"/>
                <w:szCs w:val="21"/>
                <w:color w:val="auto"/>
                <w:vertAlign w:val="superscript"/>
              </w:rPr>
              <w:t>(a)</w:t>
            </w:r>
          </w:p>
        </w:tc>
        <w:tc>
          <w:tcPr>
            <w:tcW w:w="460" w:type="dxa"/>
            <w:vAlign w:val="bottom"/>
          </w:tcPr>
          <w:p>
            <w:pPr>
              <w:spacing w:after="0"/>
              <w:rPr>
                <w:sz w:val="18"/>
                <w:szCs w:val="18"/>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5.0</w:t>
            </w:r>
          </w:p>
        </w:tc>
      </w:tr>
      <w:tr>
        <w:trPr>
          <w:trHeight w:val="216"/>
        </w:trPr>
        <w:tc>
          <w:tcPr>
            <w:tcW w:w="8720" w:type="dxa"/>
            <w:vAlign w:val="bottom"/>
            <w:gridSpan w:val="3"/>
            <w:shd w:val="clear" w:color="auto" w:fill="CCF0FC"/>
          </w:tcPr>
          <w:p>
            <w:pPr>
              <w:ind w:left="20"/>
              <w:spacing w:after="0" w:line="216" w:lineRule="exact"/>
              <w:rPr>
                <w:sz w:val="20"/>
                <w:szCs w:val="20"/>
                <w:color w:val="auto"/>
              </w:rPr>
            </w:pPr>
            <w:r>
              <w:rPr>
                <w:rFonts w:ascii="Arial" w:cs="Arial" w:eastAsia="Arial" w:hAnsi="Arial"/>
                <w:sz w:val="16"/>
                <w:szCs w:val="16"/>
                <w:color w:val="auto"/>
              </w:rPr>
              <w:t xml:space="preserve">Integrated Generation </w:t>
            </w:r>
            <w:r>
              <w:rPr>
                <w:rFonts w:ascii="Arial" w:cs="Arial" w:eastAsia="Arial" w:hAnsi="Arial"/>
                <w:sz w:val="21"/>
                <w:szCs w:val="21"/>
                <w:color w:val="auto"/>
                <w:vertAlign w:val="superscript"/>
              </w:rPr>
              <w:t>(b)</w:t>
            </w:r>
          </w:p>
        </w:tc>
        <w:tc>
          <w:tcPr>
            <w:tcW w:w="460" w:type="dxa"/>
            <w:vAlign w:val="bottom"/>
            <w:shd w:val="clear" w:color="auto" w:fill="CCF0FC"/>
          </w:tcPr>
          <w:p>
            <w:pPr>
              <w:spacing w:after="0"/>
              <w:rPr>
                <w:sz w:val="18"/>
                <w:szCs w:val="18"/>
                <w:color w:val="auto"/>
              </w:rPr>
            </w:pPr>
          </w:p>
        </w:tc>
        <w:tc>
          <w:tcPr>
            <w:tcW w:w="2060" w:type="dxa"/>
            <w:vAlign w:val="bottom"/>
            <w:shd w:val="clear" w:color="auto" w:fill="CCF0FC"/>
          </w:tcPr>
          <w:p>
            <w:pPr>
              <w:jc w:val="right"/>
              <w:ind w:right="39"/>
              <w:spacing w:after="0"/>
              <w:rPr>
                <w:sz w:val="20"/>
                <w:szCs w:val="20"/>
                <w:color w:val="auto"/>
              </w:rPr>
            </w:pPr>
            <w:r>
              <w:rPr>
                <w:rFonts w:ascii="Arial" w:cs="Arial" w:eastAsia="Arial" w:hAnsi="Arial"/>
                <w:sz w:val="16"/>
                <w:szCs w:val="16"/>
                <w:color w:val="auto"/>
              </w:rPr>
              <w:t>5.0</w:t>
            </w:r>
          </w:p>
        </w:tc>
      </w:tr>
      <w:tr>
        <w:trPr>
          <w:trHeight w:val="213"/>
        </w:trPr>
        <w:tc>
          <w:tcPr>
            <w:tcW w:w="8720" w:type="dxa"/>
            <w:vAlign w:val="bottom"/>
            <w:gridSpan w:val="3"/>
          </w:tcPr>
          <w:p>
            <w:pPr>
              <w:ind w:left="20"/>
              <w:spacing w:after="0"/>
              <w:rPr>
                <w:sz w:val="20"/>
                <w:szCs w:val="20"/>
                <w:color w:val="auto"/>
              </w:rPr>
            </w:pPr>
            <w:r>
              <w:rPr>
                <w:rFonts w:ascii="Arial" w:cs="Arial" w:eastAsia="Arial" w:hAnsi="Arial"/>
                <w:sz w:val="16"/>
                <w:szCs w:val="16"/>
                <w:color w:val="auto"/>
              </w:rPr>
              <w:t>Transmission services</w:t>
            </w:r>
          </w:p>
        </w:tc>
        <w:tc>
          <w:tcPr>
            <w:tcW w:w="460" w:type="dxa"/>
            <w:vAlign w:val="bottom"/>
          </w:tcPr>
          <w:p>
            <w:pPr>
              <w:spacing w:after="0"/>
              <w:rPr>
                <w:sz w:val="18"/>
                <w:szCs w:val="18"/>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2.8</w:t>
            </w:r>
          </w:p>
        </w:tc>
      </w:tr>
      <w:tr>
        <w:trPr>
          <w:trHeight w:val="219"/>
        </w:trPr>
        <w:tc>
          <w:tcPr>
            <w:tcW w:w="8720" w:type="dxa"/>
            <w:vAlign w:val="bottom"/>
            <w:gridSpan w:val="3"/>
            <w:shd w:val="clear" w:color="auto" w:fill="CCF0FC"/>
          </w:tcPr>
          <w:p>
            <w:pPr>
              <w:ind w:left="20"/>
              <w:spacing w:after="0"/>
              <w:rPr>
                <w:sz w:val="20"/>
                <w:szCs w:val="20"/>
                <w:color w:val="auto"/>
              </w:rPr>
            </w:pPr>
            <w:r>
              <w:rPr>
                <w:rFonts w:ascii="Arial" w:cs="Arial" w:eastAsia="Arial" w:hAnsi="Arial"/>
                <w:sz w:val="16"/>
                <w:szCs w:val="16"/>
                <w:color w:val="auto"/>
              </w:rPr>
              <w:t>Off-system excess energy sales</w:t>
            </w:r>
          </w:p>
        </w:tc>
        <w:tc>
          <w:tcPr>
            <w:tcW w:w="460" w:type="dxa"/>
            <w:vAlign w:val="bottom"/>
            <w:shd w:val="clear" w:color="auto" w:fill="CCF0FC"/>
          </w:tcPr>
          <w:p>
            <w:pPr>
              <w:spacing w:after="0"/>
              <w:rPr>
                <w:sz w:val="19"/>
                <w:szCs w:val="19"/>
                <w:color w:val="auto"/>
              </w:rPr>
            </w:pPr>
          </w:p>
        </w:tc>
        <w:tc>
          <w:tcPr>
            <w:tcW w:w="2060" w:type="dxa"/>
            <w:vAlign w:val="bottom"/>
            <w:shd w:val="clear" w:color="auto" w:fill="CCF0FC"/>
          </w:tcPr>
          <w:p>
            <w:pPr>
              <w:jc w:val="right"/>
              <w:ind w:right="39"/>
              <w:spacing w:after="0"/>
              <w:rPr>
                <w:sz w:val="20"/>
                <w:szCs w:val="20"/>
                <w:color w:val="auto"/>
              </w:rPr>
            </w:pPr>
            <w:r>
              <w:rPr>
                <w:rFonts w:ascii="Arial" w:cs="Arial" w:eastAsia="Arial" w:hAnsi="Arial"/>
                <w:sz w:val="16"/>
                <w:szCs w:val="16"/>
                <w:color w:val="auto"/>
              </w:rPr>
              <w:t>1.1</w:t>
            </w:r>
          </w:p>
        </w:tc>
      </w:tr>
      <w:tr>
        <w:trPr>
          <w:trHeight w:val="213"/>
        </w:trPr>
        <w:tc>
          <w:tcPr>
            <w:tcW w:w="8720" w:type="dxa"/>
            <w:vAlign w:val="bottom"/>
            <w:gridSpan w:val="3"/>
          </w:tcPr>
          <w:p>
            <w:pPr>
              <w:ind w:left="20"/>
              <w:spacing w:after="0"/>
              <w:rPr>
                <w:sz w:val="20"/>
                <w:szCs w:val="20"/>
                <w:color w:val="auto"/>
              </w:rPr>
            </w:pPr>
            <w:r>
              <w:rPr>
                <w:rFonts w:ascii="Arial" w:cs="Arial" w:eastAsia="Arial" w:hAnsi="Arial"/>
                <w:sz w:val="16"/>
                <w:szCs w:val="16"/>
                <w:color w:val="auto"/>
              </w:rPr>
              <w:t>Weather</w:t>
            </w:r>
          </w:p>
        </w:tc>
        <w:tc>
          <w:tcPr>
            <w:tcW w:w="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(4.5 )</w:t>
            </w:r>
          </w:p>
        </w:tc>
      </w:tr>
      <w:tr>
        <w:trPr>
          <w:trHeight w:val="219"/>
        </w:trPr>
        <w:tc>
          <w:tcPr>
            <w:tcW w:w="8720" w:type="dxa"/>
            <w:vAlign w:val="bottom"/>
            <w:tcBorders>
              <w:bottom w:val="single" w:sz="8" w:color="CCF0FC"/>
            </w:tcBorders>
            <w:gridSpan w:val="3"/>
            <w:shd w:val="clear" w:color="auto" w:fill="CCF0FC"/>
          </w:tcPr>
          <w:p>
            <w:pPr>
              <w:ind w:left="2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auto"/>
            </w:tcBorders>
            <w:shd w:val="clear" w:color="auto" w:fill="CCF0FC"/>
          </w:tcPr>
          <w:p>
            <w:pPr>
              <w:spacing w:after="0"/>
              <w:rPr>
                <w:sz w:val="19"/>
                <w:szCs w:val="19"/>
                <w:color w:val="auto"/>
              </w:rPr>
            </w:pPr>
          </w:p>
        </w:tc>
        <w:tc>
          <w:tcPr>
            <w:tcW w:w="2060" w:type="dxa"/>
            <w:vAlign w:val="bottom"/>
            <w:tcBorders>
              <w:bottom w:val="single" w:sz="8" w:color="auto"/>
            </w:tcBorders>
            <w:shd w:val="clear" w:color="auto" w:fill="CCF0FC"/>
          </w:tcPr>
          <w:p>
            <w:pPr>
              <w:jc w:val="right"/>
              <w:ind w:right="39"/>
              <w:spacing w:after="0"/>
              <w:rPr>
                <w:sz w:val="20"/>
                <w:szCs w:val="20"/>
                <w:color w:val="auto"/>
              </w:rPr>
            </w:pPr>
            <w:r>
              <w:rPr>
                <w:rFonts w:ascii="Arial" w:cs="Arial" w:eastAsia="Arial" w:hAnsi="Arial"/>
                <w:sz w:val="16"/>
                <w:szCs w:val="16"/>
                <w:color w:val="auto"/>
              </w:rPr>
              <w:t>2.0</w:t>
            </w:r>
          </w:p>
        </w:tc>
      </w:tr>
      <w:tr>
        <w:trPr>
          <w:trHeight w:val="206"/>
        </w:trPr>
        <w:tc>
          <w:tcPr>
            <w:tcW w:w="15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27.3</w:t>
            </w:r>
          </w:p>
        </w:tc>
      </w:tr>
      <w:tr>
        <w:trPr>
          <w:trHeight w:val="20"/>
        </w:trPr>
        <w:tc>
          <w:tcPr>
            <w:tcW w:w="15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58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64" w:lineRule="exact"/>
        <w:rPr>
          <w:sz w:val="20"/>
          <w:szCs w:val="20"/>
          <w:color w:val="auto"/>
        </w:rPr>
      </w:pPr>
    </w:p>
    <w:p>
      <w:pPr>
        <w:ind w:left="520" w:right="240" w:hanging="512"/>
        <w:spacing w:after="0" w:line="257"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In 2021, Wygen I experienced an unplanned outage which resulted in lost revenue. A claim for these losses was submitted under our business interruption insurance policy. During the third quarter of 2023, we recovered $5.0 million from our business interruption insurance which was recognized as Revenue. See </w:t>
      </w:r>
      <w:r>
        <w:rPr>
          <w:rFonts w:ascii="Arial" w:cs="Arial" w:eastAsia="Arial" w:hAnsi="Arial"/>
          <w:sz w:val="14"/>
          <w:szCs w:val="14"/>
          <w:u w:val="single" w:color="auto"/>
          <w:color w:val="0000FF"/>
        </w:rPr>
        <w:t>Note 3</w:t>
      </w:r>
      <w:r>
        <w:rPr>
          <w:rFonts w:ascii="Arial" w:cs="Arial" w:eastAsia="Arial" w:hAnsi="Arial"/>
          <w:sz w:val="14"/>
          <w:szCs w:val="14"/>
          <w:color w:val="auto"/>
        </w:rPr>
        <w:t xml:space="preserve"> of the Condensed Notes to Consolidated Financial Statements for further information.</w:t>
      </w:r>
    </w:p>
    <w:p>
      <w:pPr>
        <w:spacing w:after="0" w:line="9" w:lineRule="exact"/>
        <w:rPr>
          <w:rFonts w:ascii="Arial" w:cs="Arial" w:eastAsia="Arial" w:hAnsi="Arial"/>
          <w:sz w:val="14"/>
          <w:szCs w:val="14"/>
          <w:color w:val="auto"/>
        </w:rPr>
      </w:pPr>
    </w:p>
    <w:p>
      <w:pPr>
        <w:ind w:left="520" w:hanging="512"/>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Primarily driven by favorable mining volumes due to a prior year planned outage, mining contract pricing and increased Black Hills Colorado IPP fired-engine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6287770</wp:posOffset>
            </wp:positionH>
            <wp:positionV relativeFrom="paragraph">
              <wp:posOffset>-235585</wp:posOffset>
            </wp:positionV>
            <wp:extent cx="2692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9240" cy="8890"/>
                    </a:xfrm>
                    <a:prstGeom prst="rect">
                      <a:avLst/>
                    </a:prstGeom>
                    <a:noFill/>
                  </pic:spPr>
                </pic:pic>
              </a:graphicData>
            </a:graphic>
          </wp:anchor>
        </w:drawing>
      </w:r>
    </w:p>
    <w:p>
      <w:pPr>
        <w:spacing w:after="0" w:line="165"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decreased primarily due to a one-time $7.7 million gain on the planned sale of Northern Iowa Windpower assets and a $3.9 million gain on a strategic sale of land in Wyoming to a customer to support continued load growth partially offset by $5.5 million of higher employee-related expenses and $3.5 million of higher mining and generation expenses driven by planned outages, higher fuel costs and higher materials costs.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current year and prior year capital expenditures.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color w:val="auto"/>
              </w:rPr>
              <w:t>Revenue (in thousands)</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Quantities Sold (MWh)</w:t>
            </w:r>
          </w:p>
        </w:tc>
        <w:tc>
          <w:tcPr>
            <w:tcW w:w="940" w:type="dxa"/>
            <w:vAlign w:val="bottom"/>
            <w:tcBorders>
              <w:bottom w:val="single" w:sz="8" w:color="auto"/>
            </w:tcBorders>
          </w:tcPr>
          <w:p>
            <w:pPr>
              <w:spacing w:after="0"/>
              <w:rPr>
                <w:sz w:val="15"/>
                <w:szCs w:val="15"/>
                <w:color w:val="auto"/>
              </w:rPr>
            </w:pPr>
          </w:p>
        </w:tc>
      </w:tr>
      <w:tr>
        <w:trPr>
          <w:trHeight w:val="164"/>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3"/>
          </w:tcPr>
          <w:p>
            <w:pPr>
              <w:jc w:val="right"/>
              <w:ind w:right="248"/>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1700" w:type="dxa"/>
            <w:vAlign w:val="bottom"/>
            <w:gridSpan w:val="3"/>
          </w:tcPr>
          <w:p>
            <w:pPr>
              <w:jc w:val="right"/>
              <w:ind w:right="288"/>
              <w:spacing w:after="0"/>
              <w:rPr>
                <w:sz w:val="20"/>
                <w:szCs w:val="20"/>
                <w:color w:val="auto"/>
              </w:rPr>
            </w:pPr>
            <w:r>
              <w:rPr>
                <w:rFonts w:ascii="Arial" w:cs="Arial" w:eastAsia="Arial" w:hAnsi="Arial"/>
                <w:sz w:val="14"/>
                <w:szCs w:val="14"/>
                <w:color w:val="auto"/>
              </w:rPr>
              <w:t>Nine Months Ended</w:t>
            </w:r>
          </w:p>
        </w:tc>
        <w:tc>
          <w:tcPr>
            <w:tcW w:w="1880" w:type="dxa"/>
            <w:vAlign w:val="bottom"/>
            <w:gridSpan w:val="2"/>
          </w:tcPr>
          <w:p>
            <w:pPr>
              <w:jc w:val="right"/>
              <w:ind w:right="288"/>
              <w:spacing w:after="0"/>
              <w:rPr>
                <w:sz w:val="20"/>
                <w:szCs w:val="20"/>
                <w:color w:val="auto"/>
              </w:rPr>
            </w:pPr>
            <w:r>
              <w:rPr>
                <w:rFonts w:ascii="Arial" w:cs="Arial" w:eastAsia="Arial" w:hAnsi="Arial"/>
                <w:sz w:val="14"/>
                <w:szCs w:val="14"/>
                <w:color w:val="auto"/>
              </w:rPr>
              <w:t>Three Months Ended</w:t>
            </w:r>
          </w:p>
        </w:tc>
        <w:tc>
          <w:tcPr>
            <w:tcW w:w="1900" w:type="dxa"/>
            <w:vAlign w:val="bottom"/>
            <w:gridSpan w:val="2"/>
          </w:tcPr>
          <w:p>
            <w:pPr>
              <w:ind w:left="240"/>
              <w:spacing w:after="0"/>
              <w:rPr>
                <w:sz w:val="20"/>
                <w:szCs w:val="20"/>
                <w:color w:val="auto"/>
              </w:rPr>
            </w:pPr>
            <w:r>
              <w:rPr>
                <w:rFonts w:ascii="Arial" w:cs="Arial" w:eastAsia="Arial" w:hAnsi="Arial"/>
                <w:sz w:val="14"/>
                <w:szCs w:val="14"/>
                <w:color w:val="auto"/>
              </w:rPr>
              <w:t>Nine Months Ended</w:t>
            </w:r>
          </w:p>
        </w:tc>
      </w:tr>
      <w:tr>
        <w:trPr>
          <w:trHeight w:val="182"/>
        </w:trPr>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3"/>
          </w:tcPr>
          <w:p>
            <w:pPr>
              <w:jc w:val="right"/>
              <w:ind w:right="428"/>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5"/>
                <w:szCs w:val="15"/>
                <w:color w:val="auto"/>
              </w:rPr>
            </w:pPr>
          </w:p>
        </w:tc>
        <w:tc>
          <w:tcPr>
            <w:tcW w:w="1700" w:type="dxa"/>
            <w:vAlign w:val="bottom"/>
            <w:gridSpan w:val="3"/>
          </w:tcPr>
          <w:p>
            <w:pPr>
              <w:jc w:val="right"/>
              <w:ind w:right="428"/>
              <w:spacing w:after="0"/>
              <w:rPr>
                <w:sz w:val="20"/>
                <w:szCs w:val="20"/>
                <w:color w:val="auto"/>
              </w:rPr>
            </w:pPr>
            <w:r>
              <w:rPr>
                <w:rFonts w:ascii="Arial" w:cs="Arial" w:eastAsia="Arial" w:hAnsi="Arial"/>
                <w:sz w:val="14"/>
                <w:szCs w:val="14"/>
                <w:color w:val="auto"/>
              </w:rPr>
              <w:t>September 30,</w:t>
            </w:r>
          </w:p>
        </w:tc>
        <w:tc>
          <w:tcPr>
            <w:tcW w:w="1880" w:type="dxa"/>
            <w:vAlign w:val="bottom"/>
            <w:gridSpan w:val="2"/>
          </w:tcPr>
          <w:p>
            <w:pPr>
              <w:jc w:val="right"/>
              <w:ind w:right="468"/>
              <w:spacing w:after="0"/>
              <w:rPr>
                <w:sz w:val="20"/>
                <w:szCs w:val="20"/>
                <w:color w:val="auto"/>
              </w:rPr>
            </w:pPr>
            <w:r>
              <w:rPr>
                <w:rFonts w:ascii="Arial" w:cs="Arial" w:eastAsia="Arial" w:hAnsi="Arial"/>
                <w:sz w:val="14"/>
                <w:szCs w:val="14"/>
                <w:color w:val="auto"/>
              </w:rPr>
              <w:t>September 30,</w:t>
            </w:r>
          </w:p>
        </w:tc>
        <w:tc>
          <w:tcPr>
            <w:tcW w:w="1900" w:type="dxa"/>
            <w:vAlign w:val="bottom"/>
            <w:gridSpan w:val="2"/>
          </w:tcPr>
          <w:p>
            <w:pPr>
              <w:jc w:val="right"/>
              <w:ind w:right="468"/>
              <w:spacing w:after="0"/>
              <w:rPr>
                <w:sz w:val="20"/>
                <w:szCs w:val="20"/>
                <w:color w:val="auto"/>
              </w:rPr>
            </w:pPr>
            <w:r>
              <w:rPr>
                <w:rFonts w:ascii="Arial" w:cs="Arial" w:eastAsia="Arial" w:hAnsi="Arial"/>
                <w:sz w:val="14"/>
                <w:szCs w:val="14"/>
                <w:color w:val="auto"/>
              </w:rPr>
              <w:t>September 30,</w:t>
            </w:r>
          </w:p>
        </w:tc>
      </w:tr>
      <w:tr>
        <w:trPr>
          <w:trHeight w:val="188"/>
        </w:trPr>
        <w:tc>
          <w:tcPr>
            <w:tcW w:w="3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2023</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2022</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2022</w:t>
            </w: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2023</w:t>
            </w: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2022</w:t>
            </w: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2023</w:t>
            </w: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2022</w:t>
            </w:r>
          </w:p>
        </w:tc>
      </w:tr>
      <w:tr>
        <w:trPr>
          <w:trHeight w:val="183"/>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Residential</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63,107</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72,115</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170,279</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187,217</w:t>
            </w: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393,830</w:t>
            </w:r>
          </w:p>
        </w:tc>
        <w:tc>
          <w:tcPr>
            <w:tcW w:w="9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421,782</w:t>
            </w:r>
          </w:p>
        </w:tc>
        <w:tc>
          <w:tcPr>
            <w:tcW w:w="9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1,090,579</w:t>
            </w: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1,137,139</w:t>
            </w: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69,508</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77,314</w:t>
            </w:r>
          </w:p>
        </w:tc>
        <w:tc>
          <w:tcPr>
            <w:tcW w:w="2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195,110</w:t>
            </w:r>
          </w:p>
        </w:tc>
        <w:tc>
          <w:tcPr>
            <w:tcW w:w="2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210,423</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567,111</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581,239</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1,576,141</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1,581,487</w:t>
            </w:r>
          </w:p>
        </w:tc>
      </w:tr>
      <w:tr>
        <w:trPr>
          <w:trHeight w:val="189"/>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Industrial</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42,988</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47,090</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116,455</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120,688</w:t>
            </w: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553,481</w:t>
            </w:r>
          </w:p>
        </w:tc>
        <w:tc>
          <w:tcPr>
            <w:tcW w:w="9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483,223</w:t>
            </w:r>
          </w:p>
        </w:tc>
        <w:tc>
          <w:tcPr>
            <w:tcW w:w="9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1,511,569</w:t>
            </w: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1,411,919</w:t>
            </w: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Municipal</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4,731</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6,093</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13,202</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15,660</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42,782</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46,745</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116,118</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122,290</w:t>
            </w:r>
          </w:p>
        </w:tc>
      </w:tr>
      <w:tr>
        <w:trPr>
          <w:trHeight w:val="183"/>
        </w:trPr>
        <w:tc>
          <w:tcPr>
            <w:tcW w:w="3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Subtotal Retail Revenue - Electric</w:t>
            </w: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180,334</w:t>
            </w: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202,612</w:t>
            </w: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495,046</w:t>
            </w:r>
          </w:p>
        </w:tc>
        <w:tc>
          <w:tcPr>
            <w:tcW w:w="2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533,989</w:t>
            </w:r>
          </w:p>
        </w:tc>
        <w:tc>
          <w:tcPr>
            <w:tcW w:w="9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1,557,204</w:t>
            </w:r>
          </w:p>
        </w:tc>
        <w:tc>
          <w:tcPr>
            <w:tcW w:w="9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1,532,989</w:t>
            </w:r>
          </w:p>
        </w:tc>
        <w:tc>
          <w:tcPr>
            <w:tcW w:w="9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4,294,407</w:t>
            </w: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4,252,835</w:t>
            </w:r>
          </w:p>
        </w:tc>
      </w:tr>
      <w:tr>
        <w:trPr>
          <w:trHeight w:val="183"/>
        </w:trPr>
        <w:tc>
          <w:tcPr>
            <w:tcW w:w="3660" w:type="dxa"/>
            <w:vAlign w:val="bottom"/>
          </w:tcPr>
          <w:p>
            <w:pPr>
              <w:ind w:left="20"/>
              <w:spacing w:after="0"/>
              <w:rPr>
                <w:sz w:val="20"/>
                <w:szCs w:val="20"/>
                <w:color w:val="auto"/>
              </w:rPr>
            </w:pPr>
            <w:r>
              <w:rPr>
                <w:rFonts w:ascii="Arial" w:cs="Arial" w:eastAsia="Arial" w:hAnsi="Arial"/>
                <w:sz w:val="14"/>
                <w:szCs w:val="14"/>
                <w:color w:val="auto"/>
              </w:rPr>
              <w:t>Contract Wholesale</w:t>
            </w:r>
          </w:p>
        </w:tc>
        <w:tc>
          <w:tcPr>
            <w:tcW w:w="1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6,839</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8,378</w:t>
            </w: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15,449</w:t>
            </w:r>
          </w:p>
        </w:tc>
        <w:tc>
          <w:tcPr>
            <w:tcW w:w="2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18,639</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140,547</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160,070</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403,682</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492,922</w:t>
            </w:r>
          </w:p>
        </w:tc>
      </w:tr>
      <w:tr>
        <w:trPr>
          <w:trHeight w:val="189"/>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Off-system/Power Marketing Wholesale</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9,580</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16,769</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31,663</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32,590</w:t>
            </w: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138,438</w:t>
            </w:r>
          </w:p>
        </w:tc>
        <w:tc>
          <w:tcPr>
            <w:tcW w:w="9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131,469</w:t>
            </w:r>
          </w:p>
        </w:tc>
        <w:tc>
          <w:tcPr>
            <w:tcW w:w="9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518,552</w:t>
            </w: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436,335</w:t>
            </w:r>
          </w:p>
        </w:tc>
      </w:tr>
      <w:tr>
        <w:trPr>
          <w:trHeight w:val="189"/>
        </w:trPr>
        <w:tc>
          <w:tcPr>
            <w:tcW w:w="36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9"/>
                <w:szCs w:val="19"/>
                <w:color w:val="auto"/>
                <w:vertAlign w:val="superscript"/>
              </w:rPr>
              <w:t>(a)</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24,962</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17,509</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69,080</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49,972</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183"/>
        </w:trPr>
        <w:tc>
          <w:tcPr>
            <w:tcW w:w="3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Total Regulated</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221,715</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245,269</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611,238</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635,190</w:t>
            </w: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1,836,189</w:t>
            </w:r>
          </w:p>
        </w:tc>
        <w:tc>
          <w:tcPr>
            <w:tcW w:w="9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1,824,528</w:t>
            </w:r>
          </w:p>
        </w:tc>
        <w:tc>
          <w:tcPr>
            <w:tcW w:w="9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5,216,641</w:t>
            </w: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5,182,092</w:t>
            </w:r>
          </w:p>
        </w:tc>
      </w:tr>
      <w:tr>
        <w:trPr>
          <w:trHeight w:val="189"/>
        </w:trPr>
        <w:tc>
          <w:tcPr>
            <w:tcW w:w="36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Non-Regulated </w:t>
            </w:r>
            <w:r>
              <w:rPr>
                <w:rFonts w:ascii="Arial" w:cs="Arial" w:eastAsia="Arial" w:hAnsi="Arial"/>
                <w:sz w:val="19"/>
                <w:szCs w:val="19"/>
                <w:color w:val="auto"/>
                <w:vertAlign w:val="superscript"/>
              </w:rPr>
              <w:t>(b)</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15,614</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13,401</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37,873</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34,396</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25,369</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59,745</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102,563</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221,609</w:t>
            </w:r>
          </w:p>
        </w:tc>
      </w:tr>
      <w:tr>
        <w:trPr>
          <w:trHeight w:val="223"/>
        </w:trPr>
        <w:tc>
          <w:tcPr>
            <w:tcW w:w="3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Total Revenue and Quantities Sold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237,329</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258,669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649,111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669,586</w:t>
            </w:r>
          </w:p>
        </w:tc>
        <w:tc>
          <w:tcPr>
            <w:tcW w:w="9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1,861,558</w:t>
            </w:r>
          </w:p>
        </w:tc>
        <w:tc>
          <w:tcPr>
            <w:tcW w:w="9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1,884,273</w:t>
            </w:r>
          </w:p>
        </w:tc>
        <w:tc>
          <w:tcPr>
            <w:tcW w:w="9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5,319,204</w:t>
            </w: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5,403,701</w:t>
            </w:r>
          </w:p>
        </w:tc>
      </w:tr>
      <w:tr>
        <w:trPr>
          <w:trHeight w:val="169"/>
        </w:trPr>
        <w:tc>
          <w:tcPr>
            <w:tcW w:w="3660" w:type="dxa"/>
            <w:vAlign w:val="bottom"/>
          </w:tcPr>
          <w:p>
            <w:pPr>
              <w:ind w:left="20"/>
              <w:spacing w:after="0" w:line="170" w:lineRule="exact"/>
              <w:rPr>
                <w:sz w:val="20"/>
                <w:szCs w:val="20"/>
                <w:color w:val="auto"/>
              </w:rPr>
            </w:pPr>
            <w:r>
              <w:rPr>
                <w:rFonts w:ascii="Arial" w:cs="Arial" w:eastAsia="Arial" w:hAnsi="Arial"/>
                <w:sz w:val="14"/>
                <w:szCs w:val="14"/>
                <w:color w:val="auto"/>
              </w:rPr>
              <w:t xml:space="preserve">Other Uses, Losses or Generation, net </w:t>
            </w:r>
            <w:r>
              <w:rPr>
                <w:rFonts w:ascii="Arial" w:cs="Arial" w:eastAsia="Arial" w:hAnsi="Arial"/>
                <w:sz w:val="19"/>
                <w:szCs w:val="19"/>
                <w:color w:val="auto"/>
                <w:vertAlign w:val="superscript"/>
              </w:rPr>
              <w:t>(c)</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97,709</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125,613</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345,642</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337,222</w:t>
            </w:r>
          </w:p>
        </w:tc>
      </w:tr>
      <w:tr>
        <w:trPr>
          <w:trHeight w:val="223"/>
        </w:trPr>
        <w:tc>
          <w:tcPr>
            <w:tcW w:w="3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Energy</w:t>
            </w: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1,959,267</w:t>
            </w:r>
          </w:p>
        </w:tc>
        <w:tc>
          <w:tcPr>
            <w:tcW w:w="9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2,009,886</w:t>
            </w:r>
          </w:p>
        </w:tc>
        <w:tc>
          <w:tcPr>
            <w:tcW w:w="9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5,664,846</w:t>
            </w: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5,740,923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Primarily related to transmission revenues from the Common Use System.</w:t>
      </w:r>
    </w:p>
    <w:p>
      <w:pPr>
        <w:spacing w:after="0" w:line="11" w:lineRule="exact"/>
        <w:rPr>
          <w:rFonts w:ascii="Arial" w:cs="Arial" w:eastAsia="Arial" w:hAnsi="Arial"/>
          <w:sz w:val="14"/>
          <w:szCs w:val="14"/>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Integrated Generation and non-regulated services to our retail customers under the Service Guard Comfort Plan and Tech Services.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83"/>
              <w:spacing w:after="0"/>
              <w:rPr>
                <w:sz w:val="20"/>
                <w:szCs w:val="20"/>
                <w:color w:val="auto"/>
              </w:rPr>
            </w:pPr>
            <w:r>
              <w:rPr>
                <w:rFonts w:ascii="Arial" w:cs="Arial" w:eastAsia="Arial" w:hAnsi="Arial"/>
                <w:sz w:val="14"/>
                <w:szCs w:val="14"/>
                <w:color w:val="auto"/>
              </w:rPr>
              <w:t>Revenue (in thousands)</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Quantities Sold (MWh)</w:t>
            </w:r>
          </w:p>
        </w:tc>
        <w:tc>
          <w:tcPr>
            <w:tcW w:w="1080" w:type="dxa"/>
            <w:vAlign w:val="bottom"/>
            <w:tcBorders>
              <w:bottom w:val="single" w:sz="8" w:color="auto"/>
            </w:tcBorders>
          </w:tcPr>
          <w:p>
            <w:pPr>
              <w:spacing w:after="0"/>
              <w:rPr>
                <w:sz w:val="15"/>
                <w:szCs w:val="15"/>
                <w:color w:val="auto"/>
              </w:rPr>
            </w:pPr>
          </w:p>
        </w:tc>
      </w:tr>
      <w:tr>
        <w:trPr>
          <w:trHeight w:val="164"/>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right"/>
              <w:ind w:right="259"/>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4"/>
                <w:szCs w:val="14"/>
                <w:color w:val="auto"/>
              </w:rPr>
            </w:pPr>
          </w:p>
        </w:tc>
        <w:tc>
          <w:tcPr>
            <w:tcW w:w="1700" w:type="dxa"/>
            <w:vAlign w:val="bottom"/>
            <w:gridSpan w:val="3"/>
          </w:tcPr>
          <w:p>
            <w:pPr>
              <w:jc w:val="right"/>
              <w:ind w:right="227"/>
              <w:spacing w:after="0"/>
              <w:rPr>
                <w:sz w:val="20"/>
                <w:szCs w:val="20"/>
                <w:color w:val="auto"/>
              </w:rPr>
            </w:pPr>
            <w:r>
              <w:rPr>
                <w:rFonts w:ascii="Arial" w:cs="Arial" w:eastAsia="Arial" w:hAnsi="Arial"/>
                <w:sz w:val="14"/>
                <w:szCs w:val="14"/>
                <w:color w:val="auto"/>
              </w:rPr>
              <w:t>Nine Months Ended</w:t>
            </w:r>
          </w:p>
        </w:tc>
        <w:tc>
          <w:tcPr>
            <w:tcW w:w="2040" w:type="dxa"/>
            <w:vAlign w:val="bottom"/>
            <w:gridSpan w:val="2"/>
          </w:tcPr>
          <w:p>
            <w:pPr>
              <w:jc w:val="right"/>
              <w:ind w:right="323"/>
              <w:spacing w:after="0"/>
              <w:rPr>
                <w:sz w:val="20"/>
                <w:szCs w:val="20"/>
                <w:color w:val="auto"/>
              </w:rPr>
            </w:pPr>
            <w:r>
              <w:rPr>
                <w:rFonts w:ascii="Arial" w:cs="Arial" w:eastAsia="Arial" w:hAnsi="Arial"/>
                <w:sz w:val="14"/>
                <w:szCs w:val="14"/>
                <w:color w:val="auto"/>
              </w:rPr>
              <w:t>Three Months Ended</w:t>
            </w:r>
          </w:p>
        </w:tc>
        <w:tc>
          <w:tcPr>
            <w:tcW w:w="1940" w:type="dxa"/>
            <w:vAlign w:val="bottom"/>
            <w:gridSpan w:val="2"/>
          </w:tcPr>
          <w:p>
            <w:pPr>
              <w:jc w:val="right"/>
              <w:ind w:right="343"/>
              <w:spacing w:after="0"/>
              <w:rPr>
                <w:sz w:val="20"/>
                <w:szCs w:val="20"/>
                <w:color w:val="auto"/>
              </w:rPr>
            </w:pPr>
            <w:r>
              <w:rPr>
                <w:rFonts w:ascii="Arial" w:cs="Arial" w:eastAsia="Arial" w:hAnsi="Arial"/>
                <w:sz w:val="14"/>
                <w:szCs w:val="14"/>
                <w:color w:val="auto"/>
              </w:rPr>
              <w:t>Nine Months Ended</w:t>
            </w:r>
          </w:p>
        </w:tc>
      </w:tr>
      <w:tr>
        <w:trPr>
          <w:trHeight w:val="182"/>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4"/>
          </w:tcPr>
          <w:p>
            <w:pPr>
              <w:jc w:val="right"/>
              <w:ind w:right="439"/>
              <w:spacing w:after="0"/>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5"/>
                <w:szCs w:val="15"/>
                <w:color w:val="auto"/>
              </w:rPr>
            </w:pPr>
          </w:p>
        </w:tc>
        <w:tc>
          <w:tcPr>
            <w:tcW w:w="1700" w:type="dxa"/>
            <w:vAlign w:val="bottom"/>
            <w:gridSpan w:val="3"/>
          </w:tcPr>
          <w:p>
            <w:pPr>
              <w:jc w:val="right"/>
              <w:ind w:right="367"/>
              <w:spacing w:after="0"/>
              <w:rPr>
                <w:sz w:val="20"/>
                <w:szCs w:val="20"/>
                <w:color w:val="auto"/>
              </w:rPr>
            </w:pPr>
            <w:r>
              <w:rPr>
                <w:rFonts w:ascii="Arial" w:cs="Arial" w:eastAsia="Arial" w:hAnsi="Arial"/>
                <w:sz w:val="14"/>
                <w:szCs w:val="14"/>
                <w:color w:val="auto"/>
              </w:rPr>
              <w:t>September 30,</w:t>
            </w:r>
          </w:p>
        </w:tc>
        <w:tc>
          <w:tcPr>
            <w:tcW w:w="2040" w:type="dxa"/>
            <w:vAlign w:val="bottom"/>
            <w:gridSpan w:val="2"/>
          </w:tcPr>
          <w:p>
            <w:pPr>
              <w:jc w:val="right"/>
              <w:ind w:right="503"/>
              <w:spacing w:after="0"/>
              <w:rPr>
                <w:sz w:val="20"/>
                <w:szCs w:val="20"/>
                <w:color w:val="auto"/>
              </w:rPr>
            </w:pPr>
            <w:r>
              <w:rPr>
                <w:rFonts w:ascii="Arial" w:cs="Arial" w:eastAsia="Arial" w:hAnsi="Arial"/>
                <w:sz w:val="14"/>
                <w:szCs w:val="14"/>
                <w:color w:val="auto"/>
              </w:rPr>
              <w:t>September 30,</w:t>
            </w:r>
          </w:p>
        </w:tc>
        <w:tc>
          <w:tcPr>
            <w:tcW w:w="1940" w:type="dxa"/>
            <w:vAlign w:val="bottom"/>
            <w:gridSpan w:val="2"/>
          </w:tcPr>
          <w:p>
            <w:pPr>
              <w:jc w:val="right"/>
              <w:ind w:right="483"/>
              <w:spacing w:after="0"/>
              <w:rPr>
                <w:sz w:val="20"/>
                <w:szCs w:val="20"/>
                <w:color w:val="auto"/>
              </w:rPr>
            </w:pPr>
            <w:r>
              <w:rPr>
                <w:rFonts w:ascii="Arial" w:cs="Arial" w:eastAsia="Arial" w:hAnsi="Arial"/>
                <w:sz w:val="14"/>
                <w:szCs w:val="14"/>
                <w:color w:val="auto"/>
              </w:rPr>
              <w:t>September 30,</w:t>
            </w:r>
          </w:p>
        </w:tc>
      </w:tr>
      <w:tr>
        <w:trPr>
          <w:trHeight w:val="188"/>
        </w:trPr>
        <w:tc>
          <w:tcPr>
            <w:tcW w:w="3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2023</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color w:val="auto"/>
              </w:rPr>
              <w:t>2022</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2023</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color w:val="auto"/>
              </w:rPr>
              <w:t>2022</w:t>
            </w:r>
          </w:p>
        </w:tc>
        <w:tc>
          <w:tcPr>
            <w:tcW w:w="10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color w:val="auto"/>
              </w:rPr>
              <w:t>2023</w:t>
            </w:r>
          </w:p>
        </w:tc>
        <w:tc>
          <w:tcPr>
            <w:tcW w:w="10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2022</w:t>
            </w: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2023</w:t>
            </w:r>
          </w:p>
        </w:tc>
        <w:tc>
          <w:tcPr>
            <w:tcW w:w="10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2022</w:t>
            </w:r>
          </w:p>
        </w:tc>
      </w:tr>
      <w:tr>
        <w:trPr>
          <w:trHeight w:val="183"/>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Colorado Electric</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80,771</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96,380</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216,904</w:t>
            </w:r>
          </w:p>
        </w:tc>
        <w:tc>
          <w:tcPr>
            <w:tcW w:w="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243,022</w:t>
            </w:r>
          </w:p>
        </w:tc>
        <w:tc>
          <w:tcPr>
            <w:tcW w:w="1020" w:type="dxa"/>
            <w:vAlign w:val="bottom"/>
            <w:shd w:val="clear" w:color="auto" w:fill="CFF0FC"/>
          </w:tcPr>
          <w:p>
            <w:pPr>
              <w:jc w:val="right"/>
              <w:ind w:right="24"/>
              <w:spacing w:after="0"/>
              <w:rPr>
                <w:sz w:val="20"/>
                <w:szCs w:val="20"/>
                <w:color w:val="auto"/>
              </w:rPr>
            </w:pPr>
            <w:r>
              <w:rPr>
                <w:rFonts w:ascii="Arial" w:cs="Arial" w:eastAsia="Arial" w:hAnsi="Arial"/>
                <w:sz w:val="14"/>
                <w:szCs w:val="14"/>
                <w:color w:val="auto"/>
              </w:rPr>
              <w:t>653,166</w:t>
            </w:r>
          </w:p>
        </w:tc>
        <w:tc>
          <w:tcPr>
            <w:tcW w:w="1020" w:type="dxa"/>
            <w:vAlign w:val="bottom"/>
            <w:shd w:val="clear" w:color="auto" w:fill="CFF0FC"/>
          </w:tcPr>
          <w:p>
            <w:pPr>
              <w:jc w:val="right"/>
              <w:ind w:right="83"/>
              <w:spacing w:after="0"/>
              <w:rPr>
                <w:sz w:val="20"/>
                <w:szCs w:val="20"/>
                <w:color w:val="auto"/>
              </w:rPr>
            </w:pPr>
            <w:r>
              <w:rPr>
                <w:rFonts w:ascii="Arial" w:cs="Arial" w:eastAsia="Arial" w:hAnsi="Arial"/>
                <w:sz w:val="14"/>
                <w:szCs w:val="14"/>
                <w:color w:val="auto"/>
              </w:rPr>
              <w:t>647,532</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1,794,464</w:t>
            </w:r>
          </w:p>
        </w:tc>
        <w:tc>
          <w:tcPr>
            <w:tcW w:w="1080" w:type="dxa"/>
            <w:vAlign w:val="bottom"/>
            <w:shd w:val="clear" w:color="auto" w:fill="CFF0FC"/>
          </w:tcPr>
          <w:p>
            <w:pPr>
              <w:jc w:val="right"/>
              <w:ind w:right="43"/>
              <w:spacing w:after="0"/>
              <w:rPr>
                <w:sz w:val="20"/>
                <w:szCs w:val="20"/>
                <w:color w:val="auto"/>
              </w:rPr>
            </w:pPr>
            <w:r>
              <w:rPr>
                <w:rFonts w:ascii="Arial" w:cs="Arial" w:eastAsia="Arial" w:hAnsi="Arial"/>
                <w:sz w:val="14"/>
                <w:szCs w:val="14"/>
                <w:color w:val="auto"/>
              </w:rPr>
              <w:t>1,836,010</w:t>
            </w:r>
          </w:p>
        </w:tc>
      </w:tr>
      <w:tr>
        <w:trPr>
          <w:trHeight w:val="189"/>
        </w:trPr>
        <w:tc>
          <w:tcPr>
            <w:tcW w:w="3460" w:type="dxa"/>
            <w:vAlign w:val="bottom"/>
          </w:tcPr>
          <w:p>
            <w:pPr>
              <w:ind w:left="20"/>
              <w:spacing w:after="0"/>
              <w:rPr>
                <w:sz w:val="20"/>
                <w:szCs w:val="20"/>
                <w:color w:val="auto"/>
              </w:rPr>
            </w:pPr>
            <w:r>
              <w:rPr>
                <w:rFonts w:ascii="Arial" w:cs="Arial" w:eastAsia="Arial" w:hAnsi="Arial"/>
                <w:sz w:val="14"/>
                <w:szCs w:val="14"/>
                <w:color w:val="auto"/>
              </w:rPr>
              <w:t>South Dakota Electric</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83,024</w:t>
            </w:r>
          </w:p>
        </w:tc>
        <w:tc>
          <w:tcPr>
            <w:tcW w:w="1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94,281</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240,588</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249,073</w:t>
            </w:r>
          </w:p>
        </w:tc>
        <w:tc>
          <w:tcPr>
            <w:tcW w:w="1020" w:type="dxa"/>
            <w:vAlign w:val="bottom"/>
          </w:tcPr>
          <w:p>
            <w:pPr>
              <w:jc w:val="right"/>
              <w:ind w:right="24"/>
              <w:spacing w:after="0"/>
              <w:rPr>
                <w:sz w:val="20"/>
                <w:szCs w:val="20"/>
                <w:color w:val="auto"/>
              </w:rPr>
            </w:pPr>
            <w:r>
              <w:rPr>
                <w:rFonts w:ascii="Arial" w:cs="Arial" w:eastAsia="Arial" w:hAnsi="Arial"/>
                <w:sz w:val="14"/>
                <w:szCs w:val="14"/>
                <w:color w:val="auto"/>
              </w:rPr>
              <w:t>622,670</w:t>
            </w:r>
          </w:p>
        </w:tc>
        <w:tc>
          <w:tcPr>
            <w:tcW w:w="1020" w:type="dxa"/>
            <w:vAlign w:val="bottom"/>
          </w:tcPr>
          <w:p>
            <w:pPr>
              <w:jc w:val="right"/>
              <w:ind w:right="83"/>
              <w:spacing w:after="0"/>
              <w:rPr>
                <w:sz w:val="20"/>
                <w:szCs w:val="20"/>
                <w:color w:val="auto"/>
              </w:rPr>
            </w:pPr>
            <w:r>
              <w:rPr>
                <w:rFonts w:ascii="Arial" w:cs="Arial" w:eastAsia="Arial" w:hAnsi="Arial"/>
                <w:sz w:val="14"/>
                <w:szCs w:val="14"/>
                <w:color w:val="auto"/>
              </w:rPr>
              <w:t>684,059</w:t>
            </w:r>
          </w:p>
        </w:tc>
        <w:tc>
          <w:tcPr>
            <w:tcW w:w="860" w:type="dxa"/>
            <w:vAlign w:val="bottom"/>
          </w:tcPr>
          <w:p>
            <w:pPr>
              <w:jc w:val="right"/>
              <w:spacing w:after="0"/>
              <w:rPr>
                <w:sz w:val="20"/>
                <w:szCs w:val="20"/>
                <w:color w:val="auto"/>
              </w:rPr>
            </w:pPr>
            <w:r>
              <w:rPr>
                <w:rFonts w:ascii="Arial" w:cs="Arial" w:eastAsia="Arial" w:hAnsi="Arial"/>
                <w:sz w:val="14"/>
                <w:szCs w:val="14"/>
                <w:color w:val="auto"/>
              </w:rPr>
              <w:t>1,876,714</w:t>
            </w:r>
          </w:p>
        </w:tc>
        <w:tc>
          <w:tcPr>
            <w:tcW w:w="1080" w:type="dxa"/>
            <w:vAlign w:val="bottom"/>
          </w:tcPr>
          <w:p>
            <w:pPr>
              <w:jc w:val="right"/>
              <w:ind w:right="43"/>
              <w:spacing w:after="0"/>
              <w:rPr>
                <w:sz w:val="20"/>
                <w:szCs w:val="20"/>
                <w:color w:val="auto"/>
              </w:rPr>
            </w:pPr>
            <w:r>
              <w:rPr>
                <w:rFonts w:ascii="Arial" w:cs="Arial" w:eastAsia="Arial" w:hAnsi="Arial"/>
                <w:sz w:val="14"/>
                <w:szCs w:val="14"/>
                <w:color w:val="auto"/>
              </w:rPr>
              <w:t>1,928,454</w:t>
            </w:r>
          </w:p>
        </w:tc>
      </w:tr>
      <w:tr>
        <w:trPr>
          <w:trHeight w:val="189"/>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Wyoming Electric</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58,429</w:t>
            </w:r>
          </w:p>
        </w:tc>
        <w:tc>
          <w:tcPr>
            <w:tcW w:w="18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55,058</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155,039</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144,293</w:t>
            </w:r>
          </w:p>
        </w:tc>
        <w:tc>
          <w:tcPr>
            <w:tcW w:w="1020" w:type="dxa"/>
            <w:vAlign w:val="bottom"/>
            <w:shd w:val="clear" w:color="auto" w:fill="CFF0FC"/>
          </w:tcPr>
          <w:p>
            <w:pPr>
              <w:jc w:val="right"/>
              <w:ind w:right="24"/>
              <w:spacing w:after="0"/>
              <w:rPr>
                <w:sz w:val="20"/>
                <w:szCs w:val="20"/>
                <w:color w:val="auto"/>
              </w:rPr>
            </w:pPr>
            <w:r>
              <w:rPr>
                <w:rFonts w:ascii="Arial" w:cs="Arial" w:eastAsia="Arial" w:hAnsi="Arial"/>
                <w:sz w:val="14"/>
                <w:szCs w:val="14"/>
                <w:color w:val="auto"/>
              </w:rPr>
              <w:t>560,353</w:t>
            </w:r>
          </w:p>
        </w:tc>
        <w:tc>
          <w:tcPr>
            <w:tcW w:w="1020" w:type="dxa"/>
            <w:vAlign w:val="bottom"/>
            <w:shd w:val="clear" w:color="auto" w:fill="CFF0FC"/>
          </w:tcPr>
          <w:p>
            <w:pPr>
              <w:jc w:val="right"/>
              <w:ind w:right="83"/>
              <w:spacing w:after="0"/>
              <w:rPr>
                <w:sz w:val="20"/>
                <w:szCs w:val="20"/>
                <w:color w:val="auto"/>
              </w:rPr>
            </w:pPr>
            <w:r>
              <w:rPr>
                <w:rFonts w:ascii="Arial" w:cs="Arial" w:eastAsia="Arial" w:hAnsi="Arial"/>
                <w:sz w:val="14"/>
                <w:szCs w:val="14"/>
                <w:color w:val="auto"/>
              </w:rPr>
              <w:t>492,938</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1,545,463</w:t>
            </w:r>
          </w:p>
        </w:tc>
        <w:tc>
          <w:tcPr>
            <w:tcW w:w="1080" w:type="dxa"/>
            <w:vAlign w:val="bottom"/>
            <w:shd w:val="clear" w:color="auto" w:fill="CFF0FC"/>
          </w:tcPr>
          <w:p>
            <w:pPr>
              <w:jc w:val="right"/>
              <w:ind w:right="43"/>
              <w:spacing w:after="0"/>
              <w:rPr>
                <w:sz w:val="20"/>
                <w:szCs w:val="20"/>
                <w:color w:val="auto"/>
              </w:rPr>
            </w:pPr>
            <w:r>
              <w:rPr>
                <w:rFonts w:ascii="Arial" w:cs="Arial" w:eastAsia="Arial" w:hAnsi="Arial"/>
                <w:sz w:val="14"/>
                <w:szCs w:val="14"/>
                <w:color w:val="auto"/>
              </w:rPr>
              <w:t>1,417,629</w:t>
            </w:r>
          </w:p>
        </w:tc>
      </w:tr>
      <w:tr>
        <w:trPr>
          <w:trHeight w:val="189"/>
        </w:trPr>
        <w:tc>
          <w:tcPr>
            <w:tcW w:w="3460" w:type="dxa"/>
            <w:vAlign w:val="bottom"/>
          </w:tcPr>
          <w:p>
            <w:pPr>
              <w:ind w:left="20"/>
              <w:spacing w:after="0"/>
              <w:rPr>
                <w:sz w:val="20"/>
                <w:szCs w:val="20"/>
                <w:color w:val="auto"/>
              </w:rPr>
            </w:pPr>
            <w:r>
              <w:rPr>
                <w:rFonts w:ascii="Arial" w:cs="Arial" w:eastAsia="Arial" w:hAnsi="Arial"/>
                <w:sz w:val="14"/>
                <w:szCs w:val="14"/>
                <w:color w:val="auto"/>
              </w:rPr>
              <w:t>Integrated Generation</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15,105</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12,950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36,580</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33,198</w:t>
            </w: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25,369</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59,744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102,563</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221,608</w:t>
            </w:r>
          </w:p>
        </w:tc>
      </w:tr>
      <w:tr>
        <w:trPr>
          <w:trHeight w:val="223"/>
        </w:trPr>
        <w:tc>
          <w:tcPr>
            <w:tcW w:w="3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Revenue and Quantities Sold</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237,329</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258,669</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649,111</w:t>
            </w:r>
          </w:p>
        </w:tc>
        <w:tc>
          <w:tcPr>
            <w:tcW w:w="2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669,586</w:t>
            </w:r>
          </w:p>
        </w:tc>
        <w:tc>
          <w:tcPr>
            <w:tcW w:w="102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4"/>
                <w:szCs w:val="14"/>
                <w:color w:val="auto"/>
              </w:rPr>
              <w:t>1,861,558</w:t>
            </w:r>
          </w:p>
        </w:tc>
        <w:tc>
          <w:tcPr>
            <w:tcW w:w="102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4"/>
                <w:szCs w:val="14"/>
                <w:color w:val="auto"/>
              </w:rPr>
              <w:t>1,884,273</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5,319,204</w:t>
            </w:r>
          </w:p>
        </w:tc>
        <w:tc>
          <w:tcPr>
            <w:tcW w:w="108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4"/>
                <w:szCs w:val="14"/>
                <w:color w:val="auto"/>
              </w:rPr>
              <w:t>5,403,701</w:t>
            </w:r>
          </w:p>
        </w:tc>
      </w:tr>
      <w:tr>
        <w:trPr>
          <w:trHeight w:val="379"/>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gridSpan w:val="6"/>
          </w:tcPr>
          <w:p>
            <w:pPr>
              <w:jc w:val="right"/>
              <w:ind w:right="344"/>
              <w:spacing w:after="0"/>
              <w:rPr>
                <w:sz w:val="20"/>
                <w:szCs w:val="20"/>
                <w:color w:val="auto"/>
              </w:rPr>
            </w:pPr>
            <w:r>
              <w:rPr>
                <w:rFonts w:ascii="Arial" w:cs="Arial" w:eastAsia="Arial" w:hAnsi="Arial"/>
                <w:sz w:val="16"/>
                <w:szCs w:val="16"/>
                <w:color w:val="auto"/>
              </w:rPr>
              <w:t>Three Months Ended September 30,</w:t>
            </w:r>
          </w:p>
        </w:tc>
        <w:tc>
          <w:tcPr>
            <w:tcW w:w="2960" w:type="dxa"/>
            <w:vAlign w:val="bottom"/>
            <w:gridSpan w:val="3"/>
          </w:tcPr>
          <w:p>
            <w:pPr>
              <w:jc w:val="right"/>
              <w:ind w:right="263"/>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43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Quantities Generated and Purchased by Fuel Type (MWh)</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2023</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704"/>
              <w:spacing w:after="0"/>
              <w:rPr>
                <w:sz w:val="20"/>
                <w:szCs w:val="20"/>
                <w:color w:val="auto"/>
              </w:rPr>
            </w:pPr>
            <w:r>
              <w:rPr>
                <w:rFonts w:ascii="Arial" w:cs="Arial" w:eastAsia="Arial" w:hAnsi="Arial"/>
                <w:sz w:val="16"/>
                <w:szCs w:val="16"/>
                <w:color w:val="auto"/>
              </w:rPr>
              <w:t>2022</w:t>
            </w:r>
          </w:p>
        </w:tc>
        <w:tc>
          <w:tcPr>
            <w:tcW w:w="102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2023</w:t>
            </w:r>
          </w:p>
        </w:tc>
        <w:tc>
          <w:tcPr>
            <w:tcW w:w="8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3"/>
              <w:spacing w:after="0"/>
              <w:rPr>
                <w:sz w:val="20"/>
                <w:szCs w:val="20"/>
                <w:color w:val="auto"/>
              </w:rPr>
            </w:pPr>
            <w:r>
              <w:rPr>
                <w:rFonts w:ascii="Arial" w:cs="Arial" w:eastAsia="Arial" w:hAnsi="Arial"/>
                <w:sz w:val="16"/>
                <w:szCs w:val="16"/>
                <w:color w:val="auto"/>
              </w:rPr>
              <w:t>2022</w:t>
            </w:r>
          </w:p>
        </w:tc>
      </w:tr>
      <w:tr>
        <w:trPr>
          <w:trHeight w:val="213"/>
        </w:trPr>
        <w:tc>
          <w:tcPr>
            <w:tcW w:w="3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Generated:</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3"/>
        </w:trPr>
        <w:tc>
          <w:tcPr>
            <w:tcW w:w="3460" w:type="dxa"/>
            <w:vAlign w:val="bottom"/>
          </w:tcPr>
          <w:p>
            <w:pPr>
              <w:ind w:left="120"/>
              <w:spacing w:after="0"/>
              <w:rPr>
                <w:sz w:val="20"/>
                <w:szCs w:val="20"/>
                <w:color w:val="auto"/>
              </w:rPr>
            </w:pPr>
            <w:r>
              <w:rPr>
                <w:rFonts w:ascii="Arial" w:cs="Arial" w:eastAsia="Arial" w:hAnsi="Arial"/>
                <w:sz w:val="16"/>
                <w:szCs w:val="16"/>
                <w:color w:val="auto"/>
              </w:rPr>
              <w:t>Coal</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6"/>
                <w:szCs w:val="16"/>
                <w:color w:val="auto"/>
              </w:rPr>
              <w:t>704,227</w:t>
            </w:r>
          </w:p>
        </w:tc>
        <w:tc>
          <w:tcPr>
            <w:tcW w:w="640" w:type="dxa"/>
            <w:vAlign w:val="bottom"/>
          </w:tcPr>
          <w:p>
            <w:pPr>
              <w:spacing w:after="0"/>
              <w:rPr>
                <w:sz w:val="18"/>
                <w:szCs w:val="18"/>
                <w:color w:val="auto"/>
              </w:rPr>
            </w:pPr>
          </w:p>
        </w:tc>
        <w:tc>
          <w:tcPr>
            <w:tcW w:w="1020" w:type="dxa"/>
            <w:vAlign w:val="bottom"/>
          </w:tcPr>
          <w:p>
            <w:pPr>
              <w:jc w:val="right"/>
              <w:ind w:right="184"/>
              <w:spacing w:after="0"/>
              <w:rPr>
                <w:sz w:val="20"/>
                <w:szCs w:val="20"/>
                <w:color w:val="auto"/>
              </w:rPr>
            </w:pPr>
            <w:r>
              <w:rPr>
                <w:rFonts w:ascii="Arial" w:cs="Arial" w:eastAsia="Arial" w:hAnsi="Arial"/>
                <w:sz w:val="16"/>
                <w:szCs w:val="16"/>
                <w:color w:val="auto"/>
              </w:rPr>
              <w:t>736,181</w:t>
            </w:r>
          </w:p>
        </w:tc>
        <w:tc>
          <w:tcPr>
            <w:tcW w:w="1880" w:type="dxa"/>
            <w:vAlign w:val="bottom"/>
            <w:gridSpan w:val="2"/>
          </w:tcPr>
          <w:p>
            <w:pPr>
              <w:jc w:val="right"/>
              <w:ind w:right="528"/>
              <w:spacing w:after="0"/>
              <w:rPr>
                <w:sz w:val="20"/>
                <w:szCs w:val="20"/>
                <w:color w:val="auto"/>
              </w:rPr>
            </w:pPr>
            <w:r>
              <w:rPr>
                <w:rFonts w:ascii="Arial" w:cs="Arial" w:eastAsia="Arial" w:hAnsi="Arial"/>
                <w:sz w:val="16"/>
                <w:szCs w:val="16"/>
                <w:color w:val="auto"/>
              </w:rPr>
              <w:t>2,000,126</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1,989,057</w:t>
            </w:r>
          </w:p>
        </w:tc>
      </w:tr>
      <w:tr>
        <w:trPr>
          <w:trHeight w:val="219"/>
        </w:trPr>
        <w:tc>
          <w:tcPr>
            <w:tcW w:w="34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Natural Gas and Oil</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8"/>
              <w:spacing w:after="0"/>
              <w:rPr>
                <w:sz w:val="20"/>
                <w:szCs w:val="20"/>
                <w:color w:val="auto"/>
              </w:rPr>
            </w:pPr>
            <w:r>
              <w:rPr>
                <w:rFonts w:ascii="Arial" w:cs="Arial" w:eastAsia="Arial" w:hAnsi="Arial"/>
                <w:sz w:val="16"/>
                <w:szCs w:val="16"/>
                <w:color w:val="auto"/>
              </w:rPr>
              <w:t>540,927</w:t>
            </w: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84"/>
              <w:spacing w:after="0"/>
              <w:rPr>
                <w:sz w:val="20"/>
                <w:szCs w:val="20"/>
                <w:color w:val="auto"/>
              </w:rPr>
            </w:pPr>
            <w:r>
              <w:rPr>
                <w:rFonts w:ascii="Arial" w:cs="Arial" w:eastAsia="Arial" w:hAnsi="Arial"/>
                <w:sz w:val="16"/>
                <w:szCs w:val="16"/>
                <w:color w:val="auto"/>
              </w:rPr>
              <w:t>457,790</w:t>
            </w:r>
          </w:p>
        </w:tc>
        <w:tc>
          <w:tcPr>
            <w:tcW w:w="1880" w:type="dxa"/>
            <w:vAlign w:val="bottom"/>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1,493,230</w:t>
            </w:r>
          </w:p>
        </w:tc>
        <w:tc>
          <w:tcPr>
            <w:tcW w:w="10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1,016,369</w:t>
            </w:r>
          </w:p>
        </w:tc>
      </w:tr>
      <w:tr>
        <w:trPr>
          <w:trHeight w:val="216"/>
        </w:trPr>
        <w:tc>
          <w:tcPr>
            <w:tcW w:w="3460" w:type="dxa"/>
            <w:vAlign w:val="bottom"/>
          </w:tcPr>
          <w:p>
            <w:pPr>
              <w:ind w:left="120"/>
              <w:spacing w:after="0"/>
              <w:rPr>
                <w:sz w:val="20"/>
                <w:szCs w:val="20"/>
                <w:color w:val="auto"/>
              </w:rPr>
            </w:pPr>
            <w:r>
              <w:rPr>
                <w:rFonts w:ascii="Arial" w:cs="Arial" w:eastAsia="Arial" w:hAnsi="Arial"/>
                <w:sz w:val="16"/>
                <w:szCs w:val="16"/>
                <w:color w:val="auto"/>
              </w:rPr>
              <w:t>Wind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6"/>
                <w:szCs w:val="16"/>
                <w:color w:val="auto"/>
              </w:rPr>
              <w:t>138,527</w:t>
            </w: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143,278</w:t>
            </w:r>
          </w:p>
        </w:tc>
        <w:tc>
          <w:tcPr>
            <w:tcW w:w="188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6"/>
                <w:szCs w:val="16"/>
                <w:color w:val="auto"/>
              </w:rPr>
              <w:t>519,873</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641,302</w:t>
            </w:r>
          </w:p>
        </w:tc>
      </w:tr>
      <w:tr>
        <w:trPr>
          <w:trHeight w:val="210"/>
        </w:trPr>
        <w:tc>
          <w:tcPr>
            <w:tcW w:w="3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Generated</w:t>
            </w:r>
          </w:p>
        </w:tc>
        <w:tc>
          <w:tcPr>
            <w:tcW w:w="1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68"/>
              <w:spacing w:after="0"/>
              <w:rPr>
                <w:sz w:val="20"/>
                <w:szCs w:val="20"/>
                <w:color w:val="auto"/>
              </w:rPr>
            </w:pPr>
            <w:r>
              <w:rPr>
                <w:rFonts w:ascii="Arial" w:cs="Arial" w:eastAsia="Arial" w:hAnsi="Arial"/>
                <w:sz w:val="16"/>
                <w:szCs w:val="16"/>
                <w:color w:val="auto"/>
              </w:rPr>
              <w:t>1,383,681</w:t>
            </w:r>
          </w:p>
        </w:tc>
        <w:tc>
          <w:tcPr>
            <w:tcW w:w="6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6"/>
                <w:szCs w:val="16"/>
                <w:color w:val="auto"/>
              </w:rPr>
              <w:t>1,337,249</w:t>
            </w:r>
          </w:p>
        </w:tc>
        <w:tc>
          <w:tcPr>
            <w:tcW w:w="1880" w:type="dxa"/>
            <w:vAlign w:val="bottom"/>
            <w:tcBorders>
              <w:bottom w:val="single" w:sz="8" w:color="auto"/>
            </w:tcBorders>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4,013,229</w:t>
            </w:r>
          </w:p>
        </w:tc>
        <w:tc>
          <w:tcPr>
            <w:tcW w:w="108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3,646,728</w:t>
            </w:r>
          </w:p>
        </w:tc>
      </w:tr>
      <w:tr>
        <w:trPr>
          <w:trHeight w:val="206"/>
        </w:trPr>
        <w:tc>
          <w:tcPr>
            <w:tcW w:w="3460" w:type="dxa"/>
            <w:vAlign w:val="bottom"/>
          </w:tcPr>
          <w:p>
            <w:pPr>
              <w:ind w:left="20"/>
              <w:spacing w:after="0"/>
              <w:rPr>
                <w:sz w:val="20"/>
                <w:szCs w:val="20"/>
                <w:color w:val="auto"/>
              </w:rPr>
            </w:pPr>
            <w:r>
              <w:rPr>
                <w:rFonts w:ascii="Arial" w:cs="Arial" w:eastAsia="Arial" w:hAnsi="Arial"/>
                <w:sz w:val="16"/>
                <w:szCs w:val="16"/>
                <w:color w:val="auto"/>
              </w:rPr>
              <w:t>Purchased: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438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Coal, Natural Gas, Oil and Other Market Purchases</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8"/>
              <w:spacing w:after="0"/>
              <w:rPr>
                <w:sz w:val="20"/>
                <w:szCs w:val="20"/>
                <w:color w:val="auto"/>
              </w:rPr>
            </w:pPr>
            <w:r>
              <w:rPr>
                <w:rFonts w:ascii="Arial" w:cs="Arial" w:eastAsia="Arial" w:hAnsi="Arial"/>
                <w:sz w:val="16"/>
                <w:szCs w:val="16"/>
                <w:color w:val="auto"/>
              </w:rPr>
              <w:t>459,141</w:t>
            </w: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84"/>
              <w:spacing w:after="0"/>
              <w:rPr>
                <w:sz w:val="20"/>
                <w:szCs w:val="20"/>
                <w:color w:val="auto"/>
              </w:rPr>
            </w:pPr>
            <w:r>
              <w:rPr>
                <w:rFonts w:ascii="Arial" w:cs="Arial" w:eastAsia="Arial" w:hAnsi="Arial"/>
                <w:sz w:val="16"/>
                <w:szCs w:val="16"/>
                <w:color w:val="auto"/>
              </w:rPr>
              <w:t>609,699</w:t>
            </w:r>
          </w:p>
        </w:tc>
        <w:tc>
          <w:tcPr>
            <w:tcW w:w="1880" w:type="dxa"/>
            <w:vAlign w:val="bottom"/>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1,369,994</w:t>
            </w:r>
          </w:p>
        </w:tc>
        <w:tc>
          <w:tcPr>
            <w:tcW w:w="10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1,805,904</w:t>
            </w:r>
          </w:p>
        </w:tc>
      </w:tr>
      <w:tr>
        <w:trPr>
          <w:trHeight w:val="216"/>
        </w:trPr>
        <w:tc>
          <w:tcPr>
            <w:tcW w:w="3460" w:type="dxa"/>
            <w:vAlign w:val="bottom"/>
          </w:tcPr>
          <w:p>
            <w:pPr>
              <w:ind w:left="120"/>
              <w:spacing w:after="0"/>
              <w:rPr>
                <w:sz w:val="20"/>
                <w:szCs w:val="20"/>
                <w:color w:val="auto"/>
              </w:rPr>
            </w:pPr>
            <w:r>
              <w:rPr>
                <w:rFonts w:ascii="Arial" w:cs="Arial" w:eastAsia="Arial" w:hAnsi="Arial"/>
                <w:sz w:val="16"/>
                <w:szCs w:val="16"/>
                <w:color w:val="auto"/>
              </w:rPr>
              <w:t>Wind and Solar</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6"/>
                <w:szCs w:val="16"/>
                <w:color w:val="auto"/>
              </w:rPr>
              <w:t>116,445</w:t>
            </w: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62,938</w:t>
            </w:r>
          </w:p>
        </w:tc>
        <w:tc>
          <w:tcPr>
            <w:tcW w:w="188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6"/>
                <w:szCs w:val="16"/>
                <w:color w:val="auto"/>
              </w:rPr>
              <w:t>281,623</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288,291</w:t>
            </w:r>
          </w:p>
        </w:tc>
      </w:tr>
      <w:tr>
        <w:trPr>
          <w:trHeight w:val="210"/>
        </w:trPr>
        <w:tc>
          <w:tcPr>
            <w:tcW w:w="3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Purchased</w:t>
            </w:r>
          </w:p>
        </w:tc>
        <w:tc>
          <w:tcPr>
            <w:tcW w:w="1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68"/>
              <w:spacing w:after="0"/>
              <w:rPr>
                <w:sz w:val="20"/>
                <w:szCs w:val="20"/>
                <w:color w:val="auto"/>
              </w:rPr>
            </w:pPr>
            <w:r>
              <w:rPr>
                <w:rFonts w:ascii="Arial" w:cs="Arial" w:eastAsia="Arial" w:hAnsi="Arial"/>
                <w:sz w:val="16"/>
                <w:szCs w:val="16"/>
                <w:color w:val="auto"/>
              </w:rPr>
              <w:t>575,586</w:t>
            </w:r>
          </w:p>
        </w:tc>
        <w:tc>
          <w:tcPr>
            <w:tcW w:w="6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6"/>
                <w:szCs w:val="16"/>
                <w:color w:val="auto"/>
              </w:rPr>
              <w:t>672,637</w:t>
            </w:r>
          </w:p>
        </w:tc>
        <w:tc>
          <w:tcPr>
            <w:tcW w:w="1880" w:type="dxa"/>
            <w:vAlign w:val="bottom"/>
            <w:tcBorders>
              <w:bottom w:val="single" w:sz="8" w:color="auto"/>
            </w:tcBorders>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1,651,617</w:t>
            </w:r>
          </w:p>
        </w:tc>
        <w:tc>
          <w:tcPr>
            <w:tcW w:w="108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2,094,195</w:t>
            </w:r>
          </w:p>
        </w:tc>
      </w:tr>
      <w:tr>
        <w:trPr>
          <w:trHeight w:val="210"/>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r>
      <w:tr>
        <w:trPr>
          <w:trHeight w:val="256"/>
        </w:trPr>
        <w:tc>
          <w:tcPr>
            <w:tcW w:w="3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Generated and Purchased</w:t>
            </w:r>
          </w:p>
        </w:tc>
        <w:tc>
          <w:tcPr>
            <w:tcW w:w="16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gridSpan w:val="2"/>
            <w:shd w:val="clear" w:color="auto" w:fill="CFF0FC"/>
          </w:tcPr>
          <w:p>
            <w:pPr>
              <w:jc w:val="right"/>
              <w:ind w:right="68"/>
              <w:spacing w:after="0"/>
              <w:rPr>
                <w:sz w:val="20"/>
                <w:szCs w:val="20"/>
                <w:color w:val="auto"/>
              </w:rPr>
            </w:pPr>
            <w:r>
              <w:rPr>
                <w:rFonts w:ascii="Arial" w:cs="Arial" w:eastAsia="Arial" w:hAnsi="Arial"/>
                <w:sz w:val="16"/>
                <w:szCs w:val="16"/>
                <w:color w:val="auto"/>
              </w:rPr>
              <w:t>1,959,267</w:t>
            </w:r>
          </w:p>
        </w:tc>
        <w:tc>
          <w:tcPr>
            <w:tcW w:w="6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6"/>
                <w:szCs w:val="16"/>
                <w:color w:val="auto"/>
              </w:rPr>
              <w:t>2,009,886</w:t>
            </w:r>
          </w:p>
        </w:tc>
        <w:tc>
          <w:tcPr>
            <w:tcW w:w="1880" w:type="dxa"/>
            <w:vAlign w:val="bottom"/>
            <w:tcBorders>
              <w:bottom w:val="single" w:sz="8" w:color="auto"/>
            </w:tcBorders>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5,664,846</w:t>
            </w:r>
          </w:p>
        </w:tc>
        <w:tc>
          <w:tcPr>
            <w:tcW w:w="108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5,740,923</w:t>
            </w:r>
          </w:p>
        </w:tc>
      </w:tr>
      <w:tr>
        <w:trPr>
          <w:trHeight w:val="393"/>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right"/>
              <w:ind w:right="583"/>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8"/>
        </w:trPr>
        <w:tc>
          <w:tcPr>
            <w:tcW w:w="3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27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95"/>
        </w:trPr>
        <w:tc>
          <w:tcPr>
            <w:tcW w:w="136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60" w:type="dxa"/>
            <w:vAlign w:val="bottom"/>
            <w:gridSpan w:val="3"/>
          </w:tcPr>
          <w:p>
            <w:pPr>
              <w:ind w:left="240"/>
              <w:spacing w:after="0"/>
              <w:rPr>
                <w:sz w:val="20"/>
                <w:szCs w:val="20"/>
                <w:color w:val="auto"/>
              </w:rPr>
            </w:pPr>
            <w:r>
              <w:rPr>
                <w:rFonts w:ascii="Arial" w:cs="Arial" w:eastAsia="Arial" w:hAnsi="Arial"/>
                <w:sz w:val="16"/>
                <w:szCs w:val="16"/>
                <w:color w:val="auto"/>
              </w:rPr>
              <w:t>Three Months Ended September 30,</w:t>
            </w:r>
          </w:p>
        </w:tc>
        <w:tc>
          <w:tcPr>
            <w:tcW w:w="2940" w:type="dxa"/>
            <w:vAlign w:val="bottom"/>
            <w:gridSpan w:val="3"/>
          </w:tcPr>
          <w:p>
            <w:pPr>
              <w:jc w:val="right"/>
              <w:ind w:right="25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35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4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right"/>
              <w:ind w:right="1079"/>
              <w:spacing w:after="0"/>
              <w:rPr>
                <w:sz w:val="20"/>
                <w:szCs w:val="20"/>
                <w:color w:val="auto"/>
              </w:rPr>
            </w:pPr>
            <w:r>
              <w:rPr>
                <w:rFonts w:ascii="Arial" w:cs="Arial" w:eastAsia="Arial" w:hAnsi="Arial"/>
                <w:sz w:val="16"/>
                <w:szCs w:val="16"/>
                <w:color w:val="auto"/>
              </w:rPr>
              <w:t>2023</w:t>
            </w:r>
          </w:p>
        </w:tc>
        <w:tc>
          <w:tcPr>
            <w:tcW w:w="12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2022</w:t>
            </w:r>
          </w:p>
        </w:tc>
        <w:tc>
          <w:tcPr>
            <w:tcW w:w="164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color w:val="auto"/>
              </w:rPr>
              <w:t>2023</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2022</w:t>
            </w:r>
          </w:p>
        </w:tc>
      </w:tr>
      <w:tr>
        <w:trPr>
          <w:trHeight w:val="213"/>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Generated:</w:t>
            </w:r>
          </w:p>
        </w:tc>
        <w:tc>
          <w:tcPr>
            <w:tcW w:w="7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3"/>
        </w:trPr>
        <w:tc>
          <w:tcPr>
            <w:tcW w:w="2740" w:type="dxa"/>
            <w:vAlign w:val="bottom"/>
            <w:gridSpan w:val="2"/>
          </w:tcPr>
          <w:p>
            <w:pPr>
              <w:ind w:left="120"/>
              <w:spacing w:after="0"/>
              <w:rPr>
                <w:sz w:val="20"/>
                <w:szCs w:val="20"/>
                <w:color w:val="auto"/>
              </w:rPr>
            </w:pPr>
            <w:r>
              <w:rPr>
                <w:rFonts w:ascii="Arial" w:cs="Arial" w:eastAsia="Arial" w:hAnsi="Arial"/>
                <w:sz w:val="16"/>
                <w:szCs w:val="16"/>
                <w:color w:val="auto"/>
              </w:rPr>
              <w:t>Colorado Electric</w:t>
            </w: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color w:val="auto"/>
              </w:rPr>
              <w:t>211,420</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127,090</w:t>
            </w:r>
          </w:p>
        </w:tc>
        <w:tc>
          <w:tcPr>
            <w:tcW w:w="56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491,995</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324,638</w:t>
            </w:r>
          </w:p>
        </w:tc>
      </w:tr>
      <w:tr>
        <w:trPr>
          <w:trHeight w:val="219"/>
        </w:trPr>
        <w:tc>
          <w:tcPr>
            <w:tcW w:w="27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7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489,160</w:t>
            </w:r>
          </w:p>
        </w:tc>
        <w:tc>
          <w:tcPr>
            <w:tcW w:w="12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510,443</w:t>
            </w: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1,500,696</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1,333,984</w:t>
            </w:r>
          </w:p>
        </w:tc>
      </w:tr>
      <w:tr>
        <w:trPr>
          <w:trHeight w:val="213"/>
        </w:trPr>
        <w:tc>
          <w:tcPr>
            <w:tcW w:w="2740" w:type="dxa"/>
            <w:vAlign w:val="bottom"/>
            <w:gridSpan w:val="2"/>
          </w:tcPr>
          <w:p>
            <w:pPr>
              <w:ind w:left="120"/>
              <w:spacing w:after="0"/>
              <w:rPr>
                <w:sz w:val="20"/>
                <w:szCs w:val="20"/>
                <w:color w:val="auto"/>
              </w:rPr>
            </w:pPr>
            <w:r>
              <w:rPr>
                <w:rFonts w:ascii="Arial" w:cs="Arial" w:eastAsia="Arial" w:hAnsi="Arial"/>
                <w:sz w:val="16"/>
                <w:szCs w:val="16"/>
                <w:color w:val="auto"/>
              </w:rPr>
              <w:t>Wyoming Electric</w:t>
            </w: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color w:val="auto"/>
              </w:rPr>
              <w:t>221,999</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236,761</w:t>
            </w:r>
          </w:p>
        </w:tc>
        <w:tc>
          <w:tcPr>
            <w:tcW w:w="56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667,730</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667,079</w:t>
            </w:r>
          </w:p>
        </w:tc>
      </w:tr>
      <w:tr>
        <w:trPr>
          <w:trHeight w:val="219"/>
        </w:trPr>
        <w:tc>
          <w:tcPr>
            <w:tcW w:w="27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Integrated Generation</w:t>
            </w:r>
          </w:p>
        </w:tc>
        <w:tc>
          <w:tcPr>
            <w:tcW w:w="7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rPr>
              <w:t>461,102</w:t>
            </w:r>
          </w:p>
        </w:tc>
        <w:tc>
          <w:tcPr>
            <w:tcW w:w="126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462,955</w:t>
            </w:r>
          </w:p>
        </w:tc>
        <w:tc>
          <w:tcPr>
            <w:tcW w:w="5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1,352,808</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1,321,027</w:t>
            </w:r>
          </w:p>
        </w:tc>
      </w:tr>
      <w:tr>
        <w:trPr>
          <w:trHeight w:val="209"/>
        </w:trPr>
        <w:tc>
          <w:tcPr>
            <w:tcW w:w="2740" w:type="dxa"/>
            <w:vAlign w:val="bottom"/>
            <w:gridSpan w:val="2"/>
          </w:tcPr>
          <w:p>
            <w:pPr>
              <w:ind w:left="200"/>
              <w:spacing w:after="0"/>
              <w:rPr>
                <w:sz w:val="20"/>
                <w:szCs w:val="20"/>
                <w:color w:val="auto"/>
              </w:rPr>
            </w:pPr>
            <w:r>
              <w:rPr>
                <w:rFonts w:ascii="Arial" w:cs="Arial" w:eastAsia="Arial" w:hAnsi="Arial"/>
                <w:sz w:val="16"/>
                <w:szCs w:val="16"/>
                <w:color w:val="auto"/>
              </w:rPr>
              <w:t>Total Generated</w:t>
            </w: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1,383,681</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1,337,249</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4,013,229</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3,646,728</w:t>
            </w:r>
          </w:p>
        </w:tc>
      </w:tr>
      <w:tr>
        <w:trPr>
          <w:trHeight w:val="210"/>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Purchased:</w:t>
            </w:r>
          </w:p>
        </w:tc>
        <w:tc>
          <w:tcPr>
            <w:tcW w:w="7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3"/>
        </w:trPr>
        <w:tc>
          <w:tcPr>
            <w:tcW w:w="2740" w:type="dxa"/>
            <w:vAlign w:val="bottom"/>
            <w:gridSpan w:val="2"/>
          </w:tcPr>
          <w:p>
            <w:pPr>
              <w:ind w:left="120"/>
              <w:spacing w:after="0"/>
              <w:rPr>
                <w:sz w:val="20"/>
                <w:szCs w:val="20"/>
                <w:color w:val="auto"/>
              </w:rPr>
            </w:pPr>
            <w:r>
              <w:rPr>
                <w:rFonts w:ascii="Arial" w:cs="Arial" w:eastAsia="Arial" w:hAnsi="Arial"/>
                <w:sz w:val="16"/>
                <w:szCs w:val="16"/>
                <w:color w:val="auto"/>
              </w:rPr>
              <w:t>Colorado Electric</w:t>
            </w: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color w:val="auto"/>
              </w:rPr>
              <w:t>116,234</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251,076</w:t>
            </w:r>
          </w:p>
        </w:tc>
        <w:tc>
          <w:tcPr>
            <w:tcW w:w="56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442,216</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807,442</w:t>
            </w:r>
          </w:p>
        </w:tc>
      </w:tr>
      <w:tr>
        <w:trPr>
          <w:trHeight w:val="219"/>
        </w:trPr>
        <w:tc>
          <w:tcPr>
            <w:tcW w:w="27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7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177,341</w:t>
            </w:r>
          </w:p>
        </w:tc>
        <w:tc>
          <w:tcPr>
            <w:tcW w:w="12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221,872</w:t>
            </w: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438,646</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667,560</w:t>
            </w:r>
          </w:p>
        </w:tc>
      </w:tr>
      <w:tr>
        <w:trPr>
          <w:trHeight w:val="213"/>
        </w:trPr>
        <w:tc>
          <w:tcPr>
            <w:tcW w:w="2740" w:type="dxa"/>
            <w:vAlign w:val="bottom"/>
            <w:gridSpan w:val="2"/>
          </w:tcPr>
          <w:p>
            <w:pPr>
              <w:ind w:left="120"/>
              <w:spacing w:after="0"/>
              <w:rPr>
                <w:sz w:val="20"/>
                <w:szCs w:val="20"/>
                <w:color w:val="auto"/>
              </w:rPr>
            </w:pPr>
            <w:r>
              <w:rPr>
                <w:rFonts w:ascii="Arial" w:cs="Arial" w:eastAsia="Arial" w:hAnsi="Arial"/>
                <w:sz w:val="16"/>
                <w:szCs w:val="16"/>
                <w:color w:val="auto"/>
              </w:rPr>
              <w:t>Wyoming Electric</w:t>
            </w: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color w:val="auto"/>
              </w:rPr>
              <w:t>267,583</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174,946</w:t>
            </w:r>
          </w:p>
        </w:tc>
        <w:tc>
          <w:tcPr>
            <w:tcW w:w="56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723,542</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551,683</w:t>
            </w:r>
          </w:p>
        </w:tc>
      </w:tr>
      <w:tr>
        <w:trPr>
          <w:trHeight w:val="219"/>
        </w:trPr>
        <w:tc>
          <w:tcPr>
            <w:tcW w:w="27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Integrated Generation</w:t>
            </w:r>
          </w:p>
        </w:tc>
        <w:tc>
          <w:tcPr>
            <w:tcW w:w="7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rPr>
              <w:t>14,428</w:t>
            </w:r>
          </w:p>
        </w:tc>
        <w:tc>
          <w:tcPr>
            <w:tcW w:w="126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24,743</w:t>
            </w:r>
          </w:p>
        </w:tc>
        <w:tc>
          <w:tcPr>
            <w:tcW w:w="5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47,213</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67,510</w:t>
            </w:r>
          </w:p>
        </w:tc>
      </w:tr>
      <w:tr>
        <w:trPr>
          <w:trHeight w:val="210"/>
        </w:trPr>
        <w:tc>
          <w:tcPr>
            <w:tcW w:w="2740" w:type="dxa"/>
            <w:vAlign w:val="bottom"/>
            <w:gridSpan w:val="2"/>
          </w:tcPr>
          <w:p>
            <w:pPr>
              <w:ind w:left="200"/>
              <w:spacing w:after="0"/>
              <w:rPr>
                <w:sz w:val="20"/>
                <w:szCs w:val="20"/>
                <w:color w:val="auto"/>
              </w:rPr>
            </w:pPr>
            <w:r>
              <w:rPr>
                <w:rFonts w:ascii="Arial" w:cs="Arial" w:eastAsia="Arial" w:hAnsi="Arial"/>
                <w:sz w:val="16"/>
                <w:szCs w:val="16"/>
                <w:color w:val="auto"/>
              </w:rPr>
              <w:t>Total Purchased</w:t>
            </w: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575,586</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672,637</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1,651,617</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2,094,195</w:t>
            </w:r>
          </w:p>
        </w:tc>
      </w:tr>
      <w:tr>
        <w:trPr>
          <w:trHeight w:val="209"/>
        </w:trPr>
        <w:tc>
          <w:tcPr>
            <w:tcW w:w="13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2740" w:type="dxa"/>
            <w:vAlign w:val="bottom"/>
            <w:gridSpan w:val="2"/>
          </w:tcPr>
          <w:p>
            <w:pPr>
              <w:ind w:left="20"/>
              <w:spacing w:after="0"/>
              <w:rPr>
                <w:sz w:val="20"/>
                <w:szCs w:val="20"/>
                <w:color w:val="auto"/>
              </w:rPr>
            </w:pPr>
            <w:r>
              <w:rPr>
                <w:rFonts w:ascii="Arial" w:cs="Arial" w:eastAsia="Arial" w:hAnsi="Arial"/>
                <w:sz w:val="16"/>
                <w:szCs w:val="16"/>
                <w:color w:val="auto"/>
              </w:rPr>
              <w:t>Total Generated and Purchased</w:t>
            </w: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1,959,267</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2,009,886</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5,664,846</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5,740,923</w:t>
            </w:r>
          </w:p>
        </w:tc>
      </w:tr>
      <w:tr>
        <w:trPr>
          <w:trHeight w:val="20"/>
        </w:trPr>
        <w:tc>
          <w:tcPr>
            <w:tcW w:w="1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Borders>
              <w:bottom w:val="single" w:sz="8" w:color="auto"/>
            </w:tcBorders>
            <w:gridSpan w:val="2"/>
          </w:tcPr>
          <w:p>
            <w:pPr>
              <w:spacing w:after="0" w:line="20" w:lineRule="exact"/>
              <w:rPr>
                <w:sz w:val="1"/>
                <w:szCs w:val="1"/>
                <w:color w:val="auto"/>
              </w:rPr>
            </w:pPr>
          </w:p>
        </w:tc>
        <w:tc>
          <w:tcPr>
            <w:tcW w:w="4200" w:type="dxa"/>
            <w:vAlign w:val="bottom"/>
            <w:tcBorders>
              <w:bottom w:val="single" w:sz="8" w:color="auto"/>
            </w:tcBorders>
            <w:gridSpan w:val="4"/>
          </w:tcPr>
          <w:p>
            <w:pPr>
              <w:spacing w:after="0" w:line="20" w:lineRule="exact"/>
              <w:rPr>
                <w:sz w:val="1"/>
                <w:szCs w:val="1"/>
                <w:color w:val="auto"/>
              </w:rPr>
            </w:pPr>
          </w:p>
        </w:tc>
      </w:tr>
      <w:tr>
        <w:trPr>
          <w:trHeight w:val="380"/>
        </w:trPr>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20" w:type="dxa"/>
            <w:vAlign w:val="bottom"/>
            <w:gridSpan w:val="3"/>
          </w:tcPr>
          <w:p>
            <w:pPr>
              <w:jc w:val="right"/>
              <w:ind w:right="779"/>
              <w:spacing w:after="0"/>
              <w:rPr>
                <w:sz w:val="20"/>
                <w:szCs w:val="20"/>
                <w:color w:val="auto"/>
              </w:rPr>
            </w:pPr>
            <w:r>
              <w:rPr>
                <w:rFonts w:ascii="Arial" w:cs="Arial" w:eastAsia="Arial" w:hAnsi="Arial"/>
                <w:sz w:val="16"/>
                <w:szCs w:val="16"/>
                <w:color w:val="auto"/>
              </w:rPr>
              <w:t>Three Months Ended September 30,</w:t>
            </w:r>
          </w:p>
        </w:tc>
        <w:tc>
          <w:tcPr>
            <w:tcW w:w="4200" w:type="dxa"/>
            <w:vAlign w:val="bottom"/>
            <w:gridSpan w:val="4"/>
          </w:tcPr>
          <w:p>
            <w:pPr>
              <w:jc w:val="right"/>
              <w:ind w:right="77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1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2023</w:t>
            </w:r>
          </w:p>
        </w:tc>
        <w:tc>
          <w:tcPr>
            <w:tcW w:w="7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2022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2022</w:t>
            </w:r>
          </w:p>
        </w:tc>
      </w:tr>
      <w:tr>
        <w:trPr>
          <w:trHeight w:val="189"/>
        </w:trPr>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tcPr>
          <w:p>
            <w:pPr>
              <w:jc w:val="center"/>
              <w:ind w:left="99"/>
              <w:spacing w:after="0"/>
              <w:rPr>
                <w:sz w:val="20"/>
                <w:szCs w:val="20"/>
                <w:color w:val="auto"/>
              </w:rPr>
            </w:pPr>
            <w:r>
              <w:rPr>
                <w:rFonts w:ascii="Arial" w:cs="Arial" w:eastAsia="Arial" w:hAnsi="Arial"/>
                <w:sz w:val="16"/>
                <w:szCs w:val="16"/>
                <w:color w:val="auto"/>
              </w:rPr>
              <w:t>Variance from</w:t>
            </w:r>
          </w:p>
        </w:tc>
        <w:tc>
          <w:tcPr>
            <w:tcW w:w="720" w:type="dxa"/>
            <w:vAlign w:val="bottom"/>
          </w:tcPr>
          <w:p>
            <w:pPr>
              <w:spacing w:after="0"/>
              <w:rPr>
                <w:sz w:val="16"/>
                <w:szCs w:val="16"/>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Variance from</w:t>
            </w:r>
          </w:p>
        </w:tc>
        <w:tc>
          <w:tcPr>
            <w:tcW w:w="2900" w:type="dxa"/>
            <w:vAlign w:val="bottom"/>
            <w:gridSpan w:val="3"/>
          </w:tcPr>
          <w:p>
            <w:pPr>
              <w:jc w:val="center"/>
              <w:ind w:left="99"/>
              <w:spacing w:after="0"/>
              <w:rPr>
                <w:sz w:val="20"/>
                <w:szCs w:val="20"/>
                <w:color w:val="auto"/>
              </w:rPr>
            </w:pPr>
            <w:r>
              <w:rPr>
                <w:rFonts w:ascii="Arial" w:cs="Arial" w:eastAsia="Arial" w:hAnsi="Arial"/>
                <w:sz w:val="16"/>
                <w:szCs w:val="16"/>
                <w:color w:val="auto"/>
              </w:rPr>
              <w:t>Variance from</w:t>
            </w:r>
          </w:p>
        </w:tc>
        <w:tc>
          <w:tcPr>
            <w:tcW w:w="1300" w:type="dxa"/>
            <w:vAlign w:val="bottom"/>
          </w:tcPr>
          <w:p>
            <w:pPr>
              <w:jc w:val="right"/>
              <w:spacing w:after="0"/>
              <w:rPr>
                <w:sz w:val="20"/>
                <w:szCs w:val="20"/>
                <w:color w:val="auto"/>
              </w:rPr>
            </w:pPr>
            <w:r>
              <w:rPr>
                <w:rFonts w:ascii="Arial" w:cs="Arial" w:eastAsia="Arial" w:hAnsi="Arial"/>
                <w:sz w:val="16"/>
                <w:szCs w:val="16"/>
                <w:color w:val="auto"/>
              </w:rPr>
              <w:t>Variance from</w:t>
            </w:r>
          </w:p>
        </w:tc>
      </w:tr>
      <w:tr>
        <w:trPr>
          <w:trHeight w:val="210"/>
        </w:trPr>
        <w:tc>
          <w:tcPr>
            <w:tcW w:w="2740" w:type="dxa"/>
            <w:vAlign w:val="bottom"/>
            <w:tcBorders>
              <w:bottom w:val="single" w:sz="8" w:color="auto"/>
            </w:tcBorders>
            <w:gridSpan w:val="2"/>
          </w:tcPr>
          <w:p>
            <w:pPr>
              <w:ind w:left="900"/>
              <w:spacing w:after="0"/>
              <w:rPr>
                <w:sz w:val="20"/>
                <w:szCs w:val="20"/>
                <w:color w:val="auto"/>
              </w:rPr>
            </w:pPr>
            <w:r>
              <w:rPr>
                <w:rFonts w:ascii="Arial" w:cs="Arial" w:eastAsia="Arial" w:hAnsi="Arial"/>
                <w:sz w:val="16"/>
                <w:szCs w:val="16"/>
                <w:color w:val="auto"/>
              </w:rPr>
              <w:t>Degree Days</w:t>
            </w:r>
          </w:p>
        </w:tc>
        <w:tc>
          <w:tcPr>
            <w:tcW w:w="7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Actual</w:t>
            </w:r>
          </w:p>
        </w:tc>
        <w:tc>
          <w:tcPr>
            <w:tcW w:w="142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Normal</w:t>
            </w: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Actual</w:t>
            </w: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Normal</w:t>
            </w: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Actual</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Normal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Actual</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Normal</w:t>
            </w:r>
          </w:p>
        </w:tc>
      </w:tr>
      <w:tr>
        <w:trPr>
          <w:trHeight w:val="213"/>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Heating Degree Days:</w:t>
            </w:r>
          </w:p>
        </w:tc>
        <w:tc>
          <w:tcPr>
            <w:tcW w:w="7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3"/>
        </w:trPr>
        <w:tc>
          <w:tcPr>
            <w:tcW w:w="2740" w:type="dxa"/>
            <w:vAlign w:val="bottom"/>
            <w:gridSpan w:val="2"/>
          </w:tcPr>
          <w:p>
            <w:pPr>
              <w:ind w:left="120"/>
              <w:spacing w:after="0"/>
              <w:rPr>
                <w:sz w:val="20"/>
                <w:szCs w:val="20"/>
                <w:color w:val="auto"/>
              </w:rPr>
            </w:pPr>
            <w:r>
              <w:rPr>
                <w:rFonts w:ascii="Arial" w:cs="Arial" w:eastAsia="Arial" w:hAnsi="Arial"/>
                <w:sz w:val="16"/>
                <w:szCs w:val="16"/>
                <w:color w:val="auto"/>
              </w:rPr>
              <w:t>Colorado Electric</w:t>
            </w:r>
          </w:p>
        </w:tc>
        <w:tc>
          <w:tcPr>
            <w:tcW w:w="780" w:type="dxa"/>
            <w:vAlign w:val="bottom"/>
          </w:tcPr>
          <w:p>
            <w:pPr>
              <w:jc w:val="center"/>
              <w:ind w:left="199"/>
              <w:spacing w:after="0"/>
              <w:rPr>
                <w:sz w:val="20"/>
                <w:szCs w:val="20"/>
                <w:color w:val="auto"/>
              </w:rPr>
            </w:pPr>
            <w:r>
              <w:rPr>
                <w:rFonts w:ascii="Arial" w:cs="Arial" w:eastAsia="Arial" w:hAnsi="Arial"/>
                <w:sz w:val="16"/>
                <w:szCs w:val="16"/>
                <w:color w:val="auto"/>
              </w:rPr>
              <w:t>26</w:t>
            </w:r>
          </w:p>
        </w:tc>
        <w:tc>
          <w:tcPr>
            <w:tcW w:w="1420" w:type="dxa"/>
            <w:vAlign w:val="bottom"/>
          </w:tcPr>
          <w:p>
            <w:pPr>
              <w:jc w:val="center"/>
              <w:ind w:left="139"/>
              <w:spacing w:after="0"/>
              <w:rPr>
                <w:sz w:val="20"/>
                <w:szCs w:val="20"/>
                <w:color w:val="auto"/>
              </w:rPr>
            </w:pPr>
            <w:r>
              <w:rPr>
                <w:rFonts w:ascii="Arial" w:cs="Arial" w:eastAsia="Arial" w:hAnsi="Arial"/>
                <w:sz w:val="16"/>
                <w:szCs w:val="16"/>
                <w:color w:val="auto"/>
              </w:rPr>
              <w:t>(42)%</w:t>
            </w:r>
          </w:p>
        </w:tc>
        <w:tc>
          <w:tcPr>
            <w:tcW w:w="720" w:type="dxa"/>
            <w:vAlign w:val="bottom"/>
          </w:tcPr>
          <w:p>
            <w:pPr>
              <w:jc w:val="center"/>
              <w:ind w:left="139"/>
              <w:spacing w:after="0"/>
              <w:rPr>
                <w:sz w:val="20"/>
                <w:szCs w:val="20"/>
                <w:color w:val="auto"/>
              </w:rPr>
            </w:pPr>
            <w:r>
              <w:rPr>
                <w:rFonts w:ascii="Arial" w:cs="Arial" w:eastAsia="Arial" w:hAnsi="Arial"/>
                <w:sz w:val="16"/>
                <w:szCs w:val="16"/>
                <w:color w:val="auto"/>
              </w:rPr>
              <w:t>25</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(66)%</w:t>
            </w:r>
          </w:p>
        </w:tc>
        <w:tc>
          <w:tcPr>
            <w:tcW w:w="1260" w:type="dxa"/>
            <w:vAlign w:val="bottom"/>
          </w:tcPr>
          <w:p>
            <w:pPr>
              <w:jc w:val="center"/>
              <w:ind w:right="179"/>
              <w:spacing w:after="0"/>
              <w:rPr>
                <w:sz w:val="20"/>
                <w:szCs w:val="20"/>
                <w:color w:val="auto"/>
              </w:rPr>
            </w:pPr>
            <w:r>
              <w:rPr>
                <w:rFonts w:ascii="Arial" w:cs="Arial" w:eastAsia="Arial" w:hAnsi="Arial"/>
                <w:sz w:val="16"/>
                <w:szCs w:val="16"/>
                <w:color w:val="auto"/>
                <w:w w:val="99"/>
              </w:rPr>
              <w:t>3,365</w:t>
            </w:r>
          </w:p>
        </w:tc>
        <w:tc>
          <w:tcPr>
            <w:tcW w:w="560" w:type="dxa"/>
            <w:vAlign w:val="bottom"/>
          </w:tcPr>
          <w:p>
            <w:pPr>
              <w:jc w:val="center"/>
              <w:spacing w:after="0"/>
              <w:rPr>
                <w:sz w:val="20"/>
                <w:szCs w:val="20"/>
                <w:color w:val="auto"/>
              </w:rPr>
            </w:pPr>
            <w:r>
              <w:rPr>
                <w:rFonts w:ascii="Arial" w:cs="Arial" w:eastAsia="Arial" w:hAnsi="Arial"/>
                <w:sz w:val="16"/>
                <w:szCs w:val="16"/>
                <w:color w:val="auto"/>
              </w:rPr>
              <w:t>5%</w:t>
            </w:r>
          </w:p>
        </w:tc>
        <w:tc>
          <w:tcPr>
            <w:tcW w:w="1080" w:type="dxa"/>
            <w:vAlign w:val="bottom"/>
          </w:tcPr>
          <w:p>
            <w:pPr>
              <w:jc w:val="center"/>
              <w:ind w:left="439"/>
              <w:spacing w:after="0"/>
              <w:rPr>
                <w:sz w:val="20"/>
                <w:szCs w:val="20"/>
                <w:color w:val="auto"/>
              </w:rPr>
            </w:pPr>
            <w:r>
              <w:rPr>
                <w:rFonts w:ascii="Arial" w:cs="Arial" w:eastAsia="Arial" w:hAnsi="Arial"/>
                <w:sz w:val="16"/>
                <w:szCs w:val="16"/>
                <w:color w:val="auto"/>
                <w:w w:val="99"/>
              </w:rPr>
              <w:t>3,296</w:t>
            </w:r>
          </w:p>
        </w:tc>
        <w:tc>
          <w:tcPr>
            <w:tcW w:w="1300" w:type="dxa"/>
            <w:vAlign w:val="bottom"/>
          </w:tcPr>
          <w:p>
            <w:pPr>
              <w:jc w:val="center"/>
              <w:ind w:left="179"/>
              <w:spacing w:after="0"/>
              <w:rPr>
                <w:sz w:val="20"/>
                <w:szCs w:val="20"/>
                <w:color w:val="auto"/>
              </w:rPr>
            </w:pPr>
            <w:r>
              <w:rPr>
                <w:rFonts w:ascii="Arial" w:cs="Arial" w:eastAsia="Arial" w:hAnsi="Arial"/>
                <w:sz w:val="16"/>
                <w:szCs w:val="16"/>
                <w:color w:val="auto"/>
              </w:rPr>
              <w:t>4%</w:t>
            </w:r>
          </w:p>
        </w:tc>
      </w:tr>
      <w:tr>
        <w:trPr>
          <w:trHeight w:val="219"/>
        </w:trPr>
        <w:tc>
          <w:tcPr>
            <w:tcW w:w="27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78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w w:val="97"/>
              </w:rPr>
              <w:t>140</w:t>
            </w:r>
          </w:p>
        </w:tc>
        <w:tc>
          <w:tcPr>
            <w:tcW w:w="142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(15)%</w:t>
            </w:r>
          </w:p>
        </w:tc>
        <w:tc>
          <w:tcPr>
            <w:tcW w:w="72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91</w:t>
            </w:r>
          </w:p>
        </w:tc>
        <w:tc>
          <w:tcPr>
            <w:tcW w:w="138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(57)%</w:t>
            </w:r>
          </w:p>
        </w:tc>
        <w:tc>
          <w:tcPr>
            <w:tcW w:w="126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9"/>
              </w:rPr>
              <w:t>4,621</w:t>
            </w:r>
          </w:p>
        </w:tc>
        <w:tc>
          <w:tcPr>
            <w:tcW w:w="5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w:t>
            </w:r>
          </w:p>
        </w:tc>
        <w:tc>
          <w:tcPr>
            <w:tcW w:w="1080" w:type="dxa"/>
            <w:vAlign w:val="bottom"/>
            <w:shd w:val="clear" w:color="auto" w:fill="CFF0FC"/>
          </w:tcPr>
          <w:p>
            <w:pPr>
              <w:jc w:val="center"/>
              <w:ind w:left="439"/>
              <w:spacing w:after="0"/>
              <w:rPr>
                <w:sz w:val="20"/>
                <w:szCs w:val="20"/>
                <w:color w:val="auto"/>
              </w:rPr>
            </w:pPr>
            <w:r>
              <w:rPr>
                <w:rFonts w:ascii="Arial" w:cs="Arial" w:eastAsia="Arial" w:hAnsi="Arial"/>
                <w:sz w:val="16"/>
                <w:szCs w:val="16"/>
                <w:color w:val="auto"/>
                <w:w w:val="99"/>
              </w:rPr>
              <w:t>4,560</w:t>
            </w:r>
          </w:p>
        </w:tc>
        <w:tc>
          <w:tcPr>
            <w:tcW w:w="130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w w:val="99"/>
              </w:rPr>
              <w:t>---%</w:t>
            </w:r>
          </w:p>
        </w:tc>
      </w:tr>
      <w:tr>
        <w:trPr>
          <w:trHeight w:val="213"/>
        </w:trPr>
        <w:tc>
          <w:tcPr>
            <w:tcW w:w="2740" w:type="dxa"/>
            <w:vAlign w:val="bottom"/>
            <w:gridSpan w:val="2"/>
          </w:tcPr>
          <w:p>
            <w:pPr>
              <w:ind w:left="120"/>
              <w:spacing w:after="0"/>
              <w:rPr>
                <w:sz w:val="20"/>
                <w:szCs w:val="20"/>
                <w:color w:val="auto"/>
              </w:rPr>
            </w:pPr>
            <w:r>
              <w:rPr>
                <w:rFonts w:ascii="Arial" w:cs="Arial" w:eastAsia="Arial" w:hAnsi="Arial"/>
                <w:sz w:val="16"/>
                <w:szCs w:val="16"/>
                <w:color w:val="auto"/>
              </w:rPr>
              <w:t>Wyoming Electric</w:t>
            </w:r>
          </w:p>
        </w:tc>
        <w:tc>
          <w:tcPr>
            <w:tcW w:w="780" w:type="dxa"/>
            <w:vAlign w:val="bottom"/>
          </w:tcPr>
          <w:p>
            <w:pPr>
              <w:jc w:val="center"/>
              <w:ind w:left="199"/>
              <w:spacing w:after="0"/>
              <w:rPr>
                <w:sz w:val="20"/>
                <w:szCs w:val="20"/>
                <w:color w:val="auto"/>
              </w:rPr>
            </w:pPr>
            <w:r>
              <w:rPr>
                <w:rFonts w:ascii="Arial" w:cs="Arial" w:eastAsia="Arial" w:hAnsi="Arial"/>
                <w:sz w:val="16"/>
                <w:szCs w:val="16"/>
                <w:color w:val="auto"/>
                <w:w w:val="97"/>
              </w:rPr>
              <w:t>152</w:t>
            </w:r>
          </w:p>
        </w:tc>
        <w:tc>
          <w:tcPr>
            <w:tcW w:w="1420" w:type="dxa"/>
            <w:vAlign w:val="bottom"/>
          </w:tcPr>
          <w:p>
            <w:pPr>
              <w:jc w:val="center"/>
              <w:ind w:left="139"/>
              <w:spacing w:after="0"/>
              <w:rPr>
                <w:sz w:val="20"/>
                <w:szCs w:val="20"/>
                <w:color w:val="auto"/>
              </w:rPr>
            </w:pPr>
            <w:r>
              <w:rPr>
                <w:rFonts w:ascii="Arial" w:cs="Arial" w:eastAsia="Arial" w:hAnsi="Arial"/>
                <w:sz w:val="16"/>
                <w:szCs w:val="16"/>
                <w:color w:val="auto"/>
              </w:rPr>
              <w:t>(12)%</w:t>
            </w:r>
          </w:p>
        </w:tc>
        <w:tc>
          <w:tcPr>
            <w:tcW w:w="720" w:type="dxa"/>
            <w:vAlign w:val="bottom"/>
          </w:tcPr>
          <w:p>
            <w:pPr>
              <w:jc w:val="center"/>
              <w:ind w:left="139"/>
              <w:spacing w:after="0"/>
              <w:rPr>
                <w:sz w:val="20"/>
                <w:szCs w:val="20"/>
                <w:color w:val="auto"/>
              </w:rPr>
            </w:pPr>
            <w:r>
              <w:rPr>
                <w:rFonts w:ascii="Arial" w:cs="Arial" w:eastAsia="Arial" w:hAnsi="Arial"/>
                <w:sz w:val="16"/>
                <w:szCs w:val="16"/>
                <w:color w:val="auto"/>
                <w:w w:val="97"/>
              </w:rPr>
              <w:t>119</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(60)%</w:t>
            </w:r>
          </w:p>
        </w:tc>
        <w:tc>
          <w:tcPr>
            <w:tcW w:w="1260" w:type="dxa"/>
            <w:vAlign w:val="bottom"/>
          </w:tcPr>
          <w:p>
            <w:pPr>
              <w:jc w:val="center"/>
              <w:ind w:right="179"/>
              <w:spacing w:after="0"/>
              <w:rPr>
                <w:sz w:val="20"/>
                <w:szCs w:val="20"/>
                <w:color w:val="auto"/>
              </w:rPr>
            </w:pPr>
            <w:r>
              <w:rPr>
                <w:rFonts w:ascii="Arial" w:cs="Arial" w:eastAsia="Arial" w:hAnsi="Arial"/>
                <w:sz w:val="16"/>
                <w:szCs w:val="16"/>
                <w:color w:val="auto"/>
                <w:w w:val="99"/>
              </w:rPr>
              <w:t>4,534</w:t>
            </w:r>
          </w:p>
        </w:tc>
        <w:tc>
          <w:tcPr>
            <w:tcW w:w="560" w:type="dxa"/>
            <w:vAlign w:val="bottom"/>
          </w:tcPr>
          <w:p>
            <w:pPr>
              <w:jc w:val="center"/>
              <w:spacing w:after="0"/>
              <w:rPr>
                <w:sz w:val="20"/>
                <w:szCs w:val="20"/>
                <w:color w:val="auto"/>
              </w:rPr>
            </w:pPr>
            <w:r>
              <w:rPr>
                <w:rFonts w:ascii="Arial" w:cs="Arial" w:eastAsia="Arial" w:hAnsi="Arial"/>
                <w:sz w:val="16"/>
                <w:szCs w:val="16"/>
                <w:color w:val="auto"/>
              </w:rPr>
              <w:t>4%</w:t>
            </w:r>
          </w:p>
        </w:tc>
        <w:tc>
          <w:tcPr>
            <w:tcW w:w="1080" w:type="dxa"/>
            <w:vAlign w:val="bottom"/>
          </w:tcPr>
          <w:p>
            <w:pPr>
              <w:jc w:val="center"/>
              <w:ind w:left="439"/>
              <w:spacing w:after="0"/>
              <w:rPr>
                <w:sz w:val="20"/>
                <w:szCs w:val="20"/>
                <w:color w:val="auto"/>
              </w:rPr>
            </w:pPr>
            <w:r>
              <w:rPr>
                <w:rFonts w:ascii="Arial" w:cs="Arial" w:eastAsia="Arial" w:hAnsi="Arial"/>
                <w:sz w:val="16"/>
                <w:szCs w:val="16"/>
                <w:color w:val="auto"/>
                <w:w w:val="99"/>
              </w:rPr>
              <w:t>4,410</w:t>
            </w:r>
          </w:p>
        </w:tc>
        <w:tc>
          <w:tcPr>
            <w:tcW w:w="1300" w:type="dxa"/>
            <w:vAlign w:val="bottom"/>
          </w:tcPr>
          <w:p>
            <w:pPr>
              <w:jc w:val="center"/>
              <w:ind w:left="159"/>
              <w:spacing w:after="0"/>
              <w:rPr>
                <w:sz w:val="20"/>
                <w:szCs w:val="20"/>
                <w:color w:val="auto"/>
              </w:rPr>
            </w:pPr>
            <w:r>
              <w:rPr>
                <w:rFonts w:ascii="Arial" w:cs="Arial" w:eastAsia="Arial" w:hAnsi="Arial"/>
                <w:sz w:val="16"/>
                <w:szCs w:val="16"/>
                <w:color w:val="auto"/>
              </w:rPr>
              <w:t>(2)%</w:t>
            </w:r>
          </w:p>
        </w:tc>
      </w:tr>
      <w:tr>
        <w:trPr>
          <w:trHeight w:val="219"/>
        </w:trPr>
        <w:tc>
          <w:tcPr>
            <w:tcW w:w="2740" w:type="dxa"/>
            <w:vAlign w:val="bottom"/>
            <w:gridSpan w:val="2"/>
            <w:shd w:val="clear" w:color="auto" w:fill="CFF0FC"/>
          </w:tcPr>
          <w:p>
            <w:pPr>
              <w:ind w:left="200"/>
              <w:spacing w:after="0" w:line="21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78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rPr>
              <w:t>91</w:t>
            </w:r>
          </w:p>
        </w:tc>
        <w:tc>
          <w:tcPr>
            <w:tcW w:w="142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(19)%</w:t>
            </w:r>
          </w:p>
        </w:tc>
        <w:tc>
          <w:tcPr>
            <w:tcW w:w="72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66</w:t>
            </w:r>
          </w:p>
        </w:tc>
        <w:tc>
          <w:tcPr>
            <w:tcW w:w="138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(60)%</w:t>
            </w:r>
          </w:p>
        </w:tc>
        <w:tc>
          <w:tcPr>
            <w:tcW w:w="126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9"/>
              </w:rPr>
              <w:t>4,031</w:t>
            </w:r>
          </w:p>
        </w:tc>
        <w:tc>
          <w:tcPr>
            <w:tcW w:w="5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w:t>
            </w:r>
          </w:p>
        </w:tc>
        <w:tc>
          <w:tcPr>
            <w:tcW w:w="1080" w:type="dxa"/>
            <w:vAlign w:val="bottom"/>
            <w:shd w:val="clear" w:color="auto" w:fill="CFF0FC"/>
          </w:tcPr>
          <w:p>
            <w:pPr>
              <w:jc w:val="center"/>
              <w:ind w:left="439"/>
              <w:spacing w:after="0"/>
              <w:rPr>
                <w:sz w:val="20"/>
                <w:szCs w:val="20"/>
                <w:color w:val="auto"/>
              </w:rPr>
            </w:pPr>
            <w:r>
              <w:rPr>
                <w:rFonts w:ascii="Arial" w:cs="Arial" w:eastAsia="Arial" w:hAnsi="Arial"/>
                <w:sz w:val="16"/>
                <w:szCs w:val="16"/>
                <w:color w:val="auto"/>
                <w:w w:val="99"/>
              </w:rPr>
              <w:t>3,952</w:t>
            </w:r>
          </w:p>
        </w:tc>
        <w:tc>
          <w:tcPr>
            <w:tcW w:w="130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1%</w:t>
            </w:r>
          </w:p>
        </w:tc>
      </w:tr>
      <w:tr>
        <w:trPr>
          <w:trHeight w:val="216"/>
        </w:trPr>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Cooling Degree Days:</w:t>
            </w:r>
          </w:p>
        </w:tc>
        <w:tc>
          <w:tcPr>
            <w:tcW w:w="7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3"/>
        </w:trPr>
        <w:tc>
          <w:tcPr>
            <w:tcW w:w="2740" w:type="dxa"/>
            <w:vAlign w:val="bottom"/>
            <w:gridSpan w:val="2"/>
          </w:tcPr>
          <w:p>
            <w:pPr>
              <w:ind w:left="120"/>
              <w:spacing w:after="0"/>
              <w:rPr>
                <w:sz w:val="20"/>
                <w:szCs w:val="20"/>
                <w:color w:val="auto"/>
              </w:rPr>
            </w:pPr>
            <w:r>
              <w:rPr>
                <w:rFonts w:ascii="Arial" w:cs="Arial" w:eastAsia="Arial" w:hAnsi="Arial"/>
                <w:sz w:val="16"/>
                <w:szCs w:val="16"/>
                <w:color w:val="auto"/>
              </w:rPr>
              <w:t>Colorado Electric</w:t>
            </w:r>
          </w:p>
        </w:tc>
        <w:tc>
          <w:tcPr>
            <w:tcW w:w="780" w:type="dxa"/>
            <w:vAlign w:val="bottom"/>
          </w:tcPr>
          <w:p>
            <w:pPr>
              <w:jc w:val="center"/>
              <w:ind w:left="199"/>
              <w:spacing w:after="0"/>
              <w:rPr>
                <w:sz w:val="20"/>
                <w:szCs w:val="20"/>
                <w:color w:val="auto"/>
              </w:rPr>
            </w:pPr>
            <w:r>
              <w:rPr>
                <w:rFonts w:ascii="Arial" w:cs="Arial" w:eastAsia="Arial" w:hAnsi="Arial"/>
                <w:sz w:val="16"/>
                <w:szCs w:val="16"/>
                <w:color w:val="auto"/>
                <w:w w:val="97"/>
              </w:rPr>
              <w:t>909</w:t>
            </w:r>
          </w:p>
        </w:tc>
        <w:tc>
          <w:tcPr>
            <w:tcW w:w="1420" w:type="dxa"/>
            <w:vAlign w:val="bottom"/>
          </w:tcPr>
          <w:p>
            <w:pPr>
              <w:jc w:val="center"/>
              <w:ind w:left="139"/>
              <w:spacing w:after="0"/>
              <w:rPr>
                <w:sz w:val="20"/>
                <w:szCs w:val="20"/>
                <w:color w:val="auto"/>
              </w:rPr>
            </w:pPr>
            <w:r>
              <w:rPr>
                <w:rFonts w:ascii="Arial" w:cs="Arial" w:eastAsia="Arial" w:hAnsi="Arial"/>
                <w:sz w:val="16"/>
                <w:szCs w:val="16"/>
                <w:color w:val="auto"/>
              </w:rPr>
              <w:t>6%</w:t>
            </w:r>
          </w:p>
        </w:tc>
        <w:tc>
          <w:tcPr>
            <w:tcW w:w="720" w:type="dxa"/>
            <w:vAlign w:val="bottom"/>
          </w:tcPr>
          <w:p>
            <w:pPr>
              <w:jc w:val="center"/>
              <w:ind w:left="119"/>
              <w:spacing w:after="0"/>
              <w:rPr>
                <w:sz w:val="20"/>
                <w:szCs w:val="20"/>
                <w:color w:val="auto"/>
              </w:rPr>
            </w:pPr>
            <w:r>
              <w:rPr>
                <w:rFonts w:ascii="Arial" w:cs="Arial" w:eastAsia="Arial" w:hAnsi="Arial"/>
                <w:sz w:val="16"/>
                <w:szCs w:val="16"/>
                <w:color w:val="auto"/>
                <w:w w:val="99"/>
              </w:rPr>
              <w:t>1,028</w:t>
            </w:r>
          </w:p>
        </w:tc>
        <w:tc>
          <w:tcPr>
            <w:tcW w:w="1380" w:type="dxa"/>
            <w:vAlign w:val="bottom"/>
          </w:tcPr>
          <w:p>
            <w:pPr>
              <w:jc w:val="right"/>
              <w:ind w:right="339"/>
              <w:spacing w:after="0"/>
              <w:rPr>
                <w:sz w:val="20"/>
                <w:szCs w:val="20"/>
                <w:color w:val="auto"/>
              </w:rPr>
            </w:pPr>
            <w:r>
              <w:rPr>
                <w:rFonts w:ascii="Arial" w:cs="Arial" w:eastAsia="Arial" w:hAnsi="Arial"/>
                <w:sz w:val="16"/>
                <w:szCs w:val="16"/>
                <w:color w:val="auto"/>
              </w:rPr>
              <w:t>28%</w:t>
            </w:r>
          </w:p>
        </w:tc>
        <w:tc>
          <w:tcPr>
            <w:tcW w:w="1260" w:type="dxa"/>
            <w:vAlign w:val="bottom"/>
          </w:tcPr>
          <w:p>
            <w:pPr>
              <w:jc w:val="center"/>
              <w:ind w:right="179"/>
              <w:spacing w:after="0"/>
              <w:rPr>
                <w:sz w:val="20"/>
                <w:szCs w:val="20"/>
                <w:color w:val="auto"/>
              </w:rPr>
            </w:pPr>
            <w:r>
              <w:rPr>
                <w:rFonts w:ascii="Arial" w:cs="Arial" w:eastAsia="Arial" w:hAnsi="Arial"/>
                <w:sz w:val="16"/>
                <w:szCs w:val="16"/>
                <w:color w:val="auto"/>
                <w:w w:val="99"/>
              </w:rPr>
              <w:t>1,040</w:t>
            </w:r>
          </w:p>
        </w:tc>
        <w:tc>
          <w:tcPr>
            <w:tcW w:w="560" w:type="dxa"/>
            <w:vAlign w:val="bottom"/>
          </w:tcPr>
          <w:p>
            <w:pPr>
              <w:jc w:val="center"/>
              <w:spacing w:after="0"/>
              <w:rPr>
                <w:sz w:val="20"/>
                <w:szCs w:val="20"/>
                <w:color w:val="auto"/>
              </w:rPr>
            </w:pPr>
            <w:r>
              <w:rPr>
                <w:rFonts w:ascii="Arial" w:cs="Arial" w:eastAsia="Arial" w:hAnsi="Arial"/>
                <w:sz w:val="16"/>
                <w:szCs w:val="16"/>
                <w:color w:val="auto"/>
              </w:rPr>
              <w:t>(10)%</w:t>
            </w:r>
          </w:p>
        </w:tc>
        <w:tc>
          <w:tcPr>
            <w:tcW w:w="1080" w:type="dxa"/>
            <w:vAlign w:val="bottom"/>
          </w:tcPr>
          <w:p>
            <w:pPr>
              <w:jc w:val="center"/>
              <w:ind w:left="439"/>
              <w:spacing w:after="0"/>
              <w:rPr>
                <w:sz w:val="20"/>
                <w:szCs w:val="20"/>
                <w:color w:val="auto"/>
              </w:rPr>
            </w:pPr>
            <w:r>
              <w:rPr>
                <w:rFonts w:ascii="Arial" w:cs="Arial" w:eastAsia="Arial" w:hAnsi="Arial"/>
                <w:sz w:val="16"/>
                <w:szCs w:val="16"/>
                <w:color w:val="auto"/>
                <w:w w:val="99"/>
              </w:rPr>
              <w:t>1,361</w:t>
            </w:r>
          </w:p>
        </w:tc>
        <w:tc>
          <w:tcPr>
            <w:tcW w:w="1300" w:type="dxa"/>
            <w:vAlign w:val="bottom"/>
          </w:tcPr>
          <w:p>
            <w:pPr>
              <w:jc w:val="center"/>
              <w:ind w:left="179"/>
              <w:spacing w:after="0"/>
              <w:rPr>
                <w:sz w:val="20"/>
                <w:szCs w:val="20"/>
                <w:color w:val="auto"/>
              </w:rPr>
            </w:pPr>
            <w:r>
              <w:rPr>
                <w:rFonts w:ascii="Arial" w:cs="Arial" w:eastAsia="Arial" w:hAnsi="Arial"/>
                <w:sz w:val="16"/>
                <w:szCs w:val="16"/>
                <w:color w:val="auto"/>
                <w:w w:val="99"/>
              </w:rPr>
              <w:t>27%</w:t>
            </w:r>
          </w:p>
        </w:tc>
      </w:tr>
      <w:tr>
        <w:trPr>
          <w:trHeight w:val="219"/>
        </w:trPr>
        <w:tc>
          <w:tcPr>
            <w:tcW w:w="27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78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w w:val="97"/>
              </w:rPr>
              <w:t>460</w:t>
            </w:r>
          </w:p>
        </w:tc>
        <w:tc>
          <w:tcPr>
            <w:tcW w:w="142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w w:val="98"/>
              </w:rPr>
              <w:t>(11)%</w:t>
            </w:r>
          </w:p>
        </w:tc>
        <w:tc>
          <w:tcPr>
            <w:tcW w:w="72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707</w:t>
            </w:r>
          </w:p>
        </w:tc>
        <w:tc>
          <w:tcPr>
            <w:tcW w:w="138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38%</w:t>
            </w:r>
          </w:p>
        </w:tc>
        <w:tc>
          <w:tcPr>
            <w:tcW w:w="1260" w:type="dxa"/>
            <w:vAlign w:val="bottom"/>
            <w:shd w:val="clear" w:color="auto" w:fill="CFF0FC"/>
          </w:tcPr>
          <w:p>
            <w:pPr>
              <w:jc w:val="center"/>
              <w:ind w:right="199"/>
              <w:spacing w:after="0"/>
              <w:rPr>
                <w:sz w:val="20"/>
                <w:szCs w:val="20"/>
                <w:color w:val="auto"/>
              </w:rPr>
            </w:pPr>
            <w:r>
              <w:rPr>
                <w:rFonts w:ascii="Arial" w:cs="Arial" w:eastAsia="Arial" w:hAnsi="Arial"/>
                <w:sz w:val="16"/>
                <w:szCs w:val="16"/>
                <w:color w:val="auto"/>
                <w:w w:val="97"/>
              </w:rPr>
              <w:t>496</w:t>
            </w:r>
          </w:p>
        </w:tc>
        <w:tc>
          <w:tcPr>
            <w:tcW w:w="5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(21)%</w:t>
            </w:r>
          </w:p>
        </w:tc>
        <w:tc>
          <w:tcPr>
            <w:tcW w:w="1080" w:type="dxa"/>
            <w:vAlign w:val="bottom"/>
            <w:shd w:val="clear" w:color="auto" w:fill="CFF0FC"/>
          </w:tcPr>
          <w:p>
            <w:pPr>
              <w:jc w:val="center"/>
              <w:ind w:left="439"/>
              <w:spacing w:after="0"/>
              <w:rPr>
                <w:sz w:val="20"/>
                <w:szCs w:val="20"/>
                <w:color w:val="auto"/>
              </w:rPr>
            </w:pPr>
            <w:r>
              <w:rPr>
                <w:rFonts w:ascii="Arial" w:cs="Arial" w:eastAsia="Arial" w:hAnsi="Arial"/>
                <w:sz w:val="16"/>
                <w:szCs w:val="16"/>
                <w:color w:val="auto"/>
              </w:rPr>
              <w:t>814</w:t>
            </w:r>
          </w:p>
        </w:tc>
        <w:tc>
          <w:tcPr>
            <w:tcW w:w="130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w w:val="99"/>
              </w:rPr>
              <w:t>35%</w:t>
            </w:r>
          </w:p>
        </w:tc>
      </w:tr>
      <w:tr>
        <w:trPr>
          <w:trHeight w:val="213"/>
        </w:trPr>
        <w:tc>
          <w:tcPr>
            <w:tcW w:w="2740" w:type="dxa"/>
            <w:vAlign w:val="bottom"/>
            <w:gridSpan w:val="2"/>
          </w:tcPr>
          <w:p>
            <w:pPr>
              <w:ind w:left="120"/>
              <w:spacing w:after="0"/>
              <w:rPr>
                <w:sz w:val="20"/>
                <w:szCs w:val="20"/>
                <w:color w:val="auto"/>
              </w:rPr>
            </w:pPr>
            <w:r>
              <w:rPr>
                <w:rFonts w:ascii="Arial" w:cs="Arial" w:eastAsia="Arial" w:hAnsi="Arial"/>
                <w:sz w:val="16"/>
                <w:szCs w:val="16"/>
                <w:color w:val="auto"/>
              </w:rPr>
              <w:t>Wyoming Electric</w:t>
            </w:r>
          </w:p>
        </w:tc>
        <w:tc>
          <w:tcPr>
            <w:tcW w:w="780" w:type="dxa"/>
            <w:vAlign w:val="bottom"/>
          </w:tcPr>
          <w:p>
            <w:pPr>
              <w:jc w:val="center"/>
              <w:ind w:left="199"/>
              <w:spacing w:after="0"/>
              <w:rPr>
                <w:sz w:val="20"/>
                <w:szCs w:val="20"/>
                <w:color w:val="auto"/>
              </w:rPr>
            </w:pPr>
            <w:r>
              <w:rPr>
                <w:rFonts w:ascii="Arial" w:cs="Arial" w:eastAsia="Arial" w:hAnsi="Arial"/>
                <w:sz w:val="16"/>
                <w:szCs w:val="16"/>
                <w:color w:val="auto"/>
                <w:w w:val="97"/>
              </w:rPr>
              <w:t>315</w:t>
            </w:r>
          </w:p>
        </w:tc>
        <w:tc>
          <w:tcPr>
            <w:tcW w:w="1420" w:type="dxa"/>
            <w:vAlign w:val="bottom"/>
          </w:tcPr>
          <w:p>
            <w:pPr>
              <w:jc w:val="center"/>
              <w:ind w:left="139"/>
              <w:spacing w:after="0"/>
              <w:rPr>
                <w:sz w:val="20"/>
                <w:szCs w:val="20"/>
                <w:color w:val="auto"/>
              </w:rPr>
            </w:pPr>
            <w:r>
              <w:rPr>
                <w:rFonts w:ascii="Arial" w:cs="Arial" w:eastAsia="Arial" w:hAnsi="Arial"/>
                <w:sz w:val="16"/>
                <w:szCs w:val="16"/>
                <w:color w:val="auto"/>
              </w:rPr>
              <w:t>(20)%</w:t>
            </w:r>
          </w:p>
        </w:tc>
        <w:tc>
          <w:tcPr>
            <w:tcW w:w="720" w:type="dxa"/>
            <w:vAlign w:val="bottom"/>
          </w:tcPr>
          <w:p>
            <w:pPr>
              <w:jc w:val="center"/>
              <w:ind w:left="119"/>
              <w:spacing w:after="0"/>
              <w:rPr>
                <w:sz w:val="20"/>
                <w:szCs w:val="20"/>
                <w:color w:val="auto"/>
              </w:rPr>
            </w:pPr>
            <w:r>
              <w:rPr>
                <w:rFonts w:ascii="Arial" w:cs="Arial" w:eastAsia="Arial" w:hAnsi="Arial"/>
                <w:sz w:val="16"/>
                <w:szCs w:val="16"/>
                <w:color w:val="auto"/>
              </w:rPr>
              <w:t>580</w:t>
            </w:r>
          </w:p>
        </w:tc>
        <w:tc>
          <w:tcPr>
            <w:tcW w:w="1380" w:type="dxa"/>
            <w:vAlign w:val="bottom"/>
          </w:tcPr>
          <w:p>
            <w:pPr>
              <w:jc w:val="right"/>
              <w:ind w:right="339"/>
              <w:spacing w:after="0"/>
              <w:rPr>
                <w:sz w:val="20"/>
                <w:szCs w:val="20"/>
                <w:color w:val="auto"/>
              </w:rPr>
            </w:pPr>
            <w:r>
              <w:rPr>
                <w:rFonts w:ascii="Arial" w:cs="Arial" w:eastAsia="Arial" w:hAnsi="Arial"/>
                <w:sz w:val="16"/>
                <w:szCs w:val="16"/>
                <w:color w:val="auto"/>
              </w:rPr>
              <w:t>72%</w:t>
            </w:r>
          </w:p>
        </w:tc>
        <w:tc>
          <w:tcPr>
            <w:tcW w:w="1260" w:type="dxa"/>
            <w:vAlign w:val="bottom"/>
          </w:tcPr>
          <w:p>
            <w:pPr>
              <w:jc w:val="center"/>
              <w:ind w:right="199"/>
              <w:spacing w:after="0"/>
              <w:rPr>
                <w:sz w:val="20"/>
                <w:szCs w:val="20"/>
                <w:color w:val="auto"/>
              </w:rPr>
            </w:pPr>
            <w:r>
              <w:rPr>
                <w:rFonts w:ascii="Arial" w:cs="Arial" w:eastAsia="Arial" w:hAnsi="Arial"/>
                <w:sz w:val="16"/>
                <w:szCs w:val="16"/>
                <w:color w:val="auto"/>
                <w:w w:val="97"/>
              </w:rPr>
              <w:t>329</w:t>
            </w:r>
          </w:p>
        </w:tc>
        <w:tc>
          <w:tcPr>
            <w:tcW w:w="560" w:type="dxa"/>
            <w:vAlign w:val="bottom"/>
          </w:tcPr>
          <w:p>
            <w:pPr>
              <w:jc w:val="center"/>
              <w:spacing w:after="0"/>
              <w:rPr>
                <w:sz w:val="20"/>
                <w:szCs w:val="20"/>
                <w:color w:val="auto"/>
              </w:rPr>
            </w:pPr>
            <w:r>
              <w:rPr>
                <w:rFonts w:ascii="Arial" w:cs="Arial" w:eastAsia="Arial" w:hAnsi="Arial"/>
                <w:sz w:val="16"/>
                <w:szCs w:val="16"/>
                <w:color w:val="auto"/>
              </w:rPr>
              <w:t>(30)%</w:t>
            </w:r>
          </w:p>
        </w:tc>
        <w:tc>
          <w:tcPr>
            <w:tcW w:w="1080" w:type="dxa"/>
            <w:vAlign w:val="bottom"/>
          </w:tcPr>
          <w:p>
            <w:pPr>
              <w:jc w:val="center"/>
              <w:ind w:left="439"/>
              <w:spacing w:after="0"/>
              <w:rPr>
                <w:sz w:val="20"/>
                <w:szCs w:val="20"/>
                <w:color w:val="auto"/>
              </w:rPr>
            </w:pPr>
            <w:r>
              <w:rPr>
                <w:rFonts w:ascii="Arial" w:cs="Arial" w:eastAsia="Arial" w:hAnsi="Arial"/>
                <w:sz w:val="16"/>
                <w:szCs w:val="16"/>
                <w:color w:val="auto"/>
              </w:rPr>
              <w:t>701</w:t>
            </w:r>
          </w:p>
        </w:tc>
        <w:tc>
          <w:tcPr>
            <w:tcW w:w="1300" w:type="dxa"/>
            <w:vAlign w:val="bottom"/>
          </w:tcPr>
          <w:p>
            <w:pPr>
              <w:jc w:val="center"/>
              <w:ind w:left="179"/>
              <w:spacing w:after="0"/>
              <w:rPr>
                <w:sz w:val="20"/>
                <w:szCs w:val="20"/>
                <w:color w:val="auto"/>
              </w:rPr>
            </w:pPr>
            <w:r>
              <w:rPr>
                <w:rFonts w:ascii="Arial" w:cs="Arial" w:eastAsia="Arial" w:hAnsi="Arial"/>
                <w:sz w:val="16"/>
                <w:szCs w:val="16"/>
                <w:color w:val="auto"/>
                <w:w w:val="99"/>
              </w:rPr>
              <w:t>77%</w:t>
            </w:r>
          </w:p>
        </w:tc>
      </w:tr>
      <w:tr>
        <w:trPr>
          <w:trHeight w:val="219"/>
        </w:trPr>
        <w:tc>
          <w:tcPr>
            <w:tcW w:w="2740" w:type="dxa"/>
            <w:vAlign w:val="bottom"/>
            <w:gridSpan w:val="2"/>
            <w:shd w:val="clear" w:color="auto" w:fill="CFF0FC"/>
          </w:tcPr>
          <w:p>
            <w:pPr>
              <w:ind w:left="200"/>
              <w:spacing w:after="0" w:line="21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78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w w:val="97"/>
              </w:rPr>
              <w:t>635</w:t>
            </w:r>
          </w:p>
        </w:tc>
        <w:tc>
          <w:tcPr>
            <w:tcW w:w="142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(2)%</w:t>
            </w:r>
          </w:p>
        </w:tc>
        <w:tc>
          <w:tcPr>
            <w:tcW w:w="72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828</w:t>
            </w:r>
          </w:p>
        </w:tc>
        <w:tc>
          <w:tcPr>
            <w:tcW w:w="138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36%</w:t>
            </w:r>
          </w:p>
        </w:tc>
        <w:tc>
          <w:tcPr>
            <w:tcW w:w="1260" w:type="dxa"/>
            <w:vAlign w:val="bottom"/>
            <w:shd w:val="clear" w:color="auto" w:fill="CFF0FC"/>
          </w:tcPr>
          <w:p>
            <w:pPr>
              <w:jc w:val="center"/>
              <w:ind w:right="199"/>
              <w:spacing w:after="0"/>
              <w:rPr>
                <w:sz w:val="20"/>
                <w:szCs w:val="20"/>
                <w:color w:val="auto"/>
              </w:rPr>
            </w:pPr>
            <w:r>
              <w:rPr>
                <w:rFonts w:ascii="Arial" w:cs="Arial" w:eastAsia="Arial" w:hAnsi="Arial"/>
                <w:sz w:val="16"/>
                <w:szCs w:val="16"/>
                <w:color w:val="auto"/>
                <w:w w:val="97"/>
              </w:rPr>
              <w:t>710</w:t>
            </w:r>
          </w:p>
        </w:tc>
        <w:tc>
          <w:tcPr>
            <w:tcW w:w="5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(15)%</w:t>
            </w:r>
          </w:p>
        </w:tc>
        <w:tc>
          <w:tcPr>
            <w:tcW w:w="1080" w:type="dxa"/>
            <w:vAlign w:val="bottom"/>
            <w:shd w:val="clear" w:color="auto" w:fill="CFF0FC"/>
          </w:tcPr>
          <w:p>
            <w:pPr>
              <w:jc w:val="center"/>
              <w:ind w:left="439"/>
              <w:spacing w:after="0"/>
              <w:rPr>
                <w:sz w:val="20"/>
                <w:szCs w:val="20"/>
                <w:color w:val="auto"/>
              </w:rPr>
            </w:pPr>
            <w:r>
              <w:rPr>
                <w:rFonts w:ascii="Arial" w:cs="Arial" w:eastAsia="Arial" w:hAnsi="Arial"/>
                <w:sz w:val="16"/>
                <w:szCs w:val="16"/>
                <w:color w:val="auto"/>
                <w:w w:val="99"/>
              </w:rPr>
              <w:t>1,041</w:t>
            </w:r>
          </w:p>
        </w:tc>
        <w:tc>
          <w:tcPr>
            <w:tcW w:w="130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w w:val="99"/>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Degree days are calculated based on a weighted average of total customers by state.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vMerge w:val="restart"/>
          </w:tcPr>
          <w:p>
            <w:pPr>
              <w:ind w:left="20"/>
              <w:spacing w:after="0"/>
              <w:rPr>
                <w:sz w:val="20"/>
                <w:szCs w:val="20"/>
                <w:color w:val="auto"/>
              </w:rPr>
            </w:pPr>
            <w:r>
              <w:rPr>
                <w:rFonts w:ascii="Arial" w:cs="Arial" w:eastAsia="Arial" w:hAnsi="Arial"/>
                <w:sz w:val="16"/>
                <w:szCs w:val="16"/>
                <w:color w:val="auto"/>
              </w:rPr>
              <w:t xml:space="preserve">Contracted generating facilities availability by fuel type </w:t>
            </w:r>
            <w:r>
              <w:rPr>
                <w:rFonts w:ascii="Arial" w:cs="Arial" w:eastAsia="Arial" w:hAnsi="Arial"/>
                <w:sz w:val="21"/>
                <w:szCs w:val="21"/>
                <w:color w:val="auto"/>
                <w:vertAlign w:val="superscript"/>
              </w:rPr>
              <w:t>(a)</w:t>
            </w:r>
          </w:p>
        </w:tc>
        <w:tc>
          <w:tcPr>
            <w:tcW w:w="3580" w:type="dxa"/>
            <w:vAlign w:val="bottom"/>
            <w:gridSpan w:val="2"/>
          </w:tcPr>
          <w:p>
            <w:pPr>
              <w:ind w:left="900"/>
              <w:spacing w:after="0"/>
              <w:rPr>
                <w:sz w:val="20"/>
                <w:szCs w:val="20"/>
                <w:color w:val="auto"/>
              </w:rPr>
            </w:pPr>
            <w:r>
              <w:rPr>
                <w:rFonts w:ascii="Arial" w:cs="Arial" w:eastAsia="Arial" w:hAnsi="Arial"/>
                <w:sz w:val="16"/>
                <w:szCs w:val="16"/>
                <w:color w:val="auto"/>
              </w:rPr>
              <w:t>Three Months Ended September 30,</w:t>
            </w:r>
          </w:p>
        </w:tc>
        <w:tc>
          <w:tcPr>
            <w:tcW w:w="2660" w:type="dxa"/>
            <w:vAlign w:val="bottom"/>
            <w:gridSpan w:val="2"/>
          </w:tcPr>
          <w:p>
            <w:pPr>
              <w:ind w:left="60"/>
              <w:spacing w:after="0"/>
              <w:rPr>
                <w:sz w:val="20"/>
                <w:szCs w:val="20"/>
                <w:color w:val="auto"/>
              </w:rPr>
            </w:pPr>
            <w:r>
              <w:rPr>
                <w:rFonts w:ascii="Arial" w:cs="Arial" w:eastAsia="Arial" w:hAnsi="Arial"/>
                <w:sz w:val="16"/>
                <w:szCs w:val="16"/>
                <w:color w:val="auto"/>
              </w:rPr>
              <w:t>Nine Months Ended September 30,</w:t>
            </w:r>
          </w:p>
        </w:tc>
        <w:tc>
          <w:tcPr>
            <w:tcW w:w="0" w:type="dxa"/>
            <w:vAlign w:val="bottom"/>
          </w:tcPr>
          <w:p>
            <w:pPr>
              <w:spacing w:after="0"/>
              <w:rPr>
                <w:sz w:val="1"/>
                <w:szCs w:val="1"/>
                <w:color w:val="auto"/>
              </w:rPr>
            </w:pPr>
          </w:p>
        </w:tc>
      </w:tr>
      <w:tr>
        <w:trPr>
          <w:trHeight w:val="222"/>
        </w:trPr>
        <w:tc>
          <w:tcPr>
            <w:tcW w:w="5000" w:type="dxa"/>
            <w:vAlign w:val="bottom"/>
            <w:tcBorders>
              <w:bottom w:val="single" w:sz="8" w:color="auto"/>
            </w:tcBorders>
            <w:vMerge w:val="continue"/>
          </w:tcPr>
          <w:p>
            <w:pPr>
              <w:spacing w:after="0"/>
              <w:rPr>
                <w:sz w:val="19"/>
                <w:szCs w:val="19"/>
                <w:color w:val="auto"/>
              </w:rPr>
            </w:pPr>
          </w:p>
        </w:tc>
        <w:tc>
          <w:tcPr>
            <w:tcW w:w="220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color w:val="auto"/>
              </w:rPr>
              <w:t>2023</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2023</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(b)</w:t>
            </w:r>
          </w:p>
        </w:tc>
        <w:tc>
          <w:tcPr>
            <w:tcW w:w="2200" w:type="dxa"/>
            <w:vAlign w:val="bottom"/>
            <w:shd w:val="clear" w:color="auto" w:fill="CFF0FC"/>
          </w:tcPr>
          <w:p>
            <w:pPr>
              <w:jc w:val="center"/>
              <w:ind w:left="779"/>
              <w:spacing w:after="0"/>
              <w:rPr>
                <w:sz w:val="20"/>
                <w:szCs w:val="20"/>
                <w:color w:val="auto"/>
              </w:rPr>
            </w:pPr>
            <w:r>
              <w:rPr>
                <w:rFonts w:ascii="Arial" w:cs="Arial" w:eastAsia="Arial" w:hAnsi="Arial"/>
                <w:sz w:val="16"/>
                <w:szCs w:val="16"/>
                <w:color w:val="auto"/>
              </w:rPr>
              <w:t>96.3%</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96.5%</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93.7%</w:t>
            </w:r>
          </w:p>
        </w:tc>
        <w:tc>
          <w:tcPr>
            <w:tcW w:w="1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Natural gas and diesel oil</w:t>
            </w:r>
          </w:p>
        </w:tc>
        <w:tc>
          <w:tcPr>
            <w:tcW w:w="2200" w:type="dxa"/>
            <w:vAlign w:val="bottom"/>
          </w:tcPr>
          <w:p>
            <w:pPr>
              <w:jc w:val="center"/>
              <w:ind w:left="779"/>
              <w:spacing w:after="0"/>
              <w:rPr>
                <w:sz w:val="20"/>
                <w:szCs w:val="20"/>
                <w:color w:val="auto"/>
              </w:rPr>
            </w:pPr>
            <w:r>
              <w:rPr>
                <w:rFonts w:ascii="Arial" w:cs="Arial" w:eastAsia="Arial" w:hAnsi="Arial"/>
                <w:sz w:val="16"/>
                <w:szCs w:val="16"/>
                <w:color w:val="auto"/>
              </w:rPr>
              <w:t>94.2%</w:t>
            </w:r>
          </w:p>
        </w:tc>
        <w:tc>
          <w:tcPr>
            <w:tcW w:w="1380" w:type="dxa"/>
            <w:vAlign w:val="bottom"/>
          </w:tcPr>
          <w:p>
            <w:pPr>
              <w:jc w:val="center"/>
              <w:spacing w:after="0"/>
              <w:rPr>
                <w:sz w:val="20"/>
                <w:szCs w:val="20"/>
                <w:color w:val="auto"/>
              </w:rPr>
            </w:pPr>
            <w:r>
              <w:rPr>
                <w:rFonts w:ascii="Arial" w:cs="Arial" w:eastAsia="Arial" w:hAnsi="Arial"/>
                <w:sz w:val="16"/>
                <w:szCs w:val="16"/>
                <w:color w:val="auto"/>
              </w:rPr>
              <w:t>97.0%</w:t>
            </w:r>
          </w:p>
        </w:tc>
        <w:tc>
          <w:tcPr>
            <w:tcW w:w="1320" w:type="dxa"/>
            <w:vAlign w:val="bottom"/>
          </w:tcPr>
          <w:p>
            <w:pPr>
              <w:jc w:val="center"/>
              <w:spacing w:after="0"/>
              <w:rPr>
                <w:sz w:val="20"/>
                <w:szCs w:val="20"/>
                <w:color w:val="auto"/>
              </w:rPr>
            </w:pPr>
            <w:r>
              <w:rPr>
                <w:rFonts w:ascii="Arial" w:cs="Arial" w:eastAsia="Arial" w:hAnsi="Arial"/>
                <w:sz w:val="16"/>
                <w:szCs w:val="16"/>
                <w:color w:val="auto"/>
              </w:rPr>
              <w:t>94.0%</w:t>
            </w:r>
          </w:p>
        </w:tc>
        <w:tc>
          <w:tcPr>
            <w:tcW w:w="1340" w:type="dxa"/>
            <w:vAlign w:val="bottom"/>
          </w:tcPr>
          <w:p>
            <w:pPr>
              <w:jc w:val="center"/>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Wind</w:t>
            </w:r>
          </w:p>
        </w:tc>
        <w:tc>
          <w:tcPr>
            <w:tcW w:w="2200" w:type="dxa"/>
            <w:vAlign w:val="bottom"/>
            <w:shd w:val="clear" w:color="auto" w:fill="CFF0FC"/>
          </w:tcPr>
          <w:p>
            <w:pPr>
              <w:jc w:val="center"/>
              <w:ind w:left="779"/>
              <w:spacing w:after="0"/>
              <w:rPr>
                <w:sz w:val="20"/>
                <w:szCs w:val="20"/>
                <w:color w:val="auto"/>
              </w:rPr>
            </w:pPr>
            <w:r>
              <w:rPr>
                <w:rFonts w:ascii="Arial" w:cs="Arial" w:eastAsia="Arial" w:hAnsi="Arial"/>
                <w:sz w:val="16"/>
                <w:szCs w:val="16"/>
                <w:color w:val="auto"/>
              </w:rPr>
              <w:t>93.4%</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94.4%</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93.4%</w:t>
            </w:r>
          </w:p>
        </w:tc>
        <w:tc>
          <w:tcPr>
            <w:tcW w:w="1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2200" w:type="dxa"/>
            <w:vAlign w:val="bottom"/>
          </w:tcPr>
          <w:p>
            <w:pPr>
              <w:jc w:val="center"/>
              <w:ind w:left="779"/>
              <w:spacing w:after="0"/>
              <w:rPr>
                <w:sz w:val="20"/>
                <w:szCs w:val="20"/>
                <w:color w:val="auto"/>
              </w:rPr>
            </w:pPr>
            <w:r>
              <w:rPr>
                <w:rFonts w:ascii="Arial" w:cs="Arial" w:eastAsia="Arial" w:hAnsi="Arial"/>
                <w:sz w:val="16"/>
                <w:szCs w:val="16"/>
                <w:color w:val="auto"/>
              </w:rPr>
              <w:t>94.7%</w:t>
            </w:r>
          </w:p>
        </w:tc>
        <w:tc>
          <w:tcPr>
            <w:tcW w:w="1380" w:type="dxa"/>
            <w:vAlign w:val="bottom"/>
          </w:tcPr>
          <w:p>
            <w:pPr>
              <w:jc w:val="center"/>
              <w:spacing w:after="0"/>
              <w:rPr>
                <w:sz w:val="20"/>
                <w:szCs w:val="20"/>
                <w:color w:val="auto"/>
              </w:rPr>
            </w:pPr>
            <w:r>
              <w:rPr>
                <w:rFonts w:ascii="Arial" w:cs="Arial" w:eastAsia="Arial" w:hAnsi="Arial"/>
                <w:sz w:val="16"/>
                <w:szCs w:val="16"/>
                <w:color w:val="auto"/>
              </w:rPr>
              <w:t>96.4%</w:t>
            </w:r>
          </w:p>
        </w:tc>
        <w:tc>
          <w:tcPr>
            <w:tcW w:w="1320" w:type="dxa"/>
            <w:vAlign w:val="bottom"/>
          </w:tcPr>
          <w:p>
            <w:pPr>
              <w:jc w:val="center"/>
              <w:spacing w:after="0"/>
              <w:rPr>
                <w:sz w:val="20"/>
                <w:szCs w:val="20"/>
                <w:color w:val="auto"/>
              </w:rPr>
            </w:pPr>
            <w:r>
              <w:rPr>
                <w:rFonts w:ascii="Arial" w:cs="Arial" w:eastAsia="Arial" w:hAnsi="Arial"/>
                <w:sz w:val="16"/>
                <w:szCs w:val="16"/>
                <w:color w:val="auto"/>
              </w:rPr>
              <w:t>93.8%</w:t>
            </w:r>
          </w:p>
        </w:tc>
        <w:tc>
          <w:tcPr>
            <w:tcW w:w="1340" w:type="dxa"/>
            <w:vAlign w:val="bottom"/>
          </w:tcPr>
          <w:p>
            <w:pPr>
              <w:jc w:val="center"/>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0" w:type="dxa"/>
            <w:vAlign w:val="bottom"/>
          </w:tcPr>
          <w:p>
            <w:pPr>
              <w:ind w:left="20"/>
              <w:spacing w:after="0"/>
              <w:rPr>
                <w:sz w:val="20"/>
                <w:szCs w:val="20"/>
                <w:color w:val="auto"/>
              </w:rPr>
            </w:pPr>
            <w:r>
              <w:rPr>
                <w:rFonts w:ascii="Arial" w:cs="Arial" w:eastAsia="Arial" w:hAnsi="Arial"/>
                <w:sz w:val="16"/>
                <w:szCs w:val="16"/>
                <w:color w:val="auto"/>
              </w:rPr>
              <w:t>Wind Capacity Factor</w:t>
            </w:r>
          </w:p>
        </w:tc>
        <w:tc>
          <w:tcPr>
            <w:tcW w:w="2200" w:type="dxa"/>
            <w:vAlign w:val="bottom"/>
          </w:tcPr>
          <w:p>
            <w:pPr>
              <w:jc w:val="center"/>
              <w:ind w:left="779"/>
              <w:spacing w:after="0"/>
              <w:rPr>
                <w:sz w:val="20"/>
                <w:szCs w:val="20"/>
                <w:color w:val="auto"/>
              </w:rPr>
            </w:pPr>
            <w:r>
              <w:rPr>
                <w:rFonts w:ascii="Arial" w:cs="Arial" w:eastAsia="Arial" w:hAnsi="Arial"/>
                <w:sz w:val="16"/>
                <w:szCs w:val="16"/>
                <w:color w:val="auto"/>
              </w:rPr>
              <w:t>31.3%</w:t>
            </w:r>
          </w:p>
        </w:tc>
        <w:tc>
          <w:tcPr>
            <w:tcW w:w="1380" w:type="dxa"/>
            <w:vAlign w:val="bottom"/>
          </w:tcPr>
          <w:p>
            <w:pPr>
              <w:jc w:val="center"/>
              <w:spacing w:after="0"/>
              <w:rPr>
                <w:sz w:val="20"/>
                <w:szCs w:val="20"/>
                <w:color w:val="auto"/>
              </w:rPr>
            </w:pPr>
            <w:r>
              <w:rPr>
                <w:rFonts w:ascii="Arial" w:cs="Arial" w:eastAsia="Arial" w:hAnsi="Arial"/>
                <w:sz w:val="16"/>
                <w:szCs w:val="16"/>
                <w:color w:val="auto"/>
              </w:rPr>
              <w:t>22.9%</w:t>
            </w:r>
          </w:p>
        </w:tc>
        <w:tc>
          <w:tcPr>
            <w:tcW w:w="1320" w:type="dxa"/>
            <w:vAlign w:val="bottom"/>
          </w:tcPr>
          <w:p>
            <w:pPr>
              <w:jc w:val="center"/>
              <w:spacing w:after="0"/>
              <w:rPr>
                <w:sz w:val="20"/>
                <w:szCs w:val="20"/>
                <w:color w:val="auto"/>
              </w:rPr>
            </w:pPr>
            <w:r>
              <w:rPr>
                <w:rFonts w:ascii="Arial" w:cs="Arial" w:eastAsia="Arial" w:hAnsi="Arial"/>
                <w:sz w:val="16"/>
                <w:szCs w:val="16"/>
                <w:color w:val="auto"/>
              </w:rPr>
              <w:t>37.9%</w:t>
            </w:r>
          </w:p>
        </w:tc>
        <w:tc>
          <w:tcPr>
            <w:tcW w:w="1340" w:type="dxa"/>
            <w:vAlign w:val="bottom"/>
          </w:tcPr>
          <w:p>
            <w:pPr>
              <w:jc w:val="center"/>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458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70"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41" w:lineRule="exact"/>
        <w:rPr>
          <w:rFonts w:ascii="Arial" w:cs="Arial" w:eastAsia="Arial" w:hAnsi="Arial"/>
          <w:sz w:val="14"/>
          <w:szCs w:val="14"/>
          <w:color w:val="auto"/>
        </w:rPr>
      </w:pPr>
    </w:p>
    <w:p>
      <w:pPr>
        <w:ind w:left="520" w:hanging="512"/>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2022 included planned outages at Neil Simpson II and Wyodak Plant.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 Utilities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Gas Utilities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right"/>
              <w:ind w:right="880"/>
              <w:spacing w:after="0"/>
              <w:rPr>
                <w:sz w:val="20"/>
                <w:szCs w:val="20"/>
                <w:color w:val="auto"/>
              </w:rPr>
            </w:pPr>
            <w:r>
              <w:rPr>
                <w:rFonts w:ascii="Arial" w:cs="Arial" w:eastAsia="Arial" w:hAnsi="Arial"/>
                <w:sz w:val="16"/>
                <w:szCs w:val="16"/>
                <w:color w:val="auto"/>
              </w:rPr>
              <w:t>Three Months Ended September 30,</w:t>
            </w:r>
          </w:p>
        </w:tc>
        <w:tc>
          <w:tcPr>
            <w:tcW w:w="3440" w:type="dxa"/>
            <w:vAlign w:val="bottom"/>
            <w:tcBorders>
              <w:bottom w:val="single" w:sz="8" w:color="auto"/>
            </w:tcBorders>
            <w:gridSpan w:val="7"/>
          </w:tcPr>
          <w:p>
            <w:pPr>
              <w:jc w:val="right"/>
              <w:ind w:right="559"/>
              <w:spacing w:after="0"/>
              <w:rPr>
                <w:sz w:val="20"/>
                <w:szCs w:val="20"/>
                <w:color w:val="auto"/>
              </w:rPr>
            </w:pPr>
            <w:r>
              <w:rPr>
                <w:rFonts w:ascii="Arial" w:cs="Arial" w:eastAsia="Arial" w:hAnsi="Arial"/>
                <w:sz w:val="16"/>
                <w:szCs w:val="16"/>
                <w:color w:val="auto"/>
              </w:rPr>
              <w:t>Nine Months Ended September 30,</w:t>
            </w:r>
          </w:p>
        </w:tc>
      </w:tr>
      <w:tr>
        <w:trPr>
          <w:trHeight w:val="209"/>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2023</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6"/>
                <w:szCs w:val="16"/>
                <w:color w:val="auto"/>
              </w:rPr>
              <w:t>Variance</w:t>
            </w: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2023</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Variance</w:t>
            </w:r>
          </w:p>
        </w:tc>
      </w:tr>
      <w:tr>
        <w:trPr>
          <w:trHeight w:val="213"/>
        </w:trPr>
        <w:tc>
          <w:tcPr>
            <w:tcW w:w="378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3"/>
        </w:trPr>
        <w:tc>
          <w:tcPr>
            <w:tcW w:w="3780" w:type="dxa"/>
            <w:vAlign w:val="bottom"/>
            <w:gridSpan w:val="5"/>
          </w:tcPr>
          <w:p>
            <w:pPr>
              <w:ind w:left="120"/>
              <w:spacing w:after="0"/>
              <w:rPr>
                <w:sz w:val="20"/>
                <w:szCs w:val="20"/>
                <w:color w:val="auto"/>
              </w:rPr>
            </w:pPr>
            <w:r>
              <w:rPr>
                <w:rFonts w:ascii="Arial" w:cs="Arial" w:eastAsia="Arial" w:hAnsi="Arial"/>
                <w:sz w:val="16"/>
                <w:szCs w:val="16"/>
                <w:color w:val="auto"/>
              </w:rPr>
              <w:t>Natural gas - regulated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159,481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192,104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6"/>
                <w:szCs w:val="16"/>
                <w:color w:val="auto"/>
              </w:rPr>
              <w:t>(32,623 ) $</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1,041,017</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1,046,910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(5,893 )</w:t>
            </w:r>
          </w:p>
        </w:tc>
      </w:tr>
      <w:tr>
        <w:trPr>
          <w:trHeight w:val="219"/>
        </w:trPr>
        <w:tc>
          <w:tcPr>
            <w:tcW w:w="3780" w:type="dxa"/>
            <w:vAlign w:val="bottom"/>
            <w:tcBorders>
              <w:bottom w:val="single" w:sz="8" w:color="CFF0FC"/>
            </w:tcBorders>
            <w:gridSpan w:val="5"/>
            <w:shd w:val="clear" w:color="auto" w:fill="CFF0FC"/>
          </w:tcPr>
          <w:p>
            <w:pPr>
              <w:ind w:left="120"/>
              <w:spacing w:after="0"/>
              <w:rPr>
                <w:sz w:val="20"/>
                <w:szCs w:val="20"/>
                <w:color w:val="auto"/>
              </w:rPr>
            </w:pPr>
            <w:r>
              <w:rPr>
                <w:rFonts w:ascii="Arial" w:cs="Arial" w:eastAsia="Arial" w:hAnsi="Arial"/>
                <w:sz w:val="16"/>
                <w:szCs w:val="16"/>
                <w:color w:val="auto"/>
              </w:rPr>
              <w:t>Other - non-regulated</w:t>
            </w:r>
          </w:p>
        </w:tc>
        <w:tc>
          <w:tcPr>
            <w:tcW w:w="3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14,804</w:t>
            </w: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16,184</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(1,380 )</w:t>
            </w:r>
          </w:p>
        </w:tc>
        <w:tc>
          <w:tcPr>
            <w:tcW w:w="960" w:type="dxa"/>
            <w:vAlign w:val="bottom"/>
            <w:tcBorders>
              <w:bottom w:val="single" w:sz="8" w:color="auto"/>
            </w:tcBorders>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62,904</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56,938</w:t>
            </w: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5,966</w:t>
            </w:r>
          </w:p>
        </w:tc>
      </w:tr>
      <w:tr>
        <w:trPr>
          <w:trHeight w:val="209"/>
        </w:trPr>
        <w:tc>
          <w:tcPr>
            <w:tcW w:w="3780" w:type="dxa"/>
            <w:vAlign w:val="bottom"/>
            <w:gridSpan w:val="5"/>
          </w:tcPr>
          <w:p>
            <w:pPr>
              <w:ind w:left="20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174,285</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208,288</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color w:val="auto"/>
              </w:rPr>
              <w:t>(34,003 )</w:t>
            </w:r>
          </w:p>
        </w:tc>
        <w:tc>
          <w:tcPr>
            <w:tcW w:w="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1,103,921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1,103,849</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w:t>
            </w:r>
          </w:p>
        </w:tc>
      </w:tr>
      <w:tr>
        <w:trPr>
          <w:trHeight w:val="210"/>
        </w:trPr>
        <w:tc>
          <w:tcPr>
            <w:tcW w:w="1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3"/>
        </w:trPr>
        <w:tc>
          <w:tcPr>
            <w:tcW w:w="3780" w:type="dxa"/>
            <w:vAlign w:val="bottom"/>
            <w:gridSpan w:val="5"/>
          </w:tcPr>
          <w:p>
            <w:pPr>
              <w:ind w:left="20"/>
              <w:spacing w:after="0"/>
              <w:rPr>
                <w:sz w:val="20"/>
                <w:szCs w:val="20"/>
                <w:color w:val="auto"/>
              </w:rPr>
            </w:pPr>
            <w:r>
              <w:rPr>
                <w:rFonts w:ascii="Arial" w:cs="Arial" w:eastAsia="Arial" w:hAnsi="Arial"/>
                <w:sz w:val="16"/>
                <w:szCs w:val="16"/>
                <w:color w:val="auto"/>
              </w:rPr>
              <w:t>Cost of natural gas sold:</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780" w:type="dxa"/>
            <w:vAlign w:val="bottom"/>
            <w:gridSpan w:val="5"/>
            <w:shd w:val="clear" w:color="auto" w:fill="CFF0FC"/>
          </w:tcPr>
          <w:p>
            <w:pPr>
              <w:ind w:left="120"/>
              <w:spacing w:after="0"/>
              <w:rPr>
                <w:sz w:val="20"/>
                <w:szCs w:val="20"/>
                <w:color w:val="auto"/>
              </w:rPr>
            </w:pPr>
            <w:r>
              <w:rPr>
                <w:rFonts w:ascii="Arial" w:cs="Arial" w:eastAsia="Arial" w:hAnsi="Arial"/>
                <w:sz w:val="16"/>
                <w:szCs w:val="16"/>
                <w:color w:val="auto"/>
              </w:rPr>
              <w:t>Natural gas - regulated</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43,329</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77,590</w:t>
            </w:r>
          </w:p>
        </w:tc>
        <w:tc>
          <w:tcPr>
            <w:tcW w:w="24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(34,261 )</w:t>
            </w: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578,860</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588,007</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(9,147 )</w:t>
            </w:r>
          </w:p>
        </w:tc>
      </w:tr>
      <w:tr>
        <w:trPr>
          <w:trHeight w:val="216"/>
        </w:trPr>
        <w:tc>
          <w:tcPr>
            <w:tcW w:w="3780" w:type="dxa"/>
            <w:vAlign w:val="bottom"/>
            <w:gridSpan w:val="5"/>
          </w:tcPr>
          <w:p>
            <w:pPr>
              <w:ind w:left="120"/>
              <w:spacing w:after="0"/>
              <w:rPr>
                <w:sz w:val="20"/>
                <w:szCs w:val="20"/>
                <w:color w:val="auto"/>
              </w:rPr>
            </w:pPr>
            <w:r>
              <w:rPr>
                <w:rFonts w:ascii="Arial" w:cs="Arial" w:eastAsia="Arial" w:hAnsi="Arial"/>
                <w:sz w:val="16"/>
                <w:szCs w:val="16"/>
                <w:color w:val="auto"/>
              </w:rPr>
              <w:t>Other - non-regulated</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3,599</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5,187</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color w:val="auto"/>
              </w:rPr>
              <w:t>(1,588 )</w:t>
            </w:r>
          </w:p>
        </w:tc>
        <w:tc>
          <w:tcPr>
            <w:tcW w:w="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23,989</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11,242</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12,747</w:t>
            </w:r>
          </w:p>
        </w:tc>
      </w:tr>
      <w:tr>
        <w:trPr>
          <w:trHeight w:val="210"/>
        </w:trPr>
        <w:tc>
          <w:tcPr>
            <w:tcW w:w="3780" w:type="dxa"/>
            <w:vAlign w:val="bottom"/>
            <w:tcBorders>
              <w:bottom w:val="single" w:sz="8" w:color="CFF0FC"/>
            </w:tcBorders>
            <w:gridSpan w:val="5"/>
            <w:shd w:val="clear" w:color="auto" w:fill="CFF0FC"/>
          </w:tcPr>
          <w:p>
            <w:pPr>
              <w:ind w:left="200"/>
              <w:spacing w:after="0"/>
              <w:rPr>
                <w:sz w:val="20"/>
                <w:szCs w:val="20"/>
                <w:color w:val="auto"/>
              </w:rPr>
            </w:pPr>
            <w:r>
              <w:rPr>
                <w:rFonts w:ascii="Arial" w:cs="Arial" w:eastAsia="Arial" w:hAnsi="Arial"/>
                <w:sz w:val="16"/>
                <w:szCs w:val="16"/>
                <w:color w:val="auto"/>
              </w:rPr>
              <w:t>Total cost of natural gas sold</w:t>
            </w:r>
          </w:p>
        </w:tc>
        <w:tc>
          <w:tcPr>
            <w:tcW w:w="3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46,928</w:t>
            </w: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82,778</w:t>
            </w: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(35,850 )</w:t>
            </w:r>
          </w:p>
        </w:tc>
        <w:tc>
          <w:tcPr>
            <w:tcW w:w="960" w:type="dxa"/>
            <w:vAlign w:val="bottom"/>
            <w:tcBorders>
              <w:bottom w:val="single" w:sz="8" w:color="auto"/>
            </w:tcBorders>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602,849</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599,249</w:t>
            </w: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3,600</w:t>
            </w:r>
          </w:p>
        </w:tc>
      </w:tr>
      <w:tr>
        <w:trPr>
          <w:trHeight w:val="209"/>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9"/>
        </w:trPr>
        <w:tc>
          <w:tcPr>
            <w:tcW w:w="378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6"/>
                <w:szCs w:val="16"/>
                <w:color w:val="auto"/>
              </w:rPr>
              <w:t>Gas Utility margin (non-GAAP)</w:t>
            </w:r>
          </w:p>
        </w:tc>
        <w:tc>
          <w:tcPr>
            <w:tcW w:w="3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127,357</w:t>
            </w: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125,510</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1,847</w:t>
            </w:r>
          </w:p>
        </w:tc>
        <w:tc>
          <w:tcPr>
            <w:tcW w:w="3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501,072</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504,600</w:t>
            </w: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(3,528 )</w:t>
            </w:r>
          </w:p>
        </w:tc>
      </w:tr>
      <w:tr>
        <w:trPr>
          <w:trHeight w:val="210"/>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78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82,922</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85,311</w:t>
            </w:r>
          </w:p>
        </w:tc>
        <w:tc>
          <w:tcPr>
            <w:tcW w:w="24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(2,389 )</w:t>
            </w: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268,972</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255,441</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13,531</w:t>
            </w:r>
          </w:p>
        </w:tc>
      </w:tr>
      <w:tr>
        <w:trPr>
          <w:trHeight w:val="216"/>
        </w:trPr>
        <w:tc>
          <w:tcPr>
            <w:tcW w:w="3780" w:type="dxa"/>
            <w:vAlign w:val="bottom"/>
            <w:gridSpan w:val="5"/>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29,035</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29,616</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color w:val="auto"/>
              </w:rPr>
              <w:t>(581 )</w:t>
            </w:r>
          </w:p>
        </w:tc>
        <w:tc>
          <w:tcPr>
            <w:tcW w:w="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84,350</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86,841</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(2,491 )</w:t>
            </w:r>
          </w:p>
        </w:tc>
      </w:tr>
      <w:tr>
        <w:trPr>
          <w:trHeight w:val="207"/>
        </w:trPr>
        <w:tc>
          <w:tcPr>
            <w:tcW w:w="1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111,957</w:t>
            </w:r>
          </w:p>
        </w:tc>
        <w:tc>
          <w:tcPr>
            <w:tcW w:w="3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114,927</w:t>
            </w:r>
          </w:p>
        </w:tc>
        <w:tc>
          <w:tcPr>
            <w:tcW w:w="2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(2,970 )</w:t>
            </w:r>
          </w:p>
        </w:tc>
        <w:tc>
          <w:tcPr>
            <w:tcW w:w="960" w:type="dxa"/>
            <w:vAlign w:val="bottom"/>
            <w:tcBorders>
              <w:bottom w:val="single" w:sz="8" w:color="auto"/>
            </w:tcBorders>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353,322</w:t>
            </w: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342,282</w:t>
            </w: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11,040</w:t>
            </w:r>
          </w:p>
        </w:tc>
      </w:tr>
      <w:tr>
        <w:trPr>
          <w:trHeight w:val="213"/>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49"/>
        </w:trPr>
        <w:tc>
          <w:tcPr>
            <w:tcW w:w="378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15,400</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10,583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4,817</w:t>
            </w:r>
          </w:p>
        </w:tc>
        <w:tc>
          <w:tcPr>
            <w:tcW w:w="3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147,750</w:t>
            </w:r>
          </w:p>
        </w:tc>
        <w:tc>
          <w:tcPr>
            <w:tcW w:w="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162,318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(14,568 )</w:t>
            </w:r>
          </w:p>
        </w:tc>
      </w:tr>
      <w:tr>
        <w:trPr>
          <w:trHeight w:val="332"/>
        </w:trPr>
        <w:tc>
          <w:tcPr>
            <w:tcW w:w="7800" w:type="dxa"/>
            <w:vAlign w:val="bottom"/>
            <w:gridSpan w:val="13"/>
          </w:tcPr>
          <w:p>
            <w:pPr>
              <w:spacing w:after="0"/>
              <w:rPr>
                <w:sz w:val="20"/>
                <w:szCs w:val="20"/>
                <w:color w:val="auto"/>
              </w:rPr>
            </w:pPr>
            <w:r>
              <w:rPr>
                <w:rFonts w:ascii="Arial" w:cs="Arial" w:eastAsia="Arial" w:hAnsi="Arial"/>
                <w:sz w:val="16"/>
                <w:szCs w:val="16"/>
                <w:color w:val="auto"/>
              </w:rPr>
              <w:t>Three Months Ended September 30, 2023, Compared to the Three Months Ended September 30, 2022:</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8"/>
        </w:trPr>
        <w:tc>
          <w:tcPr>
            <w:tcW w:w="4120" w:type="dxa"/>
            <w:vAlign w:val="bottom"/>
            <w:tcBorders>
              <w:top w:val="single" w:sz="8" w:color="auto"/>
            </w:tcBorders>
            <w:gridSpan w:val="6"/>
          </w:tcPr>
          <w:p>
            <w:pPr>
              <w:spacing w:after="0"/>
              <w:rPr>
                <w:sz w:val="20"/>
                <w:szCs w:val="20"/>
                <w:color w:val="auto"/>
              </w:rPr>
            </w:pPr>
            <w:r>
              <w:rPr>
                <w:rFonts w:ascii="Arial" w:cs="Arial" w:eastAsia="Arial" w:hAnsi="Arial"/>
                <w:sz w:val="16"/>
                <w:szCs w:val="16"/>
                <w:color w:val="auto"/>
              </w:rPr>
              <w:t>Gas Utility margin increased as a result of the following:</w:t>
            </w:r>
          </w:p>
        </w:tc>
        <w:tc>
          <w:tcPr>
            <w:tcW w:w="8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9"/>
        </w:trPr>
        <w:tc>
          <w:tcPr>
            <w:tcW w:w="12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color w:val="auto"/>
              </w:rPr>
              <w:t>(in millions)</w:t>
            </w:r>
          </w:p>
        </w:tc>
      </w:tr>
      <w:tr>
        <w:trPr>
          <w:trHeight w:val="213"/>
        </w:trPr>
        <w:tc>
          <w:tcPr>
            <w:tcW w:w="3780" w:type="dxa"/>
            <w:vAlign w:val="bottom"/>
            <w:gridSpan w:val="5"/>
            <w:shd w:val="clear" w:color="auto" w:fill="CCF0FC"/>
          </w:tcPr>
          <w:p>
            <w:pPr>
              <w:ind w:left="20"/>
              <w:spacing w:after="0"/>
              <w:rPr>
                <w:sz w:val="20"/>
                <w:szCs w:val="20"/>
                <w:color w:val="auto"/>
              </w:rPr>
            </w:pPr>
            <w:r>
              <w:rPr>
                <w:rFonts w:ascii="Arial" w:cs="Arial" w:eastAsia="Arial" w:hAnsi="Arial"/>
                <w:sz w:val="16"/>
                <w:szCs w:val="16"/>
                <w:color w:val="auto"/>
              </w:rPr>
              <w:t>New rates and rider recovery</w:t>
            </w:r>
          </w:p>
        </w:tc>
        <w:tc>
          <w:tcPr>
            <w:tcW w:w="340" w:type="dxa"/>
            <w:vAlign w:val="bottom"/>
            <w:shd w:val="clear" w:color="auto" w:fill="CCF0FC"/>
          </w:tcPr>
          <w:p>
            <w:pPr>
              <w:spacing w:after="0"/>
              <w:rPr>
                <w:sz w:val="18"/>
                <w:szCs w:val="18"/>
                <w:color w:val="auto"/>
              </w:rPr>
            </w:pPr>
          </w:p>
        </w:tc>
        <w:tc>
          <w:tcPr>
            <w:tcW w:w="880" w:type="dxa"/>
            <w:vAlign w:val="bottom"/>
            <w:shd w:val="clear" w:color="auto" w:fill="CCF0FC"/>
          </w:tcPr>
          <w:p>
            <w:pPr>
              <w:spacing w:after="0"/>
              <w:rPr>
                <w:sz w:val="18"/>
                <w:szCs w:val="18"/>
                <w:color w:val="auto"/>
              </w:rPr>
            </w:pPr>
          </w:p>
        </w:tc>
        <w:tc>
          <w:tcPr>
            <w:tcW w:w="300" w:type="dxa"/>
            <w:vAlign w:val="bottom"/>
            <w:shd w:val="clear" w:color="auto" w:fill="CCF0FC"/>
          </w:tcPr>
          <w:p>
            <w:pPr>
              <w:spacing w:after="0"/>
              <w:rPr>
                <w:sz w:val="18"/>
                <w:szCs w:val="18"/>
                <w:color w:val="auto"/>
              </w:rPr>
            </w:pPr>
          </w:p>
        </w:tc>
        <w:tc>
          <w:tcPr>
            <w:tcW w:w="960" w:type="dxa"/>
            <w:vAlign w:val="bottom"/>
            <w:shd w:val="clear" w:color="auto" w:fill="CCF0FC"/>
          </w:tcPr>
          <w:p>
            <w:pPr>
              <w:spacing w:after="0"/>
              <w:rPr>
                <w:sz w:val="18"/>
                <w:szCs w:val="18"/>
                <w:color w:val="auto"/>
              </w:rPr>
            </w:pPr>
          </w:p>
        </w:tc>
        <w:tc>
          <w:tcPr>
            <w:tcW w:w="240" w:type="dxa"/>
            <w:vAlign w:val="bottom"/>
            <w:shd w:val="clear" w:color="auto" w:fill="CCF0FC"/>
          </w:tcPr>
          <w:p>
            <w:pPr>
              <w:spacing w:after="0"/>
              <w:rPr>
                <w:sz w:val="18"/>
                <w:szCs w:val="18"/>
                <w:color w:val="auto"/>
              </w:rPr>
            </w:pPr>
          </w:p>
        </w:tc>
        <w:tc>
          <w:tcPr>
            <w:tcW w:w="760" w:type="dxa"/>
            <w:vAlign w:val="bottom"/>
            <w:shd w:val="clear" w:color="auto" w:fill="CCF0FC"/>
          </w:tcPr>
          <w:p>
            <w:pPr>
              <w:spacing w:after="0"/>
              <w:rPr>
                <w:sz w:val="18"/>
                <w:szCs w:val="18"/>
                <w:color w:val="auto"/>
              </w:rPr>
            </w:pPr>
          </w:p>
        </w:tc>
        <w:tc>
          <w:tcPr>
            <w:tcW w:w="180" w:type="dxa"/>
            <w:vAlign w:val="bottom"/>
            <w:shd w:val="clear" w:color="auto" w:fill="CCF0FC"/>
          </w:tcPr>
          <w:p>
            <w:pPr>
              <w:spacing w:after="0"/>
              <w:rPr>
                <w:sz w:val="18"/>
                <w:szCs w:val="18"/>
                <w:color w:val="auto"/>
              </w:rPr>
            </w:pPr>
          </w:p>
        </w:tc>
        <w:tc>
          <w:tcPr>
            <w:tcW w:w="360" w:type="dxa"/>
            <w:vAlign w:val="bottom"/>
            <w:shd w:val="clear" w:color="auto" w:fill="CCF0FC"/>
          </w:tcPr>
          <w:p>
            <w:pPr>
              <w:spacing w:after="0"/>
              <w:rPr>
                <w:sz w:val="18"/>
                <w:szCs w:val="18"/>
                <w:color w:val="auto"/>
              </w:rPr>
            </w:pPr>
          </w:p>
        </w:tc>
        <w:tc>
          <w:tcPr>
            <w:tcW w:w="960" w:type="dxa"/>
            <w:vAlign w:val="bottom"/>
            <w:gridSpan w:val="3"/>
            <w:shd w:val="clear" w:color="auto" w:fill="CCF0FC"/>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F0FC"/>
          </w:tcPr>
          <w:p>
            <w:pPr>
              <w:spacing w:after="0"/>
              <w:rPr>
                <w:sz w:val="18"/>
                <w:szCs w:val="18"/>
                <w:color w:val="auto"/>
              </w:rPr>
            </w:pPr>
          </w:p>
        </w:tc>
        <w:tc>
          <w:tcPr>
            <w:tcW w:w="940" w:type="dxa"/>
            <w:vAlign w:val="bottom"/>
            <w:shd w:val="clear" w:color="auto" w:fill="CCF0FC"/>
          </w:tcPr>
          <w:p>
            <w:pPr>
              <w:spacing w:after="0"/>
              <w:rPr>
                <w:sz w:val="18"/>
                <w:szCs w:val="18"/>
                <w:color w:val="auto"/>
              </w:rPr>
            </w:pPr>
          </w:p>
        </w:tc>
        <w:tc>
          <w:tcPr>
            <w:tcW w:w="220" w:type="dxa"/>
            <w:vAlign w:val="bottom"/>
            <w:shd w:val="clear" w:color="auto" w:fill="CCF0FC"/>
          </w:tcPr>
          <w:p>
            <w:pPr>
              <w:spacing w:after="0"/>
              <w:rPr>
                <w:sz w:val="18"/>
                <w:szCs w:val="18"/>
                <w:color w:val="auto"/>
              </w:rPr>
            </w:pPr>
          </w:p>
        </w:tc>
        <w:tc>
          <w:tcPr>
            <w:tcW w:w="1060" w:type="dxa"/>
            <w:vAlign w:val="bottom"/>
            <w:shd w:val="clear" w:color="auto" w:fill="CCF0FC"/>
          </w:tcPr>
          <w:p>
            <w:pPr>
              <w:jc w:val="right"/>
              <w:ind w:right="39"/>
              <w:spacing w:after="0"/>
              <w:rPr>
                <w:sz w:val="20"/>
                <w:szCs w:val="20"/>
                <w:color w:val="auto"/>
              </w:rPr>
            </w:pPr>
            <w:r>
              <w:rPr>
                <w:rFonts w:ascii="Arial" w:cs="Arial" w:eastAsia="Arial" w:hAnsi="Arial"/>
                <w:sz w:val="16"/>
                <w:szCs w:val="16"/>
                <w:color w:val="auto"/>
              </w:rPr>
              <w:t>2.6</w:t>
            </w:r>
          </w:p>
        </w:tc>
      </w:tr>
      <w:tr>
        <w:trPr>
          <w:trHeight w:val="213"/>
        </w:trPr>
        <w:tc>
          <w:tcPr>
            <w:tcW w:w="3780" w:type="dxa"/>
            <w:vAlign w:val="bottom"/>
            <w:gridSpan w:val="5"/>
          </w:tcPr>
          <w:p>
            <w:pPr>
              <w:ind w:left="20"/>
              <w:spacing w:after="0"/>
              <w:rPr>
                <w:sz w:val="20"/>
                <w:szCs w:val="20"/>
                <w:color w:val="auto"/>
              </w:rPr>
            </w:pPr>
            <w:r>
              <w:rPr>
                <w:rFonts w:ascii="Arial" w:cs="Arial" w:eastAsia="Arial" w:hAnsi="Arial"/>
                <w:sz w:val="16"/>
                <w:szCs w:val="16"/>
                <w:color w:val="auto"/>
              </w:rPr>
              <w:t>Retail customer growth and demand</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w:t>
            </w:r>
          </w:p>
        </w:tc>
      </w:tr>
      <w:tr>
        <w:trPr>
          <w:trHeight w:val="219"/>
        </w:trPr>
        <w:tc>
          <w:tcPr>
            <w:tcW w:w="5000" w:type="dxa"/>
            <w:vAlign w:val="bottom"/>
            <w:gridSpan w:val="7"/>
            <w:shd w:val="clear" w:color="auto" w:fill="CCF0FC"/>
          </w:tcPr>
          <w:p>
            <w:pPr>
              <w:ind w:left="20"/>
              <w:spacing w:after="0"/>
              <w:rPr>
                <w:sz w:val="20"/>
                <w:szCs w:val="20"/>
                <w:color w:val="auto"/>
              </w:rPr>
            </w:pPr>
            <w:r>
              <w:rPr>
                <w:rFonts w:ascii="Arial" w:cs="Arial" w:eastAsia="Arial" w:hAnsi="Arial"/>
                <w:sz w:val="16"/>
                <w:szCs w:val="16"/>
                <w:color w:val="auto"/>
              </w:rPr>
              <w:t>Mark-to-market on non-utility natural gas commodity contracts</w:t>
            </w:r>
          </w:p>
        </w:tc>
        <w:tc>
          <w:tcPr>
            <w:tcW w:w="300" w:type="dxa"/>
            <w:vAlign w:val="bottom"/>
            <w:shd w:val="clear" w:color="auto" w:fill="CCF0FC"/>
          </w:tcPr>
          <w:p>
            <w:pPr>
              <w:spacing w:after="0"/>
              <w:rPr>
                <w:sz w:val="19"/>
                <w:szCs w:val="19"/>
                <w:color w:val="auto"/>
              </w:rPr>
            </w:pPr>
          </w:p>
        </w:tc>
        <w:tc>
          <w:tcPr>
            <w:tcW w:w="960" w:type="dxa"/>
            <w:vAlign w:val="bottom"/>
            <w:shd w:val="clear" w:color="auto" w:fill="CCF0FC"/>
          </w:tcPr>
          <w:p>
            <w:pPr>
              <w:spacing w:after="0"/>
              <w:rPr>
                <w:sz w:val="19"/>
                <w:szCs w:val="19"/>
                <w:color w:val="auto"/>
              </w:rPr>
            </w:pPr>
          </w:p>
        </w:tc>
        <w:tc>
          <w:tcPr>
            <w:tcW w:w="240" w:type="dxa"/>
            <w:vAlign w:val="bottom"/>
            <w:shd w:val="clear" w:color="auto" w:fill="CCF0FC"/>
          </w:tcPr>
          <w:p>
            <w:pPr>
              <w:spacing w:after="0"/>
              <w:rPr>
                <w:sz w:val="19"/>
                <w:szCs w:val="19"/>
                <w:color w:val="auto"/>
              </w:rPr>
            </w:pPr>
          </w:p>
        </w:tc>
        <w:tc>
          <w:tcPr>
            <w:tcW w:w="760" w:type="dxa"/>
            <w:vAlign w:val="bottom"/>
            <w:shd w:val="clear" w:color="auto" w:fill="CCF0FC"/>
          </w:tcPr>
          <w:p>
            <w:pPr>
              <w:spacing w:after="0"/>
              <w:rPr>
                <w:sz w:val="19"/>
                <w:szCs w:val="19"/>
                <w:color w:val="auto"/>
              </w:rPr>
            </w:pPr>
          </w:p>
        </w:tc>
        <w:tc>
          <w:tcPr>
            <w:tcW w:w="180" w:type="dxa"/>
            <w:vAlign w:val="bottom"/>
            <w:shd w:val="clear" w:color="auto" w:fill="CCF0FC"/>
          </w:tcPr>
          <w:p>
            <w:pPr>
              <w:spacing w:after="0"/>
              <w:rPr>
                <w:sz w:val="19"/>
                <w:szCs w:val="19"/>
                <w:color w:val="auto"/>
              </w:rPr>
            </w:pPr>
          </w:p>
        </w:tc>
        <w:tc>
          <w:tcPr>
            <w:tcW w:w="360" w:type="dxa"/>
            <w:vAlign w:val="bottom"/>
            <w:shd w:val="clear" w:color="auto" w:fill="CCF0FC"/>
          </w:tcPr>
          <w:p>
            <w:pPr>
              <w:spacing w:after="0"/>
              <w:rPr>
                <w:sz w:val="19"/>
                <w:szCs w:val="19"/>
                <w:color w:val="auto"/>
              </w:rPr>
            </w:pPr>
          </w:p>
        </w:tc>
        <w:tc>
          <w:tcPr>
            <w:tcW w:w="800" w:type="dxa"/>
            <w:vAlign w:val="bottom"/>
            <w:shd w:val="clear" w:color="auto" w:fill="CCF0FC"/>
          </w:tcPr>
          <w:p>
            <w:pPr>
              <w:spacing w:after="0"/>
              <w:rPr>
                <w:sz w:val="19"/>
                <w:szCs w:val="19"/>
                <w:color w:val="auto"/>
              </w:rPr>
            </w:pPr>
          </w:p>
        </w:tc>
        <w:tc>
          <w:tcPr>
            <w:tcW w:w="20" w:type="dxa"/>
            <w:vAlign w:val="bottom"/>
            <w:shd w:val="clear" w:color="auto" w:fill="CCF0FC"/>
          </w:tcPr>
          <w:p>
            <w:pPr>
              <w:spacing w:after="0"/>
              <w:rPr>
                <w:sz w:val="19"/>
                <w:szCs w:val="19"/>
                <w:color w:val="auto"/>
              </w:rPr>
            </w:pPr>
          </w:p>
        </w:tc>
        <w:tc>
          <w:tcPr>
            <w:tcW w:w="140" w:type="dxa"/>
            <w:vAlign w:val="bottom"/>
            <w:shd w:val="clear" w:color="auto" w:fill="CCF0FC"/>
          </w:tcPr>
          <w:p>
            <w:pPr>
              <w:spacing w:after="0"/>
              <w:rPr>
                <w:sz w:val="19"/>
                <w:szCs w:val="19"/>
                <w:color w:val="auto"/>
              </w:rPr>
            </w:pPr>
          </w:p>
        </w:tc>
        <w:tc>
          <w:tcPr>
            <w:tcW w:w="260" w:type="dxa"/>
            <w:vAlign w:val="bottom"/>
            <w:shd w:val="clear" w:color="auto" w:fill="CCF0FC"/>
          </w:tcPr>
          <w:p>
            <w:pPr>
              <w:spacing w:after="0"/>
              <w:rPr>
                <w:sz w:val="19"/>
                <w:szCs w:val="19"/>
                <w:color w:val="auto"/>
              </w:rPr>
            </w:pPr>
          </w:p>
        </w:tc>
        <w:tc>
          <w:tcPr>
            <w:tcW w:w="940" w:type="dxa"/>
            <w:vAlign w:val="bottom"/>
            <w:shd w:val="clear" w:color="auto" w:fill="CCF0FC"/>
          </w:tcPr>
          <w:p>
            <w:pPr>
              <w:spacing w:after="0"/>
              <w:rPr>
                <w:sz w:val="19"/>
                <w:szCs w:val="19"/>
                <w:color w:val="auto"/>
              </w:rPr>
            </w:pPr>
          </w:p>
        </w:tc>
        <w:tc>
          <w:tcPr>
            <w:tcW w:w="220" w:type="dxa"/>
            <w:vAlign w:val="bottom"/>
            <w:shd w:val="clear" w:color="auto" w:fill="CCF0FC"/>
          </w:tcPr>
          <w:p>
            <w:pPr>
              <w:spacing w:after="0"/>
              <w:rPr>
                <w:sz w:val="19"/>
                <w:szCs w:val="19"/>
                <w:color w:val="auto"/>
              </w:rPr>
            </w:pPr>
          </w:p>
        </w:tc>
        <w:tc>
          <w:tcPr>
            <w:tcW w:w="1060" w:type="dxa"/>
            <w:vAlign w:val="bottom"/>
            <w:shd w:val="clear" w:color="auto" w:fill="CCF0FC"/>
          </w:tcPr>
          <w:p>
            <w:pPr>
              <w:jc w:val="right"/>
              <w:spacing w:after="0"/>
              <w:rPr>
                <w:sz w:val="20"/>
                <w:szCs w:val="20"/>
                <w:color w:val="auto"/>
              </w:rPr>
            </w:pPr>
            <w:r>
              <w:rPr>
                <w:rFonts w:ascii="Arial" w:cs="Arial" w:eastAsia="Arial" w:hAnsi="Arial"/>
                <w:sz w:val="16"/>
                <w:szCs w:val="16"/>
                <w:color w:val="auto"/>
              </w:rPr>
              <w:t>(1.4 )</w:t>
            </w:r>
          </w:p>
        </w:tc>
      </w:tr>
      <w:tr>
        <w:trPr>
          <w:trHeight w:val="213"/>
        </w:trPr>
        <w:tc>
          <w:tcPr>
            <w:tcW w:w="3780" w:type="dxa"/>
            <w:vAlign w:val="bottom"/>
            <w:gridSpan w:val="5"/>
          </w:tcPr>
          <w:p>
            <w:pPr>
              <w:ind w:left="20"/>
              <w:spacing w:after="0"/>
              <w:rPr>
                <w:sz w:val="20"/>
                <w:szCs w:val="20"/>
                <w:color w:val="auto"/>
              </w:rPr>
            </w:pPr>
            <w:r>
              <w:rPr>
                <w:rFonts w:ascii="Arial" w:cs="Arial" w:eastAsia="Arial" w:hAnsi="Arial"/>
                <w:sz w:val="16"/>
                <w:szCs w:val="16"/>
                <w:color w:val="auto"/>
              </w:rPr>
              <w:t>Weather</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9"/>
        </w:trPr>
        <w:tc>
          <w:tcPr>
            <w:tcW w:w="3780" w:type="dxa"/>
            <w:vAlign w:val="bottom"/>
            <w:tcBorders>
              <w:bottom w:val="single" w:sz="8" w:color="CCF0FC"/>
            </w:tcBorders>
            <w:gridSpan w:val="5"/>
            <w:shd w:val="clear" w:color="auto" w:fill="CCF0FC"/>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F0FC"/>
            </w:tcBorders>
            <w:shd w:val="clear" w:color="auto" w:fill="CCF0FC"/>
          </w:tcPr>
          <w:p>
            <w:pPr>
              <w:spacing w:after="0"/>
              <w:rPr>
                <w:sz w:val="19"/>
                <w:szCs w:val="19"/>
                <w:color w:val="auto"/>
              </w:rPr>
            </w:pPr>
          </w:p>
        </w:tc>
        <w:tc>
          <w:tcPr>
            <w:tcW w:w="880" w:type="dxa"/>
            <w:vAlign w:val="bottom"/>
            <w:tcBorders>
              <w:bottom w:val="single" w:sz="8" w:color="CCF0FC"/>
            </w:tcBorders>
            <w:shd w:val="clear" w:color="auto" w:fill="CCF0FC"/>
          </w:tcPr>
          <w:p>
            <w:pPr>
              <w:spacing w:after="0"/>
              <w:rPr>
                <w:sz w:val="19"/>
                <w:szCs w:val="19"/>
                <w:color w:val="auto"/>
              </w:rPr>
            </w:pPr>
          </w:p>
        </w:tc>
        <w:tc>
          <w:tcPr>
            <w:tcW w:w="300" w:type="dxa"/>
            <w:vAlign w:val="bottom"/>
            <w:tcBorders>
              <w:bottom w:val="single" w:sz="8" w:color="CCF0FC"/>
            </w:tcBorders>
            <w:shd w:val="clear" w:color="auto" w:fill="CCF0FC"/>
          </w:tcPr>
          <w:p>
            <w:pPr>
              <w:spacing w:after="0"/>
              <w:rPr>
                <w:sz w:val="19"/>
                <w:szCs w:val="19"/>
                <w:color w:val="auto"/>
              </w:rPr>
            </w:pPr>
          </w:p>
        </w:tc>
        <w:tc>
          <w:tcPr>
            <w:tcW w:w="960" w:type="dxa"/>
            <w:vAlign w:val="bottom"/>
            <w:tcBorders>
              <w:bottom w:val="single" w:sz="8" w:color="CCF0FC"/>
            </w:tcBorders>
            <w:shd w:val="clear" w:color="auto" w:fill="CCF0FC"/>
          </w:tcPr>
          <w:p>
            <w:pPr>
              <w:spacing w:after="0"/>
              <w:rPr>
                <w:sz w:val="19"/>
                <w:szCs w:val="19"/>
                <w:color w:val="auto"/>
              </w:rPr>
            </w:pPr>
          </w:p>
        </w:tc>
        <w:tc>
          <w:tcPr>
            <w:tcW w:w="240" w:type="dxa"/>
            <w:vAlign w:val="bottom"/>
            <w:tcBorders>
              <w:bottom w:val="single" w:sz="8" w:color="CCF0FC"/>
            </w:tcBorders>
            <w:shd w:val="clear" w:color="auto" w:fill="CCF0FC"/>
          </w:tcPr>
          <w:p>
            <w:pPr>
              <w:spacing w:after="0"/>
              <w:rPr>
                <w:sz w:val="19"/>
                <w:szCs w:val="19"/>
                <w:color w:val="auto"/>
              </w:rPr>
            </w:pPr>
          </w:p>
        </w:tc>
        <w:tc>
          <w:tcPr>
            <w:tcW w:w="760" w:type="dxa"/>
            <w:vAlign w:val="bottom"/>
            <w:tcBorders>
              <w:bottom w:val="single" w:sz="8" w:color="CCF0FC"/>
            </w:tcBorders>
            <w:shd w:val="clear" w:color="auto" w:fill="CCF0FC"/>
          </w:tcPr>
          <w:p>
            <w:pPr>
              <w:spacing w:after="0"/>
              <w:rPr>
                <w:sz w:val="19"/>
                <w:szCs w:val="19"/>
                <w:color w:val="auto"/>
              </w:rPr>
            </w:pPr>
          </w:p>
        </w:tc>
        <w:tc>
          <w:tcPr>
            <w:tcW w:w="180" w:type="dxa"/>
            <w:vAlign w:val="bottom"/>
            <w:tcBorders>
              <w:bottom w:val="single" w:sz="8" w:color="CCF0FC"/>
            </w:tcBorders>
            <w:shd w:val="clear" w:color="auto" w:fill="CCF0FC"/>
          </w:tcPr>
          <w:p>
            <w:pPr>
              <w:spacing w:after="0"/>
              <w:rPr>
                <w:sz w:val="19"/>
                <w:szCs w:val="19"/>
                <w:color w:val="auto"/>
              </w:rPr>
            </w:pPr>
          </w:p>
        </w:tc>
        <w:tc>
          <w:tcPr>
            <w:tcW w:w="360" w:type="dxa"/>
            <w:vAlign w:val="bottom"/>
            <w:tcBorders>
              <w:bottom w:val="single" w:sz="8" w:color="CCF0FC"/>
            </w:tcBorders>
            <w:shd w:val="clear" w:color="auto" w:fill="CCF0FC"/>
          </w:tcPr>
          <w:p>
            <w:pPr>
              <w:spacing w:after="0"/>
              <w:rPr>
                <w:sz w:val="19"/>
                <w:szCs w:val="19"/>
                <w:color w:val="auto"/>
              </w:rPr>
            </w:pPr>
          </w:p>
        </w:tc>
        <w:tc>
          <w:tcPr>
            <w:tcW w:w="800" w:type="dxa"/>
            <w:vAlign w:val="bottom"/>
            <w:tcBorders>
              <w:bottom w:val="single" w:sz="8" w:color="CCF0FC"/>
            </w:tcBorders>
            <w:shd w:val="clear" w:color="auto" w:fill="CCF0FC"/>
          </w:tcPr>
          <w:p>
            <w:pPr>
              <w:spacing w:after="0"/>
              <w:rPr>
                <w:sz w:val="19"/>
                <w:szCs w:val="19"/>
                <w:color w:val="auto"/>
              </w:rPr>
            </w:pPr>
          </w:p>
        </w:tc>
        <w:tc>
          <w:tcPr>
            <w:tcW w:w="20" w:type="dxa"/>
            <w:vAlign w:val="bottom"/>
            <w:tcBorders>
              <w:bottom w:val="single" w:sz="8" w:color="auto"/>
            </w:tcBorders>
            <w:shd w:val="clear" w:color="auto" w:fill="CCF0FC"/>
          </w:tcPr>
          <w:p>
            <w:pPr>
              <w:spacing w:after="0"/>
              <w:rPr>
                <w:sz w:val="19"/>
                <w:szCs w:val="19"/>
                <w:color w:val="auto"/>
              </w:rPr>
            </w:pPr>
          </w:p>
        </w:tc>
        <w:tc>
          <w:tcPr>
            <w:tcW w:w="140" w:type="dxa"/>
            <w:vAlign w:val="bottom"/>
            <w:tcBorders>
              <w:bottom w:val="single" w:sz="8" w:color="auto"/>
            </w:tcBorders>
            <w:shd w:val="clear" w:color="auto" w:fill="CCF0FC"/>
          </w:tcPr>
          <w:p>
            <w:pPr>
              <w:spacing w:after="0"/>
              <w:rPr>
                <w:sz w:val="19"/>
                <w:szCs w:val="19"/>
                <w:color w:val="auto"/>
              </w:rPr>
            </w:pPr>
          </w:p>
        </w:tc>
        <w:tc>
          <w:tcPr>
            <w:tcW w:w="260" w:type="dxa"/>
            <w:vAlign w:val="bottom"/>
            <w:tcBorders>
              <w:bottom w:val="single" w:sz="8" w:color="auto"/>
            </w:tcBorders>
            <w:shd w:val="clear" w:color="auto" w:fill="CCF0FC"/>
          </w:tcPr>
          <w:p>
            <w:pPr>
              <w:spacing w:after="0"/>
              <w:rPr>
                <w:sz w:val="19"/>
                <w:szCs w:val="19"/>
                <w:color w:val="auto"/>
              </w:rPr>
            </w:pPr>
          </w:p>
        </w:tc>
        <w:tc>
          <w:tcPr>
            <w:tcW w:w="940" w:type="dxa"/>
            <w:vAlign w:val="bottom"/>
            <w:tcBorders>
              <w:bottom w:val="single" w:sz="8" w:color="auto"/>
            </w:tcBorders>
            <w:shd w:val="clear" w:color="auto" w:fill="CCF0FC"/>
          </w:tcPr>
          <w:p>
            <w:pPr>
              <w:spacing w:after="0"/>
              <w:rPr>
                <w:sz w:val="19"/>
                <w:szCs w:val="19"/>
                <w:color w:val="auto"/>
              </w:rPr>
            </w:pPr>
          </w:p>
        </w:tc>
        <w:tc>
          <w:tcPr>
            <w:tcW w:w="220" w:type="dxa"/>
            <w:vAlign w:val="bottom"/>
            <w:tcBorders>
              <w:bottom w:val="single" w:sz="8" w:color="auto"/>
            </w:tcBorders>
            <w:shd w:val="clear" w:color="auto" w:fill="CCF0FC"/>
          </w:tcPr>
          <w:p>
            <w:pPr>
              <w:spacing w:after="0"/>
              <w:rPr>
                <w:sz w:val="19"/>
                <w:szCs w:val="19"/>
                <w:color w:val="auto"/>
              </w:rPr>
            </w:pPr>
          </w:p>
        </w:tc>
        <w:tc>
          <w:tcPr>
            <w:tcW w:w="106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6"/>
                <w:szCs w:val="16"/>
                <w:color w:val="auto"/>
              </w:rPr>
              <w:t>(0.5 )</w:t>
            </w:r>
          </w:p>
        </w:tc>
      </w:tr>
      <w:tr>
        <w:trPr>
          <w:trHeight w:val="207"/>
        </w:trPr>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r>
      <w:tr>
        <w:trPr>
          <w:trHeight w:val="20"/>
        </w:trPr>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34"/>
        </w:trPr>
        <w:tc>
          <w:tcPr>
            <w:tcW w:w="8760" w:type="dxa"/>
            <w:vAlign w:val="bottom"/>
            <w:gridSpan w:val="16"/>
          </w:tcPr>
          <w:p>
            <w:pPr>
              <w:spacing w:after="0"/>
              <w:rPr>
                <w:sz w:val="20"/>
                <w:szCs w:val="20"/>
                <w:color w:val="auto"/>
              </w:rPr>
            </w:pPr>
            <w:r>
              <w:rPr>
                <w:rFonts w:ascii="Arial" w:cs="Arial" w:eastAsia="Arial" w:hAnsi="Arial"/>
                <w:sz w:val="16"/>
                <w:szCs w:val="16"/>
                <w:color w:val="auto"/>
              </w:rPr>
              <w:t>Operations and maintenance expense decreased primarily due to $2.4 million of lower outside services 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2160" w:type="dxa"/>
            <w:vAlign w:val="bottom"/>
            <w:gridSpan w:val="3"/>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58"/>
        </w:trPr>
        <w:tc>
          <w:tcPr>
            <w:tcW w:w="6260" w:type="dxa"/>
            <w:vAlign w:val="bottom"/>
            <w:gridSpan w:val="9"/>
          </w:tcPr>
          <w:p>
            <w:pPr>
              <w:spacing w:after="0"/>
              <w:rPr>
                <w:sz w:val="20"/>
                <w:szCs w:val="20"/>
                <w:color w:val="auto"/>
              </w:rPr>
            </w:pPr>
            <w:r>
              <w:rPr>
                <w:rFonts w:ascii="Arial" w:cs="Arial" w:eastAsia="Arial" w:hAnsi="Arial"/>
                <w:sz w:val="16"/>
                <w:szCs w:val="16"/>
                <w:color w:val="auto"/>
              </w:rPr>
              <w:t>Depreciation and amortization was comparable to the same period in the prior year.</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2160" w:type="dxa"/>
            <w:vAlign w:val="bottom"/>
            <w:gridSpan w:val="3"/>
            <w:shd w:val="clear" w:color="auto" w:fill="000000"/>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58"/>
        </w:trPr>
        <w:tc>
          <w:tcPr>
            <w:tcW w:w="7800" w:type="dxa"/>
            <w:vAlign w:val="bottom"/>
            <w:gridSpan w:val="13"/>
          </w:tcPr>
          <w:p>
            <w:pPr>
              <w:spacing w:after="0"/>
              <w:rPr>
                <w:sz w:val="20"/>
                <w:szCs w:val="20"/>
                <w:color w:val="auto"/>
              </w:rPr>
            </w:pPr>
            <w:r>
              <w:rPr>
                <w:rFonts w:ascii="Arial" w:cs="Arial" w:eastAsia="Arial" w:hAnsi="Arial"/>
                <w:sz w:val="16"/>
                <w:szCs w:val="16"/>
                <w:color w:val="auto"/>
              </w:rPr>
              <w:t>Nine Months Ended September 30, 2023, Compared to the Nine Months Ended September 30, 2022:</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8"/>
        </w:trPr>
        <w:tc>
          <w:tcPr>
            <w:tcW w:w="4120" w:type="dxa"/>
            <w:vAlign w:val="bottom"/>
            <w:tcBorders>
              <w:top w:val="single" w:sz="8" w:color="auto"/>
            </w:tcBorders>
            <w:gridSpan w:val="6"/>
          </w:tcPr>
          <w:p>
            <w:pPr>
              <w:spacing w:after="0"/>
              <w:rPr>
                <w:sz w:val="20"/>
                <w:szCs w:val="20"/>
                <w:color w:val="auto"/>
              </w:rPr>
            </w:pPr>
            <w:r>
              <w:rPr>
                <w:rFonts w:ascii="Arial" w:cs="Arial" w:eastAsia="Arial" w:hAnsi="Arial"/>
                <w:sz w:val="16"/>
                <w:szCs w:val="16"/>
                <w:color w:val="auto"/>
              </w:rPr>
              <w:t>Gas Utility margin decreased as a result of the following:</w:t>
            </w:r>
          </w:p>
        </w:tc>
        <w:tc>
          <w:tcPr>
            <w:tcW w:w="8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6"/>
        </w:trPr>
        <w:tc>
          <w:tcPr>
            <w:tcW w:w="12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color w:val="auto"/>
              </w:rPr>
              <w:t>(in millions)</w:t>
            </w:r>
          </w:p>
        </w:tc>
      </w:tr>
      <w:tr>
        <w:trPr>
          <w:trHeight w:val="215"/>
        </w:trPr>
        <w:tc>
          <w:tcPr>
            <w:tcW w:w="4120" w:type="dxa"/>
            <w:vAlign w:val="bottom"/>
            <w:gridSpan w:val="6"/>
            <w:shd w:val="clear" w:color="auto" w:fill="CCF0FC"/>
          </w:tcPr>
          <w:p>
            <w:pPr>
              <w:ind w:left="20"/>
              <w:spacing w:after="0" w:line="216" w:lineRule="exact"/>
              <w:rPr>
                <w:sz w:val="20"/>
                <w:szCs w:val="20"/>
                <w:color w:val="auto"/>
              </w:rPr>
            </w:pPr>
            <w:r>
              <w:rPr>
                <w:rFonts w:ascii="Arial" w:cs="Arial" w:eastAsia="Arial" w:hAnsi="Arial"/>
                <w:sz w:val="16"/>
                <w:szCs w:val="16"/>
                <w:color w:val="auto"/>
              </w:rPr>
              <w:t xml:space="preserve">Prior year true-up of Winter Storm Uri carrying costs </w:t>
            </w:r>
            <w:r>
              <w:rPr>
                <w:rFonts w:ascii="Arial" w:cs="Arial" w:eastAsia="Arial" w:hAnsi="Arial"/>
                <w:sz w:val="21"/>
                <w:szCs w:val="21"/>
                <w:color w:val="auto"/>
                <w:vertAlign w:val="superscript"/>
              </w:rPr>
              <w:t>(a)</w:t>
            </w:r>
          </w:p>
        </w:tc>
        <w:tc>
          <w:tcPr>
            <w:tcW w:w="880" w:type="dxa"/>
            <w:vAlign w:val="bottom"/>
            <w:shd w:val="clear" w:color="auto" w:fill="CCF0FC"/>
          </w:tcPr>
          <w:p>
            <w:pPr>
              <w:spacing w:after="0"/>
              <w:rPr>
                <w:sz w:val="18"/>
                <w:szCs w:val="18"/>
                <w:color w:val="auto"/>
              </w:rPr>
            </w:pPr>
          </w:p>
        </w:tc>
        <w:tc>
          <w:tcPr>
            <w:tcW w:w="300" w:type="dxa"/>
            <w:vAlign w:val="bottom"/>
            <w:shd w:val="clear" w:color="auto" w:fill="CCF0FC"/>
          </w:tcPr>
          <w:p>
            <w:pPr>
              <w:spacing w:after="0"/>
              <w:rPr>
                <w:sz w:val="18"/>
                <w:szCs w:val="18"/>
                <w:color w:val="auto"/>
              </w:rPr>
            </w:pPr>
          </w:p>
        </w:tc>
        <w:tc>
          <w:tcPr>
            <w:tcW w:w="960" w:type="dxa"/>
            <w:vAlign w:val="bottom"/>
            <w:shd w:val="clear" w:color="auto" w:fill="CCF0FC"/>
          </w:tcPr>
          <w:p>
            <w:pPr>
              <w:spacing w:after="0"/>
              <w:rPr>
                <w:sz w:val="18"/>
                <w:szCs w:val="18"/>
                <w:color w:val="auto"/>
              </w:rPr>
            </w:pPr>
          </w:p>
        </w:tc>
        <w:tc>
          <w:tcPr>
            <w:tcW w:w="240" w:type="dxa"/>
            <w:vAlign w:val="bottom"/>
            <w:shd w:val="clear" w:color="auto" w:fill="CCF0FC"/>
          </w:tcPr>
          <w:p>
            <w:pPr>
              <w:spacing w:after="0"/>
              <w:rPr>
                <w:sz w:val="18"/>
                <w:szCs w:val="18"/>
                <w:color w:val="auto"/>
              </w:rPr>
            </w:pPr>
          </w:p>
        </w:tc>
        <w:tc>
          <w:tcPr>
            <w:tcW w:w="760" w:type="dxa"/>
            <w:vAlign w:val="bottom"/>
            <w:shd w:val="clear" w:color="auto" w:fill="CCF0FC"/>
          </w:tcPr>
          <w:p>
            <w:pPr>
              <w:spacing w:after="0"/>
              <w:rPr>
                <w:sz w:val="18"/>
                <w:szCs w:val="18"/>
                <w:color w:val="auto"/>
              </w:rPr>
            </w:pPr>
          </w:p>
        </w:tc>
        <w:tc>
          <w:tcPr>
            <w:tcW w:w="180" w:type="dxa"/>
            <w:vAlign w:val="bottom"/>
            <w:shd w:val="clear" w:color="auto" w:fill="CCF0FC"/>
          </w:tcPr>
          <w:p>
            <w:pPr>
              <w:spacing w:after="0"/>
              <w:rPr>
                <w:sz w:val="18"/>
                <w:szCs w:val="18"/>
                <w:color w:val="auto"/>
              </w:rPr>
            </w:pPr>
          </w:p>
        </w:tc>
        <w:tc>
          <w:tcPr>
            <w:tcW w:w="360" w:type="dxa"/>
            <w:vAlign w:val="bottom"/>
            <w:shd w:val="clear" w:color="auto" w:fill="CCF0FC"/>
          </w:tcPr>
          <w:p>
            <w:pPr>
              <w:spacing w:after="0"/>
              <w:rPr>
                <w:sz w:val="18"/>
                <w:szCs w:val="18"/>
                <w:color w:val="auto"/>
              </w:rPr>
            </w:pPr>
          </w:p>
        </w:tc>
        <w:tc>
          <w:tcPr>
            <w:tcW w:w="960" w:type="dxa"/>
            <w:vAlign w:val="bottom"/>
            <w:gridSpan w:val="3"/>
            <w:shd w:val="clear" w:color="auto" w:fill="CCF0FC"/>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F0FC"/>
          </w:tcPr>
          <w:p>
            <w:pPr>
              <w:spacing w:after="0"/>
              <w:rPr>
                <w:sz w:val="18"/>
                <w:szCs w:val="18"/>
                <w:color w:val="auto"/>
              </w:rPr>
            </w:pPr>
          </w:p>
        </w:tc>
        <w:tc>
          <w:tcPr>
            <w:tcW w:w="940" w:type="dxa"/>
            <w:vAlign w:val="bottom"/>
            <w:shd w:val="clear" w:color="auto" w:fill="CCF0FC"/>
          </w:tcPr>
          <w:p>
            <w:pPr>
              <w:spacing w:after="0"/>
              <w:rPr>
                <w:sz w:val="18"/>
                <w:szCs w:val="18"/>
                <w:color w:val="auto"/>
              </w:rPr>
            </w:pPr>
          </w:p>
        </w:tc>
        <w:tc>
          <w:tcPr>
            <w:tcW w:w="220" w:type="dxa"/>
            <w:vAlign w:val="bottom"/>
            <w:shd w:val="clear" w:color="auto" w:fill="CCF0FC"/>
          </w:tcPr>
          <w:p>
            <w:pPr>
              <w:spacing w:after="0"/>
              <w:rPr>
                <w:sz w:val="18"/>
                <w:szCs w:val="18"/>
                <w:color w:val="auto"/>
              </w:rPr>
            </w:pPr>
          </w:p>
        </w:tc>
        <w:tc>
          <w:tcPr>
            <w:tcW w:w="1060" w:type="dxa"/>
            <w:vAlign w:val="bottom"/>
            <w:shd w:val="clear" w:color="auto" w:fill="CCF0FC"/>
          </w:tcPr>
          <w:p>
            <w:pPr>
              <w:jc w:val="right"/>
              <w:spacing w:after="0"/>
              <w:rPr>
                <w:sz w:val="20"/>
                <w:szCs w:val="20"/>
                <w:color w:val="auto"/>
              </w:rPr>
            </w:pPr>
            <w:r>
              <w:rPr>
                <w:rFonts w:ascii="Arial" w:cs="Arial" w:eastAsia="Arial" w:hAnsi="Arial"/>
                <w:sz w:val="16"/>
                <w:szCs w:val="16"/>
                <w:color w:val="auto"/>
              </w:rPr>
              <w:t>(10.3 )</w:t>
            </w:r>
          </w:p>
        </w:tc>
      </w:tr>
      <w:tr>
        <w:trPr>
          <w:trHeight w:val="213"/>
        </w:trPr>
        <w:tc>
          <w:tcPr>
            <w:tcW w:w="5000" w:type="dxa"/>
            <w:vAlign w:val="bottom"/>
            <w:gridSpan w:val="7"/>
          </w:tcPr>
          <w:p>
            <w:pPr>
              <w:ind w:left="20"/>
              <w:spacing w:after="0"/>
              <w:rPr>
                <w:sz w:val="20"/>
                <w:szCs w:val="20"/>
                <w:color w:val="auto"/>
              </w:rPr>
            </w:pPr>
            <w:r>
              <w:rPr>
                <w:rFonts w:ascii="Arial" w:cs="Arial" w:eastAsia="Arial" w:hAnsi="Arial"/>
                <w:sz w:val="16"/>
                <w:szCs w:val="16"/>
                <w:color w:val="auto"/>
              </w:rPr>
              <w:t>Mark-to-market on non-utility natural gas commodity contracts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19"/>
        </w:trPr>
        <w:tc>
          <w:tcPr>
            <w:tcW w:w="3780" w:type="dxa"/>
            <w:vAlign w:val="bottom"/>
            <w:gridSpan w:val="5"/>
            <w:shd w:val="clear" w:color="auto" w:fill="CCF0FC"/>
          </w:tcPr>
          <w:p>
            <w:pPr>
              <w:ind w:left="20"/>
              <w:spacing w:after="0"/>
              <w:rPr>
                <w:sz w:val="20"/>
                <w:szCs w:val="20"/>
                <w:color w:val="auto"/>
              </w:rPr>
            </w:pPr>
            <w:r>
              <w:rPr>
                <w:rFonts w:ascii="Arial" w:cs="Arial" w:eastAsia="Arial" w:hAnsi="Arial"/>
                <w:sz w:val="16"/>
                <w:szCs w:val="16"/>
                <w:color w:val="auto"/>
              </w:rPr>
              <w:t>Weather</w:t>
            </w:r>
          </w:p>
        </w:tc>
        <w:tc>
          <w:tcPr>
            <w:tcW w:w="340" w:type="dxa"/>
            <w:vAlign w:val="bottom"/>
            <w:shd w:val="clear" w:color="auto" w:fill="CCF0FC"/>
          </w:tcPr>
          <w:p>
            <w:pPr>
              <w:spacing w:after="0"/>
              <w:rPr>
                <w:sz w:val="19"/>
                <w:szCs w:val="19"/>
                <w:color w:val="auto"/>
              </w:rPr>
            </w:pPr>
          </w:p>
        </w:tc>
        <w:tc>
          <w:tcPr>
            <w:tcW w:w="880" w:type="dxa"/>
            <w:vAlign w:val="bottom"/>
            <w:shd w:val="clear" w:color="auto" w:fill="CCF0FC"/>
          </w:tcPr>
          <w:p>
            <w:pPr>
              <w:spacing w:after="0"/>
              <w:rPr>
                <w:sz w:val="19"/>
                <w:szCs w:val="19"/>
                <w:color w:val="auto"/>
              </w:rPr>
            </w:pPr>
          </w:p>
        </w:tc>
        <w:tc>
          <w:tcPr>
            <w:tcW w:w="300" w:type="dxa"/>
            <w:vAlign w:val="bottom"/>
            <w:shd w:val="clear" w:color="auto" w:fill="CCF0FC"/>
          </w:tcPr>
          <w:p>
            <w:pPr>
              <w:spacing w:after="0"/>
              <w:rPr>
                <w:sz w:val="19"/>
                <w:szCs w:val="19"/>
                <w:color w:val="auto"/>
              </w:rPr>
            </w:pPr>
          </w:p>
        </w:tc>
        <w:tc>
          <w:tcPr>
            <w:tcW w:w="960" w:type="dxa"/>
            <w:vAlign w:val="bottom"/>
            <w:shd w:val="clear" w:color="auto" w:fill="CCF0FC"/>
          </w:tcPr>
          <w:p>
            <w:pPr>
              <w:spacing w:after="0"/>
              <w:rPr>
                <w:sz w:val="19"/>
                <w:szCs w:val="19"/>
                <w:color w:val="auto"/>
              </w:rPr>
            </w:pPr>
          </w:p>
        </w:tc>
        <w:tc>
          <w:tcPr>
            <w:tcW w:w="240" w:type="dxa"/>
            <w:vAlign w:val="bottom"/>
            <w:shd w:val="clear" w:color="auto" w:fill="CCF0FC"/>
          </w:tcPr>
          <w:p>
            <w:pPr>
              <w:spacing w:after="0"/>
              <w:rPr>
                <w:sz w:val="19"/>
                <w:szCs w:val="19"/>
                <w:color w:val="auto"/>
              </w:rPr>
            </w:pPr>
          </w:p>
        </w:tc>
        <w:tc>
          <w:tcPr>
            <w:tcW w:w="760" w:type="dxa"/>
            <w:vAlign w:val="bottom"/>
            <w:shd w:val="clear" w:color="auto" w:fill="CCF0FC"/>
          </w:tcPr>
          <w:p>
            <w:pPr>
              <w:spacing w:after="0"/>
              <w:rPr>
                <w:sz w:val="19"/>
                <w:szCs w:val="19"/>
                <w:color w:val="auto"/>
              </w:rPr>
            </w:pPr>
          </w:p>
        </w:tc>
        <w:tc>
          <w:tcPr>
            <w:tcW w:w="180" w:type="dxa"/>
            <w:vAlign w:val="bottom"/>
            <w:shd w:val="clear" w:color="auto" w:fill="CCF0FC"/>
          </w:tcPr>
          <w:p>
            <w:pPr>
              <w:spacing w:after="0"/>
              <w:rPr>
                <w:sz w:val="19"/>
                <w:szCs w:val="19"/>
                <w:color w:val="auto"/>
              </w:rPr>
            </w:pPr>
          </w:p>
        </w:tc>
        <w:tc>
          <w:tcPr>
            <w:tcW w:w="360" w:type="dxa"/>
            <w:vAlign w:val="bottom"/>
            <w:shd w:val="clear" w:color="auto" w:fill="CCF0FC"/>
          </w:tcPr>
          <w:p>
            <w:pPr>
              <w:spacing w:after="0"/>
              <w:rPr>
                <w:sz w:val="19"/>
                <w:szCs w:val="19"/>
                <w:color w:val="auto"/>
              </w:rPr>
            </w:pPr>
          </w:p>
        </w:tc>
        <w:tc>
          <w:tcPr>
            <w:tcW w:w="800" w:type="dxa"/>
            <w:vAlign w:val="bottom"/>
            <w:shd w:val="clear" w:color="auto" w:fill="CCF0FC"/>
          </w:tcPr>
          <w:p>
            <w:pPr>
              <w:spacing w:after="0"/>
              <w:rPr>
                <w:sz w:val="19"/>
                <w:szCs w:val="19"/>
                <w:color w:val="auto"/>
              </w:rPr>
            </w:pPr>
          </w:p>
        </w:tc>
        <w:tc>
          <w:tcPr>
            <w:tcW w:w="20" w:type="dxa"/>
            <w:vAlign w:val="bottom"/>
            <w:shd w:val="clear" w:color="auto" w:fill="CCF0FC"/>
          </w:tcPr>
          <w:p>
            <w:pPr>
              <w:spacing w:after="0"/>
              <w:rPr>
                <w:sz w:val="19"/>
                <w:szCs w:val="19"/>
                <w:color w:val="auto"/>
              </w:rPr>
            </w:pPr>
          </w:p>
        </w:tc>
        <w:tc>
          <w:tcPr>
            <w:tcW w:w="140" w:type="dxa"/>
            <w:vAlign w:val="bottom"/>
            <w:shd w:val="clear" w:color="auto" w:fill="CCF0FC"/>
          </w:tcPr>
          <w:p>
            <w:pPr>
              <w:spacing w:after="0"/>
              <w:rPr>
                <w:sz w:val="19"/>
                <w:szCs w:val="19"/>
                <w:color w:val="auto"/>
              </w:rPr>
            </w:pPr>
          </w:p>
        </w:tc>
        <w:tc>
          <w:tcPr>
            <w:tcW w:w="260" w:type="dxa"/>
            <w:vAlign w:val="bottom"/>
            <w:shd w:val="clear" w:color="auto" w:fill="CCF0FC"/>
          </w:tcPr>
          <w:p>
            <w:pPr>
              <w:spacing w:after="0"/>
              <w:rPr>
                <w:sz w:val="19"/>
                <w:szCs w:val="19"/>
                <w:color w:val="auto"/>
              </w:rPr>
            </w:pPr>
          </w:p>
        </w:tc>
        <w:tc>
          <w:tcPr>
            <w:tcW w:w="940" w:type="dxa"/>
            <w:vAlign w:val="bottom"/>
            <w:shd w:val="clear" w:color="auto" w:fill="CCF0FC"/>
          </w:tcPr>
          <w:p>
            <w:pPr>
              <w:spacing w:after="0"/>
              <w:rPr>
                <w:sz w:val="19"/>
                <w:szCs w:val="19"/>
                <w:color w:val="auto"/>
              </w:rPr>
            </w:pPr>
          </w:p>
        </w:tc>
        <w:tc>
          <w:tcPr>
            <w:tcW w:w="220" w:type="dxa"/>
            <w:vAlign w:val="bottom"/>
            <w:shd w:val="clear" w:color="auto" w:fill="CCF0FC"/>
          </w:tcPr>
          <w:p>
            <w:pPr>
              <w:spacing w:after="0"/>
              <w:rPr>
                <w:sz w:val="19"/>
                <w:szCs w:val="19"/>
                <w:color w:val="auto"/>
              </w:rPr>
            </w:pPr>
          </w:p>
        </w:tc>
        <w:tc>
          <w:tcPr>
            <w:tcW w:w="1060" w:type="dxa"/>
            <w:vAlign w:val="bottom"/>
            <w:shd w:val="clear" w:color="auto" w:fill="CCF0FC"/>
          </w:tcPr>
          <w:p>
            <w:pPr>
              <w:jc w:val="right"/>
              <w:spacing w:after="0"/>
              <w:rPr>
                <w:sz w:val="20"/>
                <w:szCs w:val="20"/>
                <w:color w:val="auto"/>
              </w:rPr>
            </w:pPr>
            <w:r>
              <w:rPr>
                <w:rFonts w:ascii="Arial" w:cs="Arial" w:eastAsia="Arial" w:hAnsi="Arial"/>
                <w:sz w:val="16"/>
                <w:szCs w:val="16"/>
                <w:color w:val="auto"/>
              </w:rPr>
              <w:t>(4.3 )</w:t>
            </w:r>
          </w:p>
        </w:tc>
      </w:tr>
      <w:tr>
        <w:trPr>
          <w:trHeight w:val="213"/>
        </w:trPr>
        <w:tc>
          <w:tcPr>
            <w:tcW w:w="3780" w:type="dxa"/>
            <w:vAlign w:val="bottom"/>
            <w:gridSpan w:val="5"/>
          </w:tcPr>
          <w:p>
            <w:pPr>
              <w:ind w:left="20"/>
              <w:spacing w:after="0"/>
              <w:rPr>
                <w:sz w:val="20"/>
                <w:szCs w:val="20"/>
                <w:color w:val="auto"/>
              </w:rPr>
            </w:pPr>
            <w:r>
              <w:rPr>
                <w:rFonts w:ascii="Arial" w:cs="Arial" w:eastAsia="Arial" w:hAnsi="Arial"/>
                <w:sz w:val="16"/>
                <w:szCs w:val="16"/>
                <w:color w:val="auto"/>
              </w:rPr>
              <w:t>New rates and rider recovery</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10.3</w:t>
            </w:r>
          </w:p>
        </w:tc>
      </w:tr>
      <w:tr>
        <w:trPr>
          <w:trHeight w:val="219"/>
        </w:trPr>
        <w:tc>
          <w:tcPr>
            <w:tcW w:w="3780" w:type="dxa"/>
            <w:vAlign w:val="bottom"/>
            <w:gridSpan w:val="5"/>
            <w:shd w:val="clear" w:color="auto" w:fill="CCF0FC"/>
          </w:tcPr>
          <w:p>
            <w:pPr>
              <w:ind w:left="20"/>
              <w:spacing w:after="0"/>
              <w:rPr>
                <w:sz w:val="20"/>
                <w:szCs w:val="20"/>
                <w:color w:val="auto"/>
              </w:rPr>
            </w:pPr>
            <w:r>
              <w:rPr>
                <w:rFonts w:ascii="Arial" w:cs="Arial" w:eastAsia="Arial" w:hAnsi="Arial"/>
                <w:sz w:val="16"/>
                <w:szCs w:val="16"/>
                <w:color w:val="auto"/>
              </w:rPr>
              <w:t>Retail customer growth and demand</w:t>
            </w:r>
          </w:p>
        </w:tc>
        <w:tc>
          <w:tcPr>
            <w:tcW w:w="340" w:type="dxa"/>
            <w:vAlign w:val="bottom"/>
            <w:shd w:val="clear" w:color="auto" w:fill="CCF0FC"/>
          </w:tcPr>
          <w:p>
            <w:pPr>
              <w:spacing w:after="0"/>
              <w:rPr>
                <w:sz w:val="19"/>
                <w:szCs w:val="19"/>
                <w:color w:val="auto"/>
              </w:rPr>
            </w:pPr>
          </w:p>
        </w:tc>
        <w:tc>
          <w:tcPr>
            <w:tcW w:w="880" w:type="dxa"/>
            <w:vAlign w:val="bottom"/>
            <w:shd w:val="clear" w:color="auto" w:fill="CCF0FC"/>
          </w:tcPr>
          <w:p>
            <w:pPr>
              <w:spacing w:after="0"/>
              <w:rPr>
                <w:sz w:val="19"/>
                <w:szCs w:val="19"/>
                <w:color w:val="auto"/>
              </w:rPr>
            </w:pPr>
          </w:p>
        </w:tc>
        <w:tc>
          <w:tcPr>
            <w:tcW w:w="300" w:type="dxa"/>
            <w:vAlign w:val="bottom"/>
            <w:shd w:val="clear" w:color="auto" w:fill="CCF0FC"/>
          </w:tcPr>
          <w:p>
            <w:pPr>
              <w:spacing w:after="0"/>
              <w:rPr>
                <w:sz w:val="19"/>
                <w:szCs w:val="19"/>
                <w:color w:val="auto"/>
              </w:rPr>
            </w:pPr>
          </w:p>
        </w:tc>
        <w:tc>
          <w:tcPr>
            <w:tcW w:w="960" w:type="dxa"/>
            <w:vAlign w:val="bottom"/>
            <w:shd w:val="clear" w:color="auto" w:fill="CCF0FC"/>
          </w:tcPr>
          <w:p>
            <w:pPr>
              <w:spacing w:after="0"/>
              <w:rPr>
                <w:sz w:val="19"/>
                <w:szCs w:val="19"/>
                <w:color w:val="auto"/>
              </w:rPr>
            </w:pPr>
          </w:p>
        </w:tc>
        <w:tc>
          <w:tcPr>
            <w:tcW w:w="240" w:type="dxa"/>
            <w:vAlign w:val="bottom"/>
            <w:shd w:val="clear" w:color="auto" w:fill="CCF0FC"/>
          </w:tcPr>
          <w:p>
            <w:pPr>
              <w:spacing w:after="0"/>
              <w:rPr>
                <w:sz w:val="19"/>
                <w:szCs w:val="19"/>
                <w:color w:val="auto"/>
              </w:rPr>
            </w:pPr>
          </w:p>
        </w:tc>
        <w:tc>
          <w:tcPr>
            <w:tcW w:w="760" w:type="dxa"/>
            <w:vAlign w:val="bottom"/>
            <w:shd w:val="clear" w:color="auto" w:fill="CCF0FC"/>
          </w:tcPr>
          <w:p>
            <w:pPr>
              <w:spacing w:after="0"/>
              <w:rPr>
                <w:sz w:val="19"/>
                <w:szCs w:val="19"/>
                <w:color w:val="auto"/>
              </w:rPr>
            </w:pPr>
          </w:p>
        </w:tc>
        <w:tc>
          <w:tcPr>
            <w:tcW w:w="180" w:type="dxa"/>
            <w:vAlign w:val="bottom"/>
            <w:shd w:val="clear" w:color="auto" w:fill="CCF0FC"/>
          </w:tcPr>
          <w:p>
            <w:pPr>
              <w:spacing w:after="0"/>
              <w:rPr>
                <w:sz w:val="19"/>
                <w:szCs w:val="19"/>
                <w:color w:val="auto"/>
              </w:rPr>
            </w:pPr>
          </w:p>
        </w:tc>
        <w:tc>
          <w:tcPr>
            <w:tcW w:w="360" w:type="dxa"/>
            <w:vAlign w:val="bottom"/>
            <w:shd w:val="clear" w:color="auto" w:fill="CCF0FC"/>
          </w:tcPr>
          <w:p>
            <w:pPr>
              <w:spacing w:after="0"/>
              <w:rPr>
                <w:sz w:val="19"/>
                <w:szCs w:val="19"/>
                <w:color w:val="auto"/>
              </w:rPr>
            </w:pPr>
          </w:p>
        </w:tc>
        <w:tc>
          <w:tcPr>
            <w:tcW w:w="800" w:type="dxa"/>
            <w:vAlign w:val="bottom"/>
            <w:shd w:val="clear" w:color="auto" w:fill="CCF0FC"/>
          </w:tcPr>
          <w:p>
            <w:pPr>
              <w:spacing w:after="0"/>
              <w:rPr>
                <w:sz w:val="19"/>
                <w:szCs w:val="19"/>
                <w:color w:val="auto"/>
              </w:rPr>
            </w:pPr>
          </w:p>
        </w:tc>
        <w:tc>
          <w:tcPr>
            <w:tcW w:w="20" w:type="dxa"/>
            <w:vAlign w:val="bottom"/>
            <w:shd w:val="clear" w:color="auto" w:fill="CCF0FC"/>
          </w:tcPr>
          <w:p>
            <w:pPr>
              <w:spacing w:after="0"/>
              <w:rPr>
                <w:sz w:val="19"/>
                <w:szCs w:val="19"/>
                <w:color w:val="auto"/>
              </w:rPr>
            </w:pPr>
          </w:p>
        </w:tc>
        <w:tc>
          <w:tcPr>
            <w:tcW w:w="140" w:type="dxa"/>
            <w:vAlign w:val="bottom"/>
            <w:shd w:val="clear" w:color="auto" w:fill="CCF0FC"/>
          </w:tcPr>
          <w:p>
            <w:pPr>
              <w:spacing w:after="0"/>
              <w:rPr>
                <w:sz w:val="19"/>
                <w:szCs w:val="19"/>
                <w:color w:val="auto"/>
              </w:rPr>
            </w:pPr>
          </w:p>
        </w:tc>
        <w:tc>
          <w:tcPr>
            <w:tcW w:w="260" w:type="dxa"/>
            <w:vAlign w:val="bottom"/>
            <w:shd w:val="clear" w:color="auto" w:fill="CCF0FC"/>
          </w:tcPr>
          <w:p>
            <w:pPr>
              <w:spacing w:after="0"/>
              <w:rPr>
                <w:sz w:val="19"/>
                <w:szCs w:val="19"/>
                <w:color w:val="auto"/>
              </w:rPr>
            </w:pPr>
          </w:p>
        </w:tc>
        <w:tc>
          <w:tcPr>
            <w:tcW w:w="940" w:type="dxa"/>
            <w:vAlign w:val="bottom"/>
            <w:shd w:val="clear" w:color="auto" w:fill="CCF0FC"/>
          </w:tcPr>
          <w:p>
            <w:pPr>
              <w:spacing w:after="0"/>
              <w:rPr>
                <w:sz w:val="19"/>
                <w:szCs w:val="19"/>
                <w:color w:val="auto"/>
              </w:rPr>
            </w:pPr>
          </w:p>
        </w:tc>
        <w:tc>
          <w:tcPr>
            <w:tcW w:w="220" w:type="dxa"/>
            <w:vAlign w:val="bottom"/>
            <w:shd w:val="clear" w:color="auto" w:fill="CCF0FC"/>
          </w:tcPr>
          <w:p>
            <w:pPr>
              <w:spacing w:after="0"/>
              <w:rPr>
                <w:sz w:val="19"/>
                <w:szCs w:val="19"/>
                <w:color w:val="auto"/>
              </w:rPr>
            </w:pPr>
          </w:p>
        </w:tc>
        <w:tc>
          <w:tcPr>
            <w:tcW w:w="1060" w:type="dxa"/>
            <w:vAlign w:val="bottom"/>
            <w:shd w:val="clear" w:color="auto" w:fill="CCF0FC"/>
          </w:tcPr>
          <w:p>
            <w:pPr>
              <w:jc w:val="right"/>
              <w:ind w:right="39"/>
              <w:spacing w:after="0"/>
              <w:rPr>
                <w:sz w:val="20"/>
                <w:szCs w:val="20"/>
                <w:color w:val="auto"/>
              </w:rPr>
            </w:pPr>
            <w:r>
              <w:rPr>
                <w:rFonts w:ascii="Arial" w:cs="Arial" w:eastAsia="Arial" w:hAnsi="Arial"/>
                <w:sz w:val="16"/>
                <w:szCs w:val="16"/>
                <w:color w:val="auto"/>
              </w:rPr>
              <w:t>7.1</w:t>
            </w:r>
          </w:p>
        </w:tc>
      </w:tr>
      <w:tr>
        <w:trPr>
          <w:trHeight w:val="216"/>
        </w:trPr>
        <w:tc>
          <w:tcPr>
            <w:tcW w:w="3780" w:type="dxa"/>
            <w:vAlign w:val="bottom"/>
            <w:gridSpan w:val="5"/>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r>
      <w:tr>
        <w:trPr>
          <w:trHeight w:val="246"/>
        </w:trPr>
        <w:tc>
          <w:tcPr>
            <w:tcW w:w="1280" w:type="dxa"/>
            <w:vAlign w:val="bottom"/>
            <w:shd w:val="clear" w:color="auto" w:fill="CCF0FC"/>
          </w:tcPr>
          <w:p>
            <w:pPr>
              <w:spacing w:after="0"/>
              <w:rPr>
                <w:sz w:val="21"/>
                <w:szCs w:val="21"/>
                <w:color w:val="auto"/>
              </w:rPr>
            </w:pPr>
          </w:p>
        </w:tc>
        <w:tc>
          <w:tcPr>
            <w:tcW w:w="380" w:type="dxa"/>
            <w:vAlign w:val="bottom"/>
            <w:shd w:val="clear" w:color="auto" w:fill="CCF0FC"/>
          </w:tcPr>
          <w:p>
            <w:pPr>
              <w:spacing w:after="0"/>
              <w:rPr>
                <w:sz w:val="21"/>
                <w:szCs w:val="21"/>
                <w:color w:val="auto"/>
              </w:rPr>
            </w:pPr>
          </w:p>
        </w:tc>
        <w:tc>
          <w:tcPr>
            <w:tcW w:w="500" w:type="dxa"/>
            <w:vAlign w:val="bottom"/>
            <w:shd w:val="clear" w:color="auto" w:fill="CCF0FC"/>
          </w:tcPr>
          <w:p>
            <w:pPr>
              <w:spacing w:after="0"/>
              <w:rPr>
                <w:sz w:val="21"/>
                <w:szCs w:val="21"/>
                <w:color w:val="auto"/>
              </w:rPr>
            </w:pPr>
          </w:p>
        </w:tc>
        <w:tc>
          <w:tcPr>
            <w:tcW w:w="580" w:type="dxa"/>
            <w:vAlign w:val="bottom"/>
            <w:shd w:val="clear" w:color="auto" w:fill="CCF0FC"/>
          </w:tcPr>
          <w:p>
            <w:pPr>
              <w:spacing w:after="0"/>
              <w:rPr>
                <w:sz w:val="21"/>
                <w:szCs w:val="21"/>
                <w:color w:val="auto"/>
              </w:rPr>
            </w:pPr>
          </w:p>
        </w:tc>
        <w:tc>
          <w:tcPr>
            <w:tcW w:w="1040" w:type="dxa"/>
            <w:vAlign w:val="bottom"/>
            <w:shd w:val="clear" w:color="auto" w:fill="CCF0FC"/>
          </w:tcPr>
          <w:p>
            <w:pPr>
              <w:spacing w:after="0"/>
              <w:rPr>
                <w:sz w:val="21"/>
                <w:szCs w:val="21"/>
                <w:color w:val="auto"/>
              </w:rPr>
            </w:pPr>
          </w:p>
        </w:tc>
        <w:tc>
          <w:tcPr>
            <w:tcW w:w="340" w:type="dxa"/>
            <w:vAlign w:val="bottom"/>
            <w:shd w:val="clear" w:color="auto" w:fill="CCF0FC"/>
          </w:tcPr>
          <w:p>
            <w:pPr>
              <w:spacing w:after="0"/>
              <w:rPr>
                <w:sz w:val="21"/>
                <w:szCs w:val="21"/>
                <w:color w:val="auto"/>
              </w:rPr>
            </w:pPr>
          </w:p>
        </w:tc>
        <w:tc>
          <w:tcPr>
            <w:tcW w:w="880" w:type="dxa"/>
            <w:vAlign w:val="bottom"/>
            <w:shd w:val="clear" w:color="auto" w:fill="CCF0FC"/>
          </w:tcPr>
          <w:p>
            <w:pPr>
              <w:spacing w:after="0"/>
              <w:rPr>
                <w:sz w:val="21"/>
                <w:szCs w:val="21"/>
                <w:color w:val="auto"/>
              </w:rPr>
            </w:pPr>
          </w:p>
        </w:tc>
        <w:tc>
          <w:tcPr>
            <w:tcW w:w="300" w:type="dxa"/>
            <w:vAlign w:val="bottom"/>
            <w:shd w:val="clear" w:color="auto" w:fill="CCF0FC"/>
          </w:tcPr>
          <w:p>
            <w:pPr>
              <w:spacing w:after="0"/>
              <w:rPr>
                <w:sz w:val="21"/>
                <w:szCs w:val="21"/>
                <w:color w:val="auto"/>
              </w:rPr>
            </w:pPr>
          </w:p>
        </w:tc>
        <w:tc>
          <w:tcPr>
            <w:tcW w:w="960" w:type="dxa"/>
            <w:vAlign w:val="bottom"/>
            <w:shd w:val="clear" w:color="auto" w:fill="CCF0FC"/>
          </w:tcPr>
          <w:p>
            <w:pPr>
              <w:spacing w:after="0"/>
              <w:rPr>
                <w:sz w:val="21"/>
                <w:szCs w:val="21"/>
                <w:color w:val="auto"/>
              </w:rPr>
            </w:pPr>
          </w:p>
        </w:tc>
        <w:tc>
          <w:tcPr>
            <w:tcW w:w="240" w:type="dxa"/>
            <w:vAlign w:val="bottom"/>
            <w:shd w:val="clear" w:color="auto" w:fill="CCF0FC"/>
          </w:tcPr>
          <w:p>
            <w:pPr>
              <w:spacing w:after="0"/>
              <w:rPr>
                <w:sz w:val="21"/>
                <w:szCs w:val="21"/>
                <w:color w:val="auto"/>
              </w:rPr>
            </w:pPr>
          </w:p>
        </w:tc>
        <w:tc>
          <w:tcPr>
            <w:tcW w:w="760" w:type="dxa"/>
            <w:vAlign w:val="bottom"/>
            <w:shd w:val="clear" w:color="auto" w:fill="CCF0FC"/>
          </w:tcPr>
          <w:p>
            <w:pPr>
              <w:spacing w:after="0"/>
              <w:rPr>
                <w:sz w:val="21"/>
                <w:szCs w:val="21"/>
                <w:color w:val="auto"/>
              </w:rPr>
            </w:pPr>
          </w:p>
        </w:tc>
        <w:tc>
          <w:tcPr>
            <w:tcW w:w="180" w:type="dxa"/>
            <w:vAlign w:val="bottom"/>
            <w:shd w:val="clear" w:color="auto" w:fill="CCF0FC"/>
          </w:tcPr>
          <w:p>
            <w:pPr>
              <w:spacing w:after="0"/>
              <w:rPr>
                <w:sz w:val="21"/>
                <w:szCs w:val="21"/>
                <w:color w:val="auto"/>
              </w:rPr>
            </w:pPr>
          </w:p>
        </w:tc>
        <w:tc>
          <w:tcPr>
            <w:tcW w:w="360" w:type="dxa"/>
            <w:vAlign w:val="bottom"/>
            <w:shd w:val="clear" w:color="auto" w:fill="CCF0FC"/>
          </w:tcPr>
          <w:p>
            <w:pPr>
              <w:spacing w:after="0"/>
              <w:rPr>
                <w:sz w:val="21"/>
                <w:szCs w:val="21"/>
                <w:color w:val="auto"/>
              </w:rPr>
            </w:pPr>
          </w:p>
        </w:tc>
        <w:tc>
          <w:tcPr>
            <w:tcW w:w="960" w:type="dxa"/>
            <w:vAlign w:val="bottom"/>
            <w:gridSpan w:val="3"/>
            <w:shd w:val="clear" w:color="auto" w:fill="CCF0FC"/>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F0FC"/>
          </w:tcPr>
          <w:p>
            <w:pPr>
              <w:spacing w:after="0"/>
              <w:rPr>
                <w:sz w:val="21"/>
                <w:szCs w:val="21"/>
                <w:color w:val="auto"/>
              </w:rPr>
            </w:pPr>
          </w:p>
        </w:tc>
        <w:tc>
          <w:tcPr>
            <w:tcW w:w="940" w:type="dxa"/>
            <w:vAlign w:val="bottom"/>
            <w:shd w:val="clear" w:color="auto" w:fill="CCF0FC"/>
          </w:tcPr>
          <w:p>
            <w:pPr>
              <w:spacing w:after="0"/>
              <w:rPr>
                <w:sz w:val="21"/>
                <w:szCs w:val="21"/>
                <w:color w:val="auto"/>
              </w:rPr>
            </w:pPr>
          </w:p>
        </w:tc>
        <w:tc>
          <w:tcPr>
            <w:tcW w:w="220" w:type="dxa"/>
            <w:vAlign w:val="bottom"/>
            <w:shd w:val="clear" w:color="auto" w:fill="CCF0FC"/>
          </w:tcPr>
          <w:p>
            <w:pPr>
              <w:spacing w:after="0"/>
              <w:rPr>
                <w:sz w:val="21"/>
                <w:szCs w:val="21"/>
                <w:color w:val="auto"/>
              </w:rPr>
            </w:pPr>
          </w:p>
        </w:tc>
        <w:tc>
          <w:tcPr>
            <w:tcW w:w="1060" w:type="dxa"/>
            <w:vAlign w:val="bottom"/>
            <w:shd w:val="clear" w:color="auto" w:fill="CCF0FC"/>
          </w:tcPr>
          <w:p>
            <w:pPr>
              <w:jc w:val="right"/>
              <w:spacing w:after="0"/>
              <w:rPr>
                <w:sz w:val="20"/>
                <w:szCs w:val="20"/>
                <w:color w:val="auto"/>
              </w:rPr>
            </w:pPr>
            <w:r>
              <w:rPr>
                <w:rFonts w:ascii="Arial" w:cs="Arial" w:eastAsia="Arial" w:hAnsi="Arial"/>
                <w:sz w:val="16"/>
                <w:szCs w:val="16"/>
                <w:color w:val="auto"/>
              </w:rPr>
              <w:t>(3.5 )</w:t>
            </w:r>
          </w:p>
        </w:tc>
      </w:tr>
      <w:tr>
        <w:trPr>
          <w:trHeight w:val="119"/>
        </w:trPr>
        <w:tc>
          <w:tcPr>
            <w:tcW w:w="1280" w:type="dxa"/>
            <w:vAlign w:val="bottom"/>
            <w:tcBorders>
              <w:top w:val="single" w:sz="8" w:color="CCF0FC"/>
              <w:bottom w:val="single" w:sz="8" w:color="auto"/>
            </w:tcBorders>
          </w:tcPr>
          <w:p>
            <w:pPr>
              <w:spacing w:after="0"/>
              <w:rPr>
                <w:sz w:val="10"/>
                <w:szCs w:val="10"/>
                <w:color w:val="auto"/>
              </w:rPr>
            </w:pPr>
          </w:p>
        </w:tc>
        <w:tc>
          <w:tcPr>
            <w:tcW w:w="380" w:type="dxa"/>
            <w:vAlign w:val="bottom"/>
            <w:tcBorders>
              <w:top w:val="single" w:sz="8" w:color="CCF0FC"/>
              <w:bottom w:val="single" w:sz="8" w:color="auto"/>
            </w:tcBorders>
          </w:tcPr>
          <w:p>
            <w:pPr>
              <w:spacing w:after="0"/>
              <w:rPr>
                <w:sz w:val="10"/>
                <w:szCs w:val="10"/>
                <w:color w:val="auto"/>
              </w:rPr>
            </w:pPr>
          </w:p>
        </w:tc>
        <w:tc>
          <w:tcPr>
            <w:tcW w:w="500" w:type="dxa"/>
            <w:vAlign w:val="bottom"/>
            <w:tcBorders>
              <w:top w:val="single" w:sz="8" w:color="CCF0FC"/>
            </w:tcBorders>
          </w:tcPr>
          <w:p>
            <w:pPr>
              <w:spacing w:after="0"/>
              <w:rPr>
                <w:sz w:val="10"/>
                <w:szCs w:val="10"/>
                <w:color w:val="auto"/>
              </w:rPr>
            </w:pPr>
          </w:p>
        </w:tc>
        <w:tc>
          <w:tcPr>
            <w:tcW w:w="580" w:type="dxa"/>
            <w:vAlign w:val="bottom"/>
            <w:tcBorders>
              <w:top w:val="single" w:sz="8" w:color="CCF0FC"/>
            </w:tcBorders>
          </w:tcPr>
          <w:p>
            <w:pPr>
              <w:spacing w:after="0"/>
              <w:rPr>
                <w:sz w:val="10"/>
                <w:szCs w:val="10"/>
                <w:color w:val="auto"/>
              </w:rPr>
            </w:pPr>
          </w:p>
        </w:tc>
        <w:tc>
          <w:tcPr>
            <w:tcW w:w="1040" w:type="dxa"/>
            <w:vAlign w:val="bottom"/>
            <w:tcBorders>
              <w:top w:val="single" w:sz="8" w:color="CCF0FC"/>
            </w:tcBorders>
          </w:tcPr>
          <w:p>
            <w:pPr>
              <w:spacing w:after="0"/>
              <w:rPr>
                <w:sz w:val="10"/>
                <w:szCs w:val="10"/>
                <w:color w:val="auto"/>
              </w:rPr>
            </w:pPr>
          </w:p>
        </w:tc>
        <w:tc>
          <w:tcPr>
            <w:tcW w:w="340" w:type="dxa"/>
            <w:vAlign w:val="bottom"/>
            <w:tcBorders>
              <w:top w:val="single" w:sz="8" w:color="CCF0FC"/>
            </w:tcBorders>
          </w:tcPr>
          <w:p>
            <w:pPr>
              <w:spacing w:after="0"/>
              <w:rPr>
                <w:sz w:val="10"/>
                <w:szCs w:val="10"/>
                <w:color w:val="auto"/>
              </w:rPr>
            </w:pPr>
          </w:p>
        </w:tc>
        <w:tc>
          <w:tcPr>
            <w:tcW w:w="880" w:type="dxa"/>
            <w:vAlign w:val="bottom"/>
            <w:tcBorders>
              <w:top w:val="single" w:sz="8" w:color="CCF0FC"/>
            </w:tcBorders>
          </w:tcPr>
          <w:p>
            <w:pPr>
              <w:spacing w:after="0"/>
              <w:rPr>
                <w:sz w:val="10"/>
                <w:szCs w:val="10"/>
                <w:color w:val="auto"/>
              </w:rPr>
            </w:pPr>
          </w:p>
        </w:tc>
        <w:tc>
          <w:tcPr>
            <w:tcW w:w="300" w:type="dxa"/>
            <w:vAlign w:val="bottom"/>
            <w:tcBorders>
              <w:top w:val="single" w:sz="8" w:color="CCF0FC"/>
            </w:tcBorders>
          </w:tcPr>
          <w:p>
            <w:pPr>
              <w:spacing w:after="0"/>
              <w:rPr>
                <w:sz w:val="10"/>
                <w:szCs w:val="10"/>
                <w:color w:val="auto"/>
              </w:rPr>
            </w:pPr>
          </w:p>
        </w:tc>
        <w:tc>
          <w:tcPr>
            <w:tcW w:w="960" w:type="dxa"/>
            <w:vAlign w:val="bottom"/>
            <w:tcBorders>
              <w:top w:val="single" w:sz="8" w:color="CCF0FC"/>
            </w:tcBorders>
          </w:tcPr>
          <w:p>
            <w:pPr>
              <w:spacing w:after="0"/>
              <w:rPr>
                <w:sz w:val="10"/>
                <w:szCs w:val="10"/>
                <w:color w:val="auto"/>
              </w:rPr>
            </w:pPr>
          </w:p>
        </w:tc>
        <w:tc>
          <w:tcPr>
            <w:tcW w:w="240" w:type="dxa"/>
            <w:vAlign w:val="bottom"/>
            <w:tcBorders>
              <w:top w:val="single" w:sz="8" w:color="CCF0FC"/>
            </w:tcBorders>
          </w:tcPr>
          <w:p>
            <w:pPr>
              <w:spacing w:after="0"/>
              <w:rPr>
                <w:sz w:val="10"/>
                <w:szCs w:val="10"/>
                <w:color w:val="auto"/>
              </w:rPr>
            </w:pPr>
          </w:p>
        </w:tc>
        <w:tc>
          <w:tcPr>
            <w:tcW w:w="760" w:type="dxa"/>
            <w:vAlign w:val="bottom"/>
            <w:tcBorders>
              <w:top w:val="single" w:sz="8" w:color="CCF0FC"/>
            </w:tcBorders>
          </w:tcPr>
          <w:p>
            <w:pPr>
              <w:spacing w:after="0"/>
              <w:rPr>
                <w:sz w:val="10"/>
                <w:szCs w:val="10"/>
                <w:color w:val="auto"/>
              </w:rPr>
            </w:pPr>
          </w:p>
        </w:tc>
        <w:tc>
          <w:tcPr>
            <w:tcW w:w="180" w:type="dxa"/>
            <w:vAlign w:val="bottom"/>
            <w:tcBorders>
              <w:top w:val="single" w:sz="8" w:color="CCF0FC"/>
            </w:tcBorders>
          </w:tcPr>
          <w:p>
            <w:pPr>
              <w:spacing w:after="0"/>
              <w:rPr>
                <w:sz w:val="10"/>
                <w:szCs w:val="10"/>
                <w:color w:val="auto"/>
              </w:rPr>
            </w:pPr>
          </w:p>
        </w:tc>
        <w:tc>
          <w:tcPr>
            <w:tcW w:w="360" w:type="dxa"/>
            <w:vAlign w:val="bottom"/>
            <w:tcBorders>
              <w:top w:val="single" w:sz="8" w:color="CCF0FC"/>
            </w:tcBorders>
          </w:tcPr>
          <w:p>
            <w:pPr>
              <w:spacing w:after="0"/>
              <w:rPr>
                <w:sz w:val="10"/>
                <w:szCs w:val="10"/>
                <w:color w:val="auto"/>
              </w:rPr>
            </w:pPr>
          </w:p>
        </w:tc>
        <w:tc>
          <w:tcPr>
            <w:tcW w:w="800" w:type="dxa"/>
            <w:vAlign w:val="bottom"/>
            <w:tcBorders>
              <w:top w:val="single" w:sz="8" w:color="CCF0FC"/>
            </w:tcBorders>
          </w:tcPr>
          <w:p>
            <w:pPr>
              <w:spacing w:after="0"/>
              <w:rPr>
                <w:sz w:val="10"/>
                <w:szCs w:val="10"/>
                <w:color w:val="auto"/>
              </w:rPr>
            </w:pPr>
          </w:p>
        </w:tc>
        <w:tc>
          <w:tcPr>
            <w:tcW w:w="20" w:type="dxa"/>
            <w:vAlign w:val="bottom"/>
            <w:tcBorders>
              <w:top w:val="single" w:sz="8" w:color="CC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r>
    </w:tbl>
    <w:p>
      <w:pPr>
        <w:spacing w:after="0" w:line="35" w:lineRule="exact"/>
        <w:rPr>
          <w:sz w:val="20"/>
          <w:szCs w:val="20"/>
          <w:color w:val="auto"/>
        </w:rPr>
      </w:pPr>
    </w:p>
    <w:p>
      <w:pPr>
        <w:ind w:left="520" w:right="220" w:hanging="512"/>
        <w:spacing w:after="0" w:line="273"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 certain jurisdictions, we have commission approval to recover carrying costs on Winter Storm Uri regulatory assets which offset increased interest expense. During the second quarter of 2022, we accrued a one-time, $10.3 million true-up of these carrying costs to reflect commission authorized rates.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$12.3 million of higher employee-related expenses.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was comparable to the same period in the prior year.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color w:val="auto"/>
              </w:rPr>
              <w:t>Revenue (in thousands)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Quantities Sold and Transported (Dth)</w:t>
            </w:r>
          </w:p>
        </w:tc>
        <w:tc>
          <w:tcPr>
            <w:tcW w:w="1060" w:type="dxa"/>
            <w:vAlign w:val="bottom"/>
            <w:tcBorders>
              <w:bottom w:val="single" w:sz="8" w:color="auto"/>
            </w:tcBorders>
          </w:tcPr>
          <w:p>
            <w:pPr>
              <w:spacing w:after="0"/>
              <w:rPr>
                <w:sz w:val="15"/>
                <w:szCs w:val="15"/>
                <w:color w:val="auto"/>
              </w:rPr>
            </w:pPr>
          </w:p>
        </w:tc>
      </w:tr>
      <w:tr>
        <w:trPr>
          <w:trHeight w:val="164"/>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right"/>
              <w:ind w:right="268"/>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1820" w:type="dxa"/>
            <w:vAlign w:val="bottom"/>
            <w:gridSpan w:val="3"/>
          </w:tcPr>
          <w:p>
            <w:pPr>
              <w:jc w:val="right"/>
              <w:ind w:right="348"/>
              <w:spacing w:after="0"/>
              <w:rPr>
                <w:sz w:val="20"/>
                <w:szCs w:val="20"/>
                <w:color w:val="auto"/>
              </w:rPr>
            </w:pPr>
            <w:r>
              <w:rPr>
                <w:rFonts w:ascii="Arial" w:cs="Arial" w:eastAsia="Arial" w:hAnsi="Arial"/>
                <w:sz w:val="14"/>
                <w:szCs w:val="14"/>
                <w:color w:val="auto"/>
              </w:rPr>
              <w:t>Nine Months Ended</w:t>
            </w:r>
          </w:p>
        </w:tc>
        <w:tc>
          <w:tcPr>
            <w:tcW w:w="2260" w:type="dxa"/>
            <w:vAlign w:val="bottom"/>
            <w:gridSpan w:val="2"/>
          </w:tcPr>
          <w:p>
            <w:pPr>
              <w:jc w:val="right"/>
              <w:ind w:right="28"/>
              <w:spacing w:after="0"/>
              <w:rPr>
                <w:sz w:val="20"/>
                <w:szCs w:val="20"/>
                <w:color w:val="auto"/>
              </w:rPr>
            </w:pPr>
            <w:r>
              <w:rPr>
                <w:rFonts w:ascii="Arial" w:cs="Arial" w:eastAsia="Arial" w:hAnsi="Arial"/>
                <w:sz w:val="14"/>
                <w:szCs w:val="14"/>
                <w:color w:val="auto"/>
              </w:rPr>
              <w:t>Three Months Ended September</w:t>
            </w: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2"/>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3"/>
          </w:tcPr>
          <w:p>
            <w:pPr>
              <w:jc w:val="right"/>
              <w:ind w:right="448"/>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5"/>
                <w:szCs w:val="15"/>
                <w:color w:val="auto"/>
              </w:rPr>
            </w:pPr>
          </w:p>
        </w:tc>
        <w:tc>
          <w:tcPr>
            <w:tcW w:w="1820" w:type="dxa"/>
            <w:vAlign w:val="bottom"/>
            <w:gridSpan w:val="3"/>
          </w:tcPr>
          <w:p>
            <w:pPr>
              <w:jc w:val="right"/>
              <w:ind w:right="488"/>
              <w:spacing w:after="0"/>
              <w:rPr>
                <w:sz w:val="20"/>
                <w:szCs w:val="20"/>
                <w:color w:val="auto"/>
              </w:rPr>
            </w:pPr>
            <w:r>
              <w:rPr>
                <w:rFonts w:ascii="Arial" w:cs="Arial" w:eastAsia="Arial" w:hAnsi="Arial"/>
                <w:sz w:val="14"/>
                <w:szCs w:val="14"/>
                <w:color w:val="auto"/>
              </w:rPr>
              <w:t>September 30,</w:t>
            </w:r>
          </w:p>
        </w:tc>
        <w:tc>
          <w:tcPr>
            <w:tcW w:w="2260" w:type="dxa"/>
            <w:vAlign w:val="bottom"/>
            <w:gridSpan w:val="2"/>
          </w:tcPr>
          <w:p>
            <w:pPr>
              <w:jc w:val="right"/>
              <w:ind w:right="968"/>
              <w:spacing w:after="0"/>
              <w:rPr>
                <w:sz w:val="20"/>
                <w:szCs w:val="20"/>
                <w:color w:val="auto"/>
              </w:rPr>
            </w:pPr>
            <w:r>
              <w:rPr>
                <w:rFonts w:ascii="Arial" w:cs="Arial" w:eastAsia="Arial" w:hAnsi="Arial"/>
                <w:sz w:val="14"/>
                <w:szCs w:val="14"/>
                <w:color w:val="auto"/>
              </w:rPr>
              <w:t>30,</w:t>
            </w:r>
          </w:p>
        </w:tc>
        <w:tc>
          <w:tcPr>
            <w:tcW w:w="2500" w:type="dxa"/>
            <w:vAlign w:val="bottom"/>
            <w:gridSpan w:val="2"/>
          </w:tcPr>
          <w:p>
            <w:pPr>
              <w:jc w:val="right"/>
              <w:ind w:right="88"/>
              <w:spacing w:after="0"/>
              <w:rPr>
                <w:sz w:val="20"/>
                <w:szCs w:val="20"/>
                <w:color w:val="auto"/>
              </w:rPr>
            </w:pPr>
            <w:r>
              <w:rPr>
                <w:rFonts w:ascii="Arial" w:cs="Arial" w:eastAsia="Arial" w:hAnsi="Arial"/>
                <w:sz w:val="14"/>
                <w:szCs w:val="14"/>
                <w:color w:val="auto"/>
              </w:rPr>
              <w:t>Nine Months Ended September 30,</w:t>
            </w:r>
          </w:p>
        </w:tc>
      </w:tr>
      <w:tr>
        <w:trPr>
          <w:trHeight w:val="188"/>
        </w:trPr>
        <w:tc>
          <w:tcPr>
            <w:tcW w:w="2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2022</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2022</w:t>
            </w: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2023</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2022</w:t>
            </w: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2023</w:t>
            </w: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2022</w:t>
            </w:r>
          </w:p>
        </w:tc>
      </w:tr>
      <w:tr>
        <w:trPr>
          <w:trHeight w:val="183"/>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Residential</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75,153</w:t>
            </w:r>
          </w:p>
        </w:tc>
        <w:tc>
          <w:tcPr>
            <w:tcW w:w="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85,398</w:t>
            </w:r>
          </w:p>
        </w:tc>
        <w:tc>
          <w:tcPr>
            <w:tcW w:w="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620,306</w:t>
            </w:r>
          </w:p>
        </w:tc>
        <w:tc>
          <w:tcPr>
            <w:tcW w:w="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604,568</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3,546,242</w:t>
            </w:r>
          </w:p>
        </w:tc>
        <w:tc>
          <w:tcPr>
            <w:tcW w:w="1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3,572,971</w:t>
            </w:r>
          </w:p>
        </w:tc>
        <w:tc>
          <w:tcPr>
            <w:tcW w:w="144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41,078,623</w:t>
            </w:r>
          </w:p>
        </w:tc>
        <w:tc>
          <w:tcPr>
            <w:tcW w:w="10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43,910,976</w:t>
            </w:r>
          </w:p>
        </w:tc>
      </w:tr>
      <w:tr>
        <w:trPr>
          <w:trHeight w:val="189"/>
        </w:trPr>
        <w:tc>
          <w:tcPr>
            <w:tcW w:w="250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28,629</w:t>
            </w:r>
          </w:p>
        </w:tc>
        <w:tc>
          <w:tcPr>
            <w:tcW w:w="2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36,819</w:t>
            </w:r>
          </w:p>
        </w:tc>
        <w:tc>
          <w:tcPr>
            <w:tcW w:w="2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255,430</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256,643</w:t>
            </w:r>
          </w:p>
        </w:tc>
        <w:tc>
          <w:tcPr>
            <w:tcW w:w="1100" w:type="dxa"/>
            <w:vAlign w:val="bottom"/>
          </w:tcPr>
          <w:p>
            <w:pPr>
              <w:jc w:val="right"/>
              <w:spacing w:after="0"/>
              <w:rPr>
                <w:sz w:val="20"/>
                <w:szCs w:val="20"/>
                <w:color w:val="auto"/>
              </w:rPr>
            </w:pPr>
            <w:r>
              <w:rPr>
                <w:rFonts w:ascii="Arial" w:cs="Arial" w:eastAsia="Arial" w:hAnsi="Arial"/>
                <w:sz w:val="14"/>
                <w:szCs w:val="14"/>
                <w:color w:val="auto"/>
              </w:rPr>
              <w:t>2,399,834</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2,374,179</w:t>
            </w:r>
          </w:p>
        </w:tc>
        <w:tc>
          <w:tcPr>
            <w:tcW w:w="1440" w:type="dxa"/>
            <w:vAlign w:val="bottom"/>
          </w:tcPr>
          <w:p>
            <w:pPr>
              <w:jc w:val="right"/>
              <w:ind w:right="208"/>
              <w:spacing w:after="0"/>
              <w:rPr>
                <w:sz w:val="20"/>
                <w:szCs w:val="20"/>
                <w:color w:val="auto"/>
              </w:rPr>
            </w:pPr>
            <w:r>
              <w:rPr>
                <w:rFonts w:ascii="Arial" w:cs="Arial" w:eastAsia="Arial" w:hAnsi="Arial"/>
                <w:sz w:val="14"/>
                <w:szCs w:val="14"/>
                <w:color w:val="auto"/>
              </w:rPr>
              <w:t>20,462,092</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21,505,127</w:t>
            </w:r>
          </w:p>
        </w:tc>
      </w:tr>
      <w:tr>
        <w:trPr>
          <w:trHeight w:val="189"/>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Industrial</w:t>
            </w: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9,848</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26,155</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26,156</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52,268</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2,129,492</w:t>
            </w:r>
          </w:p>
        </w:tc>
        <w:tc>
          <w:tcPr>
            <w:tcW w:w="1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3,153,641</w:t>
            </w:r>
          </w:p>
        </w:tc>
        <w:tc>
          <w:tcPr>
            <w:tcW w:w="144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4,576,537</w:t>
            </w:r>
          </w:p>
        </w:tc>
        <w:tc>
          <w:tcPr>
            <w:tcW w:w="10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6,468,756</w:t>
            </w:r>
          </w:p>
        </w:tc>
      </w:tr>
      <w:tr>
        <w:trPr>
          <w:trHeight w:val="189"/>
        </w:trPr>
        <w:tc>
          <w:tcPr>
            <w:tcW w:w="2500" w:type="dxa"/>
            <w:vAlign w:val="bottom"/>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3,057</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2,566</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7,305</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183"/>
        </w:trPr>
        <w:tc>
          <w:tcPr>
            <w:tcW w:w="25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Total Distribution</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116,687</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150,937</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909,197</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921,117</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8,075,568</w:t>
            </w:r>
          </w:p>
        </w:tc>
        <w:tc>
          <w:tcPr>
            <w:tcW w:w="1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9,100,791</w:t>
            </w:r>
          </w:p>
        </w:tc>
        <w:tc>
          <w:tcPr>
            <w:tcW w:w="144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66,117,252</w:t>
            </w:r>
          </w:p>
        </w:tc>
        <w:tc>
          <w:tcPr>
            <w:tcW w:w="10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71,884,859</w:t>
            </w:r>
          </w:p>
        </w:tc>
      </w:tr>
      <w:tr>
        <w:trPr>
          <w:trHeight w:val="189"/>
        </w:trPr>
        <w:tc>
          <w:tcPr>
            <w:tcW w:w="2500" w:type="dxa"/>
            <w:vAlign w:val="bottom"/>
          </w:tcPr>
          <w:p>
            <w:pPr>
              <w:ind w:left="20"/>
              <w:spacing w:after="0"/>
              <w:rPr>
                <w:sz w:val="20"/>
                <w:szCs w:val="20"/>
                <w:color w:val="auto"/>
              </w:rPr>
            </w:pPr>
            <w:r>
              <w:rPr>
                <w:rFonts w:ascii="Arial" w:cs="Arial" w:eastAsia="Arial" w:hAnsi="Arial"/>
                <w:sz w:val="14"/>
                <w:szCs w:val="14"/>
                <w:color w:val="auto"/>
              </w:rPr>
              <w:t>Transportation and Transmission</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42,794</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41,166</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131,820</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125,794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36,773,895</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35,302,591</w:t>
            </w:r>
          </w:p>
        </w:tc>
        <w:tc>
          <w:tcPr>
            <w:tcW w:w="1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118,180,078</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117,971,404</w:t>
            </w:r>
          </w:p>
        </w:tc>
      </w:tr>
      <w:tr>
        <w:trPr>
          <w:trHeight w:val="183"/>
        </w:trPr>
        <w:tc>
          <w:tcPr>
            <w:tcW w:w="25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Total Regulated</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159,481</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192,104</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1,041,017</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1,046,910</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44,849,463</w:t>
            </w:r>
          </w:p>
        </w:tc>
        <w:tc>
          <w:tcPr>
            <w:tcW w:w="1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44,403,382</w:t>
            </w:r>
          </w:p>
        </w:tc>
        <w:tc>
          <w:tcPr>
            <w:tcW w:w="144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184,297,330</w:t>
            </w:r>
          </w:p>
        </w:tc>
        <w:tc>
          <w:tcPr>
            <w:tcW w:w="10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189,856,263</w:t>
            </w:r>
          </w:p>
        </w:tc>
      </w:tr>
      <w:tr>
        <w:trPr>
          <w:trHeight w:val="189"/>
        </w:trPr>
        <w:tc>
          <w:tcPr>
            <w:tcW w:w="250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Non-regulated Services </w:t>
            </w:r>
            <w:r>
              <w:rPr>
                <w:rFonts w:ascii="Arial" w:cs="Arial" w:eastAsia="Arial" w:hAnsi="Arial"/>
                <w:sz w:val="19"/>
                <w:szCs w:val="19"/>
                <w:color w:val="auto"/>
                <w:vertAlign w:val="superscript"/>
              </w:rPr>
              <w:t>(a)</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14,804</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16,184</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62,904</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56,938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3"/>
        </w:trPr>
        <w:tc>
          <w:tcPr>
            <w:tcW w:w="25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Total Revenue and Quantities Sold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174,285</w:t>
            </w:r>
          </w:p>
        </w:tc>
        <w:tc>
          <w:tcPr>
            <w:tcW w:w="2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208,288</w:t>
            </w:r>
          </w:p>
        </w:tc>
        <w:tc>
          <w:tcPr>
            <w:tcW w:w="2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1,103,921</w:t>
            </w:r>
          </w:p>
        </w:tc>
        <w:tc>
          <w:tcPr>
            <w:tcW w:w="2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1,103,849</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44,849,463</w:t>
            </w:r>
          </w:p>
        </w:tc>
        <w:tc>
          <w:tcPr>
            <w:tcW w:w="1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44,403,382</w:t>
            </w:r>
          </w:p>
        </w:tc>
        <w:tc>
          <w:tcPr>
            <w:tcW w:w="144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184,297,330</w:t>
            </w:r>
          </w:p>
        </w:tc>
        <w:tc>
          <w:tcPr>
            <w:tcW w:w="10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189,856,263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Black Hills Energy Services and non-regulated services under the Service Guard Comfort Plan, Tech Services and HomeServe.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color w:val="auto"/>
              </w:rPr>
              <w:t>Revenue (in thousands)</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Quantities Sold and Transported (Dth)</w:t>
            </w:r>
          </w:p>
        </w:tc>
        <w:tc>
          <w:tcPr>
            <w:tcW w:w="1060" w:type="dxa"/>
            <w:vAlign w:val="bottom"/>
            <w:tcBorders>
              <w:bottom w:val="single" w:sz="8" w:color="auto"/>
            </w:tcBorders>
          </w:tcPr>
          <w:p>
            <w:pPr>
              <w:spacing w:after="0"/>
              <w:rPr>
                <w:sz w:val="15"/>
                <w:szCs w:val="15"/>
                <w:color w:val="auto"/>
              </w:rPr>
            </w:pPr>
          </w:p>
        </w:tc>
      </w:tr>
      <w:tr>
        <w:trPr>
          <w:trHeight w:val="164"/>
        </w:trPr>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jc w:val="right"/>
              <w:ind w:right="186"/>
              <w:spacing w:after="0"/>
              <w:rPr>
                <w:sz w:val="20"/>
                <w:szCs w:val="20"/>
                <w:color w:val="auto"/>
              </w:rPr>
            </w:pPr>
            <w:r>
              <w:rPr>
                <w:rFonts w:ascii="Arial" w:cs="Arial" w:eastAsia="Arial" w:hAnsi="Arial"/>
                <w:sz w:val="14"/>
                <w:szCs w:val="14"/>
                <w:color w:val="auto"/>
              </w:rPr>
              <w:t>Three Months Ended</w:t>
            </w:r>
          </w:p>
        </w:tc>
        <w:tc>
          <w:tcPr>
            <w:tcW w:w="2620" w:type="dxa"/>
            <w:vAlign w:val="bottom"/>
            <w:gridSpan w:val="5"/>
          </w:tcPr>
          <w:p>
            <w:pPr>
              <w:jc w:val="right"/>
              <w:ind w:right="363"/>
              <w:spacing w:after="0"/>
              <w:rPr>
                <w:sz w:val="20"/>
                <w:szCs w:val="20"/>
                <w:color w:val="auto"/>
              </w:rPr>
            </w:pPr>
            <w:r>
              <w:rPr>
                <w:rFonts w:ascii="Arial" w:cs="Arial" w:eastAsia="Arial" w:hAnsi="Arial"/>
                <w:sz w:val="14"/>
                <w:szCs w:val="14"/>
                <w:color w:val="auto"/>
              </w:rPr>
              <w:t>Nine Months Ended September</w:t>
            </w:r>
          </w:p>
        </w:tc>
        <w:tc>
          <w:tcPr>
            <w:tcW w:w="2040" w:type="dxa"/>
            <w:vAlign w:val="bottom"/>
            <w:gridSpan w:val="2"/>
          </w:tcPr>
          <w:p>
            <w:pPr>
              <w:jc w:val="right"/>
              <w:ind w:right="503"/>
              <w:spacing w:after="0"/>
              <w:rPr>
                <w:sz w:val="20"/>
                <w:szCs w:val="20"/>
                <w:color w:val="auto"/>
              </w:rPr>
            </w:pPr>
            <w:r>
              <w:rPr>
                <w:rFonts w:ascii="Arial" w:cs="Arial" w:eastAsia="Arial" w:hAnsi="Arial"/>
                <w:sz w:val="14"/>
                <w:szCs w:val="14"/>
                <w:color w:val="auto"/>
              </w:rPr>
              <w:t>Three Months Ended</w:t>
            </w:r>
          </w:p>
        </w:tc>
        <w:tc>
          <w:tcPr>
            <w:tcW w:w="2280" w:type="dxa"/>
            <w:vAlign w:val="bottom"/>
            <w:gridSpan w:val="3"/>
          </w:tcPr>
          <w:p>
            <w:pPr>
              <w:jc w:val="right"/>
              <w:ind w:right="163"/>
              <w:spacing w:after="0"/>
              <w:rPr>
                <w:sz w:val="20"/>
                <w:szCs w:val="20"/>
                <w:color w:val="auto"/>
              </w:rPr>
            </w:pPr>
            <w:r>
              <w:rPr>
                <w:rFonts w:ascii="Arial" w:cs="Arial" w:eastAsia="Arial" w:hAnsi="Arial"/>
                <w:sz w:val="14"/>
                <w:szCs w:val="14"/>
                <w:color w:val="auto"/>
              </w:rPr>
              <w:t>Nine Months Ended September</w:t>
            </w:r>
          </w:p>
        </w:tc>
      </w:tr>
      <w:tr>
        <w:trPr>
          <w:trHeight w:val="182"/>
        </w:trPr>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4"/>
          </w:tcPr>
          <w:p>
            <w:pPr>
              <w:jc w:val="right"/>
              <w:ind w:right="366"/>
              <w:spacing w:after="0"/>
              <w:rPr>
                <w:sz w:val="20"/>
                <w:szCs w:val="20"/>
                <w:color w:val="auto"/>
              </w:rPr>
            </w:pPr>
            <w:r>
              <w:rPr>
                <w:rFonts w:ascii="Arial" w:cs="Arial" w:eastAsia="Arial" w:hAnsi="Arial"/>
                <w:sz w:val="14"/>
                <w:szCs w:val="14"/>
                <w:color w:val="auto"/>
              </w:rPr>
              <w:t>September 30,</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4"/>
                <w:szCs w:val="14"/>
                <w:color w:val="auto"/>
              </w:rPr>
              <w:t>30,</w:t>
            </w:r>
          </w:p>
        </w:tc>
        <w:tc>
          <w:tcPr>
            <w:tcW w:w="1060" w:type="dxa"/>
            <w:vAlign w:val="bottom"/>
          </w:tcPr>
          <w:p>
            <w:pPr>
              <w:spacing w:after="0"/>
              <w:rPr>
                <w:sz w:val="15"/>
                <w:szCs w:val="15"/>
                <w:color w:val="auto"/>
              </w:rPr>
            </w:pPr>
          </w:p>
        </w:tc>
        <w:tc>
          <w:tcPr>
            <w:tcW w:w="2040" w:type="dxa"/>
            <w:vAlign w:val="bottom"/>
            <w:gridSpan w:val="2"/>
          </w:tcPr>
          <w:p>
            <w:pPr>
              <w:jc w:val="right"/>
              <w:ind w:right="683"/>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w:t>
            </w:r>
          </w:p>
        </w:tc>
        <w:tc>
          <w:tcPr>
            <w:tcW w:w="1060" w:type="dxa"/>
            <w:vAlign w:val="bottom"/>
          </w:tcPr>
          <w:p>
            <w:pPr>
              <w:spacing w:after="0"/>
              <w:rPr>
                <w:sz w:val="15"/>
                <w:szCs w:val="15"/>
                <w:color w:val="auto"/>
              </w:rPr>
            </w:pPr>
          </w:p>
        </w:tc>
      </w:tr>
      <w:tr>
        <w:trPr>
          <w:trHeight w:val="188"/>
        </w:trPr>
        <w:tc>
          <w:tcPr>
            <w:tcW w:w="2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2023</w:t>
            </w: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color w:val="auto"/>
                <w:w w:val="96"/>
              </w:rPr>
              <w:t>2022</w:t>
            </w:r>
          </w:p>
        </w:tc>
        <w:tc>
          <w:tcPr>
            <w:tcW w:w="114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4"/>
                <w:szCs w:val="14"/>
                <w:color w:val="auto"/>
              </w:rPr>
              <w:t>2023</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color w:val="auto"/>
              </w:rPr>
              <w:t>2022</w:t>
            </w:r>
          </w:p>
        </w:tc>
        <w:tc>
          <w:tcPr>
            <w:tcW w:w="9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color w:val="auto"/>
              </w:rPr>
              <w:t>2023</w:t>
            </w: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2022</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color w:val="auto"/>
              </w:rPr>
              <w:t>2023</w:t>
            </w:r>
          </w:p>
        </w:tc>
        <w:tc>
          <w:tcPr>
            <w:tcW w:w="10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2022</w:t>
            </w:r>
          </w:p>
        </w:tc>
      </w:tr>
      <w:tr>
        <w:trPr>
          <w:trHeight w:val="183"/>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Arkansas Gas</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27,166</w:t>
            </w:r>
          </w:p>
        </w:tc>
        <w:tc>
          <w:tcPr>
            <w:tcW w:w="400" w:type="dxa"/>
            <w:vAlign w:val="bottom"/>
            <w:shd w:val="clear" w:color="auto" w:fill="CFF0FC"/>
          </w:tcPr>
          <w:p>
            <w:pPr>
              <w:jc w:val="right"/>
              <w:ind w:right="121"/>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30,663</w:t>
            </w:r>
          </w:p>
        </w:tc>
        <w:tc>
          <w:tcPr>
            <w:tcW w:w="500" w:type="dxa"/>
            <w:vAlign w:val="bottom"/>
            <w:shd w:val="clear" w:color="auto" w:fill="CFF0FC"/>
          </w:tcPr>
          <w:p>
            <w:pPr>
              <w:jc w:val="right"/>
              <w:ind w:right="202"/>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189,034</w:t>
            </w:r>
          </w:p>
        </w:tc>
        <w:tc>
          <w:tcPr>
            <w:tcW w:w="420" w:type="dxa"/>
            <w:vAlign w:val="bottom"/>
            <w:shd w:val="clear" w:color="auto" w:fill="CFF0FC"/>
          </w:tcPr>
          <w:p>
            <w:pPr>
              <w:jc w:val="right"/>
              <w:ind w:right="121"/>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283"/>
              <w:spacing w:after="0"/>
              <w:rPr>
                <w:sz w:val="20"/>
                <w:szCs w:val="20"/>
                <w:color w:val="auto"/>
              </w:rPr>
            </w:pPr>
            <w:r>
              <w:rPr>
                <w:rFonts w:ascii="Arial" w:cs="Arial" w:eastAsia="Arial" w:hAnsi="Arial"/>
                <w:sz w:val="14"/>
                <w:szCs w:val="14"/>
                <w:color w:val="auto"/>
              </w:rPr>
              <w:t>210,287</w:t>
            </w:r>
          </w:p>
        </w:tc>
        <w:tc>
          <w:tcPr>
            <w:tcW w:w="980" w:type="dxa"/>
            <w:vAlign w:val="bottom"/>
            <w:shd w:val="clear" w:color="auto" w:fill="CFF0FC"/>
          </w:tcPr>
          <w:p>
            <w:pPr>
              <w:jc w:val="right"/>
              <w:ind w:right="164"/>
              <w:spacing w:after="0"/>
              <w:rPr>
                <w:sz w:val="20"/>
                <w:szCs w:val="20"/>
                <w:color w:val="auto"/>
              </w:rPr>
            </w:pPr>
            <w:r>
              <w:rPr>
                <w:rFonts w:ascii="Arial" w:cs="Arial" w:eastAsia="Arial" w:hAnsi="Arial"/>
                <w:sz w:val="14"/>
                <w:szCs w:val="14"/>
                <w:color w:val="auto"/>
              </w:rPr>
              <w:t>4,372,453</w:t>
            </w:r>
          </w:p>
        </w:tc>
        <w:tc>
          <w:tcPr>
            <w:tcW w:w="1060" w:type="dxa"/>
            <w:vAlign w:val="bottom"/>
            <w:shd w:val="clear" w:color="auto" w:fill="CFF0FC"/>
          </w:tcPr>
          <w:p>
            <w:pPr>
              <w:jc w:val="right"/>
              <w:ind w:right="123"/>
              <w:spacing w:after="0"/>
              <w:rPr>
                <w:sz w:val="20"/>
                <w:szCs w:val="20"/>
                <w:color w:val="auto"/>
              </w:rPr>
            </w:pPr>
            <w:r>
              <w:rPr>
                <w:rFonts w:ascii="Arial" w:cs="Arial" w:eastAsia="Arial" w:hAnsi="Arial"/>
                <w:sz w:val="14"/>
                <w:szCs w:val="14"/>
                <w:color w:val="auto"/>
              </w:rPr>
              <w:t>4,396,388</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124"/>
              <w:spacing w:after="0"/>
              <w:rPr>
                <w:sz w:val="20"/>
                <w:szCs w:val="20"/>
                <w:color w:val="auto"/>
              </w:rPr>
            </w:pPr>
            <w:r>
              <w:rPr>
                <w:rFonts w:ascii="Arial" w:cs="Arial" w:eastAsia="Arial" w:hAnsi="Arial"/>
                <w:sz w:val="14"/>
                <w:szCs w:val="14"/>
                <w:color w:val="auto"/>
              </w:rPr>
              <w:t>21,098,256</w:t>
            </w:r>
          </w:p>
        </w:tc>
        <w:tc>
          <w:tcPr>
            <w:tcW w:w="1060" w:type="dxa"/>
            <w:vAlign w:val="bottom"/>
            <w:shd w:val="clear" w:color="auto" w:fill="CFF0FC"/>
          </w:tcPr>
          <w:p>
            <w:pPr>
              <w:jc w:val="right"/>
              <w:ind w:right="43"/>
              <w:spacing w:after="0"/>
              <w:rPr>
                <w:sz w:val="20"/>
                <w:szCs w:val="20"/>
                <w:color w:val="auto"/>
              </w:rPr>
            </w:pPr>
            <w:r>
              <w:rPr>
                <w:rFonts w:ascii="Arial" w:cs="Arial" w:eastAsia="Arial" w:hAnsi="Arial"/>
                <w:sz w:val="14"/>
                <w:szCs w:val="14"/>
                <w:color w:val="auto"/>
              </w:rPr>
              <w:t>22,769,574</w:t>
            </w: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Colorado Gas</w:t>
            </w:r>
          </w:p>
        </w:tc>
        <w:tc>
          <w:tcPr>
            <w:tcW w:w="16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31,503</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32,239</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227,852</w:t>
            </w:r>
          </w:p>
        </w:tc>
        <w:tc>
          <w:tcPr>
            <w:tcW w:w="420" w:type="dxa"/>
            <w:vAlign w:val="bottom"/>
          </w:tcPr>
          <w:p>
            <w:pPr>
              <w:spacing w:after="0"/>
              <w:rPr>
                <w:sz w:val="16"/>
                <w:szCs w:val="16"/>
                <w:color w:val="auto"/>
              </w:rPr>
            </w:pPr>
          </w:p>
        </w:tc>
        <w:tc>
          <w:tcPr>
            <w:tcW w:w="1060" w:type="dxa"/>
            <w:vAlign w:val="bottom"/>
          </w:tcPr>
          <w:p>
            <w:pPr>
              <w:jc w:val="right"/>
              <w:ind w:right="283"/>
              <w:spacing w:after="0"/>
              <w:rPr>
                <w:sz w:val="20"/>
                <w:szCs w:val="20"/>
                <w:color w:val="auto"/>
              </w:rPr>
            </w:pPr>
            <w:r>
              <w:rPr>
                <w:rFonts w:ascii="Arial" w:cs="Arial" w:eastAsia="Arial" w:hAnsi="Arial"/>
                <w:sz w:val="14"/>
                <w:szCs w:val="14"/>
                <w:color w:val="auto"/>
              </w:rPr>
              <w:t>202,620</w:t>
            </w:r>
          </w:p>
        </w:tc>
        <w:tc>
          <w:tcPr>
            <w:tcW w:w="980" w:type="dxa"/>
            <w:vAlign w:val="bottom"/>
          </w:tcPr>
          <w:p>
            <w:pPr>
              <w:jc w:val="right"/>
              <w:ind w:right="164"/>
              <w:spacing w:after="0"/>
              <w:rPr>
                <w:sz w:val="20"/>
                <w:szCs w:val="20"/>
                <w:color w:val="auto"/>
              </w:rPr>
            </w:pPr>
            <w:r>
              <w:rPr>
                <w:rFonts w:ascii="Arial" w:cs="Arial" w:eastAsia="Arial" w:hAnsi="Arial"/>
                <w:sz w:val="14"/>
                <w:szCs w:val="14"/>
                <w:color w:val="auto"/>
              </w:rPr>
              <w:t>3,588,228</w:t>
            </w:r>
          </w:p>
        </w:tc>
        <w:tc>
          <w:tcPr>
            <w:tcW w:w="1060" w:type="dxa"/>
            <w:vAlign w:val="bottom"/>
          </w:tcPr>
          <w:p>
            <w:pPr>
              <w:jc w:val="right"/>
              <w:ind w:right="123"/>
              <w:spacing w:after="0"/>
              <w:rPr>
                <w:sz w:val="20"/>
                <w:szCs w:val="20"/>
                <w:color w:val="auto"/>
              </w:rPr>
            </w:pPr>
            <w:r>
              <w:rPr>
                <w:rFonts w:ascii="Arial" w:cs="Arial" w:eastAsia="Arial" w:hAnsi="Arial"/>
                <w:sz w:val="14"/>
                <w:szCs w:val="14"/>
                <w:color w:val="auto"/>
              </w:rPr>
              <w:t>3,408,420</w:t>
            </w:r>
          </w:p>
        </w:tc>
        <w:tc>
          <w:tcPr>
            <w:tcW w:w="220" w:type="dxa"/>
            <w:vAlign w:val="bottom"/>
          </w:tcPr>
          <w:p>
            <w:pPr>
              <w:spacing w:after="0"/>
              <w:rPr>
                <w:sz w:val="16"/>
                <w:szCs w:val="16"/>
                <w:color w:val="auto"/>
              </w:rPr>
            </w:pPr>
          </w:p>
        </w:tc>
        <w:tc>
          <w:tcPr>
            <w:tcW w:w="1000" w:type="dxa"/>
            <w:vAlign w:val="bottom"/>
          </w:tcPr>
          <w:p>
            <w:pPr>
              <w:jc w:val="right"/>
              <w:ind w:right="124"/>
              <w:spacing w:after="0"/>
              <w:rPr>
                <w:sz w:val="20"/>
                <w:szCs w:val="20"/>
                <w:color w:val="auto"/>
              </w:rPr>
            </w:pPr>
            <w:r>
              <w:rPr>
                <w:rFonts w:ascii="Arial" w:cs="Arial" w:eastAsia="Arial" w:hAnsi="Arial"/>
                <w:sz w:val="14"/>
                <w:szCs w:val="14"/>
                <w:color w:val="auto"/>
              </w:rPr>
              <w:t>23,283,092</w:t>
            </w:r>
          </w:p>
        </w:tc>
        <w:tc>
          <w:tcPr>
            <w:tcW w:w="1060" w:type="dxa"/>
            <w:vAlign w:val="bottom"/>
          </w:tcPr>
          <w:p>
            <w:pPr>
              <w:jc w:val="right"/>
              <w:ind w:right="43"/>
              <w:spacing w:after="0"/>
              <w:rPr>
                <w:sz w:val="20"/>
                <w:szCs w:val="20"/>
                <w:color w:val="auto"/>
              </w:rPr>
            </w:pPr>
            <w:r>
              <w:rPr>
                <w:rFonts w:ascii="Arial" w:cs="Arial" w:eastAsia="Arial" w:hAnsi="Arial"/>
                <w:sz w:val="14"/>
                <w:szCs w:val="14"/>
                <w:color w:val="auto"/>
              </w:rPr>
              <w:t>23,192,881</w:t>
            </w:r>
          </w:p>
        </w:tc>
      </w:tr>
      <w:tr>
        <w:trPr>
          <w:trHeight w:val="189"/>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Iowa Gas</w:t>
            </w:r>
          </w:p>
        </w:tc>
        <w:tc>
          <w:tcPr>
            <w:tcW w:w="16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18,784</w:t>
            </w: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24,580</w:t>
            </w:r>
          </w:p>
        </w:tc>
        <w:tc>
          <w:tcPr>
            <w:tcW w:w="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168,137</w:t>
            </w:r>
          </w:p>
        </w:tc>
        <w:tc>
          <w:tcPr>
            <w:tcW w:w="4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3"/>
              <w:spacing w:after="0"/>
              <w:rPr>
                <w:sz w:val="20"/>
                <w:szCs w:val="20"/>
                <w:color w:val="auto"/>
              </w:rPr>
            </w:pPr>
            <w:r>
              <w:rPr>
                <w:rFonts w:ascii="Arial" w:cs="Arial" w:eastAsia="Arial" w:hAnsi="Arial"/>
                <w:sz w:val="14"/>
                <w:szCs w:val="14"/>
                <w:color w:val="auto"/>
              </w:rPr>
              <w:t>187,209</w:t>
            </w:r>
          </w:p>
        </w:tc>
        <w:tc>
          <w:tcPr>
            <w:tcW w:w="980" w:type="dxa"/>
            <w:vAlign w:val="bottom"/>
            <w:shd w:val="clear" w:color="auto" w:fill="CFF0FC"/>
          </w:tcPr>
          <w:p>
            <w:pPr>
              <w:jc w:val="right"/>
              <w:ind w:right="164"/>
              <w:spacing w:after="0"/>
              <w:rPr>
                <w:sz w:val="20"/>
                <w:szCs w:val="20"/>
                <w:color w:val="auto"/>
              </w:rPr>
            </w:pPr>
            <w:r>
              <w:rPr>
                <w:rFonts w:ascii="Arial" w:cs="Arial" w:eastAsia="Arial" w:hAnsi="Arial"/>
                <w:sz w:val="14"/>
                <w:szCs w:val="14"/>
                <w:color w:val="auto"/>
              </w:rPr>
              <w:t>5,790,254</w:t>
            </w:r>
          </w:p>
        </w:tc>
        <w:tc>
          <w:tcPr>
            <w:tcW w:w="1060" w:type="dxa"/>
            <w:vAlign w:val="bottom"/>
            <w:shd w:val="clear" w:color="auto" w:fill="CFF0FC"/>
          </w:tcPr>
          <w:p>
            <w:pPr>
              <w:jc w:val="right"/>
              <w:ind w:right="123"/>
              <w:spacing w:after="0"/>
              <w:rPr>
                <w:sz w:val="20"/>
                <w:szCs w:val="20"/>
                <w:color w:val="auto"/>
              </w:rPr>
            </w:pPr>
            <w:r>
              <w:rPr>
                <w:rFonts w:ascii="Arial" w:cs="Arial" w:eastAsia="Arial" w:hAnsi="Arial"/>
                <w:sz w:val="14"/>
                <w:szCs w:val="14"/>
                <w:color w:val="auto"/>
              </w:rPr>
              <w:t>5,103,212</w:t>
            </w: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124"/>
              <w:spacing w:after="0"/>
              <w:rPr>
                <w:sz w:val="20"/>
                <w:szCs w:val="20"/>
                <w:color w:val="auto"/>
              </w:rPr>
            </w:pPr>
            <w:r>
              <w:rPr>
                <w:rFonts w:ascii="Arial" w:cs="Arial" w:eastAsia="Arial" w:hAnsi="Arial"/>
                <w:sz w:val="14"/>
                <w:szCs w:val="14"/>
                <w:color w:val="auto"/>
              </w:rPr>
              <w:t>27,193,172</w:t>
            </w:r>
          </w:p>
        </w:tc>
        <w:tc>
          <w:tcPr>
            <w:tcW w:w="1060" w:type="dxa"/>
            <w:vAlign w:val="bottom"/>
            <w:shd w:val="clear" w:color="auto" w:fill="CFF0FC"/>
          </w:tcPr>
          <w:p>
            <w:pPr>
              <w:jc w:val="right"/>
              <w:ind w:right="43"/>
              <w:spacing w:after="0"/>
              <w:rPr>
                <w:sz w:val="20"/>
                <w:szCs w:val="20"/>
                <w:color w:val="auto"/>
              </w:rPr>
            </w:pPr>
            <w:r>
              <w:rPr>
                <w:rFonts w:ascii="Arial" w:cs="Arial" w:eastAsia="Arial" w:hAnsi="Arial"/>
                <w:sz w:val="14"/>
                <w:szCs w:val="14"/>
                <w:color w:val="auto"/>
              </w:rPr>
              <w:t>28,658,007</w:t>
            </w: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Kansas Gas</w:t>
            </w:r>
          </w:p>
        </w:tc>
        <w:tc>
          <w:tcPr>
            <w:tcW w:w="16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22,724</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38,029</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118,478</w:t>
            </w:r>
          </w:p>
        </w:tc>
        <w:tc>
          <w:tcPr>
            <w:tcW w:w="420" w:type="dxa"/>
            <w:vAlign w:val="bottom"/>
          </w:tcPr>
          <w:p>
            <w:pPr>
              <w:spacing w:after="0"/>
              <w:rPr>
                <w:sz w:val="16"/>
                <w:szCs w:val="16"/>
                <w:color w:val="auto"/>
              </w:rPr>
            </w:pPr>
          </w:p>
        </w:tc>
        <w:tc>
          <w:tcPr>
            <w:tcW w:w="1060" w:type="dxa"/>
            <w:vAlign w:val="bottom"/>
          </w:tcPr>
          <w:p>
            <w:pPr>
              <w:jc w:val="right"/>
              <w:ind w:right="283"/>
              <w:spacing w:after="0"/>
              <w:rPr>
                <w:sz w:val="20"/>
                <w:szCs w:val="20"/>
                <w:color w:val="auto"/>
              </w:rPr>
            </w:pPr>
            <w:r>
              <w:rPr>
                <w:rFonts w:ascii="Arial" w:cs="Arial" w:eastAsia="Arial" w:hAnsi="Arial"/>
                <w:sz w:val="14"/>
                <w:szCs w:val="14"/>
                <w:color w:val="auto"/>
              </w:rPr>
              <w:t>132,362</w:t>
            </w:r>
          </w:p>
        </w:tc>
        <w:tc>
          <w:tcPr>
            <w:tcW w:w="980" w:type="dxa"/>
            <w:vAlign w:val="bottom"/>
          </w:tcPr>
          <w:p>
            <w:pPr>
              <w:jc w:val="right"/>
              <w:ind w:right="164"/>
              <w:spacing w:after="0"/>
              <w:rPr>
                <w:sz w:val="20"/>
                <w:szCs w:val="20"/>
                <w:color w:val="auto"/>
              </w:rPr>
            </w:pPr>
            <w:r>
              <w:rPr>
                <w:rFonts w:ascii="Arial" w:cs="Arial" w:eastAsia="Arial" w:hAnsi="Arial"/>
                <w:sz w:val="14"/>
                <w:szCs w:val="14"/>
                <w:color w:val="auto"/>
              </w:rPr>
              <w:t>9,084,974</w:t>
            </w:r>
          </w:p>
        </w:tc>
        <w:tc>
          <w:tcPr>
            <w:tcW w:w="1060" w:type="dxa"/>
            <w:vAlign w:val="bottom"/>
          </w:tcPr>
          <w:p>
            <w:pPr>
              <w:jc w:val="right"/>
              <w:ind w:right="123"/>
              <w:spacing w:after="0"/>
              <w:rPr>
                <w:sz w:val="20"/>
                <w:szCs w:val="20"/>
                <w:color w:val="auto"/>
              </w:rPr>
            </w:pPr>
            <w:r>
              <w:rPr>
                <w:rFonts w:ascii="Arial" w:cs="Arial" w:eastAsia="Arial" w:hAnsi="Arial"/>
                <w:sz w:val="14"/>
                <w:szCs w:val="14"/>
                <w:color w:val="auto"/>
              </w:rPr>
              <w:t>9,202,701</w:t>
            </w:r>
          </w:p>
        </w:tc>
        <w:tc>
          <w:tcPr>
            <w:tcW w:w="220" w:type="dxa"/>
            <w:vAlign w:val="bottom"/>
          </w:tcPr>
          <w:p>
            <w:pPr>
              <w:spacing w:after="0"/>
              <w:rPr>
                <w:sz w:val="16"/>
                <w:szCs w:val="16"/>
                <w:color w:val="auto"/>
              </w:rPr>
            </w:pPr>
          </w:p>
        </w:tc>
        <w:tc>
          <w:tcPr>
            <w:tcW w:w="1000" w:type="dxa"/>
            <w:vAlign w:val="bottom"/>
          </w:tcPr>
          <w:p>
            <w:pPr>
              <w:jc w:val="right"/>
              <w:ind w:right="124"/>
              <w:spacing w:after="0"/>
              <w:rPr>
                <w:sz w:val="20"/>
                <w:szCs w:val="20"/>
                <w:color w:val="auto"/>
              </w:rPr>
            </w:pPr>
            <w:r>
              <w:rPr>
                <w:rFonts w:ascii="Arial" w:cs="Arial" w:eastAsia="Arial" w:hAnsi="Arial"/>
                <w:sz w:val="14"/>
                <w:szCs w:val="14"/>
                <w:color w:val="auto"/>
              </w:rPr>
              <w:t>27,382,033</w:t>
            </w:r>
          </w:p>
        </w:tc>
        <w:tc>
          <w:tcPr>
            <w:tcW w:w="1060" w:type="dxa"/>
            <w:vAlign w:val="bottom"/>
          </w:tcPr>
          <w:p>
            <w:pPr>
              <w:jc w:val="right"/>
              <w:ind w:right="43"/>
              <w:spacing w:after="0"/>
              <w:rPr>
                <w:sz w:val="20"/>
                <w:szCs w:val="20"/>
                <w:color w:val="auto"/>
              </w:rPr>
            </w:pPr>
            <w:r>
              <w:rPr>
                <w:rFonts w:ascii="Arial" w:cs="Arial" w:eastAsia="Arial" w:hAnsi="Arial"/>
                <w:sz w:val="14"/>
                <w:szCs w:val="14"/>
                <w:color w:val="auto"/>
              </w:rPr>
              <w:t>28,954,575</w:t>
            </w:r>
          </w:p>
        </w:tc>
      </w:tr>
      <w:tr>
        <w:trPr>
          <w:trHeight w:val="189"/>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Nebraska Gas</w:t>
            </w:r>
          </w:p>
        </w:tc>
        <w:tc>
          <w:tcPr>
            <w:tcW w:w="16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55,297</w:t>
            </w: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61,588</w:t>
            </w:r>
          </w:p>
        </w:tc>
        <w:tc>
          <w:tcPr>
            <w:tcW w:w="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277,861</w:t>
            </w:r>
          </w:p>
        </w:tc>
        <w:tc>
          <w:tcPr>
            <w:tcW w:w="4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3"/>
              <w:spacing w:after="0"/>
              <w:rPr>
                <w:sz w:val="20"/>
                <w:szCs w:val="20"/>
                <w:color w:val="auto"/>
              </w:rPr>
            </w:pPr>
            <w:r>
              <w:rPr>
                <w:rFonts w:ascii="Arial" w:cs="Arial" w:eastAsia="Arial" w:hAnsi="Arial"/>
                <w:sz w:val="14"/>
                <w:szCs w:val="14"/>
                <w:color w:val="auto"/>
              </w:rPr>
              <w:t>258,159</w:t>
            </w:r>
          </w:p>
        </w:tc>
        <w:tc>
          <w:tcPr>
            <w:tcW w:w="980" w:type="dxa"/>
            <w:vAlign w:val="bottom"/>
            <w:shd w:val="clear" w:color="auto" w:fill="CFF0FC"/>
          </w:tcPr>
          <w:p>
            <w:pPr>
              <w:jc w:val="right"/>
              <w:ind w:right="164"/>
              <w:spacing w:after="0"/>
              <w:rPr>
                <w:sz w:val="20"/>
                <w:szCs w:val="20"/>
                <w:color w:val="auto"/>
              </w:rPr>
            </w:pPr>
            <w:r>
              <w:rPr>
                <w:rFonts w:ascii="Arial" w:cs="Arial" w:eastAsia="Arial" w:hAnsi="Arial"/>
                <w:sz w:val="14"/>
                <w:szCs w:val="14"/>
                <w:color w:val="auto"/>
              </w:rPr>
              <w:t>16,968,376</w:t>
            </w:r>
          </w:p>
        </w:tc>
        <w:tc>
          <w:tcPr>
            <w:tcW w:w="1060" w:type="dxa"/>
            <w:vAlign w:val="bottom"/>
            <w:shd w:val="clear" w:color="auto" w:fill="CFF0FC"/>
          </w:tcPr>
          <w:p>
            <w:pPr>
              <w:jc w:val="right"/>
              <w:ind w:right="123"/>
              <w:spacing w:after="0"/>
              <w:rPr>
                <w:sz w:val="20"/>
                <w:szCs w:val="20"/>
                <w:color w:val="auto"/>
              </w:rPr>
            </w:pPr>
            <w:r>
              <w:rPr>
                <w:rFonts w:ascii="Arial" w:cs="Arial" w:eastAsia="Arial" w:hAnsi="Arial"/>
                <w:sz w:val="14"/>
                <w:szCs w:val="14"/>
                <w:color w:val="auto"/>
              </w:rPr>
              <w:t>17,237,325</w:t>
            </w: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124"/>
              <w:spacing w:after="0"/>
              <w:rPr>
                <w:sz w:val="20"/>
                <w:szCs w:val="20"/>
                <w:color w:val="auto"/>
              </w:rPr>
            </w:pPr>
            <w:r>
              <w:rPr>
                <w:rFonts w:ascii="Arial" w:cs="Arial" w:eastAsia="Arial" w:hAnsi="Arial"/>
                <w:sz w:val="14"/>
                <w:szCs w:val="14"/>
                <w:color w:val="auto"/>
              </w:rPr>
              <w:t>59,774,008</w:t>
            </w:r>
          </w:p>
        </w:tc>
        <w:tc>
          <w:tcPr>
            <w:tcW w:w="1060" w:type="dxa"/>
            <w:vAlign w:val="bottom"/>
            <w:shd w:val="clear" w:color="auto" w:fill="CFF0FC"/>
          </w:tcPr>
          <w:p>
            <w:pPr>
              <w:jc w:val="right"/>
              <w:ind w:right="43"/>
              <w:spacing w:after="0"/>
              <w:rPr>
                <w:sz w:val="20"/>
                <w:szCs w:val="20"/>
                <w:color w:val="auto"/>
              </w:rPr>
            </w:pPr>
            <w:r>
              <w:rPr>
                <w:rFonts w:ascii="Arial" w:cs="Arial" w:eastAsia="Arial" w:hAnsi="Arial"/>
                <w:sz w:val="14"/>
                <w:szCs w:val="14"/>
                <w:color w:val="auto"/>
              </w:rPr>
              <w:t>61,287,579</w:t>
            </w: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Wyoming Gas</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18,811</w:t>
            </w: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21,189</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122,559</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color w:val="auto"/>
              </w:rPr>
              <w:t>113,212</w:t>
            </w:r>
          </w:p>
        </w:tc>
        <w:tc>
          <w:tcPr>
            <w:tcW w:w="9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color w:val="auto"/>
              </w:rPr>
              <w:t>5,045,178</w:t>
            </w: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color w:val="auto"/>
              </w:rPr>
              <w:t>5,055,336</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color w:val="auto"/>
              </w:rPr>
              <w:t>25,566,769</w:t>
            </w: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24,993,647</w:t>
            </w:r>
          </w:p>
        </w:tc>
      </w:tr>
      <w:tr>
        <w:trPr>
          <w:trHeight w:val="223"/>
        </w:trPr>
        <w:tc>
          <w:tcPr>
            <w:tcW w:w="24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Total Revenue and Quantities Sold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174,285</w:t>
            </w:r>
          </w:p>
        </w:tc>
        <w:tc>
          <w:tcPr>
            <w:tcW w:w="40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208,288</w:t>
            </w:r>
          </w:p>
        </w:tc>
        <w:tc>
          <w:tcPr>
            <w:tcW w:w="500" w:type="dxa"/>
            <w:vAlign w:val="bottom"/>
            <w:tcBorders>
              <w:bottom w:val="single" w:sz="8" w:color="auto"/>
            </w:tcBorders>
            <w:shd w:val="clear" w:color="auto" w:fill="CFF0FC"/>
          </w:tcPr>
          <w:p>
            <w:pPr>
              <w:jc w:val="right"/>
              <w:ind w:right="202"/>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w w:val="99"/>
              </w:rPr>
              <w:t>1,103,921</w:t>
            </w:r>
          </w:p>
        </w:tc>
        <w:tc>
          <w:tcPr>
            <w:tcW w:w="42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283"/>
              <w:spacing w:after="0"/>
              <w:rPr>
                <w:sz w:val="20"/>
                <w:szCs w:val="20"/>
                <w:color w:val="auto"/>
              </w:rPr>
            </w:pPr>
            <w:r>
              <w:rPr>
                <w:rFonts w:ascii="Arial" w:cs="Arial" w:eastAsia="Arial" w:hAnsi="Arial"/>
                <w:sz w:val="14"/>
                <w:szCs w:val="14"/>
                <w:color w:val="auto"/>
              </w:rPr>
              <w:t>1,103,849</w:t>
            </w:r>
          </w:p>
        </w:tc>
        <w:tc>
          <w:tcPr>
            <w:tcW w:w="98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4"/>
                <w:szCs w:val="14"/>
                <w:color w:val="auto"/>
              </w:rPr>
              <w:t>44,849,463</w:t>
            </w:r>
          </w:p>
        </w:tc>
        <w:tc>
          <w:tcPr>
            <w:tcW w:w="1060" w:type="dxa"/>
            <w:vAlign w:val="bottom"/>
            <w:tcBorders>
              <w:bottom w:val="single" w:sz="8" w:color="auto"/>
            </w:tcBorders>
            <w:shd w:val="clear" w:color="auto" w:fill="CFF0FC"/>
          </w:tcPr>
          <w:p>
            <w:pPr>
              <w:jc w:val="right"/>
              <w:ind w:right="123"/>
              <w:spacing w:after="0"/>
              <w:rPr>
                <w:sz w:val="20"/>
                <w:szCs w:val="20"/>
                <w:color w:val="auto"/>
              </w:rPr>
            </w:pPr>
            <w:r>
              <w:rPr>
                <w:rFonts w:ascii="Arial" w:cs="Arial" w:eastAsia="Arial" w:hAnsi="Arial"/>
                <w:sz w:val="14"/>
                <w:szCs w:val="14"/>
                <w:color w:val="auto"/>
              </w:rPr>
              <w:t>44,403,382</w:t>
            </w: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4"/>
                <w:szCs w:val="14"/>
                <w:color w:val="auto"/>
              </w:rPr>
              <w:t>184,297,330</w:t>
            </w:r>
          </w:p>
        </w:tc>
        <w:tc>
          <w:tcPr>
            <w:tcW w:w="10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4"/>
                <w:szCs w:val="14"/>
                <w:color w:val="auto"/>
              </w:rPr>
              <w:t>189,856,263</w:t>
            </w:r>
          </w:p>
        </w:tc>
      </w:tr>
      <w:tr>
        <w:trPr>
          <w:trHeight w:val="380"/>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gridSpan w:val="6"/>
          </w:tcPr>
          <w:p>
            <w:pPr>
              <w:jc w:val="right"/>
              <w:ind w:right="463"/>
              <w:spacing w:after="0"/>
              <w:rPr>
                <w:sz w:val="20"/>
                <w:szCs w:val="20"/>
                <w:color w:val="auto"/>
              </w:rPr>
            </w:pPr>
            <w:r>
              <w:rPr>
                <w:rFonts w:ascii="Arial" w:cs="Arial" w:eastAsia="Arial" w:hAnsi="Arial"/>
                <w:sz w:val="16"/>
                <w:szCs w:val="16"/>
                <w:color w:val="auto"/>
              </w:rPr>
              <w:t>Three Months Ended September 30,</w:t>
            </w:r>
          </w:p>
        </w:tc>
        <w:tc>
          <w:tcPr>
            <w:tcW w:w="980" w:type="dxa"/>
            <w:vAlign w:val="bottom"/>
          </w:tcPr>
          <w:p>
            <w:pPr>
              <w:spacing w:after="0"/>
              <w:rPr>
                <w:sz w:val="24"/>
                <w:szCs w:val="24"/>
                <w:color w:val="auto"/>
              </w:rPr>
            </w:pPr>
          </w:p>
        </w:tc>
        <w:tc>
          <w:tcPr>
            <w:tcW w:w="3340" w:type="dxa"/>
            <w:vAlign w:val="bottom"/>
            <w:gridSpan w:val="4"/>
          </w:tcPr>
          <w:p>
            <w:pPr>
              <w:jc w:val="right"/>
              <w:ind w:right="703"/>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43"/>
              <w:spacing w:after="0"/>
              <w:rPr>
                <w:sz w:val="20"/>
                <w:szCs w:val="20"/>
                <w:color w:val="auto"/>
              </w:rPr>
            </w:pPr>
            <w:r>
              <w:rPr>
                <w:rFonts w:ascii="Arial" w:cs="Arial" w:eastAsia="Arial" w:hAnsi="Arial"/>
                <w:sz w:val="16"/>
                <w:szCs w:val="16"/>
                <w:color w:val="auto"/>
              </w:rPr>
              <w:t>2022</w:t>
            </w:r>
          </w:p>
        </w:tc>
        <w:tc>
          <w:tcPr>
            <w:tcW w:w="9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43"/>
              <w:spacing w:after="0"/>
              <w:rPr>
                <w:sz w:val="20"/>
                <w:szCs w:val="20"/>
                <w:color w:val="auto"/>
              </w:rPr>
            </w:pPr>
            <w:r>
              <w:rPr>
                <w:rFonts w:ascii="Arial" w:cs="Arial" w:eastAsia="Arial" w:hAnsi="Arial"/>
                <w:sz w:val="16"/>
                <w:szCs w:val="16"/>
                <w:color w:val="auto"/>
              </w:rPr>
              <w:t>2023</w:t>
            </w: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jc w:val="right"/>
              <w:ind w:right="763"/>
              <w:spacing w:after="0"/>
              <w:rPr>
                <w:sz w:val="20"/>
                <w:szCs w:val="20"/>
                <w:color w:val="auto"/>
              </w:rPr>
            </w:pPr>
            <w:r>
              <w:rPr>
                <w:rFonts w:ascii="Arial" w:cs="Arial" w:eastAsia="Arial" w:hAnsi="Arial"/>
                <w:sz w:val="16"/>
                <w:szCs w:val="16"/>
                <w:color w:val="auto"/>
              </w:rPr>
              <w:t>2022</w:t>
            </w:r>
          </w:p>
        </w:tc>
      </w:tr>
      <w:tr>
        <w:trPr>
          <w:trHeight w:val="189"/>
        </w:trPr>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Arial" w:cs="Arial" w:eastAsia="Arial" w:hAnsi="Arial"/>
                <w:sz w:val="16"/>
                <w:szCs w:val="16"/>
                <w:color w:val="auto"/>
                <w:w w:val="98"/>
              </w:rPr>
              <w:t>Variance from</w:t>
            </w:r>
          </w:p>
        </w:tc>
        <w:tc>
          <w:tcPr>
            <w:tcW w:w="420" w:type="dxa"/>
            <w:vAlign w:val="bottom"/>
          </w:tcPr>
          <w:p>
            <w:pPr>
              <w:spacing w:after="0"/>
              <w:rPr>
                <w:sz w:val="16"/>
                <w:szCs w:val="16"/>
                <w:color w:val="auto"/>
              </w:rPr>
            </w:pPr>
          </w:p>
        </w:tc>
        <w:tc>
          <w:tcPr>
            <w:tcW w:w="2040" w:type="dxa"/>
            <w:vAlign w:val="bottom"/>
            <w:gridSpan w:val="2"/>
          </w:tcPr>
          <w:p>
            <w:pPr>
              <w:jc w:val="center"/>
              <w:ind w:right="444"/>
              <w:spacing w:after="0"/>
              <w:rPr>
                <w:sz w:val="20"/>
                <w:szCs w:val="20"/>
                <w:color w:val="auto"/>
              </w:rPr>
            </w:pPr>
            <w:r>
              <w:rPr>
                <w:rFonts w:ascii="Arial" w:cs="Arial" w:eastAsia="Arial" w:hAnsi="Arial"/>
                <w:sz w:val="16"/>
                <w:szCs w:val="16"/>
                <w:color w:val="auto"/>
              </w:rPr>
              <w:t>Variance from</w:t>
            </w:r>
          </w:p>
        </w:tc>
        <w:tc>
          <w:tcPr>
            <w:tcW w:w="1280" w:type="dxa"/>
            <w:vAlign w:val="bottom"/>
            <w:gridSpan w:val="2"/>
          </w:tcPr>
          <w:p>
            <w:pPr>
              <w:ind w:left="280"/>
              <w:spacing w:after="0"/>
              <w:rPr>
                <w:sz w:val="20"/>
                <w:szCs w:val="20"/>
                <w:color w:val="auto"/>
              </w:rPr>
            </w:pPr>
            <w:r>
              <w:rPr>
                <w:rFonts w:ascii="Arial" w:cs="Arial" w:eastAsia="Arial" w:hAnsi="Arial"/>
                <w:sz w:val="16"/>
                <w:szCs w:val="16"/>
                <w:color w:val="auto"/>
                <w:w w:val="98"/>
              </w:rPr>
              <w:t>Variance from</w:t>
            </w:r>
          </w:p>
        </w:tc>
        <w:tc>
          <w:tcPr>
            <w:tcW w:w="10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Variance from</w:t>
            </w:r>
          </w:p>
        </w:tc>
      </w:tr>
      <w:tr>
        <w:trPr>
          <w:trHeight w:val="210"/>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Heating Degree Days</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66"/>
              <w:spacing w:after="0"/>
              <w:rPr>
                <w:sz w:val="20"/>
                <w:szCs w:val="20"/>
                <w:color w:val="auto"/>
              </w:rPr>
            </w:pPr>
            <w:r>
              <w:rPr>
                <w:rFonts w:ascii="Arial" w:cs="Arial" w:eastAsia="Arial" w:hAnsi="Arial"/>
                <w:sz w:val="16"/>
                <w:szCs w:val="16"/>
                <w:color w:val="auto"/>
              </w:rPr>
              <w:t>Actual</w:t>
            </w: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Normal</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Actual</w:t>
            </w:r>
          </w:p>
        </w:tc>
        <w:tc>
          <w:tcPr>
            <w:tcW w:w="1060" w:type="dxa"/>
            <w:vAlign w:val="bottom"/>
            <w:tcBorders>
              <w:bottom w:val="single" w:sz="8" w:color="auto"/>
            </w:tcBorders>
          </w:tcPr>
          <w:p>
            <w:pPr>
              <w:jc w:val="center"/>
              <w:ind w:left="383"/>
              <w:spacing w:after="0"/>
              <w:rPr>
                <w:sz w:val="20"/>
                <w:szCs w:val="20"/>
                <w:color w:val="auto"/>
              </w:rPr>
            </w:pPr>
            <w:r>
              <w:rPr>
                <w:rFonts w:ascii="Arial" w:cs="Arial" w:eastAsia="Arial" w:hAnsi="Arial"/>
                <w:sz w:val="16"/>
                <w:szCs w:val="16"/>
                <w:color w:val="auto"/>
              </w:rPr>
              <w:t>Normal</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Actual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Normal</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Actual</w:t>
            </w:r>
          </w:p>
        </w:tc>
        <w:tc>
          <w:tcPr>
            <w:tcW w:w="106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Normal</w:t>
            </w:r>
          </w:p>
        </w:tc>
      </w:tr>
      <w:tr>
        <w:trPr>
          <w:trHeight w:val="213"/>
        </w:trPr>
        <w:tc>
          <w:tcPr>
            <w:tcW w:w="2460" w:type="dxa"/>
            <w:vAlign w:val="bottom"/>
            <w:shd w:val="clear" w:color="auto" w:fill="CFF0FC"/>
          </w:tcPr>
          <w:p>
            <w:pPr>
              <w:ind w:left="20"/>
              <w:spacing w:after="0" w:line="213"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jc w:val="center"/>
              <w:ind w:left="41"/>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560" w:type="dxa"/>
            <w:vAlign w:val="bottom"/>
            <w:shd w:val="clear" w:color="auto" w:fill="CFF0FC"/>
          </w:tcPr>
          <w:p>
            <w:pPr>
              <w:spacing w:after="0"/>
              <w:rPr>
                <w:sz w:val="18"/>
                <w:szCs w:val="18"/>
                <w:color w:val="auto"/>
              </w:rPr>
            </w:pPr>
          </w:p>
        </w:tc>
        <w:tc>
          <w:tcPr>
            <w:tcW w:w="420" w:type="dxa"/>
            <w:vAlign w:val="bottom"/>
            <w:shd w:val="clear" w:color="auto" w:fill="CFF0FC"/>
          </w:tcPr>
          <w:p>
            <w:pPr>
              <w:jc w:val="center"/>
              <w:ind w:right="41"/>
              <w:spacing w:after="0"/>
              <w:rPr>
                <w:sz w:val="20"/>
                <w:szCs w:val="20"/>
                <w:color w:val="auto"/>
              </w:rPr>
            </w:pPr>
            <w:r>
              <w:rPr>
                <w:rFonts w:ascii="Arial" w:cs="Arial" w:eastAsia="Arial" w:hAnsi="Arial"/>
                <w:sz w:val="16"/>
                <w:szCs w:val="16"/>
                <w:color w:val="auto"/>
              </w:rPr>
              <w:t>16</w:t>
            </w:r>
          </w:p>
        </w:tc>
        <w:tc>
          <w:tcPr>
            <w:tcW w:w="1060" w:type="dxa"/>
            <w:vAlign w:val="bottom"/>
            <w:shd w:val="clear" w:color="auto" w:fill="CFF0FC"/>
          </w:tcPr>
          <w:p>
            <w:pPr>
              <w:jc w:val="center"/>
              <w:ind w:left="383"/>
              <w:spacing w:after="0"/>
              <w:rPr>
                <w:sz w:val="20"/>
                <w:szCs w:val="20"/>
                <w:color w:val="auto"/>
              </w:rPr>
            </w:pPr>
            <w:r>
              <w:rPr>
                <w:rFonts w:ascii="Arial" w:cs="Arial" w:eastAsia="Arial" w:hAnsi="Arial"/>
                <w:sz w:val="16"/>
                <w:szCs w:val="16"/>
                <w:color w:val="auto"/>
              </w:rPr>
              <w:t>(63)%</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1,944</w:t>
            </w:r>
          </w:p>
        </w:tc>
        <w:tc>
          <w:tcPr>
            <w:tcW w:w="1060" w:type="dxa"/>
            <w:vAlign w:val="bottom"/>
            <w:shd w:val="clear" w:color="auto" w:fill="CFF0FC"/>
          </w:tcPr>
          <w:p>
            <w:pPr>
              <w:jc w:val="center"/>
              <w:ind w:left="423"/>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04"/>
              <w:spacing w:after="0"/>
              <w:rPr>
                <w:sz w:val="20"/>
                <w:szCs w:val="20"/>
                <w:color w:val="auto"/>
              </w:rPr>
            </w:pPr>
            <w:r>
              <w:rPr>
                <w:rFonts w:ascii="Arial" w:cs="Arial" w:eastAsia="Arial" w:hAnsi="Arial"/>
                <w:sz w:val="16"/>
                <w:szCs w:val="16"/>
                <w:color w:val="auto"/>
              </w:rPr>
              <w:t>2,386</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center"/>
              <w:ind w:left="21"/>
              <w:spacing w:after="0"/>
              <w:rPr>
                <w:sz w:val="20"/>
                <w:szCs w:val="20"/>
                <w:color w:val="auto"/>
              </w:rPr>
            </w:pPr>
            <w:r>
              <w:rPr>
                <w:rFonts w:ascii="Arial" w:cs="Arial" w:eastAsia="Arial" w:hAnsi="Arial"/>
                <w:sz w:val="16"/>
                <w:szCs w:val="16"/>
                <w:color w:val="auto"/>
              </w:rPr>
              <w:t>91</w:t>
            </w:r>
          </w:p>
        </w:tc>
        <w:tc>
          <w:tcPr>
            <w:tcW w:w="6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w w:val="98"/>
              </w:rPr>
              <w:t>(22)%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center"/>
              <w:ind w:right="41"/>
              <w:spacing w:after="0"/>
              <w:rPr>
                <w:sz w:val="20"/>
                <w:szCs w:val="20"/>
                <w:color w:val="auto"/>
              </w:rPr>
            </w:pPr>
            <w:r>
              <w:rPr>
                <w:rFonts w:ascii="Arial" w:cs="Arial" w:eastAsia="Arial" w:hAnsi="Arial"/>
                <w:sz w:val="16"/>
                <w:szCs w:val="16"/>
                <w:color w:val="auto"/>
              </w:rPr>
              <w:t>84</w:t>
            </w:r>
          </w:p>
        </w:tc>
        <w:tc>
          <w:tcPr>
            <w:tcW w:w="1060" w:type="dxa"/>
            <w:vAlign w:val="bottom"/>
          </w:tcPr>
          <w:p>
            <w:pPr>
              <w:jc w:val="center"/>
              <w:ind w:left="383"/>
              <w:spacing w:after="0"/>
              <w:rPr>
                <w:sz w:val="20"/>
                <w:szCs w:val="20"/>
                <w:color w:val="auto"/>
              </w:rPr>
            </w:pPr>
            <w:r>
              <w:rPr>
                <w:rFonts w:ascii="Arial" w:cs="Arial" w:eastAsia="Arial" w:hAnsi="Arial"/>
                <w:sz w:val="16"/>
                <w:szCs w:val="16"/>
                <w:color w:val="auto"/>
              </w:rPr>
              <w:t>(61)%</w:t>
            </w:r>
          </w:p>
        </w:tc>
        <w:tc>
          <w:tcPr>
            <w:tcW w:w="980" w:type="dxa"/>
            <w:vAlign w:val="bottom"/>
          </w:tcPr>
          <w:p>
            <w:pPr>
              <w:jc w:val="right"/>
              <w:spacing w:after="0"/>
              <w:rPr>
                <w:sz w:val="20"/>
                <w:szCs w:val="20"/>
                <w:color w:val="auto"/>
              </w:rPr>
            </w:pPr>
            <w:r>
              <w:rPr>
                <w:rFonts w:ascii="Arial" w:cs="Arial" w:eastAsia="Arial" w:hAnsi="Arial"/>
                <w:sz w:val="16"/>
                <w:szCs w:val="16"/>
                <w:color w:val="auto"/>
              </w:rPr>
              <w:t>4,078</w:t>
            </w:r>
          </w:p>
        </w:tc>
        <w:tc>
          <w:tcPr>
            <w:tcW w:w="1060" w:type="dxa"/>
            <w:vAlign w:val="bottom"/>
          </w:tcPr>
          <w:p>
            <w:pPr>
              <w:jc w:val="center"/>
              <w:ind w:left="423"/>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1000" w:type="dxa"/>
            <w:vAlign w:val="bottom"/>
          </w:tcPr>
          <w:p>
            <w:pPr>
              <w:jc w:val="right"/>
              <w:ind w:right="204"/>
              <w:spacing w:after="0"/>
              <w:rPr>
                <w:sz w:val="20"/>
                <w:szCs w:val="20"/>
                <w:color w:val="auto"/>
              </w:rPr>
            </w:pPr>
            <w:r>
              <w:rPr>
                <w:rFonts w:ascii="Arial" w:cs="Arial" w:eastAsia="Arial" w:hAnsi="Arial"/>
                <w:sz w:val="16"/>
                <w:szCs w:val="16"/>
                <w:color w:val="auto"/>
              </w:rPr>
              <w:t>3,847</w:t>
            </w:r>
          </w:p>
        </w:tc>
        <w:tc>
          <w:tcPr>
            <w:tcW w:w="1060" w:type="dxa"/>
            <w:vAlign w:val="bottom"/>
          </w:tcPr>
          <w:p>
            <w:pPr>
              <w:jc w:val="center"/>
              <w:spacing w:after="0"/>
              <w:rPr>
                <w:sz w:val="20"/>
                <w:szCs w:val="20"/>
                <w:color w:val="auto"/>
              </w:rPr>
            </w:pPr>
            <w:r>
              <w:rPr>
                <w:rFonts w:ascii="Arial" w:cs="Arial" w:eastAsia="Arial" w:hAnsi="Arial"/>
                <w:sz w:val="16"/>
                <w:szCs w:val="16"/>
                <w:color w:val="auto"/>
              </w:rPr>
              <w:t>(6)%</w:t>
            </w:r>
          </w:p>
        </w:tc>
      </w:tr>
      <w:tr>
        <w:trPr>
          <w:trHeight w:val="21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center"/>
              <w:ind w:left="21"/>
              <w:spacing w:after="0"/>
              <w:rPr>
                <w:sz w:val="20"/>
                <w:szCs w:val="20"/>
                <w:color w:val="auto"/>
              </w:rPr>
            </w:pPr>
            <w:r>
              <w:rPr>
                <w:rFonts w:ascii="Arial" w:cs="Arial" w:eastAsia="Arial" w:hAnsi="Arial"/>
                <w:sz w:val="16"/>
                <w:szCs w:val="16"/>
                <w:color w:val="auto"/>
              </w:rPr>
              <w:t>37</w:t>
            </w: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(59)%</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20" w:type="dxa"/>
            <w:vAlign w:val="bottom"/>
            <w:shd w:val="clear" w:color="auto" w:fill="CFF0FC"/>
          </w:tcPr>
          <w:p>
            <w:pPr>
              <w:jc w:val="center"/>
              <w:ind w:right="41"/>
              <w:spacing w:after="0"/>
              <w:rPr>
                <w:sz w:val="20"/>
                <w:szCs w:val="20"/>
                <w:color w:val="auto"/>
              </w:rPr>
            </w:pPr>
            <w:r>
              <w:rPr>
                <w:rFonts w:ascii="Arial" w:cs="Arial" w:eastAsia="Arial" w:hAnsi="Arial"/>
                <w:sz w:val="16"/>
                <w:szCs w:val="16"/>
                <w:color w:val="auto"/>
              </w:rPr>
              <w:t>92</w:t>
            </w:r>
          </w:p>
        </w:tc>
        <w:tc>
          <w:tcPr>
            <w:tcW w:w="1060" w:type="dxa"/>
            <w:vAlign w:val="bottom"/>
            <w:shd w:val="clear" w:color="auto" w:fill="CFF0FC"/>
          </w:tcPr>
          <w:p>
            <w:pPr>
              <w:jc w:val="center"/>
              <w:ind w:left="383"/>
              <w:spacing w:after="0"/>
              <w:rPr>
                <w:sz w:val="20"/>
                <w:szCs w:val="20"/>
                <w:color w:val="auto"/>
              </w:rPr>
            </w:pPr>
            <w:r>
              <w:rPr>
                <w:rFonts w:ascii="Arial" w:cs="Arial" w:eastAsia="Arial" w:hAnsi="Arial"/>
                <w:sz w:val="16"/>
                <w:szCs w:val="16"/>
                <w:color w:val="auto"/>
              </w:rPr>
              <w:t>(34)%</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3,867</w:t>
            </w:r>
          </w:p>
        </w:tc>
        <w:tc>
          <w:tcPr>
            <w:tcW w:w="1060" w:type="dxa"/>
            <w:vAlign w:val="bottom"/>
            <w:shd w:val="clear" w:color="auto" w:fill="CFF0FC"/>
          </w:tcPr>
          <w:p>
            <w:pPr>
              <w:jc w:val="center"/>
              <w:ind w:left="423"/>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204"/>
              <w:spacing w:after="0"/>
              <w:rPr>
                <w:sz w:val="20"/>
                <w:szCs w:val="20"/>
                <w:color w:val="auto"/>
              </w:rPr>
            </w:pPr>
            <w:r>
              <w:rPr>
                <w:rFonts w:ascii="Arial" w:cs="Arial" w:eastAsia="Arial" w:hAnsi="Arial"/>
                <w:sz w:val="16"/>
                <w:szCs w:val="16"/>
                <w:color w:val="auto"/>
              </w:rPr>
              <w:t>4,474</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7%</w:t>
            </w:r>
          </w:p>
        </w:tc>
      </w:tr>
      <w:tr>
        <w:trPr>
          <w:trHeight w:val="216"/>
        </w:trPr>
        <w:tc>
          <w:tcPr>
            <w:tcW w:w="24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center"/>
              <w:ind w:left="41"/>
              <w:spacing w:after="0"/>
              <w:rPr>
                <w:sz w:val="20"/>
                <w:szCs w:val="20"/>
                <w:color w:val="auto"/>
              </w:rPr>
            </w:pPr>
            <w:r>
              <w:rPr>
                <w:rFonts w:ascii="Arial" w:cs="Arial" w:eastAsia="Arial" w:hAnsi="Arial"/>
                <w:sz w:val="16"/>
                <w:szCs w:val="16"/>
                <w:color w:val="auto"/>
                <w:w w:val="89"/>
              </w:rPr>
              <w:t>6</w:t>
            </w:r>
          </w:p>
        </w:tc>
        <w:tc>
          <w:tcPr>
            <w:tcW w:w="6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w w:val="98"/>
              </w:rPr>
              <w:t>(78)%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center"/>
              <w:ind w:right="41"/>
              <w:spacing w:after="0"/>
              <w:rPr>
                <w:sz w:val="20"/>
                <w:szCs w:val="20"/>
                <w:color w:val="auto"/>
              </w:rPr>
            </w:pPr>
            <w:r>
              <w:rPr>
                <w:rFonts w:ascii="Arial" w:cs="Arial" w:eastAsia="Arial" w:hAnsi="Arial"/>
                <w:sz w:val="16"/>
                <w:szCs w:val="16"/>
                <w:color w:val="auto"/>
              </w:rPr>
              <w:t>23</w:t>
            </w:r>
          </w:p>
        </w:tc>
        <w:tc>
          <w:tcPr>
            <w:tcW w:w="1060" w:type="dxa"/>
            <w:vAlign w:val="bottom"/>
          </w:tcPr>
          <w:p>
            <w:pPr>
              <w:jc w:val="center"/>
              <w:ind w:left="383"/>
              <w:spacing w:after="0"/>
              <w:rPr>
                <w:sz w:val="20"/>
                <w:szCs w:val="20"/>
                <w:color w:val="auto"/>
              </w:rPr>
            </w:pPr>
            <w:r>
              <w:rPr>
                <w:rFonts w:ascii="Arial" w:cs="Arial" w:eastAsia="Arial" w:hAnsi="Arial"/>
                <w:sz w:val="16"/>
                <w:szCs w:val="16"/>
                <w:color w:val="auto"/>
              </w:rPr>
              <w:t>(58)%</w:t>
            </w:r>
          </w:p>
        </w:tc>
        <w:tc>
          <w:tcPr>
            <w:tcW w:w="980" w:type="dxa"/>
            <w:vAlign w:val="bottom"/>
          </w:tcPr>
          <w:p>
            <w:pPr>
              <w:jc w:val="right"/>
              <w:spacing w:after="0"/>
              <w:rPr>
                <w:sz w:val="20"/>
                <w:szCs w:val="20"/>
                <w:color w:val="auto"/>
              </w:rPr>
            </w:pPr>
            <w:r>
              <w:rPr>
                <w:rFonts w:ascii="Arial" w:cs="Arial" w:eastAsia="Arial" w:hAnsi="Arial"/>
                <w:sz w:val="16"/>
                <w:szCs w:val="16"/>
                <w:color w:val="auto"/>
              </w:rPr>
              <w:t>2,749</w:t>
            </w:r>
          </w:p>
        </w:tc>
        <w:tc>
          <w:tcPr>
            <w:tcW w:w="1060" w:type="dxa"/>
            <w:vAlign w:val="bottom"/>
          </w:tcPr>
          <w:p>
            <w:pPr>
              <w:jc w:val="center"/>
              <w:ind w:left="423"/>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1000" w:type="dxa"/>
            <w:vAlign w:val="bottom"/>
          </w:tcPr>
          <w:p>
            <w:pPr>
              <w:jc w:val="right"/>
              <w:ind w:right="204"/>
              <w:spacing w:after="0"/>
              <w:rPr>
                <w:sz w:val="20"/>
                <w:szCs w:val="20"/>
                <w:color w:val="auto"/>
              </w:rPr>
            </w:pPr>
            <w:r>
              <w:rPr>
                <w:rFonts w:ascii="Arial" w:cs="Arial" w:eastAsia="Arial" w:hAnsi="Arial"/>
                <w:sz w:val="16"/>
                <w:szCs w:val="16"/>
                <w:color w:val="auto"/>
              </w:rPr>
              <w:t>3,043</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w:t>
            </w:r>
          </w:p>
        </w:tc>
      </w:tr>
      <w:tr>
        <w:trPr>
          <w:trHeight w:val="21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jc w:val="center"/>
              <w:ind w:left="21"/>
              <w:spacing w:after="0"/>
              <w:rPr>
                <w:sz w:val="20"/>
                <w:szCs w:val="20"/>
                <w:color w:val="auto"/>
              </w:rPr>
            </w:pPr>
            <w:r>
              <w:rPr>
                <w:rFonts w:ascii="Arial" w:cs="Arial" w:eastAsia="Arial" w:hAnsi="Arial"/>
                <w:sz w:val="16"/>
                <w:szCs w:val="16"/>
                <w:color w:val="auto"/>
              </w:rPr>
              <w:t>21</w:t>
            </w:r>
          </w:p>
        </w:tc>
        <w:tc>
          <w:tcPr>
            <w:tcW w:w="620" w:type="dxa"/>
            <w:vAlign w:val="bottom"/>
            <w:shd w:val="clear" w:color="auto" w:fill="CFF0FC"/>
          </w:tcPr>
          <w:p>
            <w:pPr>
              <w:spacing w:after="0"/>
              <w:rPr>
                <w:sz w:val="18"/>
                <w:szCs w:val="18"/>
                <w:color w:val="auto"/>
              </w:rPr>
            </w:pPr>
          </w:p>
        </w:tc>
        <w:tc>
          <w:tcPr>
            <w:tcW w:w="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(67)%</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20" w:type="dxa"/>
            <w:vAlign w:val="bottom"/>
            <w:shd w:val="clear" w:color="auto" w:fill="CFF0FC"/>
          </w:tcPr>
          <w:p>
            <w:pPr>
              <w:jc w:val="center"/>
              <w:ind w:right="41"/>
              <w:spacing w:after="0"/>
              <w:rPr>
                <w:sz w:val="20"/>
                <w:szCs w:val="20"/>
                <w:color w:val="auto"/>
              </w:rPr>
            </w:pPr>
            <w:r>
              <w:rPr>
                <w:rFonts w:ascii="Arial" w:cs="Arial" w:eastAsia="Arial" w:hAnsi="Arial"/>
                <w:sz w:val="16"/>
                <w:szCs w:val="16"/>
                <w:color w:val="auto"/>
              </w:rPr>
              <w:t>48</w:t>
            </w:r>
          </w:p>
        </w:tc>
        <w:tc>
          <w:tcPr>
            <w:tcW w:w="1060" w:type="dxa"/>
            <w:vAlign w:val="bottom"/>
            <w:shd w:val="clear" w:color="auto" w:fill="CFF0FC"/>
          </w:tcPr>
          <w:p>
            <w:pPr>
              <w:jc w:val="center"/>
              <w:ind w:left="383"/>
              <w:spacing w:after="0"/>
              <w:rPr>
                <w:sz w:val="20"/>
                <w:szCs w:val="20"/>
                <w:color w:val="auto"/>
              </w:rPr>
            </w:pPr>
            <w:r>
              <w:rPr>
                <w:rFonts w:ascii="Arial" w:cs="Arial" w:eastAsia="Arial" w:hAnsi="Arial"/>
                <w:sz w:val="16"/>
                <w:szCs w:val="16"/>
                <w:color w:val="auto"/>
              </w:rPr>
              <w:t>(56)%</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3,591</w:t>
            </w:r>
          </w:p>
        </w:tc>
        <w:tc>
          <w:tcPr>
            <w:tcW w:w="1060" w:type="dxa"/>
            <w:vAlign w:val="bottom"/>
            <w:shd w:val="clear" w:color="auto" w:fill="CFF0FC"/>
          </w:tcPr>
          <w:p>
            <w:pPr>
              <w:jc w:val="center"/>
              <w:ind w:left="403"/>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04"/>
              <w:spacing w:after="0"/>
              <w:rPr>
                <w:sz w:val="20"/>
                <w:szCs w:val="20"/>
                <w:color w:val="auto"/>
              </w:rPr>
            </w:pPr>
            <w:r>
              <w:rPr>
                <w:rFonts w:ascii="Arial" w:cs="Arial" w:eastAsia="Arial" w:hAnsi="Arial"/>
                <w:sz w:val="16"/>
                <w:szCs w:val="16"/>
                <w:color w:val="auto"/>
              </w:rPr>
              <w:t>3,768</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center"/>
              <w:ind w:left="41"/>
              <w:spacing w:after="0"/>
              <w:rPr>
                <w:sz w:val="20"/>
                <w:szCs w:val="20"/>
                <w:color w:val="auto"/>
              </w:rPr>
            </w:pPr>
            <w:r>
              <w:rPr>
                <w:rFonts w:ascii="Arial" w:cs="Arial" w:eastAsia="Arial" w:hAnsi="Arial"/>
                <w:sz w:val="16"/>
                <w:szCs w:val="16"/>
                <w:color w:val="auto"/>
              </w:rPr>
              <w:t>180</w:t>
            </w:r>
          </w:p>
        </w:tc>
        <w:tc>
          <w:tcPr>
            <w:tcW w:w="6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w w:val="94"/>
              </w:rPr>
              <w:t>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center"/>
              <w:ind w:right="21"/>
              <w:spacing w:after="0"/>
              <w:rPr>
                <w:sz w:val="20"/>
                <w:szCs w:val="20"/>
                <w:color w:val="auto"/>
              </w:rPr>
            </w:pPr>
            <w:r>
              <w:rPr>
                <w:rFonts w:ascii="Arial" w:cs="Arial" w:eastAsia="Arial" w:hAnsi="Arial"/>
                <w:sz w:val="16"/>
                <w:szCs w:val="16"/>
                <w:color w:val="auto"/>
              </w:rPr>
              <w:t>140</w:t>
            </w:r>
          </w:p>
        </w:tc>
        <w:tc>
          <w:tcPr>
            <w:tcW w:w="1060" w:type="dxa"/>
            <w:vAlign w:val="bottom"/>
          </w:tcPr>
          <w:p>
            <w:pPr>
              <w:jc w:val="center"/>
              <w:ind w:left="383"/>
              <w:spacing w:after="0"/>
              <w:rPr>
                <w:sz w:val="20"/>
                <w:szCs w:val="20"/>
                <w:color w:val="auto"/>
              </w:rPr>
            </w:pPr>
            <w:r>
              <w:rPr>
                <w:rFonts w:ascii="Arial" w:cs="Arial" w:eastAsia="Arial" w:hAnsi="Arial"/>
                <w:sz w:val="16"/>
                <w:szCs w:val="16"/>
                <w:color w:val="auto"/>
              </w:rPr>
              <w:t>(55)%</w:t>
            </w:r>
          </w:p>
        </w:tc>
        <w:tc>
          <w:tcPr>
            <w:tcW w:w="980" w:type="dxa"/>
            <w:vAlign w:val="bottom"/>
          </w:tcPr>
          <w:p>
            <w:pPr>
              <w:jc w:val="right"/>
              <w:spacing w:after="0"/>
              <w:rPr>
                <w:sz w:val="20"/>
                <w:szCs w:val="20"/>
                <w:color w:val="auto"/>
              </w:rPr>
            </w:pPr>
            <w:r>
              <w:rPr>
                <w:rFonts w:ascii="Arial" w:cs="Arial" w:eastAsia="Arial" w:hAnsi="Arial"/>
                <w:sz w:val="16"/>
                <w:szCs w:val="16"/>
                <w:color w:val="auto"/>
              </w:rPr>
              <w:t>4,953</w:t>
            </w:r>
          </w:p>
        </w:tc>
        <w:tc>
          <w:tcPr>
            <w:tcW w:w="1060" w:type="dxa"/>
            <w:vAlign w:val="bottom"/>
          </w:tcPr>
          <w:p>
            <w:pPr>
              <w:jc w:val="center"/>
              <w:ind w:left="423"/>
              <w:spacing w:after="0"/>
              <w:rPr>
                <w:sz w:val="20"/>
                <w:szCs w:val="20"/>
                <w:color w:val="auto"/>
              </w:rPr>
            </w:pPr>
            <w:r>
              <w:rPr>
                <w:rFonts w:ascii="Arial" w:cs="Arial" w:eastAsia="Arial" w:hAnsi="Arial"/>
                <w:sz w:val="16"/>
                <w:szCs w:val="16"/>
                <w:color w:val="auto"/>
                <w:w w:val="99"/>
              </w:rPr>
              <w:t>14%</w:t>
            </w:r>
          </w:p>
        </w:tc>
        <w:tc>
          <w:tcPr>
            <w:tcW w:w="220" w:type="dxa"/>
            <w:vAlign w:val="bottom"/>
          </w:tcPr>
          <w:p>
            <w:pPr>
              <w:spacing w:after="0"/>
              <w:rPr>
                <w:sz w:val="18"/>
                <w:szCs w:val="18"/>
                <w:color w:val="auto"/>
              </w:rPr>
            </w:pPr>
          </w:p>
        </w:tc>
        <w:tc>
          <w:tcPr>
            <w:tcW w:w="1000" w:type="dxa"/>
            <w:vAlign w:val="bottom"/>
          </w:tcPr>
          <w:p>
            <w:pPr>
              <w:jc w:val="right"/>
              <w:ind w:right="204"/>
              <w:spacing w:after="0"/>
              <w:rPr>
                <w:sz w:val="20"/>
                <w:szCs w:val="20"/>
                <w:color w:val="auto"/>
              </w:rPr>
            </w:pPr>
            <w:r>
              <w:rPr>
                <w:rFonts w:ascii="Arial" w:cs="Arial" w:eastAsia="Arial" w:hAnsi="Arial"/>
                <w:sz w:val="16"/>
                <w:szCs w:val="16"/>
                <w:color w:val="auto"/>
              </w:rPr>
              <w:t>4,738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w:t>
            </w:r>
          </w:p>
        </w:tc>
      </w:tr>
      <w:tr>
        <w:trPr>
          <w:trHeight w:val="219"/>
        </w:trPr>
        <w:tc>
          <w:tcPr>
            <w:tcW w:w="2460" w:type="dxa"/>
            <w:vAlign w:val="bottom"/>
            <w:shd w:val="clear" w:color="auto" w:fill="CFF0FC"/>
          </w:tcPr>
          <w:p>
            <w:pPr>
              <w:ind w:left="120"/>
              <w:spacing w:after="0" w:line="21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center"/>
              <w:ind w:left="21"/>
              <w:spacing w:after="0"/>
              <w:rPr>
                <w:sz w:val="20"/>
                <w:szCs w:val="20"/>
                <w:color w:val="auto"/>
              </w:rPr>
            </w:pPr>
            <w:r>
              <w:rPr>
                <w:rFonts w:ascii="Arial" w:cs="Arial" w:eastAsia="Arial" w:hAnsi="Arial"/>
                <w:sz w:val="16"/>
                <w:szCs w:val="16"/>
                <w:color w:val="auto"/>
              </w:rPr>
              <w:t>56</w:t>
            </w: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(35)%</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20" w:type="dxa"/>
            <w:vAlign w:val="bottom"/>
            <w:shd w:val="clear" w:color="auto" w:fill="CFF0FC"/>
          </w:tcPr>
          <w:p>
            <w:pPr>
              <w:jc w:val="center"/>
              <w:ind w:right="41"/>
              <w:spacing w:after="0"/>
              <w:rPr>
                <w:sz w:val="20"/>
                <w:szCs w:val="20"/>
                <w:color w:val="auto"/>
              </w:rPr>
            </w:pPr>
            <w:r>
              <w:rPr>
                <w:rFonts w:ascii="Arial" w:cs="Arial" w:eastAsia="Arial" w:hAnsi="Arial"/>
                <w:sz w:val="16"/>
                <w:szCs w:val="16"/>
                <w:color w:val="auto"/>
              </w:rPr>
              <w:t>70</w:t>
            </w:r>
          </w:p>
        </w:tc>
        <w:tc>
          <w:tcPr>
            <w:tcW w:w="1060" w:type="dxa"/>
            <w:vAlign w:val="bottom"/>
            <w:shd w:val="clear" w:color="auto" w:fill="CFF0FC"/>
          </w:tcPr>
          <w:p>
            <w:pPr>
              <w:jc w:val="center"/>
              <w:ind w:left="383"/>
              <w:spacing w:after="0"/>
              <w:rPr>
                <w:sz w:val="20"/>
                <w:szCs w:val="20"/>
                <w:color w:val="auto"/>
              </w:rPr>
            </w:pPr>
            <w:r>
              <w:rPr>
                <w:rFonts w:ascii="Arial" w:cs="Arial" w:eastAsia="Arial" w:hAnsi="Arial"/>
                <w:sz w:val="16"/>
                <w:szCs w:val="16"/>
                <w:color w:val="auto"/>
              </w:rPr>
              <w:t>(53)%</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3,926</w:t>
            </w:r>
          </w:p>
        </w:tc>
        <w:tc>
          <w:tcPr>
            <w:tcW w:w="1060" w:type="dxa"/>
            <w:vAlign w:val="bottom"/>
            <w:shd w:val="clear" w:color="auto" w:fill="CFF0FC"/>
          </w:tcPr>
          <w:p>
            <w:pPr>
              <w:jc w:val="center"/>
              <w:ind w:left="423"/>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204"/>
              <w:spacing w:after="0"/>
              <w:rPr>
                <w:sz w:val="20"/>
                <w:szCs w:val="20"/>
                <w:color w:val="auto"/>
              </w:rPr>
            </w:pPr>
            <w:r>
              <w:rPr>
                <w:rFonts w:ascii="Arial" w:cs="Arial" w:eastAsia="Arial" w:hAnsi="Arial"/>
                <w:sz w:val="16"/>
                <w:szCs w:val="16"/>
                <w:color w:val="auto"/>
              </w:rPr>
              <w:t>4,003</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Arkansas Gas and Kansas Gas have weather normalization mechanisms that mitigate the weather impact on gross margins.</w:t>
      </w:r>
    </w:p>
    <w:p>
      <w:pPr>
        <w:spacing w:after="0" w:line="11" w:lineRule="exact"/>
        <w:rPr>
          <w:rFonts w:ascii="Arial" w:cs="Arial" w:eastAsia="Arial" w:hAnsi="Arial"/>
          <w:sz w:val="14"/>
          <w:szCs w:val="14"/>
          <w:color w:val="auto"/>
        </w:rPr>
      </w:pPr>
    </w:p>
    <w:p>
      <w:pPr>
        <w:ind w:left="520" w:right="340" w:hanging="512"/>
        <w:spacing w:after="0" w:line="258"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20" w:type="dxa"/>
            <w:vAlign w:val="bottom"/>
          </w:tcPr>
          <w:p>
            <w:pPr>
              <w:spacing w:after="0"/>
              <w:rPr>
                <w:sz w:val="20"/>
                <w:szCs w:val="20"/>
                <w:color w:val="auto"/>
              </w:rPr>
            </w:pPr>
            <w:r>
              <w:rPr>
                <w:rFonts w:ascii="Arial" w:cs="Arial" w:eastAsia="Arial" w:hAnsi="Arial"/>
                <w:sz w:val="16"/>
                <w:szCs w:val="16"/>
                <w:b w:val="1"/>
                <w:bCs w:val="1"/>
                <w:color w:val="auto"/>
              </w:rPr>
              <w:t>Corporate and Other</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66"/>
        </w:trPr>
        <w:tc>
          <w:tcPr>
            <w:tcW w:w="5160" w:type="dxa"/>
            <w:vAlign w:val="bottom"/>
            <w:gridSpan w:val="3"/>
          </w:tcPr>
          <w:p>
            <w:pPr>
              <w:spacing w:after="0"/>
              <w:rPr>
                <w:sz w:val="20"/>
                <w:szCs w:val="20"/>
                <w:color w:val="auto"/>
              </w:rPr>
            </w:pPr>
            <w:r>
              <w:rPr>
                <w:rFonts w:ascii="Arial" w:cs="Arial" w:eastAsia="Arial" w:hAnsi="Arial"/>
                <w:sz w:val="16"/>
                <w:szCs w:val="16"/>
                <w:color w:val="auto"/>
              </w:rPr>
              <w:t>Corporate and Other operating results were as follows (in thousands):</w:t>
            </w: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1"/>
        </w:trPr>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gridSpan w:val="3"/>
          </w:tcPr>
          <w:p>
            <w:pPr>
              <w:jc w:val="center"/>
              <w:ind w:right="519"/>
              <w:spacing w:after="0"/>
              <w:rPr>
                <w:sz w:val="20"/>
                <w:szCs w:val="20"/>
                <w:color w:val="auto"/>
              </w:rPr>
            </w:pPr>
            <w:r>
              <w:rPr>
                <w:rFonts w:ascii="Arial" w:cs="Arial" w:eastAsia="Arial" w:hAnsi="Arial"/>
                <w:sz w:val="16"/>
                <w:szCs w:val="16"/>
                <w:color w:val="auto"/>
              </w:rPr>
              <w:t>Three Months Ended September 30,</w:t>
            </w:r>
          </w:p>
        </w:tc>
        <w:tc>
          <w:tcPr>
            <w:tcW w:w="3520" w:type="dxa"/>
            <w:vAlign w:val="bottom"/>
            <w:gridSpan w:val="3"/>
          </w:tcPr>
          <w:p>
            <w:pPr>
              <w:jc w:val="center"/>
              <w:ind w:right="27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3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2023</w:t>
            </w: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2022</w:t>
            </w: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Variance</w:t>
            </w:r>
          </w:p>
        </w:tc>
        <w:tc>
          <w:tcPr>
            <w:tcW w:w="12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2023</w:t>
            </w:r>
          </w:p>
        </w:tc>
        <w:tc>
          <w:tcPr>
            <w:tcW w:w="11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2022</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Variance</w:t>
            </w:r>
          </w:p>
        </w:tc>
      </w:tr>
      <w:tr>
        <w:trPr>
          <w:trHeight w:val="25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Operating (loss)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(645 ) $</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(587 ) $</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(58 ) $</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(2,275 ) $</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(2,552 ) $</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277</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2023, Compared to the Three Months Ended September 30,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2023, Compared to the Nine Months Ended September 30,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was comparable to the same period in the prior year.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4"/>
        </w:trPr>
        <w:tc>
          <w:tcPr>
            <w:tcW w:w="36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971"/>
        </w:trPr>
        <w:tc>
          <w:tcPr>
            <w:tcW w:w="6400" w:type="dxa"/>
            <w:vAlign w:val="bottom"/>
            <w:gridSpan w:val="5"/>
          </w:tcPr>
          <w:p>
            <w:pPr>
              <w:spacing w:after="0"/>
              <w:rPr>
                <w:sz w:val="20"/>
                <w:szCs w:val="20"/>
                <w:color w:val="auto"/>
              </w:rPr>
            </w:pPr>
            <w:r>
              <w:rPr>
                <w:rFonts w:ascii="Arial" w:cs="Arial" w:eastAsia="Arial" w:hAnsi="Arial"/>
                <w:sz w:val="16"/>
                <w:szCs w:val="16"/>
                <w:b w:val="1"/>
                <w:bCs w:val="1"/>
                <w:color w:val="auto"/>
              </w:rPr>
              <w:t>Consolidated Interest Expense, Other Income and Income Tax Expense</w:t>
            </w: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0"/>
        </w:trPr>
        <w:tc>
          <w:tcPr>
            <w:tcW w:w="1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0" w:type="dxa"/>
            <w:vAlign w:val="bottom"/>
            <w:gridSpan w:val="3"/>
          </w:tcPr>
          <w:p>
            <w:pPr>
              <w:jc w:val="right"/>
              <w:ind w:right="819"/>
              <w:spacing w:after="0"/>
              <w:rPr>
                <w:sz w:val="20"/>
                <w:szCs w:val="20"/>
                <w:color w:val="auto"/>
              </w:rPr>
            </w:pPr>
            <w:r>
              <w:rPr>
                <w:rFonts w:ascii="Arial" w:cs="Arial" w:eastAsia="Arial" w:hAnsi="Arial"/>
                <w:sz w:val="16"/>
                <w:szCs w:val="16"/>
                <w:color w:val="auto"/>
              </w:rPr>
              <w:t>Three Months Ended September 30,</w:t>
            </w:r>
          </w:p>
        </w:tc>
        <w:tc>
          <w:tcPr>
            <w:tcW w:w="3520" w:type="dxa"/>
            <w:vAlign w:val="bottom"/>
            <w:gridSpan w:val="3"/>
          </w:tcPr>
          <w:p>
            <w:pPr>
              <w:jc w:val="right"/>
              <w:ind w:right="599"/>
              <w:spacing w:after="0"/>
              <w:rPr>
                <w:sz w:val="20"/>
                <w:szCs w:val="20"/>
                <w:color w:val="auto"/>
              </w:rPr>
            </w:pPr>
            <w:r>
              <w:rPr>
                <w:rFonts w:ascii="Arial" w:cs="Arial" w:eastAsia="Arial" w:hAnsi="Arial"/>
                <w:sz w:val="16"/>
                <w:szCs w:val="16"/>
                <w:color w:val="auto"/>
              </w:rPr>
              <w:t>Nine Months Ended September 30,</w:t>
            </w:r>
          </w:p>
        </w:tc>
      </w:tr>
      <w:tr>
        <w:trPr>
          <w:trHeight w:val="219"/>
        </w:trPr>
        <w:tc>
          <w:tcPr>
            <w:tcW w:w="13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2023</w:t>
            </w:r>
          </w:p>
        </w:tc>
        <w:tc>
          <w:tcPr>
            <w:tcW w:w="12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2022</w:t>
            </w: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Variance</w:t>
            </w:r>
          </w:p>
        </w:tc>
        <w:tc>
          <w:tcPr>
            <w:tcW w:w="12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2023</w:t>
            </w:r>
          </w:p>
        </w:tc>
        <w:tc>
          <w:tcPr>
            <w:tcW w:w="11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2022</w:t>
            </w: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Variance</w:t>
            </w:r>
          </w:p>
        </w:tc>
      </w:tr>
      <w:tr>
        <w:trPr>
          <w:trHeight w:val="210"/>
        </w:trPr>
        <w:tc>
          <w:tcPr>
            <w:tcW w:w="1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2"/>
          </w:tcPr>
          <w:p>
            <w:pPr>
              <w:jc w:val="right"/>
              <w:ind w:right="959"/>
              <w:spacing w:after="0"/>
              <w:rPr>
                <w:sz w:val="20"/>
                <w:szCs w:val="20"/>
                <w:color w:val="auto"/>
              </w:rPr>
            </w:pPr>
            <w:r>
              <w:rPr>
                <w:rFonts w:ascii="Arial" w:cs="Arial" w:eastAsia="Arial" w:hAnsi="Arial"/>
                <w:sz w:val="16"/>
                <w:szCs w:val="16"/>
                <w:color w:val="auto"/>
              </w:rPr>
              <w:t>(in thousands)</w:t>
            </w:r>
          </w:p>
        </w:tc>
        <w:tc>
          <w:tcPr>
            <w:tcW w:w="1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3"/>
        </w:trPr>
        <w:tc>
          <w:tcPr>
            <w:tcW w:w="36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(40,998 ) $</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(40,019 ) $</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(979 ) $</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(126,023 ) $</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(117,328 ) $</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(8,695 )</w:t>
            </w:r>
          </w:p>
        </w:tc>
      </w:tr>
      <w:tr>
        <w:trPr>
          <w:trHeight w:val="213"/>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18"/>
                <w:szCs w:val="18"/>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(647 )</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464</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(1,111 )</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(1,513 )</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2,731</w:t>
            </w:r>
          </w:p>
        </w:tc>
        <w:tc>
          <w:tcPr>
            <w:tcW w:w="1100" w:type="dxa"/>
            <w:vAlign w:val="bottom"/>
          </w:tcPr>
          <w:p>
            <w:pPr>
              <w:jc w:val="right"/>
              <w:spacing w:after="0"/>
              <w:rPr>
                <w:sz w:val="20"/>
                <w:szCs w:val="20"/>
                <w:color w:val="auto"/>
              </w:rPr>
            </w:pPr>
            <w:r>
              <w:rPr>
                <w:rFonts w:ascii="Arial" w:cs="Arial" w:eastAsia="Arial" w:hAnsi="Arial"/>
                <w:sz w:val="16"/>
                <w:szCs w:val="16"/>
                <w:color w:val="auto"/>
              </w:rPr>
              <w:t>(4,244 )</w:t>
            </w:r>
          </w:p>
        </w:tc>
      </w:tr>
      <w:tr>
        <w:trPr>
          <w:trHeight w:val="219"/>
        </w:trPr>
        <w:tc>
          <w:tcPr>
            <w:tcW w:w="36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(7,366 )</w:t>
            </w:r>
          </w:p>
        </w:tc>
        <w:tc>
          <w:tcPr>
            <w:tcW w:w="12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(2,090 )</w:t>
            </w:r>
          </w:p>
        </w:tc>
        <w:tc>
          <w:tcPr>
            <w:tcW w:w="13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(5,276 )</w:t>
            </w:r>
          </w:p>
        </w:tc>
        <w:tc>
          <w:tcPr>
            <w:tcW w:w="12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(15,950 )</w:t>
            </w:r>
          </w:p>
        </w:tc>
        <w:tc>
          <w:tcPr>
            <w:tcW w:w="11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(15,920 )</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2023, Compared to the Three Months Ended September 30,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expense, net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net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 (expense), net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Other expense, net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 (expense)</w:t>
      </w:r>
    </w:p>
    <w:p>
      <w:pPr>
        <w:spacing w:after="0" w:line="194"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auto"/>
        </w:rPr>
        <w:t xml:space="preserve">Income tax expense increased primarily due to higher pre-tax income and a higher effective tax rate. For the three months ended September 30, 2023, the effective tax rate was 13.1% compared to 5.2% for the same period in 2022. See </w:t>
      </w:r>
      <w:r>
        <w:rPr>
          <w:rFonts w:ascii="Arial" w:cs="Arial" w:eastAsia="Arial" w:hAnsi="Arial"/>
          <w:sz w:val="16"/>
          <w:szCs w:val="16"/>
          <w:u w:val="single" w:color="auto"/>
          <w:color w:val="0000FF"/>
        </w:rPr>
        <w:t>Note 11</w:t>
      </w:r>
      <w:r>
        <w:rPr>
          <w:rFonts w:ascii="Arial" w:cs="Arial" w:eastAsia="Arial" w:hAnsi="Arial"/>
          <w:sz w:val="16"/>
          <w:szCs w:val="16"/>
          <w:color w:val="auto"/>
        </w:rPr>
        <w:t xml:space="preserve"> of the Condensed Notes to Consolidated Financial Statements for discussion of effective tax rate variances.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-151130</wp:posOffset>
            </wp:positionV>
            <wp:extent cx="3524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2425"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2023, Compared to the Nine Months Ended September 30,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expense, net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net increased due to higher interest rates partially offset by increased interest income on higher cash and cash equivalents balances.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 (expense), net</w:t>
      </w:r>
    </w:p>
    <w:p>
      <w:pPr>
        <w:spacing w:after="0" w:line="194"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color w:val="auto"/>
        </w:rPr>
        <w:t>Other expense, net increased primarily due to higher non-service benefit plan costs driven by higher discount rates and higher costs for our non-qualified benefit plans which were driven by market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 (expense)</w:t>
      </w:r>
    </w:p>
    <w:p>
      <w:pPr>
        <w:spacing w:after="0" w:line="194"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 xml:space="preserve">Income tax expense and the effective tax rate were comparable to the same period in the prior year. See </w:t>
      </w:r>
      <w:r>
        <w:rPr>
          <w:rFonts w:ascii="Arial" w:cs="Arial" w:eastAsia="Arial" w:hAnsi="Arial"/>
          <w:sz w:val="16"/>
          <w:szCs w:val="16"/>
          <w:u w:val="single" w:color="auto"/>
          <w:color w:val="0000FF"/>
        </w:rPr>
        <w:t>Note 11</w:t>
      </w:r>
      <w:r>
        <w:rPr>
          <w:rFonts w:ascii="Arial" w:cs="Arial" w:eastAsia="Arial" w:hAnsi="Arial"/>
          <w:sz w:val="16"/>
          <w:szCs w:val="16"/>
          <w:color w:val="auto"/>
        </w:rPr>
        <w:t xml:space="preserve"> of the Condensed Notes to Consolidated Financial Statements for further information on the 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4783455</wp:posOffset>
            </wp:positionH>
            <wp:positionV relativeFrom="paragraph">
              <wp:posOffset>-158750</wp:posOffset>
            </wp:positionV>
            <wp:extent cx="3524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242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02"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There have been no material changes in Liquidity and Capital Resources from those reported in Item 7 of our 2022 Annual Report on Form 10-K except as described below.</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cash flows for the nine months ended September 30, 2023,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4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80"/>
        </w:trPr>
        <w:tc>
          <w:tcPr>
            <w:tcW w:w="6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gridSpan w:val="4"/>
          </w:tcPr>
          <w:p>
            <w:pPr>
              <w:jc w:val="right"/>
              <w:spacing w:after="0"/>
              <w:rPr>
                <w:sz w:val="20"/>
                <w:szCs w:val="20"/>
                <w:color w:val="auto"/>
              </w:rPr>
            </w:pPr>
            <w:r>
              <w:rPr>
                <w:rFonts w:ascii="Arial" w:cs="Arial" w:eastAsia="Arial" w:hAnsi="Arial"/>
                <w:sz w:val="16"/>
                <w:szCs w:val="16"/>
                <w:color w:val="auto"/>
              </w:rPr>
              <w:t>Nine Months Ended September 30,</w:t>
            </w:r>
          </w:p>
        </w:tc>
        <w:tc>
          <w:tcPr>
            <w:tcW w:w="1200" w:type="dxa"/>
            <w:vAlign w:val="bottom"/>
          </w:tcPr>
          <w:p>
            <w:pPr>
              <w:spacing w:after="0"/>
              <w:rPr>
                <w:sz w:val="24"/>
                <w:szCs w:val="24"/>
                <w:color w:val="auto"/>
              </w:rPr>
            </w:pPr>
          </w:p>
        </w:tc>
      </w:tr>
      <w:tr>
        <w:trPr>
          <w:trHeight w:val="219"/>
        </w:trPr>
        <w:tc>
          <w:tcPr>
            <w:tcW w:w="6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2023</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2022</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98"/>
              </w:rPr>
              <w:t>Variance</w:t>
            </w:r>
          </w:p>
        </w:tc>
      </w:tr>
      <w:tr>
        <w:trPr>
          <w:trHeight w:val="212"/>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earnings (net income plus non-cash adjustments)</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413,354</w:t>
            </w:r>
          </w:p>
        </w:tc>
        <w:tc>
          <w:tcPr>
            <w:tcW w:w="3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406,019</w:t>
            </w:r>
          </w:p>
        </w:tc>
        <w:tc>
          <w:tcPr>
            <w:tcW w:w="4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7,335</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Changes in certain operating assets and liabilities: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and other current assets</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346,310</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(24,125 )</w:t>
            </w:r>
          </w:p>
        </w:tc>
        <w:tc>
          <w:tcPr>
            <w:tcW w:w="4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370,435</w:t>
            </w:r>
          </w:p>
        </w:tc>
      </w:tr>
      <w:tr>
        <w:trPr>
          <w:trHeight w:val="213"/>
        </w:trPr>
        <w:tc>
          <w:tcPr>
            <w:tcW w:w="634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(186,500 )</w:t>
            </w:r>
          </w:p>
        </w:tc>
        <w:tc>
          <w:tcPr>
            <w:tcW w:w="36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5,963</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(192,463 )</w:t>
            </w:r>
          </w:p>
        </w:tc>
      </w:tr>
      <w:tr>
        <w:trPr>
          <w:trHeight w:val="219"/>
        </w:trPr>
        <w:tc>
          <w:tcPr>
            <w:tcW w:w="6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Regulatory assets and liabilities</w:t>
            </w: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199,093</w:t>
            </w: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118,330</w:t>
            </w:r>
          </w:p>
        </w:tc>
        <w:tc>
          <w:tcPr>
            <w:tcW w:w="4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80,763</w:t>
            </w:r>
          </w:p>
        </w:tc>
      </w:tr>
      <w:tr>
        <w:trPr>
          <w:trHeight w:val="206"/>
        </w:trPr>
        <w:tc>
          <w:tcPr>
            <w:tcW w:w="6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358,903</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100,168</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258,735</w:t>
            </w:r>
          </w:p>
        </w:tc>
      </w:tr>
      <w:tr>
        <w:trPr>
          <w:trHeight w:val="210"/>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operating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(16,205 )</w:t>
            </w: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(11,900 )</w:t>
            </w:r>
          </w:p>
        </w:tc>
        <w:tc>
          <w:tcPr>
            <w:tcW w:w="4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(4,305 )</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756,052</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494,287</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261,765</w:t>
            </w:r>
          </w:p>
        </w:tc>
      </w:tr>
      <w:tr>
        <w:trPr>
          <w:trHeight w:val="20"/>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2023, Compared to the Nine Months Ended September 30,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$261.8 million higher than the same period in 2022. The variance to the prior year was primarily attributable to:</w:t>
      </w:r>
    </w:p>
    <w:p>
      <w:pPr>
        <w:spacing w:after="0" w:line="194" w:lineRule="exact"/>
        <w:rPr>
          <w:sz w:val="20"/>
          <w:szCs w:val="20"/>
          <w:color w:val="auto"/>
        </w:rPr>
      </w:pPr>
    </w:p>
    <w:p>
      <w:pPr>
        <w:jc w:val="both"/>
        <w:ind w:left="1020" w:right="100" w:hanging="503"/>
        <w:spacing w:after="0" w:line="261"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earnings (net income plus non-cash adjustments) were $7.3 million higher for the nine months ended September 30, 2023 compared to the same period in the prior year primarily due to increased Electric and Gas Utility margins driven by new rates and increased rider revenues partially offset by higher operating expenses and higher interest expense.</w:t>
      </w:r>
    </w:p>
    <w:p>
      <w:pPr>
        <w:spacing w:after="0" w:line="155" w:lineRule="exact"/>
        <w:rPr>
          <w:rFonts w:ascii="Arial" w:cs="Arial" w:eastAsia="Arial" w:hAnsi="Arial"/>
          <w:sz w:val="16"/>
          <w:szCs w:val="16"/>
          <w:color w:val="auto"/>
        </w:rPr>
      </w:pPr>
    </w:p>
    <w:p>
      <w:pPr>
        <w:ind w:left="1020" w:hanging="503"/>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Net inflows from changes in certain operating assets and liabilities were $258.7 million higher, primarily attributable to:</w:t>
      </w:r>
    </w:p>
    <w:p>
      <w:pPr>
        <w:spacing w:after="0" w:line="207" w:lineRule="exact"/>
        <w:rPr>
          <w:rFonts w:ascii="Arial" w:cs="Arial" w:eastAsia="Arial" w:hAnsi="Arial"/>
          <w:sz w:val="16"/>
          <w:szCs w:val="16"/>
          <w:color w:val="auto"/>
        </w:rPr>
      </w:pPr>
    </w:p>
    <w:p>
      <w:pPr>
        <w:ind w:left="1540" w:right="300" w:hanging="509"/>
        <w:spacing w:after="0" w:line="261" w:lineRule="auto"/>
        <w:rPr>
          <w:rFonts w:ascii="Arial" w:cs="Arial" w:eastAsia="Arial" w:hAnsi="Arial"/>
          <w:sz w:val="16"/>
          <w:szCs w:val="16"/>
          <w:color w:val="auto"/>
        </w:rPr>
      </w:pPr>
      <w:r>
        <w:rPr>
          <w:rFonts w:ascii="Arial" w:cs="Arial" w:eastAsia="Arial" w:hAnsi="Arial"/>
          <w:sz w:val="16"/>
          <w:szCs w:val="16"/>
          <w:color w:val="auto"/>
        </w:rPr>
        <w:t>oCash inflows increased by $370.4 million as a result of changes in accounts receivable and other current assets primarily driven by higher collections on pass-through revenues and lower natural gas in storage inventories driven by fluctuations in commodity prices and timing of injections and withdrawals;</w:t>
      </w:r>
    </w:p>
    <w:p>
      <w:pPr>
        <w:spacing w:after="0" w:line="155" w:lineRule="exact"/>
        <w:rPr>
          <w:rFonts w:ascii="Arial" w:cs="Arial" w:eastAsia="Arial" w:hAnsi="Arial"/>
          <w:sz w:val="16"/>
          <w:szCs w:val="16"/>
          <w:color w:val="auto"/>
        </w:rPr>
      </w:pPr>
    </w:p>
    <w:p>
      <w:pPr>
        <w:ind w:left="1540" w:right="480" w:hanging="509"/>
        <w:spacing w:after="0" w:line="261" w:lineRule="auto"/>
        <w:rPr>
          <w:rFonts w:ascii="Arial" w:cs="Arial" w:eastAsia="Arial" w:hAnsi="Arial"/>
          <w:sz w:val="16"/>
          <w:szCs w:val="16"/>
          <w:color w:val="auto"/>
        </w:rPr>
      </w:pPr>
      <w:r>
        <w:rPr>
          <w:rFonts w:ascii="Arial" w:cs="Arial" w:eastAsia="Arial" w:hAnsi="Arial"/>
          <w:sz w:val="16"/>
          <w:szCs w:val="16"/>
          <w:color w:val="auto"/>
        </w:rPr>
        <w:t>oCash outflows increased by $192.5 million as a result of decreases in accounts payable and accrued liabilities primarily driven by fluctuations in commodity prices, payment timing of natural gas and power purchases and changes in other working capital requirements; and</w:t>
      </w:r>
    </w:p>
    <w:p>
      <w:pPr>
        <w:spacing w:after="0" w:line="155" w:lineRule="exact"/>
        <w:rPr>
          <w:rFonts w:ascii="Arial" w:cs="Arial" w:eastAsia="Arial" w:hAnsi="Arial"/>
          <w:sz w:val="16"/>
          <w:szCs w:val="16"/>
          <w:color w:val="auto"/>
        </w:rPr>
      </w:pPr>
    </w:p>
    <w:p>
      <w:pPr>
        <w:ind w:left="1540" w:right="100" w:hanging="509"/>
        <w:spacing w:after="0" w:line="261" w:lineRule="auto"/>
        <w:rPr>
          <w:rFonts w:ascii="Arial" w:cs="Arial" w:eastAsia="Arial" w:hAnsi="Arial"/>
          <w:sz w:val="16"/>
          <w:szCs w:val="16"/>
          <w:color w:val="auto"/>
        </w:rPr>
      </w:pPr>
      <w:r>
        <w:rPr>
          <w:rFonts w:ascii="Arial" w:cs="Arial" w:eastAsia="Arial" w:hAnsi="Arial"/>
          <w:sz w:val="16"/>
          <w:szCs w:val="16"/>
          <w:color w:val="auto"/>
        </w:rPr>
        <w:t>oCash inflows increased by $80.8 million as a result of changes in our regulatory assets and liabilities primarily due to higher recoveries of deferred gas and fuel cost adjustments driven by fluctuations in commodity prices and higher recoveries of Winter Storm Uri costs from customers.</w:t>
      </w:r>
    </w:p>
    <w:p>
      <w:pPr>
        <w:spacing w:after="0" w:line="155" w:lineRule="exact"/>
        <w:rPr>
          <w:rFonts w:ascii="Arial" w:cs="Arial" w:eastAsia="Arial" w:hAnsi="Arial"/>
          <w:sz w:val="16"/>
          <w:szCs w:val="16"/>
          <w:color w:val="auto"/>
        </w:rPr>
      </w:pPr>
    </w:p>
    <w:p>
      <w:pPr>
        <w:ind w:left="1020" w:hanging="503"/>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outflows increased by $4.3 million for other operating activities primarily due higher cloud computing licensing costs.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80"/>
        </w:trPr>
        <w:tc>
          <w:tcPr>
            <w:tcW w:w="4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gridSpan w:val="2"/>
          </w:tcPr>
          <w:p>
            <w:pPr>
              <w:jc w:val="right"/>
              <w:spacing w:after="0"/>
              <w:rPr>
                <w:sz w:val="20"/>
                <w:szCs w:val="20"/>
                <w:color w:val="auto"/>
              </w:rPr>
            </w:pPr>
            <w:r>
              <w:rPr>
                <w:rFonts w:ascii="Arial" w:cs="Arial" w:eastAsia="Arial" w:hAnsi="Arial"/>
                <w:sz w:val="16"/>
                <w:szCs w:val="16"/>
                <w:color w:val="auto"/>
              </w:rPr>
              <w:t>Nine Months Ended September 30,</w:t>
            </w:r>
          </w:p>
        </w:tc>
        <w:tc>
          <w:tcPr>
            <w:tcW w:w="1200" w:type="dxa"/>
            <w:vAlign w:val="bottom"/>
          </w:tcPr>
          <w:p>
            <w:pPr>
              <w:spacing w:after="0"/>
              <w:rPr>
                <w:sz w:val="24"/>
                <w:szCs w:val="24"/>
                <w:color w:val="auto"/>
              </w:rPr>
            </w:pPr>
          </w:p>
        </w:tc>
      </w:tr>
      <w:tr>
        <w:trPr>
          <w:trHeight w:val="219"/>
        </w:trPr>
        <w:tc>
          <w:tcPr>
            <w:tcW w:w="4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2023</w:t>
            </w:r>
          </w:p>
        </w:tc>
        <w:tc>
          <w:tcPr>
            <w:tcW w:w="17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rPr>
              <w:t>2022</w:t>
            </w: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98"/>
              </w:rPr>
              <w:t>Variance</w:t>
            </w:r>
          </w:p>
        </w:tc>
      </w:tr>
      <w:tr>
        <w:trPr>
          <w:trHeight w:val="212"/>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 expenditures</w:t>
            </w:r>
          </w:p>
        </w:tc>
        <w:tc>
          <w:tcPr>
            <w:tcW w:w="2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(421,770 ) $</w:t>
            </w:r>
          </w:p>
        </w:tc>
        <w:tc>
          <w:tcPr>
            <w:tcW w:w="17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(466,302 ) $</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44,532</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2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17,985</w:t>
            </w:r>
          </w:p>
        </w:tc>
        <w:tc>
          <w:tcPr>
            <w:tcW w:w="1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(19 )</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18,004</w:t>
            </w:r>
          </w:p>
        </w:tc>
      </w:tr>
      <w:tr>
        <w:trPr>
          <w:trHeight w:val="253"/>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2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(403,785 ) $</w:t>
            </w:r>
          </w:p>
        </w:tc>
        <w:tc>
          <w:tcPr>
            <w:tcW w:w="17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(466,321 ) $</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62,536</w:t>
            </w:r>
          </w:p>
        </w:tc>
      </w:tr>
      <w:tr>
        <w:trPr>
          <w:trHeight w:val="393"/>
        </w:trPr>
        <w:tc>
          <w:tcPr>
            <w:tcW w:w="4120" w:type="dxa"/>
            <w:vAlign w:val="bottom"/>
            <w:tcBorders>
              <w:top w:val="single" w:sz="8" w:color="CFF0FC"/>
            </w:tcBorders>
          </w:tcPr>
          <w:p>
            <w:pPr>
              <w:spacing w:after="0"/>
              <w:rPr>
                <w:sz w:val="24"/>
                <w:szCs w:val="24"/>
                <w:color w:val="auto"/>
              </w:rPr>
            </w:pPr>
          </w:p>
        </w:tc>
        <w:tc>
          <w:tcPr>
            <w:tcW w:w="2220" w:type="dxa"/>
            <w:vAlign w:val="bottom"/>
            <w:tcBorders>
              <w:top w:val="single" w:sz="8" w:color="CFF0FC"/>
            </w:tcBorders>
          </w:tcPr>
          <w:p>
            <w:pPr>
              <w:jc w:val="right"/>
              <w:ind w:right="539"/>
              <w:spacing w:after="0"/>
              <w:rPr>
                <w:sz w:val="20"/>
                <w:szCs w:val="20"/>
                <w:color w:val="auto"/>
              </w:rPr>
            </w:pPr>
            <w:r>
              <w:rPr>
                <w:rFonts w:ascii="Arial" w:cs="Arial" w:eastAsia="Arial" w:hAnsi="Arial"/>
                <w:sz w:val="16"/>
                <w:szCs w:val="16"/>
                <w:color w:val="auto"/>
              </w:rPr>
              <w:t>37</w:t>
            </w:r>
          </w:p>
        </w:tc>
        <w:tc>
          <w:tcPr>
            <w:tcW w:w="3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108"/>
        </w:trPr>
        <w:tc>
          <w:tcPr>
            <w:tcW w:w="41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2023, Compared to the Nine Months Ended September 30,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$62.5 million lower than the same period in 2022. The variance to the prior year was primarily attributable to:</w:t>
      </w:r>
    </w:p>
    <w:p>
      <w:pPr>
        <w:spacing w:after="0" w:line="194" w:lineRule="exact"/>
        <w:rPr>
          <w:sz w:val="20"/>
          <w:szCs w:val="20"/>
          <w:color w:val="auto"/>
        </w:rPr>
      </w:pPr>
    </w:p>
    <w:p>
      <w:pPr>
        <w:ind w:left="1020" w:right="120" w:hanging="503"/>
        <w:spacing w:after="0" w:line="276"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Cash outflows decreased by $44.5 million as a result of lower capital expenditures which were driven by lower programmatic safety, reliability and integrity spending at our Gas and Electric Utilities; and</w:t>
      </w:r>
    </w:p>
    <w:p>
      <w:pPr>
        <w:spacing w:after="0" w:line="143" w:lineRule="exact"/>
        <w:rPr>
          <w:rFonts w:ascii="Arial" w:cs="Arial" w:eastAsia="Arial" w:hAnsi="Arial"/>
          <w:sz w:val="16"/>
          <w:szCs w:val="16"/>
          <w:color w:val="auto"/>
        </w:rPr>
      </w:pPr>
    </w:p>
    <w:p>
      <w:pPr>
        <w:ind w:left="1020" w:right="440" w:hanging="503"/>
        <w:spacing w:after="0" w:line="276"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Cash inflows increased by $18.0 million for other investing activities primarily due to proceeds from the sale of Northern Iowa Windpower assets.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4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80"/>
        </w:trPr>
        <w:tc>
          <w:tcPr>
            <w:tcW w:w="6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gridSpan w:val="3"/>
          </w:tcPr>
          <w:p>
            <w:pPr>
              <w:jc w:val="right"/>
              <w:spacing w:after="0"/>
              <w:rPr>
                <w:sz w:val="20"/>
                <w:szCs w:val="20"/>
                <w:color w:val="auto"/>
              </w:rPr>
            </w:pPr>
            <w:r>
              <w:rPr>
                <w:rFonts w:ascii="Arial" w:cs="Arial" w:eastAsia="Arial" w:hAnsi="Arial"/>
                <w:sz w:val="16"/>
                <w:szCs w:val="16"/>
                <w:color w:val="auto"/>
              </w:rPr>
              <w:t>Nine Months Ended September 30,</w:t>
            </w:r>
          </w:p>
        </w:tc>
        <w:tc>
          <w:tcPr>
            <w:tcW w:w="1200" w:type="dxa"/>
            <w:vAlign w:val="bottom"/>
          </w:tcPr>
          <w:p>
            <w:pPr>
              <w:spacing w:after="0"/>
              <w:rPr>
                <w:sz w:val="24"/>
                <w:szCs w:val="24"/>
                <w:color w:val="auto"/>
              </w:rPr>
            </w:pPr>
          </w:p>
        </w:tc>
      </w:tr>
      <w:tr>
        <w:trPr>
          <w:trHeight w:val="219"/>
        </w:trPr>
        <w:tc>
          <w:tcPr>
            <w:tcW w:w="6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2023</w:t>
            </w: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rPr>
              <w:t>2022</w:t>
            </w: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98"/>
              </w:rPr>
              <w:t>Variance</w:t>
            </w:r>
          </w:p>
        </w:tc>
      </w:tr>
      <w:tr>
        <w:trPr>
          <w:trHeight w:val="213"/>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paid on common stock</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(125,446 ) $</w:t>
            </w:r>
          </w:p>
        </w:tc>
        <w:tc>
          <w:tcPr>
            <w:tcW w:w="17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(115,850 ) $</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(9,596 )</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Common stock issued</w:t>
            </w:r>
          </w:p>
        </w:tc>
        <w:tc>
          <w:tcPr>
            <w:tcW w:w="3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107,380</w:t>
            </w:r>
          </w:p>
        </w:tc>
        <w:tc>
          <w:tcPr>
            <w:tcW w:w="360" w:type="dxa"/>
            <w:vAlign w:val="bottom"/>
          </w:tcPr>
          <w:p>
            <w:pPr>
              <w:spacing w:after="0"/>
              <w:rPr>
                <w:sz w:val="18"/>
                <w:szCs w:val="18"/>
                <w:color w:val="auto"/>
              </w:rPr>
            </w:pPr>
          </w:p>
        </w:tc>
        <w:tc>
          <w:tcPr>
            <w:tcW w:w="1700" w:type="dxa"/>
            <w:vAlign w:val="bottom"/>
          </w:tcPr>
          <w:p>
            <w:pPr>
              <w:jc w:val="right"/>
              <w:ind w:right="459"/>
              <w:spacing w:after="0"/>
              <w:rPr>
                <w:sz w:val="20"/>
                <w:szCs w:val="20"/>
                <w:color w:val="auto"/>
              </w:rPr>
            </w:pPr>
            <w:r>
              <w:rPr>
                <w:rFonts w:ascii="Arial" w:cs="Arial" w:eastAsia="Arial" w:hAnsi="Arial"/>
                <w:sz w:val="16"/>
                <w:szCs w:val="16"/>
                <w:color w:val="auto"/>
              </w:rPr>
              <w:t>20,027</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87,353</w:t>
            </w:r>
          </w:p>
        </w:tc>
      </w:tr>
      <w:tr>
        <w:trPr>
          <w:trHeight w:val="219"/>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Short-term and long-term debt borrowings, net</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264,400</w:t>
            </w:r>
          </w:p>
        </w:tc>
        <w:tc>
          <w:tcPr>
            <w:tcW w:w="3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81,170</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183,230</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(12,891 )</w:t>
            </w:r>
          </w:p>
        </w:tc>
        <w:tc>
          <w:tcPr>
            <w:tcW w:w="360" w:type="dxa"/>
            <w:vAlign w:val="bottom"/>
          </w:tcPr>
          <w:p>
            <w:pPr>
              <w:spacing w:after="0"/>
              <w:rPr>
                <w:sz w:val="18"/>
                <w:szCs w:val="18"/>
                <w:color w:val="auto"/>
              </w:rPr>
            </w:pP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(11,678 )</w:t>
            </w:r>
          </w:p>
        </w:tc>
        <w:tc>
          <w:tcPr>
            <w:tcW w:w="1200" w:type="dxa"/>
            <w:vAlign w:val="bottom"/>
          </w:tcPr>
          <w:p>
            <w:pPr>
              <w:jc w:val="right"/>
              <w:spacing w:after="0"/>
              <w:rPr>
                <w:sz w:val="20"/>
                <w:szCs w:val="20"/>
                <w:color w:val="auto"/>
              </w:rPr>
            </w:pPr>
            <w:r>
              <w:rPr>
                <w:rFonts w:ascii="Arial" w:cs="Arial" w:eastAsia="Arial" w:hAnsi="Arial"/>
                <w:sz w:val="16"/>
                <w:szCs w:val="16"/>
                <w:color w:val="auto"/>
              </w:rPr>
              <w:t>(1,213 )</w:t>
            </w:r>
          </w:p>
        </w:tc>
      </w:tr>
      <w:tr>
        <w:trPr>
          <w:trHeight w:val="216"/>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financing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(12,193 )</w:t>
            </w:r>
          </w:p>
        </w:tc>
        <w:tc>
          <w:tcPr>
            <w:tcW w:w="36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459"/>
              <w:spacing w:after="0"/>
              <w:rPr>
                <w:sz w:val="20"/>
                <w:szCs w:val="20"/>
                <w:color w:val="auto"/>
              </w:rPr>
            </w:pPr>
            <w:r>
              <w:rPr>
                <w:rFonts w:ascii="Arial" w:cs="Arial" w:eastAsia="Arial" w:hAnsi="Arial"/>
                <w:sz w:val="16"/>
                <w:szCs w:val="16"/>
                <w:color w:val="auto"/>
              </w:rPr>
              <w:t>1,647</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(13,840 )</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221,250</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(24,684 ) $</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245,934</w:t>
            </w:r>
          </w:p>
        </w:tc>
      </w:tr>
      <w:tr>
        <w:trPr>
          <w:trHeight w:val="20"/>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2023, Compared to the Nine Months Ended September 30,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financing activities was $245.9 million higher than the same period in 2022. The variance to the prior year was primarily attributable to:</w:t>
      </w:r>
    </w:p>
    <w:p>
      <w:pPr>
        <w:spacing w:after="0" w:line="194" w:lineRule="exact"/>
        <w:rPr>
          <w:sz w:val="20"/>
          <w:szCs w:val="20"/>
          <w:color w:val="auto"/>
        </w:rPr>
      </w:pPr>
    </w:p>
    <w:p>
      <w:pPr>
        <w:ind w:left="1020" w:right="620" w:hanging="503"/>
        <w:spacing w:after="0" w:line="276"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inflows increased $183.2 million due to current year long-term borrowings from the March 7, 2023 and September 15, 2023 debt offerings in excess of current and prior year short-term debt borrowings (repayments), net;</w:t>
      </w:r>
    </w:p>
    <w:p>
      <w:pPr>
        <w:spacing w:after="0" w:line="143"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inflows increased $87.4 million due to higher issuances of common stock;</w:t>
      </w:r>
    </w:p>
    <w:p>
      <w:pPr>
        <w:spacing w:after="0" w:line="207"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outflows increased $9.6 million due to increased dividends paid on common stock; and</w:t>
      </w:r>
    </w:p>
    <w:p>
      <w:pPr>
        <w:spacing w:after="0" w:line="207" w:lineRule="exact"/>
        <w:rPr>
          <w:rFonts w:ascii="Arial" w:cs="Arial" w:eastAsia="Arial" w:hAnsi="Arial"/>
          <w:sz w:val="16"/>
          <w:szCs w:val="16"/>
          <w:color w:val="auto"/>
        </w:rPr>
      </w:pPr>
    </w:p>
    <w:p>
      <w:pPr>
        <w:ind w:left="1020" w:right="120" w:hanging="503"/>
        <w:spacing w:after="0" w:line="276"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outflows increased by $13.8 million for other financing activities primarily due to financing costs from the March 7, 2023 and September 15, 2023 debt offerings.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202"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recent financing updates regarding our shelf registration, Revolving Credit Facility and CP Program, long-term debt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-158750</wp:posOffset>
            </wp:positionV>
            <wp:extent cx="3028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 Requirements</w:t>
      </w:r>
    </w:p>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 xml:space="preserve">The Revolving Credit Facility and Wyoming Electric’s financing agreements contain covenant requirements. We were in compliance with these covenants as of September 30, 2023. 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-38735</wp:posOffset>
            </wp:positionV>
            <wp:extent cx="302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will continue to assess debt and equity needs to support our capital investment plans and other strategic objectives. We plan to fund our capital plan and strategic objectives by using cash generated from operating activities and various financing alternatives, which could include our Revolving Credit Facility, our CP Program, the issuance of common stock under our ATM program or in an opportunistic block trade. Proceeds from the September 15, 2023 debt offering, along with cash on hand, will be used to repay our $525 million, 4.25%, senior unsecured notes due November 30, 2023 on their maturity date. We also plan to re-finance our $600 million, 1.04%, senior unsecured notes due August 23, 2024, at or before maturity date.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202"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After assessing the current operating performance, liquidity and credit ratings of the Company, management believes that the Company will have access to the capital markets at prevailing market rates for companies with comparable credit ratings.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and outlook and risk profile of BHC at September 30,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Rating Agency</w:t>
            </w:r>
          </w:p>
        </w:tc>
        <w:tc>
          <w:tcPr>
            <w:tcW w:w="2760" w:type="dxa"/>
            <w:vAlign w:val="bottom"/>
            <w:tcBorders>
              <w:bottom w:val="single" w:sz="8" w:color="auto"/>
            </w:tcBorders>
          </w:tcPr>
          <w:p>
            <w:pPr>
              <w:jc w:val="center"/>
              <w:ind w:right="839"/>
              <w:spacing w:after="0"/>
              <w:rPr>
                <w:sz w:val="20"/>
                <w:szCs w:val="20"/>
                <w:color w:val="auto"/>
              </w:rPr>
            </w:pPr>
            <w:r>
              <w:rPr>
                <w:rFonts w:ascii="Arial" w:cs="Arial" w:eastAsia="Arial" w:hAnsi="Arial"/>
                <w:sz w:val="16"/>
                <w:szCs w:val="16"/>
                <w:color w:val="auto"/>
              </w:rPr>
              <w:t>Senior Unsecured Rating</w:t>
            </w:r>
          </w:p>
        </w:tc>
        <w:tc>
          <w:tcPr>
            <w:tcW w:w="27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color w:val="auto"/>
              </w:rPr>
              <w:t>Outlook</w:t>
            </w:r>
          </w:p>
        </w:tc>
      </w:tr>
      <w:tr>
        <w:trPr>
          <w:trHeight w:val="213"/>
        </w:trPr>
        <w:tc>
          <w:tcPr>
            <w:tcW w:w="5720" w:type="dxa"/>
            <w:vAlign w:val="bottom"/>
            <w:gridSpan w:val="3"/>
            <w:shd w:val="clear" w:color="auto" w:fill="CFF0FC"/>
          </w:tcPr>
          <w:p>
            <w:pPr>
              <w:ind w:left="20"/>
              <w:spacing w:after="0" w:line="212" w:lineRule="exact"/>
              <w:rPr>
                <w:sz w:val="20"/>
                <w:szCs w:val="20"/>
                <w:color w:val="auto"/>
              </w:rPr>
            </w:pPr>
            <w:r>
              <w:rPr>
                <w:rFonts w:ascii="Arial" w:cs="Arial" w:eastAsia="Arial" w:hAnsi="Arial"/>
                <w:sz w:val="24"/>
                <w:szCs w:val="24"/>
                <w:color w:val="auto"/>
                <w:vertAlign w:val="subscript"/>
              </w:rPr>
              <w:t>S&amp;P</w:t>
            </w:r>
            <w:r>
              <w:rPr>
                <w:rFonts w:ascii="Arial" w:cs="Arial" w:eastAsia="Arial" w:hAnsi="Arial"/>
                <w:sz w:val="9"/>
                <w:szCs w:val="9"/>
                <w:color w:val="auto"/>
              </w:rPr>
              <w:t xml:space="preserve"> (a)</w:t>
            </w:r>
          </w:p>
        </w:tc>
        <w:tc>
          <w:tcPr>
            <w:tcW w:w="2760" w:type="dxa"/>
            <w:vAlign w:val="bottom"/>
            <w:shd w:val="clear" w:color="auto" w:fill="CFF0FC"/>
          </w:tcPr>
          <w:p>
            <w:pPr>
              <w:jc w:val="center"/>
              <w:ind w:right="819"/>
              <w:spacing w:after="0"/>
              <w:rPr>
                <w:sz w:val="20"/>
                <w:szCs w:val="20"/>
                <w:color w:val="auto"/>
              </w:rPr>
            </w:pPr>
            <w:r>
              <w:rPr>
                <w:rFonts w:ascii="Arial" w:cs="Arial" w:eastAsia="Arial" w:hAnsi="Arial"/>
                <w:sz w:val="16"/>
                <w:szCs w:val="16"/>
                <w:color w:val="auto"/>
              </w:rPr>
              <w:t>BBB+</w:t>
            </w:r>
          </w:p>
        </w:tc>
        <w:tc>
          <w:tcPr>
            <w:tcW w:w="2760" w:type="dxa"/>
            <w:vAlign w:val="bottom"/>
            <w:shd w:val="clear" w:color="auto" w:fill="CFF0FC"/>
          </w:tcPr>
          <w:p>
            <w:pPr>
              <w:jc w:val="center"/>
              <w:ind w:right="219"/>
              <w:spacing w:after="0"/>
              <w:rPr>
                <w:sz w:val="20"/>
                <w:szCs w:val="20"/>
                <w:color w:val="auto"/>
              </w:rPr>
            </w:pPr>
            <w:r>
              <w:rPr>
                <w:rFonts w:ascii="Arial" w:cs="Arial" w:eastAsia="Arial" w:hAnsi="Arial"/>
                <w:sz w:val="16"/>
                <w:szCs w:val="16"/>
                <w:color w:val="auto"/>
              </w:rPr>
              <w:t>Stable</w:t>
            </w:r>
          </w:p>
        </w:tc>
      </w:tr>
      <w:tr>
        <w:trPr>
          <w:trHeight w:val="216"/>
        </w:trPr>
        <w:tc>
          <w:tcPr>
            <w:tcW w:w="5720" w:type="dxa"/>
            <w:vAlign w:val="bottom"/>
            <w:gridSpan w:val="3"/>
          </w:tcPr>
          <w:p>
            <w:pPr>
              <w:ind w:left="20"/>
              <w:spacing w:after="0" w:line="216"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2760" w:type="dxa"/>
            <w:vAlign w:val="bottom"/>
          </w:tcPr>
          <w:p>
            <w:pPr>
              <w:jc w:val="center"/>
              <w:ind w:right="819"/>
              <w:spacing w:after="0"/>
              <w:rPr>
                <w:sz w:val="20"/>
                <w:szCs w:val="20"/>
                <w:color w:val="auto"/>
              </w:rPr>
            </w:pPr>
            <w:r>
              <w:rPr>
                <w:rFonts w:ascii="Arial" w:cs="Arial" w:eastAsia="Arial" w:hAnsi="Arial"/>
                <w:sz w:val="16"/>
                <w:szCs w:val="16"/>
                <w:color w:val="auto"/>
              </w:rPr>
              <w:t>Baa2</w:t>
            </w:r>
          </w:p>
        </w:tc>
        <w:tc>
          <w:tcPr>
            <w:tcW w:w="2760" w:type="dxa"/>
            <w:vAlign w:val="bottom"/>
          </w:tcPr>
          <w:p>
            <w:pPr>
              <w:jc w:val="center"/>
              <w:ind w:right="219"/>
              <w:spacing w:after="0"/>
              <w:rPr>
                <w:sz w:val="20"/>
                <w:szCs w:val="20"/>
                <w:color w:val="auto"/>
              </w:rPr>
            </w:pPr>
            <w:r>
              <w:rPr>
                <w:rFonts w:ascii="Arial" w:cs="Arial" w:eastAsia="Arial" w:hAnsi="Arial"/>
                <w:sz w:val="16"/>
                <w:szCs w:val="16"/>
                <w:color w:val="auto"/>
              </w:rPr>
              <w:t>Stable</w:t>
            </w:r>
          </w:p>
        </w:tc>
      </w:tr>
      <w:tr>
        <w:trPr>
          <w:trHeight w:val="216"/>
        </w:trPr>
        <w:tc>
          <w:tcPr>
            <w:tcW w:w="5720" w:type="dxa"/>
            <w:vAlign w:val="bottom"/>
            <w:gridSpan w:val="3"/>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2760" w:type="dxa"/>
            <w:vAlign w:val="bottom"/>
            <w:shd w:val="clear" w:color="auto" w:fill="CFF0FC"/>
          </w:tcPr>
          <w:p>
            <w:pPr>
              <w:jc w:val="center"/>
              <w:ind w:right="819"/>
              <w:spacing w:after="0"/>
              <w:rPr>
                <w:sz w:val="20"/>
                <w:szCs w:val="20"/>
                <w:color w:val="auto"/>
              </w:rPr>
            </w:pPr>
            <w:r>
              <w:rPr>
                <w:rFonts w:ascii="Arial" w:cs="Arial" w:eastAsia="Arial" w:hAnsi="Arial"/>
                <w:sz w:val="16"/>
                <w:szCs w:val="16"/>
                <w:color w:val="auto"/>
              </w:rPr>
              <w:t>BBB+</w:t>
            </w:r>
          </w:p>
        </w:tc>
        <w:tc>
          <w:tcPr>
            <w:tcW w:w="2760" w:type="dxa"/>
            <w:vAlign w:val="bottom"/>
            <w:shd w:val="clear" w:color="auto" w:fill="CFF0FC"/>
          </w:tcPr>
          <w:p>
            <w:pPr>
              <w:jc w:val="center"/>
              <w:ind w:right="219"/>
              <w:spacing w:after="0"/>
              <w:rPr>
                <w:sz w:val="20"/>
                <w:szCs w:val="20"/>
                <w:color w:val="auto"/>
              </w:rPr>
            </w:pPr>
            <w:r>
              <w:rPr>
                <w:rFonts w:ascii="Arial" w:cs="Arial" w:eastAsia="Arial" w:hAnsi="Arial"/>
                <w:sz w:val="16"/>
                <w:szCs w:val="16"/>
                <w:color w:val="auto"/>
              </w:rPr>
              <w:t>Stable</w:t>
            </w:r>
          </w:p>
        </w:tc>
      </w:tr>
      <w:tr>
        <w:trPr>
          <w:trHeight w:val="135"/>
        </w:trPr>
        <w:tc>
          <w:tcPr>
            <w:tcW w:w="3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6820" w:type="dxa"/>
            <w:vAlign w:val="bottom"/>
            <w:gridSpan w:val="2"/>
          </w:tcPr>
          <w:p>
            <w:pPr>
              <w:spacing w:after="0"/>
              <w:rPr>
                <w:sz w:val="11"/>
                <w:szCs w:val="11"/>
                <w:color w:val="auto"/>
              </w:rPr>
            </w:pPr>
          </w:p>
        </w:tc>
        <w:tc>
          <w:tcPr>
            <w:tcW w:w="2760" w:type="dxa"/>
            <w:vAlign w:val="bottom"/>
          </w:tcPr>
          <w:p>
            <w:pPr>
              <w:spacing w:after="0"/>
              <w:rPr>
                <w:sz w:val="11"/>
                <w:szCs w:val="11"/>
                <w:color w:val="auto"/>
              </w:rPr>
            </w:pPr>
          </w:p>
        </w:tc>
      </w:tr>
      <w:tr>
        <w:trPr>
          <w:trHeight w:val="191"/>
        </w:trPr>
        <w:tc>
          <w:tcPr>
            <w:tcW w:w="360" w:type="dxa"/>
            <w:vAlign w:val="bottom"/>
          </w:tcPr>
          <w:p>
            <w:pPr>
              <w:spacing w:after="0"/>
              <w:rPr>
                <w:sz w:val="20"/>
                <w:szCs w:val="20"/>
                <w:color w:val="auto"/>
              </w:rPr>
            </w:pPr>
            <w:r>
              <w:rPr>
                <w:rFonts w:ascii="Arial" w:cs="Arial" w:eastAsia="Arial" w:hAnsi="Arial"/>
                <w:sz w:val="14"/>
                <w:szCs w:val="14"/>
                <w:color w:val="auto"/>
              </w:rPr>
              <w:t>(a)</w:t>
            </w:r>
          </w:p>
        </w:tc>
        <w:tc>
          <w:tcPr>
            <w:tcW w:w="8120" w:type="dxa"/>
            <w:vAlign w:val="bottom"/>
            <w:gridSpan w:val="3"/>
          </w:tcPr>
          <w:p>
            <w:pPr>
              <w:ind w:left="160"/>
              <w:spacing w:after="0"/>
              <w:rPr>
                <w:sz w:val="20"/>
                <w:szCs w:val="20"/>
                <w:color w:val="auto"/>
              </w:rPr>
            </w:pPr>
            <w:r>
              <w:rPr>
                <w:rFonts w:ascii="Arial" w:cs="Arial" w:eastAsia="Arial" w:hAnsi="Arial"/>
                <w:sz w:val="14"/>
                <w:szCs w:val="14"/>
                <w:color w:val="auto"/>
              </w:rPr>
              <w:t>On February 17, 2023, S&amp;P reported BBB+ rating and maintained a Stable outlook.</w:t>
            </w:r>
          </w:p>
        </w:tc>
        <w:tc>
          <w:tcPr>
            <w:tcW w:w="2760" w:type="dxa"/>
            <w:vAlign w:val="bottom"/>
          </w:tcPr>
          <w:p>
            <w:pPr>
              <w:spacing w:after="0"/>
              <w:rPr>
                <w:sz w:val="16"/>
                <w:szCs w:val="16"/>
                <w:color w:val="auto"/>
              </w:rPr>
            </w:pPr>
          </w:p>
        </w:tc>
      </w:tr>
      <w:tr>
        <w:trPr>
          <w:trHeight w:val="162"/>
        </w:trPr>
        <w:tc>
          <w:tcPr>
            <w:tcW w:w="360" w:type="dxa"/>
            <w:vAlign w:val="bottom"/>
          </w:tcPr>
          <w:p>
            <w:pPr>
              <w:spacing w:after="0"/>
              <w:rPr>
                <w:sz w:val="20"/>
                <w:szCs w:val="20"/>
                <w:color w:val="auto"/>
              </w:rPr>
            </w:pPr>
            <w:r>
              <w:rPr>
                <w:rFonts w:ascii="Arial" w:cs="Arial" w:eastAsia="Arial" w:hAnsi="Arial"/>
                <w:sz w:val="14"/>
                <w:szCs w:val="14"/>
                <w:color w:val="auto"/>
              </w:rPr>
              <w:t>(b)</w:t>
            </w:r>
          </w:p>
        </w:tc>
        <w:tc>
          <w:tcPr>
            <w:tcW w:w="8120" w:type="dxa"/>
            <w:vAlign w:val="bottom"/>
            <w:gridSpan w:val="3"/>
          </w:tcPr>
          <w:p>
            <w:pPr>
              <w:ind w:left="160"/>
              <w:spacing w:after="0"/>
              <w:rPr>
                <w:sz w:val="20"/>
                <w:szCs w:val="20"/>
                <w:color w:val="auto"/>
              </w:rPr>
            </w:pPr>
            <w:r>
              <w:rPr>
                <w:rFonts w:ascii="Arial" w:cs="Arial" w:eastAsia="Arial" w:hAnsi="Arial"/>
                <w:sz w:val="14"/>
                <w:szCs w:val="14"/>
                <w:color w:val="auto"/>
              </w:rPr>
              <w:t>On December 20, 2022, Moody’s reported Baa2 rating and maintained a Stable outlook.</w:t>
            </w:r>
          </w:p>
        </w:tc>
        <w:tc>
          <w:tcPr>
            <w:tcW w:w="2760" w:type="dxa"/>
            <w:vAlign w:val="bottom"/>
          </w:tcPr>
          <w:p>
            <w:pPr>
              <w:spacing w:after="0"/>
              <w:rPr>
                <w:sz w:val="14"/>
                <w:szCs w:val="14"/>
                <w:color w:val="auto"/>
              </w:rPr>
            </w:pPr>
          </w:p>
        </w:tc>
      </w:tr>
      <w:tr>
        <w:trPr>
          <w:trHeight w:val="182"/>
        </w:trPr>
        <w:tc>
          <w:tcPr>
            <w:tcW w:w="360" w:type="dxa"/>
            <w:vAlign w:val="bottom"/>
          </w:tcPr>
          <w:p>
            <w:pPr>
              <w:spacing w:after="0"/>
              <w:rPr>
                <w:sz w:val="20"/>
                <w:szCs w:val="20"/>
                <w:color w:val="auto"/>
              </w:rPr>
            </w:pPr>
            <w:r>
              <w:rPr>
                <w:rFonts w:ascii="Arial" w:cs="Arial" w:eastAsia="Arial" w:hAnsi="Arial"/>
                <w:sz w:val="14"/>
                <w:szCs w:val="14"/>
                <w:color w:val="auto"/>
              </w:rPr>
              <w:t>(c)</w:t>
            </w:r>
          </w:p>
        </w:tc>
        <w:tc>
          <w:tcPr>
            <w:tcW w:w="5360" w:type="dxa"/>
            <w:vAlign w:val="bottom"/>
            <w:gridSpan w:val="2"/>
          </w:tcPr>
          <w:p>
            <w:pPr>
              <w:ind w:left="160"/>
              <w:spacing w:after="0"/>
              <w:rPr>
                <w:sz w:val="20"/>
                <w:szCs w:val="20"/>
                <w:color w:val="auto"/>
              </w:rPr>
            </w:pPr>
            <w:r>
              <w:rPr>
                <w:rFonts w:ascii="Arial" w:cs="Arial" w:eastAsia="Arial" w:hAnsi="Arial"/>
                <w:sz w:val="14"/>
                <w:szCs w:val="14"/>
                <w:color w:val="auto"/>
              </w:rPr>
              <w:t>On October 6, 2022, Fitch reported BBB+ rating and maintained a Stable outlook.</w:t>
            </w:r>
          </w:p>
        </w:tc>
        <w:tc>
          <w:tcPr>
            <w:tcW w:w="2760" w:type="dxa"/>
            <w:vAlign w:val="bottom"/>
          </w:tcPr>
          <w:p>
            <w:pPr>
              <w:spacing w:after="0"/>
              <w:rPr>
                <w:sz w:val="15"/>
                <w:szCs w:val="15"/>
                <w:color w:val="auto"/>
              </w:rPr>
            </w:pPr>
          </w:p>
        </w:tc>
        <w:tc>
          <w:tcPr>
            <w:tcW w:w="2760" w:type="dxa"/>
            <w:vAlign w:val="bottom"/>
          </w:tcPr>
          <w:p>
            <w:pPr>
              <w:spacing w:after="0"/>
              <w:rPr>
                <w:sz w:val="15"/>
                <w:szCs w:val="15"/>
                <w:color w:val="auto"/>
              </w:rPr>
            </w:pPr>
          </w:p>
        </w:tc>
      </w:tr>
    </w:tbl>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20"/>
                <w:szCs w:val="20"/>
                <w:color w:val="auto"/>
              </w:rPr>
            </w:pPr>
            <w:r>
              <w:rPr>
                <w:rFonts w:ascii="Arial" w:cs="Arial" w:eastAsia="Arial" w:hAnsi="Arial"/>
                <w:sz w:val="16"/>
                <w:szCs w:val="16"/>
                <w:color w:val="auto"/>
              </w:rPr>
              <w:t>The following table represents the credit ratings of South Dakota Electric at September 30, 2023:</w:t>
            </w:r>
          </w:p>
        </w:tc>
        <w:tc>
          <w:tcPr>
            <w:tcW w:w="3680" w:type="dxa"/>
            <w:vAlign w:val="bottom"/>
          </w:tcPr>
          <w:p>
            <w:pPr>
              <w:spacing w:after="0"/>
              <w:rPr>
                <w:sz w:val="17"/>
                <w:szCs w:val="17"/>
                <w:color w:val="auto"/>
              </w:rPr>
            </w:pPr>
          </w:p>
        </w:tc>
      </w:tr>
      <w:tr>
        <w:trPr>
          <w:trHeight w:val="394"/>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Rating Agency</w:t>
            </w:r>
          </w:p>
        </w:tc>
        <w:tc>
          <w:tcPr>
            <w:tcW w:w="3680" w:type="dxa"/>
            <w:vAlign w:val="bottom"/>
            <w:tcBorders>
              <w:bottom w:val="single" w:sz="8" w:color="auto"/>
            </w:tcBorders>
          </w:tcPr>
          <w:p>
            <w:pPr>
              <w:jc w:val="center"/>
              <w:ind w:right="719"/>
              <w:spacing w:after="0"/>
              <w:rPr>
                <w:sz w:val="20"/>
                <w:szCs w:val="20"/>
                <w:color w:val="auto"/>
              </w:rPr>
            </w:pPr>
            <w:r>
              <w:rPr>
                <w:rFonts w:ascii="Arial" w:cs="Arial" w:eastAsia="Arial" w:hAnsi="Arial"/>
                <w:sz w:val="16"/>
                <w:szCs w:val="16"/>
                <w:color w:val="auto"/>
              </w:rPr>
              <w:t>Senior Secured Rating</w:t>
            </w:r>
          </w:p>
        </w:tc>
      </w:tr>
      <w:tr>
        <w:trPr>
          <w:trHeight w:val="212"/>
        </w:trPr>
        <w:tc>
          <w:tcPr>
            <w:tcW w:w="7560" w:type="dxa"/>
            <w:vAlign w:val="bottom"/>
            <w:shd w:val="clear" w:color="auto" w:fill="CFF0FC"/>
          </w:tcPr>
          <w:p>
            <w:pPr>
              <w:ind w:left="20"/>
              <w:spacing w:after="0" w:line="212" w:lineRule="exact"/>
              <w:rPr>
                <w:sz w:val="20"/>
                <w:szCs w:val="20"/>
                <w:color w:val="auto"/>
              </w:rPr>
            </w:pPr>
            <w:r>
              <w:rPr>
                <w:rFonts w:ascii="Arial" w:cs="Arial" w:eastAsia="Arial" w:hAnsi="Arial"/>
                <w:sz w:val="24"/>
                <w:szCs w:val="24"/>
                <w:color w:val="auto"/>
                <w:vertAlign w:val="subscript"/>
              </w:rPr>
              <w:t>S&amp;P</w:t>
            </w:r>
            <w:r>
              <w:rPr>
                <w:rFonts w:ascii="Arial" w:cs="Arial" w:eastAsia="Arial" w:hAnsi="Arial"/>
                <w:sz w:val="9"/>
                <w:szCs w:val="9"/>
                <w:color w:val="auto"/>
              </w:rPr>
              <w:t xml:space="preserve"> (a)</w:t>
            </w:r>
          </w:p>
        </w:tc>
        <w:tc>
          <w:tcPr>
            <w:tcW w:w="3680" w:type="dxa"/>
            <w:vAlign w:val="bottom"/>
            <w:shd w:val="clear" w:color="auto" w:fill="CFF0FC"/>
          </w:tcPr>
          <w:p>
            <w:pPr>
              <w:jc w:val="center"/>
              <w:ind w:right="719"/>
              <w:spacing w:after="0"/>
              <w:rPr>
                <w:sz w:val="20"/>
                <w:szCs w:val="20"/>
                <w:color w:val="auto"/>
              </w:rPr>
            </w:pPr>
            <w:r>
              <w:rPr>
                <w:rFonts w:ascii="Arial" w:cs="Arial" w:eastAsia="Arial" w:hAnsi="Arial"/>
                <w:sz w:val="16"/>
                <w:szCs w:val="16"/>
                <w:color w:val="auto"/>
              </w:rPr>
              <w:t>A</w:t>
            </w:r>
          </w:p>
        </w:tc>
      </w:tr>
      <w:tr>
        <w:trPr>
          <w:trHeight w:val="286"/>
        </w:trPr>
        <w:tc>
          <w:tcPr>
            <w:tcW w:w="7560" w:type="dxa"/>
            <w:vAlign w:val="bottom"/>
          </w:tcPr>
          <w:p>
            <w:pPr>
              <w:ind w:left="20"/>
              <w:spacing w:after="0"/>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(b)</w:t>
            </w:r>
          </w:p>
        </w:tc>
        <w:tc>
          <w:tcPr>
            <w:tcW w:w="3680" w:type="dxa"/>
            <w:vAlign w:val="bottom"/>
          </w:tcPr>
          <w:p>
            <w:pPr>
              <w:jc w:val="center"/>
              <w:ind w:right="719"/>
              <w:spacing w:after="0"/>
              <w:rPr>
                <w:sz w:val="20"/>
                <w:szCs w:val="20"/>
                <w:color w:val="auto"/>
              </w:rPr>
            </w:pPr>
            <w:r>
              <w:rPr>
                <w:rFonts w:ascii="Arial" w:cs="Arial" w:eastAsia="Arial" w:hAnsi="Arial"/>
                <w:sz w:val="16"/>
                <w:szCs w:val="16"/>
                <w:color w:val="auto"/>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10458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4"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February 17, 2023, S&amp;P reported A rating.</w:t>
      </w:r>
    </w:p>
    <w:p>
      <w:pPr>
        <w:spacing w:after="0" w:line="11" w:lineRule="exact"/>
        <w:rPr>
          <w:rFonts w:ascii="Arial" w:cs="Arial" w:eastAsia="Arial" w:hAnsi="Arial"/>
          <w:sz w:val="14"/>
          <w:szCs w:val="14"/>
          <w:color w:val="auto"/>
        </w:rPr>
      </w:pPr>
    </w:p>
    <w:p>
      <w:pPr>
        <w:ind w:left="520" w:hanging="512"/>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October 6, 2022, Fitch reported A rating.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60" w:type="dxa"/>
            <w:vAlign w:val="bottom"/>
          </w:tcPr>
          <w:p>
            <w:pPr>
              <w:spacing w:after="0"/>
              <w:rPr>
                <w:sz w:val="20"/>
                <w:szCs w:val="20"/>
                <w:color w:val="auto"/>
              </w:rPr>
            </w:pPr>
            <w:r>
              <w:rPr>
                <w:rFonts w:ascii="Arial" w:cs="Arial" w:eastAsia="Arial" w:hAnsi="Arial"/>
                <w:sz w:val="16"/>
                <w:szCs w:val="16"/>
                <w:b w:val="1"/>
                <w:bCs w:val="1"/>
                <w:color w:val="auto"/>
              </w:rPr>
              <w:t>CAPITAL REQUIREMENTS</w:t>
            </w:r>
          </w:p>
        </w:tc>
        <w:tc>
          <w:tcPr>
            <w:tcW w:w="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78"/>
        </w:trPr>
        <w:tc>
          <w:tcPr>
            <w:tcW w:w="3060" w:type="dxa"/>
            <w:vAlign w:val="bottom"/>
          </w:tcPr>
          <w:p>
            <w:pPr>
              <w:spacing w:after="0"/>
              <w:rPr>
                <w:sz w:val="20"/>
                <w:szCs w:val="20"/>
                <w:color w:val="auto"/>
              </w:rPr>
            </w:pPr>
            <w:r>
              <w:rPr>
                <w:rFonts w:ascii="Arial" w:cs="Arial" w:eastAsia="Arial" w:hAnsi="Arial"/>
                <w:sz w:val="16"/>
                <w:szCs w:val="16"/>
                <w:b w:val="1"/>
                <w:bCs w:val="1"/>
                <w:color w:val="auto"/>
              </w:rPr>
              <w:t>Capital Expenditures</w:t>
            </w:r>
          </w:p>
        </w:tc>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3"/>
        </w:trPr>
        <w:tc>
          <w:tcPr>
            <w:tcW w:w="3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Actual</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Forecasted</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74"/>
        </w:trPr>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jc w:val="center"/>
              <w:ind w:right="199"/>
              <w:spacing w:after="0" w:line="174" w:lineRule="exact"/>
              <w:rPr>
                <w:sz w:val="20"/>
                <w:szCs w:val="20"/>
                <w:color w:val="auto"/>
              </w:rPr>
            </w:pPr>
            <w:r>
              <w:rPr>
                <w:rFonts w:ascii="Arial" w:cs="Arial" w:eastAsia="Arial" w:hAnsi="Arial"/>
                <w:sz w:val="16"/>
                <w:szCs w:val="16"/>
                <w:color w:val="auto"/>
              </w:rPr>
              <w:t>Nine Months Ended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8"/>
        </w:trPr>
        <w:tc>
          <w:tcPr>
            <w:tcW w:w="3060" w:type="dxa"/>
            <w:vAlign w:val="bottom"/>
          </w:tcPr>
          <w:p>
            <w:pPr>
              <w:ind w:left="20"/>
              <w:spacing w:after="0"/>
              <w:rPr>
                <w:sz w:val="20"/>
                <w:szCs w:val="20"/>
                <w:color w:val="auto"/>
              </w:rPr>
            </w:pPr>
            <w:r>
              <w:rPr>
                <w:rFonts w:ascii="Arial" w:cs="Arial" w:eastAsia="Arial" w:hAnsi="Arial"/>
                <w:sz w:val="16"/>
                <w:szCs w:val="16"/>
                <w:color w:val="auto"/>
              </w:rPr>
              <w:t>Capital Expenditures by Segment</w:t>
            </w: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159"/>
              <w:spacing w:after="0" w:line="228" w:lineRule="exact"/>
              <w:rPr>
                <w:sz w:val="20"/>
                <w:szCs w:val="20"/>
                <w:color w:val="auto"/>
              </w:rPr>
            </w:pPr>
            <w:r>
              <w:rPr>
                <w:rFonts w:ascii="Arial" w:cs="Arial" w:eastAsia="Arial" w:hAnsi="Arial"/>
                <w:sz w:val="16"/>
                <w:szCs w:val="16"/>
                <w:color w:val="auto"/>
                <w:w w:val="99"/>
              </w:rPr>
              <w:t xml:space="preserve">September 30, 2023 </w:t>
            </w:r>
            <w:r>
              <w:rPr>
                <w:rFonts w:ascii="Arial" w:cs="Arial" w:eastAsia="Arial" w:hAnsi="Arial"/>
                <w:sz w:val="21"/>
                <w:szCs w:val="21"/>
                <w:color w:val="auto"/>
                <w:w w:val="99"/>
                <w:vertAlign w:val="superscript"/>
              </w:rPr>
              <w:t>(a)</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9"/>
              <w:spacing w:after="0" w:line="228" w:lineRule="exact"/>
              <w:rPr>
                <w:sz w:val="20"/>
                <w:szCs w:val="20"/>
                <w:color w:val="auto"/>
              </w:rPr>
            </w:pPr>
            <w:r>
              <w:rPr>
                <w:rFonts w:ascii="Arial" w:cs="Arial" w:eastAsia="Arial" w:hAnsi="Arial"/>
                <w:sz w:val="16"/>
                <w:szCs w:val="16"/>
                <w:color w:val="auto"/>
              </w:rPr>
              <w:t xml:space="preserve">2023 </w:t>
            </w:r>
            <w:r>
              <w:rPr>
                <w:rFonts w:ascii="Arial" w:cs="Arial" w:eastAsia="Arial" w:hAnsi="Arial"/>
                <w:sz w:val="21"/>
                <w:szCs w:val="21"/>
                <w:color w:val="auto"/>
                <w:vertAlign w:val="superscript"/>
              </w:rPr>
              <w:t>(b)</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2024</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2025</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2026</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2027</w:t>
            </w:r>
          </w:p>
        </w:tc>
      </w:tr>
      <w:tr>
        <w:trPr>
          <w:trHeight w:val="210"/>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 millions)</w:t>
            </w:r>
          </w:p>
        </w:tc>
        <w:tc>
          <w:tcPr>
            <w:tcW w:w="18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Electric Utilities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156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163</w:t>
            </w:r>
          </w:p>
        </w:tc>
      </w:tr>
      <w:tr>
        <w:trPr>
          <w:trHeight w:val="219"/>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Gas Utilities</w:t>
            </w:r>
          </w:p>
        </w:tc>
        <w:tc>
          <w:tcPr>
            <w:tcW w:w="18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444</w:t>
            </w: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w:t>
            </w:r>
          </w:p>
        </w:tc>
      </w:tr>
      <w:tr>
        <w:trPr>
          <w:trHeight w:val="219"/>
        </w:trPr>
        <w:tc>
          <w:tcPr>
            <w:tcW w:w="3060" w:type="dxa"/>
            <w:vAlign w:val="bottom"/>
            <w:tcBorders>
              <w:bottom w:val="single" w:sz="8" w:color="CFF0FC"/>
            </w:tcBorders>
            <w:shd w:val="clear" w:color="auto" w:fill="CFF0FC"/>
          </w:tcPr>
          <w:p>
            <w:pPr>
              <w:ind w:left="20"/>
              <w:spacing w:after="0" w:line="219" w:lineRule="exact"/>
              <w:rPr>
                <w:sz w:val="20"/>
                <w:szCs w:val="20"/>
                <w:color w:val="auto"/>
              </w:rPr>
            </w:pPr>
            <w:r>
              <w:rPr>
                <w:rFonts w:ascii="Arial" w:cs="Arial" w:eastAsia="Arial" w:hAnsi="Arial"/>
                <w:sz w:val="16"/>
                <w:szCs w:val="16"/>
                <w:color w:val="auto"/>
              </w:rPr>
              <w:t xml:space="preserve">Incremental Projects </w:t>
            </w:r>
            <w:r>
              <w:rPr>
                <w:rFonts w:ascii="Arial" w:cs="Arial" w:eastAsia="Arial" w:hAnsi="Arial"/>
                <w:sz w:val="21"/>
                <w:szCs w:val="21"/>
                <w:color w:val="auto"/>
                <w:vertAlign w:val="superscript"/>
              </w:rPr>
              <w:t>(c)</w:t>
            </w:r>
          </w:p>
        </w:tc>
        <w:tc>
          <w:tcPr>
            <w:tcW w:w="180" w:type="dxa"/>
            <w:vAlign w:val="bottom"/>
            <w:tcBorders>
              <w:bottom w:val="single" w:sz="8" w:color="auto"/>
            </w:tcBorders>
            <w:shd w:val="clear" w:color="auto" w:fill="CFF0FC"/>
          </w:tcPr>
          <w:p>
            <w:pPr>
              <w:spacing w:after="0"/>
              <w:rPr>
                <w:sz w:val="19"/>
                <w:szCs w:val="19"/>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w:t>
            </w:r>
          </w:p>
        </w:tc>
      </w:tr>
      <w:tr>
        <w:trPr>
          <w:trHeight w:val="207"/>
        </w:trPr>
        <w:tc>
          <w:tcPr>
            <w:tcW w:w="30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700</w:t>
            </w:r>
          </w:p>
        </w:tc>
      </w:tr>
      <w:tr>
        <w:trPr>
          <w:trHeight w:val="20"/>
        </w:trPr>
        <w:tc>
          <w:tcPr>
            <w:tcW w:w="3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458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37" w:lineRule="exact"/>
        <w:rPr>
          <w:sz w:val="20"/>
          <w:szCs w:val="20"/>
          <w:color w:val="auto"/>
        </w:rPr>
      </w:pPr>
    </w:p>
    <w:p>
      <w:pPr>
        <w:ind w:left="520" w:right="800" w:hanging="512"/>
        <w:spacing w:after="0" w:line="248" w:lineRule="auto"/>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actual capital expenditures for the nine months ended September 30, 2023.</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These represent projects that are being evaluated by our segments for timing, cost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-318770</wp:posOffset>
            </wp:positionV>
            <wp:extent cx="16249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Dividends paid on our common stock totaled $125.4 million for the nine months ended September 30, 2023, or $0.625 per share per quarter. On October 23, 2023, our board of directors declared a quarterly dividend of $0.625 per share payable December 1, 2023, equivalent to an annual dividend of $2.50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Funding Status of Employee Benefit Plans</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Based on the fair value of assets and estimated discount rate used to value benefit obligations as of September 30, 2023, we estimate the unfunded status of our employee benefit plans to be approximately $38 million compared to $35 million at December 31, 2022. We have implemented various de-risking strategies including lump sum buyouts, the purchase of annuities and the reduction of return-seeking assets over time to a more liability-hedged portfolio. As a result, recent capital markets volatility had a limited impact to our funded status and does not require interim re-measurement of our pension plan assets or defined benefit obligations.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 summary of our critical accounting estimates is included in our 2022 Annual Report on Form 10-K. There were no material changes made as of September 30, 2023.</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New Accounting Pronouncements</w:t>
      </w:r>
    </w:p>
    <w:p>
      <w:pPr>
        <w:spacing w:after="0" w:line="20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 xml:space="preserve">Other than the pronouncements reported in our 2022 Annual Report on Form 10-K and those discussed in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Condensed Notes to Consolidated Financial Statements, there have been no new accounting pronouncements that are expected to have a material effect on our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4860290</wp:posOffset>
            </wp:positionH>
            <wp:positionV relativeFrom="paragraph">
              <wp:posOffset>-271145</wp:posOffset>
            </wp:positionV>
            <wp:extent cx="302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02"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color w:val="auto"/>
        </w:rPr>
        <w:t>There have been no material changes to our quantitative and qualitative disclosures about market risk previously disclosed in Item 7A of our 2022 Annual Report on Form 10-K.</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0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as amended (the “Exchange Act”)) as of September 30, 2023. Based on their evaluation, they have concluded that our disclosure controls and procedures were effective at September 30, 2023.</w:t>
      </w:r>
    </w:p>
    <w:p>
      <w:pPr>
        <w:spacing w:after="0" w:line="15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02"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During the quarter ended September 30, 2023, there have been no changes in our internal controls over financial reporting that have materially affected or are reasonably likely to materially affect our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02"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color w:val="auto"/>
        </w:rPr>
        <w:t xml:space="preserve">For information regarding legal proceedings,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Condensed Notes to Consolidated Financial Statements and Note 3 in Item 8 of our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-158750</wp:posOffset>
            </wp:positionV>
            <wp:extent cx="3028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to the risk factors previously disclosed in Item 1A of Part I in our 2022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September 30,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center"/>
              <w:ind w:right="39"/>
              <w:spacing w:after="0"/>
              <w:rPr>
                <w:sz w:val="20"/>
                <w:szCs w:val="20"/>
                <w:color w:val="auto"/>
              </w:rPr>
            </w:pPr>
            <w:r>
              <w:rPr>
                <w:rFonts w:ascii="Arial" w:cs="Arial" w:eastAsia="Arial" w:hAnsi="Arial"/>
                <w:sz w:val="16"/>
                <w:szCs w:val="16"/>
                <w:color w:val="auto"/>
              </w:rPr>
              <w:t>Maximum Number (or</w:t>
            </w:r>
          </w:p>
        </w:tc>
      </w:tr>
      <w:tr>
        <w:trPr>
          <w:trHeight w:val="189"/>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center"/>
              <w:ind w:right="39"/>
              <w:spacing w:after="0"/>
              <w:rPr>
                <w:sz w:val="20"/>
                <w:szCs w:val="20"/>
                <w:color w:val="auto"/>
              </w:rPr>
            </w:pPr>
            <w:r>
              <w:rPr>
                <w:rFonts w:ascii="Arial" w:cs="Arial" w:eastAsia="Arial" w:hAnsi="Arial"/>
                <w:sz w:val="16"/>
                <w:szCs w:val="16"/>
                <w:color w:val="auto"/>
              </w:rPr>
              <w:t>Approximate Dollar</w:t>
            </w:r>
          </w:p>
        </w:tc>
      </w:tr>
      <w:tr>
        <w:trPr>
          <w:trHeight w:val="189"/>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rPr>
              <w:t>Total Number of Shares</w:t>
            </w:r>
          </w:p>
        </w:tc>
        <w:tc>
          <w:tcPr>
            <w:tcW w:w="160" w:type="dxa"/>
            <w:vAlign w:val="bottom"/>
          </w:tcPr>
          <w:p>
            <w:pPr>
              <w:spacing w:after="0"/>
              <w:rPr>
                <w:sz w:val="16"/>
                <w:szCs w:val="16"/>
                <w:color w:val="auto"/>
              </w:rPr>
            </w:pPr>
          </w:p>
        </w:tc>
        <w:tc>
          <w:tcPr>
            <w:tcW w:w="1900" w:type="dxa"/>
            <w:vAlign w:val="bottom"/>
          </w:tcPr>
          <w:p>
            <w:pPr>
              <w:jc w:val="center"/>
              <w:ind w:right="19"/>
              <w:spacing w:after="0"/>
              <w:rPr>
                <w:sz w:val="20"/>
                <w:szCs w:val="20"/>
                <w:color w:val="auto"/>
              </w:rPr>
            </w:pPr>
            <w:r>
              <w:rPr>
                <w:rFonts w:ascii="Arial" w:cs="Arial" w:eastAsia="Arial" w:hAnsi="Arial"/>
                <w:sz w:val="16"/>
                <w:szCs w:val="16"/>
                <w:color w:val="auto"/>
              </w:rPr>
              <w:t>Value) of Shares That</w:t>
            </w:r>
          </w:p>
        </w:tc>
      </w:tr>
      <w:tr>
        <w:trPr>
          <w:trHeight w:val="189"/>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rPr>
              <w:t>Purchased as Part of</w:t>
            </w:r>
          </w:p>
        </w:tc>
        <w:tc>
          <w:tcPr>
            <w:tcW w:w="160" w:type="dxa"/>
            <w:vAlign w:val="bottom"/>
          </w:tcPr>
          <w:p>
            <w:pPr>
              <w:spacing w:after="0"/>
              <w:rPr>
                <w:sz w:val="16"/>
                <w:szCs w:val="16"/>
                <w:color w:val="auto"/>
              </w:rPr>
            </w:pPr>
          </w:p>
        </w:tc>
        <w:tc>
          <w:tcPr>
            <w:tcW w:w="1900" w:type="dxa"/>
            <w:vAlign w:val="bottom"/>
          </w:tcPr>
          <w:p>
            <w:pPr>
              <w:jc w:val="center"/>
              <w:ind w:right="19"/>
              <w:spacing w:after="0"/>
              <w:rPr>
                <w:sz w:val="20"/>
                <w:szCs w:val="20"/>
                <w:color w:val="auto"/>
              </w:rPr>
            </w:pPr>
            <w:r>
              <w:rPr>
                <w:rFonts w:ascii="Arial" w:cs="Arial" w:eastAsia="Arial" w:hAnsi="Arial"/>
                <w:sz w:val="16"/>
                <w:szCs w:val="16"/>
                <w:color w:val="auto"/>
              </w:rPr>
              <w:t>May Yet Be Purchased</w:t>
            </w:r>
          </w:p>
        </w:tc>
      </w:tr>
      <w:tr>
        <w:trPr>
          <w:trHeight w:val="160"/>
        </w:trPr>
        <w:tc>
          <w:tcPr>
            <w:tcW w:w="3820" w:type="dxa"/>
            <w:vAlign w:val="bottom"/>
          </w:tcPr>
          <w:p>
            <w:pPr>
              <w:spacing w:after="0"/>
              <w:rPr>
                <w:sz w:val="13"/>
                <w:szCs w:val="13"/>
                <w:color w:val="auto"/>
              </w:rPr>
            </w:pPr>
          </w:p>
        </w:tc>
        <w:tc>
          <w:tcPr>
            <w:tcW w:w="1980" w:type="dxa"/>
            <w:vAlign w:val="bottom"/>
          </w:tcPr>
          <w:p>
            <w:pPr>
              <w:jc w:val="right"/>
              <w:ind w:right="119"/>
              <w:spacing w:after="0" w:line="161" w:lineRule="exact"/>
              <w:rPr>
                <w:sz w:val="20"/>
                <w:szCs w:val="20"/>
                <w:color w:val="auto"/>
              </w:rPr>
            </w:pPr>
            <w:r>
              <w:rPr>
                <w:rFonts w:ascii="Arial" w:cs="Arial" w:eastAsia="Arial" w:hAnsi="Arial"/>
                <w:sz w:val="16"/>
                <w:szCs w:val="16"/>
                <w:color w:val="auto"/>
              </w:rPr>
              <w:t>Total Number of Shares</w:t>
            </w:r>
          </w:p>
        </w:tc>
        <w:tc>
          <w:tcPr>
            <w:tcW w:w="160" w:type="dxa"/>
            <w:vAlign w:val="bottom"/>
          </w:tcPr>
          <w:p>
            <w:pPr>
              <w:spacing w:after="0"/>
              <w:rPr>
                <w:sz w:val="13"/>
                <w:szCs w:val="13"/>
                <w:color w:val="auto"/>
              </w:rPr>
            </w:pPr>
          </w:p>
        </w:tc>
        <w:tc>
          <w:tcPr>
            <w:tcW w:w="1260" w:type="dxa"/>
            <w:vAlign w:val="bottom"/>
          </w:tcPr>
          <w:p>
            <w:pPr>
              <w:jc w:val="right"/>
              <w:ind w:right="159"/>
              <w:spacing w:after="0" w:line="161" w:lineRule="exact"/>
              <w:rPr>
                <w:sz w:val="20"/>
                <w:szCs w:val="20"/>
                <w:color w:val="auto"/>
              </w:rPr>
            </w:pPr>
            <w:r>
              <w:rPr>
                <w:rFonts w:ascii="Arial" w:cs="Arial" w:eastAsia="Arial" w:hAnsi="Arial"/>
                <w:sz w:val="16"/>
                <w:szCs w:val="16"/>
                <w:color w:val="auto"/>
                <w:w w:val="99"/>
              </w:rPr>
              <w:t>Average Price</w:t>
            </w:r>
          </w:p>
        </w:tc>
        <w:tc>
          <w:tcPr>
            <w:tcW w:w="1960" w:type="dxa"/>
            <w:vAlign w:val="bottom"/>
          </w:tcPr>
          <w:p>
            <w:pPr>
              <w:jc w:val="center"/>
              <w:spacing w:after="0" w:line="161" w:lineRule="exact"/>
              <w:rPr>
                <w:sz w:val="20"/>
                <w:szCs w:val="20"/>
                <w:color w:val="auto"/>
              </w:rPr>
            </w:pPr>
            <w:r>
              <w:rPr>
                <w:rFonts w:ascii="Arial" w:cs="Arial" w:eastAsia="Arial" w:hAnsi="Arial"/>
                <w:sz w:val="16"/>
                <w:szCs w:val="16"/>
                <w:color w:val="auto"/>
              </w:rPr>
              <w:t>Publicly Announced Plans</w:t>
            </w:r>
          </w:p>
        </w:tc>
        <w:tc>
          <w:tcPr>
            <w:tcW w:w="160" w:type="dxa"/>
            <w:vAlign w:val="bottom"/>
          </w:tcPr>
          <w:p>
            <w:pPr>
              <w:spacing w:after="0"/>
              <w:rPr>
                <w:sz w:val="13"/>
                <w:szCs w:val="13"/>
                <w:color w:val="auto"/>
              </w:rPr>
            </w:pPr>
          </w:p>
        </w:tc>
        <w:tc>
          <w:tcPr>
            <w:tcW w:w="1900" w:type="dxa"/>
            <w:vAlign w:val="bottom"/>
          </w:tcPr>
          <w:p>
            <w:pPr>
              <w:jc w:val="center"/>
              <w:ind w:right="39"/>
              <w:spacing w:after="0" w:line="161" w:lineRule="exact"/>
              <w:rPr>
                <w:sz w:val="20"/>
                <w:szCs w:val="20"/>
                <w:color w:val="auto"/>
              </w:rPr>
            </w:pPr>
            <w:r>
              <w:rPr>
                <w:rFonts w:ascii="Arial" w:cs="Arial" w:eastAsia="Arial" w:hAnsi="Arial"/>
                <w:sz w:val="16"/>
                <w:szCs w:val="16"/>
                <w:color w:val="auto"/>
              </w:rPr>
              <w:t>Under the Plans or</w:t>
            </w:r>
          </w:p>
        </w:tc>
      </w:tr>
      <w:tr>
        <w:trPr>
          <w:trHeight w:val="241"/>
        </w:trPr>
        <w:tc>
          <w:tcPr>
            <w:tcW w:w="3820" w:type="dxa"/>
            <w:vAlign w:val="bottom"/>
            <w:tcBorders>
              <w:bottom w:val="single" w:sz="8" w:color="auto"/>
            </w:tcBorders>
          </w:tcPr>
          <w:p>
            <w:pPr>
              <w:ind w:left="1680"/>
              <w:spacing w:after="0"/>
              <w:rPr>
                <w:sz w:val="20"/>
                <w:szCs w:val="20"/>
                <w:color w:val="auto"/>
              </w:rPr>
            </w:pPr>
            <w:r>
              <w:rPr>
                <w:rFonts w:ascii="Arial" w:cs="Arial" w:eastAsia="Arial" w:hAnsi="Arial"/>
                <w:sz w:val="16"/>
                <w:szCs w:val="16"/>
                <w:color w:val="auto"/>
              </w:rPr>
              <w:t>Period</w:t>
            </w:r>
          </w:p>
        </w:tc>
        <w:tc>
          <w:tcPr>
            <w:tcW w:w="19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 xml:space="preserve">Purchased </w:t>
            </w:r>
            <w:r>
              <w:rPr>
                <w:rFonts w:ascii="Arial" w:cs="Arial" w:eastAsia="Arial" w:hAnsi="Arial"/>
                <w:sz w:val="21"/>
                <w:szCs w:val="21"/>
                <w:color w:val="auto"/>
                <w:vertAlign w:val="superscript"/>
              </w:rPr>
              <w:t>(a)</w:t>
            </w:r>
          </w:p>
        </w:tc>
        <w:tc>
          <w:tcPr>
            <w:tcW w:w="14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Paid per Share</w:t>
            </w:r>
          </w:p>
        </w:tc>
        <w:tc>
          <w:tcPr>
            <w:tcW w:w="196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9"/>
              </w:rPr>
              <w:t>or Programs</w:t>
            </w: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Programs</w:t>
            </w:r>
          </w:p>
        </w:tc>
      </w:tr>
      <w:tr>
        <w:trPr>
          <w:trHeight w:val="210"/>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July 1, 2023 - July 31, 2023</w:t>
            </w:r>
          </w:p>
        </w:tc>
        <w:tc>
          <w:tcPr>
            <w:tcW w:w="1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60.27</w:t>
            </w: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August 1, 2023 - August 31, 2023</w:t>
            </w:r>
          </w:p>
        </w:tc>
        <w:tc>
          <w:tcPr>
            <w:tcW w:w="1980" w:type="dxa"/>
            <w:vAlign w:val="bottom"/>
          </w:tcPr>
          <w:p>
            <w:pPr>
              <w:jc w:val="right"/>
              <w:spacing w:after="0"/>
              <w:rPr>
                <w:sz w:val="20"/>
                <w:szCs w:val="20"/>
                <w:color w:val="auto"/>
              </w:rPr>
            </w:pPr>
            <w:r>
              <w:rPr>
                <w:rFonts w:ascii="Arial" w:cs="Arial" w:eastAsia="Arial" w:hAnsi="Arial"/>
                <w:sz w:val="16"/>
                <w:szCs w:val="16"/>
                <w:color w:val="auto"/>
              </w:rPr>
              <w:t>1,171</w:t>
            </w:r>
          </w:p>
        </w:tc>
        <w:tc>
          <w:tcPr>
            <w:tcW w:w="16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56.89</w:t>
            </w:r>
          </w:p>
        </w:tc>
        <w:tc>
          <w:tcPr>
            <w:tcW w:w="1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September 1, 2023 - September 30, 2023</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54.74</w:t>
            </w:r>
          </w:p>
        </w:tc>
        <w:tc>
          <w:tcPr>
            <w:tcW w:w="19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3820" w:type="dxa"/>
            <w:vAlign w:val="bottom"/>
          </w:tcPr>
          <w:p>
            <w:pPr>
              <w:ind w:left="300"/>
              <w:spacing w:after="0"/>
              <w:rPr>
                <w:sz w:val="20"/>
                <w:szCs w:val="20"/>
                <w:color w:val="auto"/>
              </w:rPr>
            </w:pPr>
            <w:r>
              <w:rPr>
                <w:rFonts w:ascii="Arial" w:cs="Arial" w:eastAsia="Arial" w:hAnsi="Arial"/>
                <w:sz w:val="16"/>
                <w:szCs w:val="16"/>
                <w:color w:val="auto"/>
              </w:rPr>
              <w:t>Total</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56.89</w:t>
            </w:r>
          </w:p>
        </w:tc>
        <w:tc>
          <w:tcPr>
            <w:tcW w:w="1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38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4" w:lineRule="exact"/>
        <w:rPr>
          <w:sz w:val="20"/>
          <w:szCs w:val="20"/>
          <w:color w:val="auto"/>
        </w:rPr>
      </w:pPr>
    </w:p>
    <w:p>
      <w:pPr>
        <w:ind w:left="520" w:right="360" w:hanging="512"/>
        <w:spacing w:after="0" w:line="273"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Amended and Restated 2015 Omnibus Incentive Plan for payment of taxes associated with the vesting of various equity compensation plans.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02"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r>
        <w:rPr>
          <w:rFonts w:ascii="Arial" w:cs="Arial" w:eastAsia="Arial" w:hAnsi="Arial"/>
          <w:sz w:val="16"/>
          <w:szCs w:val="16"/>
          <w:u w:val="single" w:color="auto"/>
          <w:color w:val="0000FF"/>
        </w:rPr>
        <w:t>Exhibit 95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-38735</wp:posOffset>
            </wp:positionV>
            <wp:extent cx="4514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51485"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None of our directors or officers adopted, modified, or terminated a Rule 10b5-1 trading arrangement or a non-Rule 10b5-1 trading arrangement during the three months ended September 30, 2023.</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40" w:type="dxa"/>
            <w:vAlign w:val="bottom"/>
          </w:tcPr>
          <w:p>
            <w:pPr>
              <w:ind w:left="380"/>
              <w:spacing w:after="0"/>
              <w:rPr>
                <w:sz w:val="20"/>
                <w:szCs w:val="20"/>
                <w:color w:val="auto"/>
              </w:rPr>
            </w:pPr>
            <w:r>
              <w:rPr>
                <w:rFonts w:ascii="Arial" w:cs="Arial" w:eastAsia="Arial" w:hAnsi="Arial"/>
                <w:sz w:val="16"/>
                <w:szCs w:val="16"/>
                <w:b w:val="1"/>
                <w:bCs w:val="1"/>
                <w:color w:val="auto"/>
              </w:rPr>
              <w:t>Exhibit</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20" w:type="dxa"/>
            <w:vAlign w:val="bottom"/>
            <w:gridSpan w:val="6"/>
            <w:vMerge w:val="restart"/>
          </w:tcPr>
          <w:p>
            <w:pPr>
              <w:ind w:left="7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19"/>
        </w:trPr>
        <w:tc>
          <w:tcPr>
            <w:tcW w:w="14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Number</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1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440" w:type="dxa"/>
            <w:vAlign w:val="bottom"/>
          </w:tcPr>
          <w:p>
            <w:pPr>
              <w:ind w:left="120"/>
              <w:spacing w:after="0"/>
              <w:rPr>
                <w:sz w:val="20"/>
                <w:szCs w:val="20"/>
                <w:color w:val="auto"/>
              </w:rPr>
            </w:pPr>
            <w:r>
              <w:rPr>
                <w:rFonts w:ascii="Arial" w:cs="Arial" w:eastAsia="Arial" w:hAnsi="Arial"/>
                <w:sz w:val="16"/>
                <w:szCs w:val="16"/>
                <w:color w:val="auto"/>
              </w:rPr>
              <w:t>4.1</w:t>
            </w:r>
          </w:p>
        </w:tc>
        <w:tc>
          <w:tcPr>
            <w:tcW w:w="9800" w:type="dxa"/>
            <w:vAlign w:val="bottom"/>
            <w:gridSpan w:val="12"/>
          </w:tcPr>
          <w:p>
            <w:pPr>
              <w:spacing w:after="0"/>
              <w:rPr>
                <w:rFonts w:ascii="Arial" w:cs="Arial" w:eastAsia="Arial" w:hAnsi="Arial"/>
                <w:sz w:val="16"/>
                <w:szCs w:val="16"/>
                <w:color w:val="0000FF"/>
              </w:rPr>
            </w:pPr>
            <w:hyperlink r:id="rId136">
              <w:r>
                <w:rPr>
                  <w:rFonts w:ascii="Arial" w:cs="Arial" w:eastAsia="Arial" w:hAnsi="Arial"/>
                  <w:sz w:val="16"/>
                  <w:szCs w:val="16"/>
                  <w:color w:val="0000FF"/>
                </w:rPr>
                <w:t>Twelfth Supplemental Indenture dated as of September 15, 2023 (filed as Exhibit 4.1 to the Registrant’s Form 8-K filed on September</w:t>
              </w:r>
            </w:hyperlink>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72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7"/>
              </w:rPr>
            </w:pPr>
            <w:hyperlink r:id="rId136">
              <w:r>
                <w:rPr>
                  <w:rFonts w:ascii="Arial" w:cs="Arial" w:eastAsia="Arial" w:hAnsi="Arial"/>
                  <w:sz w:val="16"/>
                  <w:szCs w:val="16"/>
                  <w:color w:val="0000FF"/>
                  <w:w w:val="97"/>
                </w:rPr>
                <w:t>15, 2023).</w:t>
              </w:r>
            </w:hyperlink>
          </w:p>
        </w:tc>
        <w:tc>
          <w:tcPr>
            <w:tcW w:w="20" w:type="dxa"/>
            <w:vAlign w:val="bottom"/>
            <w:tcBorders>
              <w:top w:val="single" w:sz="8" w:color="0000FF"/>
              <w:bottom w:val="single" w:sz="8" w:color="0000EE"/>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1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56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31.1*</w:t>
            </w:r>
          </w:p>
        </w:tc>
        <w:tc>
          <w:tcPr>
            <w:tcW w:w="942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Certification of Chief Executive Officer pursuant to Rule 13a - 14(a) of the Securities Exchange Act of 1934, as adopted pursuant to</w:t>
            </w:r>
          </w:p>
        </w:tc>
        <w:tc>
          <w:tcPr>
            <w:tcW w:w="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9800" w:type="dxa"/>
            <w:vAlign w:val="bottom"/>
            <w:gridSpan w:val="12"/>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31.2*</w:t>
            </w:r>
          </w:p>
        </w:tc>
        <w:tc>
          <w:tcPr>
            <w:tcW w:w="93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Certification of Chief Financial Officer pursuant to Rule 13a - 14(a) of the Securities Exchange Act of 1934, as adopted pursuant to</w:t>
            </w:r>
          </w:p>
        </w:tc>
        <w:tc>
          <w:tcPr>
            <w:tcW w:w="4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9800" w:type="dxa"/>
            <w:vAlign w:val="bottom"/>
            <w:gridSpan w:val="12"/>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32.1*</w:t>
            </w:r>
          </w:p>
        </w:tc>
        <w:tc>
          <w:tcPr>
            <w:tcW w:w="930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 -</w:t>
            </w:r>
          </w:p>
        </w:tc>
        <w:tc>
          <w:tcPr>
            <w:tcW w:w="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1320" w:type="dxa"/>
            <w:vAlign w:val="bottom"/>
            <w:tcBorders>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w w:val="99"/>
              </w:rPr>
              <w:t>Oxley Act of 2002.</w:t>
            </w:r>
          </w:p>
        </w:tc>
        <w:tc>
          <w:tcPr>
            <w:tcW w:w="84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32.2*</w:t>
            </w:r>
          </w:p>
        </w:tc>
        <w:tc>
          <w:tcPr>
            <w:tcW w:w="970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 - Oxley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860" w:type="dxa"/>
            <w:vAlign w:val="bottom"/>
            <w:tcBorders>
              <w:bottom w:val="single" w:sz="8" w:color="0000FF"/>
            </w:tcBorders>
            <w:gridSpan w:val="3"/>
          </w:tcPr>
          <w:p>
            <w:pPr>
              <w:spacing w:after="0" w:line="169" w:lineRule="exact"/>
              <w:rPr>
                <w:sz w:val="20"/>
                <w:szCs w:val="20"/>
                <w:color w:val="auto"/>
              </w:rPr>
            </w:pPr>
            <w:r>
              <w:rPr>
                <w:rFonts w:ascii="Arial" w:cs="Arial" w:eastAsia="Arial" w:hAnsi="Arial"/>
                <w:sz w:val="16"/>
                <w:szCs w:val="16"/>
                <w:color w:val="0000FF"/>
                <w:w w:val="98"/>
              </w:rPr>
              <w:t>Act of 2002.</w:t>
            </w:r>
          </w:p>
        </w:tc>
        <w:tc>
          <w:tcPr>
            <w:tcW w:w="89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95*</w:t>
            </w:r>
          </w:p>
        </w:tc>
        <w:tc>
          <w:tcPr>
            <w:tcW w:w="9800" w:type="dxa"/>
            <w:vAlign w:val="bottom"/>
            <w:gridSpan w:val="12"/>
          </w:tcPr>
          <w:p>
            <w:pPr>
              <w:spacing w:after="0"/>
              <w:rPr>
                <w:sz w:val="20"/>
                <w:szCs w:val="20"/>
                <w:color w:val="auto"/>
              </w:rPr>
            </w:pPr>
            <w:r>
              <w:rPr>
                <w:rFonts w:ascii="Arial" w:cs="Arial" w:eastAsia="Arial" w:hAnsi="Arial"/>
                <w:sz w:val="16"/>
                <w:szCs w:val="16"/>
                <w:color w:val="0000FF"/>
              </w:rPr>
              <w:t>Mine Safety and Health Administration Safety Data.</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680" w:type="dxa"/>
            <w:vAlign w:val="bottom"/>
            <w:gridSpan w:val="6"/>
            <w:shd w:val="clear" w:color="auto" w:fill="0000FF"/>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440" w:type="dxa"/>
            <w:vAlign w:val="bottom"/>
          </w:tcPr>
          <w:p>
            <w:pPr>
              <w:ind w:left="120"/>
              <w:spacing w:after="0"/>
              <w:rPr>
                <w:sz w:val="20"/>
                <w:szCs w:val="20"/>
                <w:color w:val="auto"/>
              </w:rPr>
            </w:pPr>
            <w:r>
              <w:rPr>
                <w:rFonts w:ascii="Arial" w:cs="Arial" w:eastAsia="Arial" w:hAnsi="Arial"/>
                <w:sz w:val="16"/>
                <w:szCs w:val="16"/>
                <w:color w:val="auto"/>
              </w:rPr>
              <w:t>101.INS*</w:t>
            </w:r>
          </w:p>
        </w:tc>
        <w:tc>
          <w:tcPr>
            <w:tcW w:w="9800" w:type="dxa"/>
            <w:vAlign w:val="bottom"/>
            <w:gridSpan w:val="12"/>
          </w:tcPr>
          <w:p>
            <w:pPr>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07"/>
        </w:trPr>
        <w:tc>
          <w:tcPr>
            <w:tcW w:w="1440" w:type="dxa"/>
            <w:vAlign w:val="bottom"/>
          </w:tcPr>
          <w:p>
            <w:pPr>
              <w:spacing w:after="0"/>
              <w:rPr>
                <w:sz w:val="17"/>
                <w:szCs w:val="17"/>
                <w:color w:val="auto"/>
              </w:rPr>
            </w:pPr>
          </w:p>
        </w:tc>
        <w:tc>
          <w:tcPr>
            <w:tcW w:w="9800" w:type="dxa"/>
            <w:vAlign w:val="bottom"/>
            <w:gridSpan w:val="12"/>
          </w:tcPr>
          <w:p>
            <w:pPr>
              <w:spacing w:after="0"/>
              <w:rPr>
                <w:sz w:val="20"/>
                <w:szCs w:val="20"/>
                <w:color w:val="auto"/>
              </w:rPr>
            </w:pPr>
            <w:r>
              <w:rPr>
                <w:rFonts w:ascii="Arial" w:cs="Arial" w:eastAsia="Arial" w:hAnsi="Arial"/>
                <w:sz w:val="16"/>
                <w:szCs w:val="16"/>
                <w:color w:val="auto"/>
              </w:rPr>
              <w:t>within the Inline XBRL document</w:t>
            </w:r>
          </w:p>
        </w:tc>
        <w:tc>
          <w:tcPr>
            <w:tcW w:w="0" w:type="dxa"/>
            <w:vAlign w:val="bottom"/>
          </w:tcPr>
          <w:p>
            <w:pPr>
              <w:spacing w:after="0"/>
              <w:rPr>
                <w:sz w:val="1"/>
                <w:szCs w:val="1"/>
                <w:color w:val="auto"/>
              </w:rPr>
            </w:pPr>
          </w:p>
        </w:tc>
      </w:tr>
      <w:tr>
        <w:trPr>
          <w:trHeight w:val="297"/>
        </w:trPr>
        <w:tc>
          <w:tcPr>
            <w:tcW w:w="1440" w:type="dxa"/>
            <w:vAlign w:val="bottom"/>
          </w:tcPr>
          <w:p>
            <w:pPr>
              <w:ind w:left="120"/>
              <w:spacing w:after="0"/>
              <w:rPr>
                <w:sz w:val="20"/>
                <w:szCs w:val="20"/>
                <w:color w:val="auto"/>
              </w:rPr>
            </w:pPr>
            <w:r>
              <w:rPr>
                <w:rFonts w:ascii="Arial" w:cs="Arial" w:eastAsia="Arial" w:hAnsi="Arial"/>
                <w:sz w:val="16"/>
                <w:szCs w:val="16"/>
                <w:color w:val="auto"/>
              </w:rPr>
              <w:t>101.SCH*</w:t>
            </w:r>
          </w:p>
        </w:tc>
        <w:tc>
          <w:tcPr>
            <w:tcW w:w="9800" w:type="dxa"/>
            <w:vAlign w:val="bottom"/>
            <w:gridSpan w:val="12"/>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97"/>
        </w:trPr>
        <w:tc>
          <w:tcPr>
            <w:tcW w:w="1440" w:type="dxa"/>
            <w:vAlign w:val="bottom"/>
          </w:tcPr>
          <w:p>
            <w:pPr>
              <w:ind w:left="120"/>
              <w:spacing w:after="0"/>
              <w:rPr>
                <w:sz w:val="20"/>
                <w:szCs w:val="20"/>
                <w:color w:val="auto"/>
              </w:rPr>
            </w:pPr>
            <w:r>
              <w:rPr>
                <w:rFonts w:ascii="Arial" w:cs="Arial" w:eastAsia="Arial" w:hAnsi="Arial"/>
                <w:sz w:val="16"/>
                <w:szCs w:val="16"/>
                <w:color w:val="auto"/>
              </w:rPr>
              <w:t>101.CAL*</w:t>
            </w:r>
          </w:p>
        </w:tc>
        <w:tc>
          <w:tcPr>
            <w:tcW w:w="9800" w:type="dxa"/>
            <w:vAlign w:val="bottom"/>
            <w:gridSpan w:val="12"/>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97"/>
        </w:trPr>
        <w:tc>
          <w:tcPr>
            <w:tcW w:w="1440" w:type="dxa"/>
            <w:vAlign w:val="bottom"/>
          </w:tcPr>
          <w:p>
            <w:pPr>
              <w:ind w:left="120"/>
              <w:spacing w:after="0"/>
              <w:rPr>
                <w:sz w:val="20"/>
                <w:szCs w:val="20"/>
                <w:color w:val="auto"/>
              </w:rPr>
            </w:pPr>
            <w:r>
              <w:rPr>
                <w:rFonts w:ascii="Arial" w:cs="Arial" w:eastAsia="Arial" w:hAnsi="Arial"/>
                <w:sz w:val="16"/>
                <w:szCs w:val="16"/>
                <w:color w:val="auto"/>
              </w:rPr>
              <w:t>101.DEF*</w:t>
            </w:r>
          </w:p>
        </w:tc>
        <w:tc>
          <w:tcPr>
            <w:tcW w:w="9800" w:type="dxa"/>
            <w:vAlign w:val="bottom"/>
            <w:gridSpan w:val="12"/>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97"/>
        </w:trPr>
        <w:tc>
          <w:tcPr>
            <w:tcW w:w="1440" w:type="dxa"/>
            <w:vAlign w:val="bottom"/>
          </w:tcPr>
          <w:p>
            <w:pPr>
              <w:ind w:left="120"/>
              <w:spacing w:after="0"/>
              <w:rPr>
                <w:sz w:val="20"/>
                <w:szCs w:val="20"/>
                <w:color w:val="auto"/>
              </w:rPr>
            </w:pPr>
            <w:r>
              <w:rPr>
                <w:rFonts w:ascii="Arial" w:cs="Arial" w:eastAsia="Arial" w:hAnsi="Arial"/>
                <w:sz w:val="16"/>
                <w:szCs w:val="16"/>
                <w:color w:val="auto"/>
              </w:rPr>
              <w:t>101.LAB*</w:t>
            </w:r>
          </w:p>
        </w:tc>
        <w:tc>
          <w:tcPr>
            <w:tcW w:w="9800" w:type="dxa"/>
            <w:vAlign w:val="bottom"/>
            <w:gridSpan w:val="12"/>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97"/>
        </w:trPr>
        <w:tc>
          <w:tcPr>
            <w:tcW w:w="1440" w:type="dxa"/>
            <w:vAlign w:val="bottom"/>
          </w:tcPr>
          <w:p>
            <w:pPr>
              <w:ind w:left="120"/>
              <w:spacing w:after="0"/>
              <w:rPr>
                <w:sz w:val="20"/>
                <w:szCs w:val="20"/>
                <w:color w:val="auto"/>
              </w:rPr>
            </w:pPr>
            <w:r>
              <w:rPr>
                <w:rFonts w:ascii="Arial" w:cs="Arial" w:eastAsia="Arial" w:hAnsi="Arial"/>
                <w:sz w:val="16"/>
                <w:szCs w:val="16"/>
                <w:color w:val="auto"/>
              </w:rPr>
              <w:t>101.PRE*</w:t>
            </w:r>
          </w:p>
        </w:tc>
        <w:tc>
          <w:tcPr>
            <w:tcW w:w="9800" w:type="dxa"/>
            <w:vAlign w:val="bottom"/>
            <w:gridSpan w:val="12"/>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97"/>
        </w:trPr>
        <w:tc>
          <w:tcPr>
            <w:tcW w:w="1440" w:type="dxa"/>
            <w:vAlign w:val="bottom"/>
          </w:tcPr>
          <w:p>
            <w:pPr>
              <w:ind w:left="120"/>
              <w:spacing w:after="0"/>
              <w:rPr>
                <w:sz w:val="20"/>
                <w:szCs w:val="20"/>
                <w:color w:val="auto"/>
              </w:rPr>
            </w:pPr>
            <w:r>
              <w:rPr>
                <w:rFonts w:ascii="Arial" w:cs="Arial" w:eastAsia="Arial" w:hAnsi="Arial"/>
                <w:sz w:val="16"/>
                <w:szCs w:val="16"/>
                <w:color w:val="auto"/>
              </w:rPr>
              <w:t>104*</w:t>
            </w:r>
          </w:p>
        </w:tc>
        <w:tc>
          <w:tcPr>
            <w:tcW w:w="9800" w:type="dxa"/>
            <w:vAlign w:val="bottom"/>
            <w:gridSpan w:val="12"/>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445"/>
        </w:trPr>
        <w:tc>
          <w:tcPr>
            <w:tcW w:w="1440" w:type="dxa"/>
            <w:vAlign w:val="bottom"/>
          </w:tcPr>
          <w:p>
            <w:pPr>
              <w:spacing w:after="0"/>
              <w:rPr>
                <w:sz w:val="24"/>
                <w:szCs w:val="24"/>
                <w:color w:val="auto"/>
              </w:rPr>
            </w:pPr>
          </w:p>
        </w:tc>
        <w:tc>
          <w:tcPr>
            <w:tcW w:w="9300" w:type="dxa"/>
            <w:vAlign w:val="bottom"/>
            <w:gridSpan w:val="7"/>
          </w:tcPr>
          <w:p>
            <w:pPr>
              <w:ind w:left="4100"/>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4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6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BLACK HILLS CORPORATION</w:t>
      </w:r>
    </w:p>
    <w:p>
      <w:pPr>
        <w:spacing w:after="0" w:line="26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35560</wp:posOffset>
            </wp:positionV>
            <wp:extent cx="3703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8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Linden R. Evans, President and</w:t>
      </w:r>
    </w:p>
    <w:p>
      <w:pPr>
        <w:spacing w:after="0" w:line="113"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Chief Executive Officer</w:t>
      </w:r>
    </w:p>
    <w:p>
      <w:pPr>
        <w:spacing w:after="0" w:line="38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35560</wp:posOffset>
            </wp:positionV>
            <wp:extent cx="3703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8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Kimberly F. Nooney, Senior Vice President and</w:t>
      </w:r>
    </w:p>
    <w:p>
      <w:pPr>
        <w:spacing w:after="0" w:line="113"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Chief Financial Officer</w:t>
      </w:r>
    </w:p>
    <w:p>
      <w:pPr>
        <w:spacing w:after="0" w:line="383"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November 2, 2023</w:t>
      </w: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21" w:right="12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194" w:lineRule="exact"/>
        <w:rPr>
          <w:sz w:val="20"/>
          <w:szCs w:val="20"/>
          <w:color w:val="auto"/>
        </w:rPr>
      </w:pPr>
    </w:p>
    <w:p>
      <w:pPr>
        <w:ind w:left="760" w:hanging="752"/>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1"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left="760" w:right="140" w:hanging="752"/>
        <w:spacing w:after="0" w:line="276"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6"/>
          <w:szCs w:val="16"/>
          <w:color w:val="auto"/>
        </w:rPr>
      </w:pPr>
    </w:p>
    <w:p>
      <w:pPr>
        <w:jc w:val="both"/>
        <w:ind w:left="760" w:right="140" w:hanging="752"/>
        <w:spacing w:after="0" w:line="261"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left="1500" w:right="40" w:hanging="743"/>
        <w:spacing w:after="0" w:line="261"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left="1500" w:right="40" w:hanging="743"/>
        <w:spacing w:after="0" w:line="261"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1500" w:hanging="743"/>
        <w:spacing w:after="0" w:line="268"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5" w:lineRule="exact"/>
        <w:rPr>
          <w:rFonts w:ascii="Arial" w:cs="Arial" w:eastAsia="Arial" w:hAnsi="Arial"/>
          <w:sz w:val="16"/>
          <w:szCs w:val="16"/>
          <w:color w:val="auto"/>
        </w:rPr>
      </w:pPr>
    </w:p>
    <w:p>
      <w:pPr>
        <w:ind w:left="1500" w:right="160" w:hanging="743"/>
        <w:spacing w:after="0" w:line="261"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5" w:lineRule="exact"/>
        <w:rPr>
          <w:rFonts w:ascii="Arial" w:cs="Arial" w:eastAsia="Arial" w:hAnsi="Arial"/>
          <w:sz w:val="16"/>
          <w:szCs w:val="16"/>
          <w:color w:val="auto"/>
        </w:rPr>
      </w:pPr>
    </w:p>
    <w:p>
      <w:pPr>
        <w:ind w:left="760" w:right="160" w:hanging="752"/>
        <w:spacing w:after="0" w:line="276"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6"/>
          <w:szCs w:val="16"/>
          <w:color w:val="auto"/>
        </w:rPr>
      </w:pPr>
    </w:p>
    <w:p>
      <w:pPr>
        <w:ind w:left="1500" w:right="440" w:hanging="743"/>
        <w:spacing w:after="0" w:line="276"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6"/>
          <w:szCs w:val="16"/>
          <w:color w:val="auto"/>
        </w:rPr>
      </w:pPr>
    </w:p>
    <w:p>
      <w:pPr>
        <w:ind w:left="1500" w:right="80" w:hanging="743"/>
        <w:spacing w:after="0" w:line="276"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November 2, 2023</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 Kimberly F. Nooney, certify that:</w:t>
      </w:r>
    </w:p>
    <w:p>
      <w:pPr>
        <w:spacing w:after="0" w:line="194" w:lineRule="exact"/>
        <w:rPr>
          <w:sz w:val="20"/>
          <w:szCs w:val="20"/>
          <w:color w:val="auto"/>
        </w:rPr>
      </w:pPr>
    </w:p>
    <w:p>
      <w:pPr>
        <w:ind w:left="760" w:hanging="752"/>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1"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left="760" w:right="140" w:hanging="752"/>
        <w:spacing w:after="0" w:line="276"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6"/>
          <w:szCs w:val="16"/>
          <w:color w:val="auto"/>
        </w:rPr>
      </w:pPr>
    </w:p>
    <w:p>
      <w:pPr>
        <w:jc w:val="both"/>
        <w:ind w:left="760" w:right="140" w:hanging="752"/>
        <w:spacing w:after="0" w:line="261"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left="1500" w:right="40" w:hanging="743"/>
        <w:spacing w:after="0" w:line="261"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left="1500" w:right="40" w:hanging="743"/>
        <w:spacing w:after="0" w:line="261"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1500" w:hanging="743"/>
        <w:spacing w:after="0" w:line="268"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5" w:lineRule="exact"/>
        <w:rPr>
          <w:rFonts w:ascii="Arial" w:cs="Arial" w:eastAsia="Arial" w:hAnsi="Arial"/>
          <w:sz w:val="16"/>
          <w:szCs w:val="16"/>
          <w:color w:val="auto"/>
        </w:rPr>
      </w:pPr>
    </w:p>
    <w:p>
      <w:pPr>
        <w:ind w:left="1500" w:right="160" w:hanging="743"/>
        <w:spacing w:after="0" w:line="261"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5" w:lineRule="exact"/>
        <w:rPr>
          <w:rFonts w:ascii="Arial" w:cs="Arial" w:eastAsia="Arial" w:hAnsi="Arial"/>
          <w:sz w:val="16"/>
          <w:szCs w:val="16"/>
          <w:color w:val="auto"/>
        </w:rPr>
      </w:pPr>
    </w:p>
    <w:p>
      <w:pPr>
        <w:ind w:left="760" w:right="160" w:hanging="752"/>
        <w:spacing w:after="0" w:line="276"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6"/>
          <w:szCs w:val="16"/>
          <w:color w:val="auto"/>
        </w:rPr>
      </w:pPr>
    </w:p>
    <w:p>
      <w:pPr>
        <w:ind w:left="1500" w:right="440" w:hanging="743"/>
        <w:spacing w:after="0" w:line="276"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6"/>
          <w:szCs w:val="16"/>
          <w:color w:val="auto"/>
        </w:rPr>
      </w:pPr>
    </w:p>
    <w:p>
      <w:pPr>
        <w:ind w:left="1500" w:right="80" w:hanging="743"/>
        <w:spacing w:after="0" w:line="276"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November 2, 2023</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18415</wp:posOffset>
            </wp:positionV>
            <wp:extent cx="3488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Kimberly F. Nooney</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82"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September 30, 2023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56" w:lineRule="exact"/>
        <w:rPr>
          <w:sz w:val="20"/>
          <w:szCs w:val="20"/>
          <w:color w:val="auto"/>
        </w:rPr>
      </w:pPr>
    </w:p>
    <w:p>
      <w:pPr>
        <w:ind w:left="1500" w:right="4900" w:hanging="743"/>
        <w:spacing w:after="0" w:line="276" w:lineRule="auto"/>
        <w:tabs>
          <w:tab w:leader="none" w:pos="1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43" w:lineRule="exact"/>
        <w:rPr>
          <w:rFonts w:ascii="Arial" w:cs="Arial" w:eastAsia="Arial" w:hAnsi="Arial"/>
          <w:sz w:val="16"/>
          <w:szCs w:val="16"/>
          <w:color w:val="auto"/>
        </w:rPr>
      </w:pPr>
    </w:p>
    <w:p>
      <w:pPr>
        <w:ind w:left="1500" w:right="4440" w:hanging="743"/>
        <w:spacing w:after="0" w:line="276" w:lineRule="auto"/>
        <w:tabs>
          <w:tab w:leader="none" w:pos="1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November 2, 2023</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82"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September 30, 2023 as filed with the Securities and Exchange Commission on the date hereof (the “Report”), I, Kimberly F. Nooney, Senior Vice President and Chief Financial Officer of the Company, certify, pursuant to 18 U.S.C. ss. 1350, as adopted pursuant to ss. 906 of the Sarbanes-Oxley Act of 2002, that:</w:t>
      </w:r>
    </w:p>
    <w:p>
      <w:pPr>
        <w:spacing w:after="0" w:line="156" w:lineRule="exact"/>
        <w:rPr>
          <w:sz w:val="20"/>
          <w:szCs w:val="20"/>
          <w:color w:val="auto"/>
        </w:rPr>
      </w:pPr>
    </w:p>
    <w:p>
      <w:pPr>
        <w:ind w:left="1500" w:right="4900" w:hanging="743"/>
        <w:spacing w:after="0" w:line="276" w:lineRule="auto"/>
        <w:tabs>
          <w:tab w:leader="none" w:pos="1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43" w:lineRule="exact"/>
        <w:rPr>
          <w:rFonts w:ascii="Arial" w:cs="Arial" w:eastAsia="Arial" w:hAnsi="Arial"/>
          <w:sz w:val="16"/>
          <w:szCs w:val="16"/>
          <w:color w:val="auto"/>
        </w:rPr>
      </w:pPr>
    </w:p>
    <w:p>
      <w:pPr>
        <w:ind w:left="1500" w:right="4440" w:hanging="743"/>
        <w:spacing w:after="0" w:line="276" w:lineRule="auto"/>
        <w:tabs>
          <w:tab w:leader="none" w:pos="1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November 2, 2023</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Kimberly F. Nooney</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95</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6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Under the recently enacted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September 30, 2023.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79" w:lineRule="exact"/>
        <w:rPr>
          <w:sz w:val="20"/>
          <w:szCs w:val="20"/>
          <w:color w:val="auto"/>
        </w:rPr>
      </w:pPr>
    </w:p>
    <w:p>
      <w:pPr>
        <w:ind w:left="900" w:right="160" w:hanging="518"/>
        <w:spacing w:after="0" w:line="246"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79" w:lineRule="exact"/>
        <w:rPr>
          <w:rFonts w:ascii="Arial" w:cs="Arial" w:eastAsia="Arial" w:hAnsi="Arial"/>
          <w:sz w:val="18"/>
          <w:szCs w:val="18"/>
          <w:color w:val="auto"/>
        </w:rPr>
      </w:pPr>
    </w:p>
    <w:p>
      <w:pPr>
        <w:ind w:left="900" w:hanging="518"/>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6"/>
          <w:szCs w:val="16"/>
          <w:color w:val="auto"/>
        </w:rPr>
        <w:t>Total number of orders issued under section 104(b) of the Mine Act;</w:t>
      </w:r>
    </w:p>
    <w:p>
      <w:pPr>
        <w:spacing w:after="0" w:line="198" w:lineRule="exact"/>
        <w:rPr>
          <w:rFonts w:ascii="Arial" w:cs="Arial" w:eastAsia="Arial" w:hAnsi="Arial"/>
          <w:sz w:val="18"/>
          <w:szCs w:val="18"/>
          <w:color w:val="auto"/>
        </w:rPr>
      </w:pPr>
    </w:p>
    <w:p>
      <w:pPr>
        <w:ind w:left="900" w:right="120" w:hanging="518"/>
        <w:spacing w:after="0" w:line="246"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179" w:lineRule="exact"/>
        <w:rPr>
          <w:rFonts w:ascii="Arial" w:cs="Arial" w:eastAsia="Arial" w:hAnsi="Arial"/>
          <w:sz w:val="18"/>
          <w:szCs w:val="18"/>
          <w:color w:val="auto"/>
        </w:rPr>
      </w:pPr>
    </w:p>
    <w:p>
      <w:pPr>
        <w:ind w:left="900" w:hanging="518"/>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6"/>
          <w:szCs w:val="16"/>
          <w:color w:val="auto"/>
        </w:rPr>
        <w:t>Total number of imminent danger orders issued under section 107(a) of the Mine Act; and</w:t>
      </w:r>
    </w:p>
    <w:p>
      <w:pPr>
        <w:spacing w:after="0" w:line="198" w:lineRule="exact"/>
        <w:rPr>
          <w:rFonts w:ascii="Arial" w:cs="Arial" w:eastAsia="Arial" w:hAnsi="Arial"/>
          <w:sz w:val="18"/>
          <w:szCs w:val="18"/>
          <w:color w:val="auto"/>
        </w:rPr>
      </w:pPr>
    </w:p>
    <w:p>
      <w:pPr>
        <w:ind w:left="900" w:hanging="518"/>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6"/>
          <w:szCs w:val="16"/>
          <w:color w:val="auto"/>
        </w:rPr>
        <w:t>Total dollar value of proposed assessments from MSHA under the Mine Act.</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table below sets forth the total number of citations and/or orders issued by MSHA to BHE – Wyodak Mine under the indicated provisions of the Mine Act, together with the total dollar value of proposed MSHA assessments received during the three months ended September 30, 2023 and legal actions pending before the Federal Mine Safety and Health Review Commission, together with the Administrative Law Judges thereof, for BHE – Wyodak Mine, our only mining complex. All citations were abated within 24 hours of issue.</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2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Mine Act Section</w:t>
            </w: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Legal</w:t>
            </w: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104 S&amp;S</w:t>
            </w:r>
          </w:p>
        </w:tc>
        <w:tc>
          <w:tcPr>
            <w:tcW w:w="66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2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Received Notice</w:t>
            </w:r>
          </w:p>
        </w:tc>
        <w:tc>
          <w:tcPr>
            <w:tcW w:w="800" w:type="dxa"/>
            <w:vAlign w:val="bottom"/>
            <w:vMerge w:val="continue"/>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Legal</w:t>
            </w:r>
          </w:p>
        </w:tc>
        <w:tc>
          <w:tcPr>
            <w:tcW w:w="700" w:type="dxa"/>
            <w:vAlign w:val="bottom"/>
            <w:vMerge w:val="restart"/>
          </w:tcPr>
          <w:p>
            <w:pPr>
              <w:jc w:val="center"/>
              <w:ind w:left="16"/>
              <w:spacing w:after="0"/>
              <w:rPr>
                <w:sz w:val="20"/>
                <w:szCs w:val="20"/>
                <w:color w:val="auto"/>
              </w:rPr>
            </w:pPr>
            <w:r>
              <w:rPr>
                <w:rFonts w:ascii="Arial" w:cs="Arial" w:eastAsia="Arial" w:hAnsi="Arial"/>
                <w:sz w:val="13"/>
                <w:szCs w:val="13"/>
                <w:b w:val="1"/>
                <w:bCs w:val="1"/>
                <w:color w:val="auto"/>
                <w:w w:val="99"/>
              </w:rPr>
              <w:t>Legal</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Citations issued</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860" w:type="dxa"/>
            <w:vAlign w:val="bottom"/>
            <w:vMerge w:val="continue"/>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Total Number</w:t>
            </w:r>
          </w:p>
        </w:tc>
        <w:tc>
          <w:tcPr>
            <w:tcW w:w="1100" w:type="dxa"/>
            <w:vAlign w:val="bottom"/>
            <w:vMerge w:val="continue"/>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Actions</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Mine/ MSHA</w:t>
            </w:r>
          </w:p>
        </w:tc>
        <w:tc>
          <w:tcPr>
            <w:tcW w:w="11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4"/>
              </w:rPr>
              <w:t>during three</w:t>
            </w:r>
          </w:p>
        </w:tc>
        <w:tc>
          <w:tcPr>
            <w:tcW w:w="660" w:type="dxa"/>
            <w:vAlign w:val="bottom"/>
            <w:vMerge w:val="continue"/>
          </w:tcPr>
          <w:p>
            <w:pPr>
              <w:spacing w:after="0"/>
              <w:rPr>
                <w:sz w:val="11"/>
                <w:szCs w:val="11"/>
                <w:color w:val="auto"/>
              </w:rPr>
            </w:pP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Section</w:t>
            </w:r>
          </w:p>
        </w:tc>
        <w:tc>
          <w:tcPr>
            <w:tcW w:w="920" w:type="dxa"/>
            <w:vAlign w:val="bottom"/>
            <w:vMerge w:val="continue"/>
          </w:tcPr>
          <w:p>
            <w:pPr>
              <w:spacing w:after="0"/>
              <w:rPr>
                <w:sz w:val="11"/>
                <w:szCs w:val="11"/>
                <w:color w:val="auto"/>
              </w:rPr>
            </w:pPr>
          </w:p>
        </w:tc>
        <w:tc>
          <w:tcPr>
            <w:tcW w:w="9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Section 107(a)</w:t>
            </w:r>
          </w:p>
        </w:tc>
        <w:tc>
          <w:tcPr>
            <w:tcW w:w="12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Total Dollar Value</w:t>
            </w:r>
          </w:p>
        </w:tc>
        <w:tc>
          <w:tcPr>
            <w:tcW w:w="880" w:type="dxa"/>
            <w:vAlign w:val="bottom"/>
            <w:vMerge w:val="continue"/>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of Potential to</w:t>
            </w:r>
          </w:p>
        </w:tc>
        <w:tc>
          <w:tcPr>
            <w:tcW w:w="8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Pending as</w:t>
            </w:r>
          </w:p>
        </w:tc>
        <w:tc>
          <w:tcPr>
            <w:tcW w:w="7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Actions</w:t>
            </w:r>
          </w:p>
        </w:tc>
        <w:tc>
          <w:tcPr>
            <w:tcW w:w="700" w:type="dxa"/>
            <w:vAlign w:val="bottom"/>
          </w:tcPr>
          <w:p>
            <w:pPr>
              <w:jc w:val="center"/>
              <w:ind w:left="16"/>
              <w:spacing w:after="0" w:line="130" w:lineRule="exact"/>
              <w:rPr>
                <w:sz w:val="20"/>
                <w:szCs w:val="20"/>
                <w:color w:val="auto"/>
              </w:rPr>
            </w:pPr>
            <w:r>
              <w:rPr>
                <w:rFonts w:ascii="Arial" w:cs="Arial" w:eastAsia="Arial" w:hAnsi="Arial"/>
                <w:sz w:val="13"/>
                <w:szCs w:val="13"/>
                <w:b w:val="1"/>
                <w:bCs w:val="1"/>
                <w:color w:val="auto"/>
                <w:w w:val="96"/>
              </w:rPr>
              <w:t>Actions</w:t>
            </w:r>
          </w:p>
        </w:tc>
        <w:tc>
          <w:tcPr>
            <w:tcW w:w="0" w:type="dxa"/>
            <w:vAlign w:val="bottom"/>
          </w:tcPr>
          <w:p>
            <w:pPr>
              <w:spacing w:after="0"/>
              <w:rPr>
                <w:sz w:val="1"/>
                <w:szCs w:val="1"/>
                <w:color w:val="auto"/>
              </w:rPr>
            </w:pPr>
          </w:p>
        </w:tc>
      </w:tr>
      <w:tr>
        <w:trPr>
          <w:trHeight w:val="135"/>
        </w:trPr>
        <w:tc>
          <w:tcPr>
            <w:tcW w:w="1220" w:type="dxa"/>
            <w:vAlign w:val="bottom"/>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months ended</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104(d)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Section 110(b)</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Imminent</w:t>
            </w:r>
          </w:p>
        </w:tc>
        <w:tc>
          <w:tcPr>
            <w:tcW w:w="1200" w:type="dxa"/>
            <w:vAlign w:val="bottom"/>
            <w:gridSpan w:val="2"/>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Mining</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Have Pattern</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Last Day</w:t>
            </w:r>
          </w:p>
        </w:tc>
        <w:tc>
          <w:tcPr>
            <w:tcW w:w="760" w:type="dxa"/>
            <w:vAlign w:val="bottom"/>
          </w:tcPr>
          <w:p>
            <w:pPr>
              <w:jc w:val="center"/>
              <w:ind w:right="16"/>
              <w:spacing w:after="0" w:line="135" w:lineRule="exact"/>
              <w:rPr>
                <w:sz w:val="20"/>
                <w:szCs w:val="20"/>
                <w:color w:val="auto"/>
              </w:rPr>
            </w:pPr>
            <w:r>
              <w:rPr>
                <w:rFonts w:ascii="Arial" w:cs="Arial" w:eastAsia="Arial" w:hAnsi="Arial"/>
                <w:sz w:val="13"/>
                <w:szCs w:val="13"/>
                <w:b w:val="1"/>
                <w:bCs w:val="1"/>
                <w:color w:val="auto"/>
                <w:w w:val="96"/>
              </w:rPr>
              <w:t>Initiated</w:t>
            </w:r>
          </w:p>
        </w:tc>
        <w:tc>
          <w:tcPr>
            <w:tcW w:w="700" w:type="dxa"/>
            <w:vAlign w:val="bottom"/>
          </w:tcPr>
          <w:p>
            <w:pPr>
              <w:jc w:val="center"/>
              <w:ind w:left="36"/>
              <w:spacing w:after="0" w:line="135"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35"/>
        </w:trPr>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Identification</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September 30,</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104(b)</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Citations and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(2) Violations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Danger</w:t>
            </w:r>
          </w:p>
        </w:tc>
        <w:tc>
          <w:tcPr>
            <w:tcW w:w="12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of Proposed MSHA</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Related</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 Section</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of Period</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During</w:t>
            </w:r>
          </w:p>
        </w:tc>
        <w:tc>
          <w:tcPr>
            <w:tcW w:w="7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rPr>
              <w:t>During</w:t>
            </w:r>
          </w:p>
        </w:tc>
        <w:tc>
          <w:tcPr>
            <w:tcW w:w="0" w:type="dxa"/>
            <w:vAlign w:val="bottom"/>
          </w:tcPr>
          <w:p>
            <w:pPr>
              <w:spacing w:after="0"/>
              <w:rPr>
                <w:sz w:val="1"/>
                <w:szCs w:val="1"/>
                <w:color w:val="auto"/>
              </w:rPr>
            </w:pPr>
          </w:p>
        </w:tc>
      </w:tr>
      <w:tr>
        <w:trPr>
          <w:trHeight w:val="181"/>
        </w:trPr>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2023</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Orders (#)</w:t>
            </w:r>
          </w:p>
        </w:tc>
        <w:tc>
          <w:tcPr>
            <w:tcW w:w="920" w:type="dxa"/>
            <w:vAlign w:val="bottom"/>
          </w:tcPr>
          <w:p>
            <w:pPr>
              <w:jc w:val="right"/>
              <w:ind w:right="295"/>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100" w:type="dxa"/>
            <w:vAlign w:val="bottom"/>
          </w:tcPr>
          <w:p>
            <w:pPr>
              <w:spacing w:after="0"/>
              <w:rPr>
                <w:sz w:val="15"/>
                <w:szCs w:val="15"/>
                <w:color w:val="auto"/>
              </w:rPr>
            </w:pPr>
          </w:p>
        </w:tc>
        <w:tc>
          <w:tcPr>
            <w:tcW w:w="110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Assessments (a)</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8"/>
              </w:rPr>
              <w:t>104(e) (yes/no)</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 (b)</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700" w:type="dxa"/>
            <w:vAlign w:val="bottom"/>
          </w:tcPr>
          <w:p>
            <w:pPr>
              <w:jc w:val="center"/>
              <w:ind w:left="56"/>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65"/>
        </w:trPr>
        <w:tc>
          <w:tcPr>
            <w:tcW w:w="1220" w:type="dxa"/>
            <w:vAlign w:val="bottom"/>
          </w:tcPr>
          <w:p>
            <w:pPr>
              <w:jc w:val="center"/>
              <w:spacing w:after="0"/>
              <w:rPr>
                <w:sz w:val="20"/>
                <w:szCs w:val="20"/>
                <w:color w:val="auto"/>
              </w:rPr>
            </w:pPr>
            <w:r>
              <w:rPr>
                <w:rFonts w:ascii="Arial" w:cs="Arial" w:eastAsia="Arial" w:hAnsi="Arial"/>
                <w:sz w:val="14"/>
                <w:szCs w:val="14"/>
                <w:color w:val="auto"/>
              </w:rPr>
              <w:t>Wyodak Coal Mine</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20" w:type="dxa"/>
            <w:vAlign w:val="bottom"/>
          </w:tcPr>
          <w:p>
            <w:pPr>
              <w:jc w:val="right"/>
              <w:ind w:right="513"/>
              <w:spacing w:after="0"/>
              <w:rPr>
                <w:sz w:val="20"/>
                <w:szCs w:val="20"/>
                <w:color w:val="auto"/>
              </w:rPr>
            </w:pPr>
            <w:r>
              <w:rPr>
                <w:rFonts w:ascii="Arial" w:cs="Arial" w:eastAsia="Arial" w:hAnsi="Arial"/>
                <w:sz w:val="14"/>
                <w:szCs w:val="14"/>
                <w:color w:val="auto"/>
                <w:w w:val="98"/>
              </w:rPr>
              <w:t>- 4800083</w:t>
            </w:r>
          </w:p>
        </w:tc>
        <w:tc>
          <w:tcPr>
            <w:tcW w:w="1100" w:type="dxa"/>
            <w:vAlign w:val="bottom"/>
          </w:tcPr>
          <w:p>
            <w:pPr>
              <w:jc w:val="right"/>
              <w:ind w:right="496"/>
              <w:spacing w:after="0"/>
              <w:rPr>
                <w:sz w:val="20"/>
                <w:szCs w:val="20"/>
                <w:color w:val="auto"/>
              </w:rPr>
            </w:pPr>
            <w:r>
              <w:rPr>
                <w:rFonts w:ascii="Arial" w:cs="Arial" w:eastAsia="Arial" w:hAnsi="Arial"/>
                <w:sz w:val="14"/>
                <w:szCs w:val="14"/>
                <w:color w:val="auto"/>
              </w:rPr>
              <w:t>0</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860" w:type="dxa"/>
            <w:vAlign w:val="bottom"/>
          </w:tcPr>
          <w:p>
            <w:pPr>
              <w:jc w:val="center"/>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335"/>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33"/>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1100" w:type="dxa"/>
            <w:vAlign w:val="bottom"/>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Pr>
          <w:p>
            <w:pPr>
              <w:jc w:val="right"/>
              <w:ind w:right="356"/>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356"/>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56"/>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9030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16" w:lineRule="exact"/>
        <w:rPr>
          <w:sz w:val="20"/>
          <w:szCs w:val="20"/>
          <w:color w:val="auto"/>
        </w:rPr>
      </w:pPr>
    </w:p>
    <w:p>
      <w:pPr>
        <w:ind w:left="520" w:right="80" w:hanging="512"/>
        <w:spacing w:after="0" w:line="257"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1)"/>
      <w:numFmt w:val="decimal"/>
      <w:start w:val="4"/>
    </w:lvl>
  </w:abstractNum>
  <w:abstractNum w:abstractNumId="6">
    <w:nsid w:val="71F32454"/>
    <w:multiLevelType w:val="hybridMultilevel"/>
    <w:lvl w:ilvl="0">
      <w:lvlJc w:val="left"/>
      <w:lvlText w:val="(%1)"/>
      <w:numFmt w:val="decimal"/>
      <w:start w:val="5"/>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1)"/>
      <w:numFmt w:val="decimal"/>
      <w:start w:val="6"/>
    </w:lvl>
  </w:abstractNum>
  <w:abstractNum w:abstractNumId="9">
    <w:nsid w:val="2901D82"/>
    <w:multiLevelType w:val="hybridMultilevel"/>
    <w:lvl w:ilvl="0">
      <w:lvlJc w:val="left"/>
      <w:lvlText w:val="(%1)"/>
      <w:numFmt w:val="decimal"/>
      <w:start w:val="7"/>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lowerLetter"/>
      <w:start w:val="1"/>
    </w:lvl>
  </w:abstractNum>
  <w:abstractNum w:abstractNumId="12">
    <w:nsid w:val="1E7FF521"/>
    <w:multiLevelType w:val="hybridMultilevel"/>
    <w:lvl w:ilvl="0">
      <w:lvlJc w:val="left"/>
      <w:lvlText w:val="(%1)"/>
      <w:numFmt w:val="decimal"/>
      <w:start w:val="8"/>
    </w:lvl>
  </w:abstractNum>
  <w:abstractNum w:abstractNumId="13">
    <w:nsid w:val="7C3DBD3D"/>
    <w:multiLevelType w:val="hybridMultilevel"/>
    <w:lvl w:ilvl="0">
      <w:lvlJc w:val="left"/>
      <w:lvlText w:val="(%1)"/>
      <w:numFmt w:val="lowerLetter"/>
      <w:start w:val="1"/>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1)"/>
      <w:numFmt w:val="decimal"/>
      <w:start w:val="9"/>
    </w:lvl>
  </w:abstractNum>
  <w:abstractNum w:abstractNumId="17">
    <w:nsid w:val="4516DDE9"/>
    <w:multiLevelType w:val="hybridMultilevel"/>
    <w:lvl w:ilvl="0">
      <w:lvlJc w:val="left"/>
      <w:lvlText w:val="(%1)"/>
      <w:numFmt w:val="decimal"/>
      <w:start w:val="10"/>
    </w:lvl>
  </w:abstractNum>
  <w:abstractNum w:abstractNumId="18">
    <w:nsid w:val="3006C83E"/>
    <w:multiLevelType w:val="hybridMultilevel"/>
    <w:lvl w:ilvl="0">
      <w:lvlJc w:val="left"/>
      <w:lvlText w:val="(%1)"/>
      <w:numFmt w:val="decimal"/>
      <w:start w:val="11"/>
    </w:lvl>
  </w:abstractNum>
  <w:abstractNum w:abstractNumId="19">
    <w:nsid w:val="614FD4A1"/>
    <w:multiLevelType w:val="hybridMultilevel"/>
    <w:lvl w:ilvl="0">
      <w:lvlJc w:val="left"/>
      <w:lvlText w:val="(%1)"/>
      <w:numFmt w:val="decimal"/>
      <w:start w:val="12"/>
    </w:lvl>
  </w:abstractNum>
  <w:abstractNum w:abstractNumId="20">
    <w:nsid w:val="419AC241"/>
    <w:multiLevelType w:val="hybridMultilevel"/>
    <w:lvl w:ilvl="0">
      <w:lvlJc w:val="left"/>
      <w:lvlText w:val="(%1)"/>
      <w:numFmt w:val="decimal"/>
      <w:start w:val="13"/>
    </w:lvl>
  </w:abstractNum>
  <w:abstractNum w:abstractNumId="21">
    <w:nsid w:val="5577F8E1"/>
    <w:multiLevelType w:val="hybridMultilevel"/>
    <w:lvl w:ilvl="0">
      <w:lvlJc w:val="left"/>
      <w:lvlText w:val="(%1)"/>
      <w:numFmt w:val="decimal"/>
      <w:start w:val="14"/>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decimal"/>
      <w:start w:val="1"/>
    </w:lvl>
    <w:lvl w:ilvl="1">
      <w:lvlJc w:val="left"/>
      <w:lvlText w:val="%2)"/>
      <w:numFmt w:val="lowerLetter"/>
      <w:start w:val="1"/>
    </w:lvl>
  </w:abstractNum>
  <w:abstractNum w:abstractNumId="43">
    <w:nsid w:val="4B588F54"/>
    <w:multiLevelType w:val="hybridMultilevel"/>
    <w:lvl w:ilvl="0">
      <w:lvlJc w:val="left"/>
      <w:lvlText w:val="%1."/>
      <w:numFmt w:val="decimal"/>
      <w:start w:val="1"/>
    </w:lvl>
    <w:lvl w:ilvl="1">
      <w:lvlJc w:val="left"/>
      <w:lvlText w:val="%2)"/>
      <w:numFmt w:val="lowerLetter"/>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36" Type="http://schemas.openxmlformats.org/officeDocument/2006/relationships/hyperlink" Target="https://www.sec.gov/Archives/edgar/data/1130464/000110465923101196/tm2326174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2023-11-02T11:20:33Z</dcterms:created>
  <dcterms:modified xsi:type="dcterms:W3CDTF">2023-11-02T11:20:33Z</dcterms:modified>
</cp:coreProperties>
</file>