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 10-Q</w:t>
      </w:r>
    </w:p>
    <w:p>
      <w:pPr>
        <w:spacing w:after="0" w:line="225" w:lineRule="exact"/>
        <w:rPr>
          <w:sz w:val="24"/>
          <w:szCs w:val="24"/>
          <w:color w:val="auto"/>
        </w:rPr>
      </w:pPr>
    </w:p>
    <w:p>
      <w:pPr>
        <w:jc w:val="center"/>
        <w:ind w:left="3940" w:right="1160" w:hanging="2756"/>
        <w:spacing w:after="0" w:line="258" w:lineRule="auto"/>
        <w:tabs>
          <w:tab w:leader="none" w:pos="1395"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March 31, 2020</w:t>
      </w:r>
    </w:p>
    <w:p>
      <w:pPr>
        <w:spacing w:after="0" w:line="1" w:lineRule="exact"/>
        <w:rPr>
          <w:rFonts w:ascii="MS PGothic" w:cs="MS PGothic" w:eastAsia="MS PGothic" w:hAnsi="MS PGothic"/>
          <w:sz w:val="18"/>
          <w:szCs w:val="18"/>
          <w:color w:val="auto"/>
        </w:rPr>
      </w:pPr>
    </w:p>
    <w:p>
      <w:pPr>
        <w:ind w:left="550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9" w:lineRule="exact"/>
        <w:rPr>
          <w:rFonts w:ascii="MS PGothic" w:cs="MS PGothic" w:eastAsia="MS PGothic" w:hAnsi="MS PGothic"/>
          <w:sz w:val="18"/>
          <w:szCs w:val="18"/>
          <w:color w:val="auto"/>
        </w:rPr>
      </w:pPr>
    </w:p>
    <w:p>
      <w:pPr>
        <w:jc w:val="center"/>
        <w:ind w:left="3500" w:right="1140" w:hanging="2326"/>
        <w:spacing w:after="0" w:line="260" w:lineRule="auto"/>
        <w:tabs>
          <w:tab w:leader="none" w:pos="138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__________ to __________.</w:t>
      </w:r>
    </w:p>
    <w:p>
      <w:pPr>
        <w:spacing w:after="0" w:line="18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001-31303</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Black Hills Corporation</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Incorporated in South Dakota IRS Identification Number 46-0458824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7001 Mount Rushmore Road</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Rapid City, South Dakota 57702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(605) 721-1700</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NONE</w:t>
      </w:r>
    </w:p>
    <w:p>
      <w:pPr>
        <w:spacing w:after="0" w:line="197" w:lineRule="exact"/>
        <w:rPr>
          <w:sz w:val="24"/>
          <w:szCs w:val="24"/>
          <w:color w:val="auto"/>
        </w:rPr>
      </w:pPr>
    </w:p>
    <w:p>
      <w:pPr>
        <w:ind w:right="220"/>
        <w:spacing w:after="0" w:line="20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6" w:lineRule="exact"/>
        <w:rPr>
          <w:sz w:val="24"/>
          <w:szCs w:val="24"/>
          <w:color w:val="auto"/>
        </w:rPr>
      </w:pPr>
    </w:p>
    <w:p>
      <w:pPr>
        <w:ind w:right="280"/>
        <w:spacing w:after="0" w:line="23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1" w:lineRule="exact"/>
        <w:rPr>
          <w:sz w:val="24"/>
          <w:szCs w:val="24"/>
          <w:color w:val="auto"/>
        </w:rPr>
      </w:pPr>
    </w:p>
    <w:p>
      <w:pPr>
        <w:ind w:right="36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6" w:lineRule="exact"/>
        <w:rPr>
          <w:sz w:val="24"/>
          <w:szCs w:val="24"/>
          <w:color w:val="auto"/>
        </w:rPr>
      </w:pPr>
    </w:p>
    <w:tbl>
      <w:tblPr>
        <w:tblLayout w:type="fixed"/>
        <w:tblInd w:w="2480" w:type="dxa"/>
        <w:tblCellMar>
          <w:top w:w="0" w:type="dxa"/>
          <w:left w:w="0" w:type="dxa"/>
          <w:bottom w:w="0" w:type="dxa"/>
          <w:right w:w="0" w:type="dxa"/>
        </w:tblCellMar>
      </w:tblPr>
      <w:tr>
        <w:trPr>
          <w:trHeight w:val="338"/>
        </w:trPr>
        <w:tc>
          <w:tcPr>
            <w:tcW w:w="22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900" w:type="dxa"/>
            <w:vAlign w:val="bottom"/>
          </w:tcPr>
          <w:p>
            <w:pPr>
              <w:ind w:left="520"/>
              <w:spacing w:after="0"/>
              <w:rPr>
                <w:sz w:val="20"/>
                <w:szCs w:val="20"/>
                <w:color w:val="auto"/>
              </w:rPr>
            </w:pPr>
            <w:r>
              <w:rPr>
                <w:rFonts w:ascii="Arial" w:cs="Arial" w:eastAsia="Arial" w:hAnsi="Arial"/>
                <w:sz w:val="18"/>
                <w:szCs w:val="18"/>
                <w:color w:val="auto"/>
              </w:rPr>
              <w:t>x</w:t>
            </w:r>
          </w:p>
        </w:tc>
        <w:tc>
          <w:tcPr>
            <w:tcW w:w="2580" w:type="dxa"/>
            <w:vAlign w:val="bottom"/>
          </w:tcPr>
          <w:p>
            <w:pPr>
              <w:ind w:left="18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4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445"/>
        </w:trPr>
        <w:tc>
          <w:tcPr>
            <w:tcW w:w="2220" w:type="dxa"/>
            <w:vAlign w:val="bottom"/>
          </w:tcPr>
          <w:p>
            <w:pPr>
              <w:spacing w:after="0"/>
              <w:rPr>
                <w:sz w:val="20"/>
                <w:szCs w:val="20"/>
                <w:color w:val="auto"/>
              </w:rPr>
            </w:pPr>
            <w:r>
              <w:rPr>
                <w:rFonts w:ascii="Arial" w:cs="Arial" w:eastAsia="Arial" w:hAnsi="Arial"/>
                <w:sz w:val="18"/>
                <w:szCs w:val="18"/>
                <w:color w:val="auto"/>
              </w:rPr>
              <w:t>Non-accelerated Filer</w:t>
            </w:r>
          </w:p>
        </w:tc>
        <w:tc>
          <w:tcPr>
            <w:tcW w:w="900" w:type="dxa"/>
            <w:vAlign w:val="bottom"/>
          </w:tcPr>
          <w:p>
            <w:pPr>
              <w:ind w:left="520"/>
              <w:spacing w:after="0" w:line="221" w:lineRule="exact"/>
              <w:rPr>
                <w:sz w:val="20"/>
                <w:szCs w:val="20"/>
                <w:color w:val="auto"/>
              </w:rPr>
            </w:pPr>
            <w:r>
              <w:rPr>
                <w:rFonts w:ascii="MS PGothic" w:cs="MS PGothic" w:eastAsia="MS PGothic" w:hAnsi="MS PGothic"/>
                <w:sz w:val="22"/>
                <w:szCs w:val="22"/>
                <w:color w:val="auto"/>
              </w:rPr>
              <w:t>☐</w:t>
            </w:r>
          </w:p>
        </w:tc>
        <w:tc>
          <w:tcPr>
            <w:tcW w:w="2580" w:type="dxa"/>
            <w:vAlign w:val="bottom"/>
          </w:tcPr>
          <w:p>
            <w:pPr>
              <w:ind w:left="18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4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445"/>
        </w:trPr>
        <w:tc>
          <w:tcPr>
            <w:tcW w:w="2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580" w:type="dxa"/>
            <w:vAlign w:val="bottom"/>
          </w:tcPr>
          <w:p>
            <w:pPr>
              <w:ind w:left="180"/>
              <w:spacing w:after="0"/>
              <w:rPr>
                <w:sz w:val="20"/>
                <w:szCs w:val="20"/>
                <w:color w:val="auto"/>
              </w:rPr>
            </w:pPr>
            <w:r>
              <w:rPr>
                <w:rFonts w:ascii="Arial" w:cs="Arial" w:eastAsia="Arial" w:hAnsi="Arial"/>
                <w:sz w:val="18"/>
                <w:szCs w:val="18"/>
                <w:color w:val="auto"/>
              </w:rPr>
              <w:t>Emerging Growth Company</w:t>
            </w:r>
          </w:p>
        </w:tc>
        <w:tc>
          <w:tcPr>
            <w:tcW w:w="540" w:type="dxa"/>
            <w:vAlign w:val="bottom"/>
          </w:tcPr>
          <w:p>
            <w:pPr>
              <w:ind w:left="340"/>
              <w:spacing w:after="0" w:line="221" w:lineRule="exact"/>
              <w:rPr>
                <w:sz w:val="20"/>
                <w:szCs w:val="20"/>
                <w:color w:val="auto"/>
              </w:rPr>
            </w:pPr>
            <w:r>
              <w:rPr>
                <w:rFonts w:ascii="MS PGothic" w:cs="MS PGothic" w:eastAsia="MS PGothic" w:hAnsi="MS PGothic"/>
                <w:sz w:val="22"/>
                <w:szCs w:val="22"/>
                <w:color w:val="auto"/>
                <w:w w:val="81"/>
              </w:rPr>
              <w:t>☐</w:t>
            </w:r>
          </w:p>
        </w:tc>
      </w:tr>
    </w:tbl>
    <w:p>
      <w:pPr>
        <w:spacing w:after="0" w:line="19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20"/>
          </w:cols>
          <w:pgMar w:left="320" w:top="234" w:right="359" w:bottom="1440" w:gutter="0" w:footer="0" w:header="0"/>
        </w:sectPr>
      </w:pPr>
    </w:p>
    <w:p>
      <w:pPr>
        <w:spacing w:after="0" w:line="63" w:lineRule="exact"/>
        <w:rPr>
          <w:sz w:val="24"/>
          <w:szCs w:val="24"/>
          <w:color w:val="auto"/>
        </w:rPr>
      </w:pPr>
    </w:p>
    <w:p>
      <w:pPr>
        <w:ind w:left="242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jc w:val="center"/>
        <w:ind w:right="760"/>
        <w:spacing w:after="0"/>
        <w:rPr>
          <w:sz w:val="20"/>
          <w:szCs w:val="20"/>
          <w:color w:val="auto"/>
        </w:rPr>
      </w:pPr>
      <w:r>
        <w:rPr>
          <w:rFonts w:ascii="Arial" w:cs="Arial" w:eastAsia="Arial" w:hAnsi="Arial"/>
          <w:sz w:val="16"/>
          <w:szCs w:val="16"/>
          <w:color w:val="auto"/>
        </w:rPr>
        <w:t>Name of each exchange on which registered</w:t>
      </w:r>
    </w:p>
    <w:p>
      <w:pPr>
        <w:spacing w:after="0" w:line="86" w:lineRule="exact"/>
        <w:rPr>
          <w:sz w:val="24"/>
          <w:szCs w:val="24"/>
          <w:color w:val="auto"/>
        </w:rPr>
      </w:pPr>
    </w:p>
    <w:p>
      <w:pPr>
        <w:sectPr>
          <w:pgSz w:w="11900" w:h="16838" w:orient="portrait"/>
          <w:cols w:equalWidth="0" w:num="3">
            <w:col w:w="4360" w:space="720"/>
            <w:col w:w="1460" w:space="720"/>
            <w:col w:w="3960"/>
          </w:cols>
          <w:pgMar w:left="320" w:top="234" w:right="359" w:bottom="1440" w:gutter="0" w:footer="0" w:header="0"/>
          <w:type w:val="continuous"/>
        </w:sectPr>
      </w:pPr>
    </w:p>
    <w:p>
      <w:pPr>
        <w:ind w:left="1840"/>
        <w:spacing w:after="0"/>
        <w:rPr>
          <w:sz w:val="20"/>
          <w:szCs w:val="20"/>
          <w:color w:val="auto"/>
        </w:rPr>
      </w:pPr>
      <w:r>
        <w:rPr>
          <w:rFonts w:ascii="Arial" w:cs="Arial" w:eastAsia="Arial" w:hAnsi="Arial"/>
          <w:sz w:val="16"/>
          <w:szCs w:val="16"/>
          <w:color w:val="auto"/>
        </w:rPr>
        <w:t>Common stock of $1.00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BKH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222" w:lineRule="exact"/>
        <w:rPr>
          <w:sz w:val="24"/>
          <w:szCs w:val="24"/>
          <w:color w:val="auto"/>
        </w:rPr>
      </w:pPr>
    </w:p>
    <w:p>
      <w:pPr>
        <w:sectPr>
          <w:pgSz w:w="11900" w:h="16838" w:orient="portrait"/>
          <w:cols w:equalWidth="0" w:num="3">
            <w:col w:w="4840" w:space="720"/>
            <w:col w:w="1600" w:space="720"/>
            <w:col w:w="3340"/>
          </w:cols>
          <w:pgMar w:left="320" w:top="234" w:right="359" w:bottom="1440" w:gutter="0" w:footer="0" w:header="0"/>
          <w:type w:val="continuous"/>
        </w:sectPr>
      </w:pPr>
    </w:p>
    <w:p>
      <w:pPr>
        <w:spacing w:after="0" w:line="52"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ectPr>
          <w:pgSz w:w="11900" w:h="16838" w:orient="portrait"/>
          <w:cols w:equalWidth="0" w:num="1">
            <w:col w:w="11220"/>
          </w:cols>
          <w:pgMar w:left="320" w:top="234" w:right="359" w:bottom="1440" w:gutter="0" w:footer="0" w:header="0"/>
          <w:type w:val="continuous"/>
        </w:sectPr>
      </w:pPr>
    </w:p>
    <w:p>
      <w:pPr>
        <w:spacing w:after="0" w:line="194" w:lineRule="exact"/>
        <w:rPr>
          <w:sz w:val="24"/>
          <w:szCs w:val="24"/>
          <w:color w:val="auto"/>
        </w:rPr>
      </w:pPr>
    </w:p>
    <w:p>
      <w:pPr>
        <w:ind w:left="3820"/>
        <w:spacing w:after="0"/>
        <w:rPr>
          <w:sz w:val="20"/>
          <w:szCs w:val="20"/>
          <w:color w:val="auto"/>
        </w:rPr>
      </w:pPr>
      <w:r>
        <w:rPr>
          <w:rFonts w:ascii="Arial" w:cs="Arial" w:eastAsia="Arial" w:hAnsi="Arial"/>
          <w:sz w:val="16"/>
          <w:szCs w:val="16"/>
          <w:color w:val="auto"/>
        </w:rPr>
        <w:t>Class</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spacing w:after="0"/>
        <w:rPr>
          <w:sz w:val="20"/>
          <w:szCs w:val="20"/>
          <w:color w:val="auto"/>
        </w:rPr>
      </w:pPr>
      <w:r>
        <w:rPr>
          <w:rFonts w:ascii="Arial" w:cs="Arial" w:eastAsia="Arial" w:hAnsi="Arial"/>
          <w:sz w:val="16"/>
          <w:szCs w:val="16"/>
          <w:color w:val="auto"/>
        </w:rPr>
        <w:t>Outstanding at April 30, 2020</w:t>
      </w:r>
    </w:p>
    <w:p>
      <w:pPr>
        <w:spacing w:after="0" w:line="86" w:lineRule="exact"/>
        <w:rPr>
          <w:sz w:val="24"/>
          <w:szCs w:val="24"/>
          <w:color w:val="auto"/>
        </w:rPr>
      </w:pPr>
    </w:p>
    <w:p>
      <w:pPr>
        <w:sectPr>
          <w:pgSz w:w="11900" w:h="16838" w:orient="portrait"/>
          <w:cols w:equalWidth="0" w:num="2">
            <w:col w:w="5460" w:space="720"/>
            <w:col w:w="5040"/>
          </w:cols>
          <w:pgMar w:left="320" w:top="234" w:right="359" w:bottom="1440" w:gutter="0" w:footer="0" w:header="0"/>
          <w:type w:val="continuous"/>
        </w:sectPr>
      </w:pPr>
    </w:p>
    <w:p>
      <w:pPr>
        <w:ind w:left="2860"/>
        <w:spacing w:after="0"/>
        <w:rPr>
          <w:sz w:val="20"/>
          <w:szCs w:val="20"/>
          <w:color w:val="auto"/>
        </w:rPr>
      </w:pPr>
      <w:r>
        <w:rPr>
          <w:rFonts w:ascii="Arial" w:cs="Arial" w:eastAsia="Arial" w:hAnsi="Arial"/>
          <w:sz w:val="16"/>
          <w:szCs w:val="16"/>
          <w:color w:val="auto"/>
        </w:rPr>
        <w:t>Common stock, $1.00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62,749,727</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shares</w:t>
      </w:r>
    </w:p>
    <w:p>
      <w:pPr>
        <w:sectPr>
          <w:pgSz w:w="11900" w:h="16838" w:orient="portrait"/>
          <w:cols w:equalWidth="0" w:num="3">
            <w:col w:w="5600" w:space="720"/>
            <w:col w:w="820" w:space="140"/>
            <w:col w:w="3940"/>
          </w:cols>
          <w:pgMar w:left="320" w:top="234" w:right="359" w:bottom="1440" w:gutter="0" w:footer="0" w:header="0"/>
          <w:type w:val="continuous"/>
        </w:sectPr>
      </w:pPr>
    </w:p>
    <w:bookmarkStart w:id="1" w:name="page2"/>
    <w:bookmarkEnd w:id="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8760" w:type="dxa"/>
            <w:vAlign w:val="bottom"/>
          </w:tcPr>
          <w:p>
            <w:pPr>
              <w:ind w:left="3640"/>
              <w:spacing w:after="0"/>
              <w:rPr>
                <w:sz w:val="20"/>
                <w:szCs w:val="20"/>
                <w:color w:val="auto"/>
              </w:rPr>
            </w:pPr>
            <w:r>
              <w:rPr>
                <w:rFonts w:ascii="Arial" w:cs="Arial" w:eastAsia="Arial" w:hAnsi="Arial"/>
                <w:sz w:val="18"/>
                <w:szCs w:val="18"/>
                <w:b w:val="1"/>
                <w:bCs w:val="1"/>
                <w:color w:val="auto"/>
              </w:rPr>
              <w:t>TABLE OF CONTENTS</w:t>
            </w:r>
          </w:p>
        </w:tc>
        <w:tc>
          <w:tcPr>
            <w:tcW w:w="1460" w:type="dxa"/>
            <w:vAlign w:val="bottom"/>
          </w:tcPr>
          <w:p>
            <w:pPr>
              <w:spacing w:after="0"/>
              <w:rPr>
                <w:sz w:val="20"/>
                <w:szCs w:val="20"/>
                <w:color w:val="auto"/>
              </w:rPr>
            </w:pPr>
          </w:p>
        </w:tc>
      </w:tr>
      <w:tr>
        <w:trPr>
          <w:trHeight w:val="270"/>
        </w:trPr>
        <w:tc>
          <w:tcPr>
            <w:tcW w:w="980" w:type="dxa"/>
            <w:vAlign w:val="bottom"/>
          </w:tcPr>
          <w:p>
            <w:pPr>
              <w:spacing w:after="0"/>
              <w:rPr>
                <w:sz w:val="23"/>
                <w:szCs w:val="23"/>
                <w:color w:val="auto"/>
              </w:rPr>
            </w:pPr>
          </w:p>
        </w:tc>
        <w:tc>
          <w:tcPr>
            <w:tcW w:w="8760" w:type="dxa"/>
            <w:vAlign w:val="bottom"/>
          </w:tcPr>
          <w:p>
            <w:pPr>
              <w:spacing w:after="0"/>
              <w:rPr>
                <w:sz w:val="23"/>
                <w:szCs w:val="23"/>
                <w:color w:val="auto"/>
              </w:rPr>
            </w:pPr>
          </w:p>
        </w:tc>
        <w:tc>
          <w:tcPr>
            <w:tcW w:w="1460" w:type="dxa"/>
            <w:vAlign w:val="bottom"/>
          </w:tcPr>
          <w:p>
            <w:pPr>
              <w:ind w:left="560"/>
              <w:spacing w:after="0"/>
              <w:rPr>
                <w:sz w:val="20"/>
                <w:szCs w:val="20"/>
                <w:color w:val="auto"/>
              </w:rPr>
            </w:pPr>
            <w:r>
              <w:rPr>
                <w:rFonts w:ascii="Arial" w:cs="Arial" w:eastAsia="Arial" w:hAnsi="Arial"/>
                <w:sz w:val="18"/>
                <w:szCs w:val="18"/>
                <w:color w:val="auto"/>
              </w:rPr>
              <w:t>Page</w:t>
            </w:r>
          </w:p>
        </w:tc>
      </w:tr>
      <w:tr>
        <w:trPr>
          <w:trHeight w:val="27"/>
        </w:trPr>
        <w:tc>
          <w:tcPr>
            <w:tcW w:w="9740" w:type="dxa"/>
            <w:vAlign w:val="bottom"/>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9740" w:type="dxa"/>
            <w:vAlign w:val="bottom"/>
            <w:gridSpan w:val="2"/>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Glossary of Terms and Abbreviations</w:t>
              </w:r>
            </w:hyperlink>
          </w:p>
        </w:tc>
        <w:tc>
          <w:tcPr>
            <w:tcW w:w="1460" w:type="dxa"/>
            <w:vAlign w:val="bottom"/>
          </w:tcPr>
          <w:p>
            <w:pPr>
              <w:jc w:val="center"/>
              <w:spacing w:after="0"/>
              <w:rPr>
                <w:rFonts w:ascii="Arial" w:cs="Arial" w:eastAsia="Arial" w:hAnsi="Arial"/>
                <w:sz w:val="18"/>
                <w:szCs w:val="18"/>
                <w:u w:val="single" w:color="auto"/>
                <w:color w:val="0000EE"/>
                <w:w w:val="99"/>
              </w:rPr>
            </w:pPr>
            <w:hyperlink w:anchor="page4">
              <w:r>
                <w:rPr>
                  <w:rFonts w:ascii="Arial" w:cs="Arial" w:eastAsia="Arial" w:hAnsi="Arial"/>
                  <w:sz w:val="18"/>
                  <w:szCs w:val="18"/>
                  <w:u w:val="single" w:color="auto"/>
                  <w:color w:val="0000EE"/>
                  <w:w w:val="99"/>
                </w:rPr>
                <w:t>4</w:t>
              </w:r>
            </w:hyperlink>
          </w:p>
        </w:tc>
      </w:tr>
      <w:tr>
        <w:trPr>
          <w:trHeight w:val="499"/>
        </w:trPr>
        <w:tc>
          <w:tcPr>
            <w:tcW w:w="9740" w:type="dxa"/>
            <w:vAlign w:val="bottom"/>
            <w:gridSpan w:val="2"/>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PART I. FINANCIAL INFORMATION</w:t>
              </w:r>
            </w:hyperlink>
          </w:p>
        </w:tc>
        <w:tc>
          <w:tcPr>
            <w:tcW w:w="1460" w:type="dxa"/>
            <w:vAlign w:val="bottom"/>
          </w:tcPr>
          <w:p>
            <w:pPr>
              <w:spacing w:after="0"/>
              <w:rPr>
                <w:sz w:val="24"/>
                <w:szCs w:val="24"/>
                <w:color w:val="auto"/>
              </w:rPr>
            </w:pPr>
          </w:p>
        </w:tc>
      </w:tr>
      <w:tr>
        <w:trPr>
          <w:trHeight w:val="500"/>
        </w:trPr>
        <w:tc>
          <w:tcPr>
            <w:tcW w:w="980" w:type="dxa"/>
            <w:vAlign w:val="bottom"/>
          </w:tcPr>
          <w:p>
            <w:pPr>
              <w:spacing w:after="0"/>
              <w:rPr>
                <w:sz w:val="20"/>
                <w:szCs w:val="20"/>
                <w:color w:val="auto"/>
              </w:rPr>
            </w:pPr>
            <w:r>
              <w:rPr>
                <w:rFonts w:ascii="Arial" w:cs="Arial" w:eastAsia="Arial" w:hAnsi="Arial"/>
                <w:sz w:val="18"/>
                <w:szCs w:val="18"/>
                <w:color w:val="auto"/>
              </w:rPr>
              <w:t>Item 1.</w:t>
            </w:r>
          </w:p>
        </w:tc>
        <w:tc>
          <w:tcPr>
            <w:tcW w:w="8760" w:type="dxa"/>
            <w:vAlign w:val="bottom"/>
          </w:tcPr>
          <w:p>
            <w:pPr>
              <w:ind w:left="48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Financial Statements - unaudited</w:t>
              </w:r>
            </w:hyperlink>
          </w:p>
        </w:tc>
        <w:tc>
          <w:tcPr>
            <w:tcW w:w="1460" w:type="dxa"/>
            <w:vAlign w:val="bottom"/>
          </w:tcPr>
          <w:p>
            <w:pPr>
              <w:jc w:val="center"/>
              <w:spacing w:after="0"/>
              <w:rPr>
                <w:rFonts w:ascii="Arial" w:cs="Arial" w:eastAsia="Arial" w:hAnsi="Arial"/>
                <w:sz w:val="18"/>
                <w:szCs w:val="18"/>
                <w:u w:val="single" w:color="auto"/>
                <w:color w:val="0000EE"/>
                <w:w w:val="99"/>
              </w:rPr>
            </w:pPr>
            <w:hyperlink w:anchor="page7">
              <w:r>
                <w:rPr>
                  <w:rFonts w:ascii="Arial" w:cs="Arial" w:eastAsia="Arial" w:hAnsi="Arial"/>
                  <w:sz w:val="18"/>
                  <w:szCs w:val="18"/>
                  <w:u w:val="single" w:color="auto"/>
                  <w:color w:val="0000EE"/>
                  <w:w w:val="99"/>
                </w:rPr>
                <w:t>7</w:t>
              </w:r>
            </w:hyperlink>
          </w:p>
        </w:tc>
      </w:tr>
      <w:tr>
        <w:trPr>
          <w:trHeight w:val="270"/>
        </w:trPr>
        <w:tc>
          <w:tcPr>
            <w:tcW w:w="980" w:type="dxa"/>
            <w:vAlign w:val="bottom"/>
          </w:tcPr>
          <w:p>
            <w:pPr>
              <w:spacing w:after="0"/>
              <w:rPr>
                <w:sz w:val="23"/>
                <w:szCs w:val="23"/>
                <w:color w:val="auto"/>
              </w:rPr>
            </w:pPr>
          </w:p>
        </w:tc>
        <w:tc>
          <w:tcPr>
            <w:tcW w:w="8760" w:type="dxa"/>
            <w:vAlign w:val="bottom"/>
          </w:tcPr>
          <w:p>
            <w:pPr>
              <w:ind w:left="6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Income</w:t>
              </w:r>
            </w:hyperlink>
          </w:p>
        </w:tc>
        <w:tc>
          <w:tcPr>
            <w:tcW w:w="1460" w:type="dxa"/>
            <w:vAlign w:val="bottom"/>
          </w:tcPr>
          <w:p>
            <w:pPr>
              <w:jc w:val="center"/>
              <w:spacing w:after="0"/>
              <w:rPr>
                <w:rFonts w:ascii="Arial" w:cs="Arial" w:eastAsia="Arial" w:hAnsi="Arial"/>
                <w:sz w:val="18"/>
                <w:szCs w:val="18"/>
                <w:u w:val="single" w:color="auto"/>
                <w:color w:val="0000EE"/>
                <w:w w:val="99"/>
              </w:rPr>
            </w:pPr>
            <w:hyperlink w:anchor="page7">
              <w:r>
                <w:rPr>
                  <w:rFonts w:ascii="Arial" w:cs="Arial" w:eastAsia="Arial" w:hAnsi="Arial"/>
                  <w:sz w:val="18"/>
                  <w:szCs w:val="18"/>
                  <w:u w:val="single" w:color="auto"/>
                  <w:color w:val="0000EE"/>
                  <w:w w:val="99"/>
                </w:rPr>
                <w:t>7</w:t>
              </w:r>
            </w:hyperlink>
          </w:p>
        </w:tc>
      </w:tr>
      <w:tr>
        <w:trPr>
          <w:trHeight w:val="270"/>
        </w:trPr>
        <w:tc>
          <w:tcPr>
            <w:tcW w:w="980" w:type="dxa"/>
            <w:vAlign w:val="bottom"/>
          </w:tcPr>
          <w:p>
            <w:pPr>
              <w:spacing w:after="0"/>
              <w:rPr>
                <w:sz w:val="23"/>
                <w:szCs w:val="23"/>
                <w:color w:val="auto"/>
              </w:rPr>
            </w:pPr>
          </w:p>
        </w:tc>
        <w:tc>
          <w:tcPr>
            <w:tcW w:w="8760" w:type="dxa"/>
            <w:vAlign w:val="bottom"/>
          </w:tcPr>
          <w:p>
            <w:pPr>
              <w:ind w:left="62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Consolidated Statements of Comprehensive Income</w:t>
              </w:r>
            </w:hyperlink>
          </w:p>
        </w:tc>
        <w:tc>
          <w:tcPr>
            <w:tcW w:w="1460" w:type="dxa"/>
            <w:vAlign w:val="bottom"/>
          </w:tcPr>
          <w:p>
            <w:pPr>
              <w:jc w:val="center"/>
              <w:spacing w:after="0"/>
              <w:rPr>
                <w:rFonts w:ascii="Arial" w:cs="Arial" w:eastAsia="Arial" w:hAnsi="Arial"/>
                <w:sz w:val="18"/>
                <w:szCs w:val="18"/>
                <w:u w:val="single" w:color="auto"/>
                <w:color w:val="0000EE"/>
                <w:w w:val="99"/>
              </w:rPr>
            </w:pPr>
            <w:hyperlink w:anchor="page8">
              <w:r>
                <w:rPr>
                  <w:rFonts w:ascii="Arial" w:cs="Arial" w:eastAsia="Arial" w:hAnsi="Arial"/>
                  <w:sz w:val="18"/>
                  <w:szCs w:val="18"/>
                  <w:u w:val="single" w:color="auto"/>
                  <w:color w:val="0000EE"/>
                  <w:w w:val="99"/>
                </w:rPr>
                <w:t>8</w:t>
              </w:r>
            </w:hyperlink>
          </w:p>
        </w:tc>
      </w:tr>
      <w:tr>
        <w:trPr>
          <w:trHeight w:val="270"/>
        </w:trPr>
        <w:tc>
          <w:tcPr>
            <w:tcW w:w="980" w:type="dxa"/>
            <w:vAlign w:val="bottom"/>
          </w:tcPr>
          <w:p>
            <w:pPr>
              <w:spacing w:after="0"/>
              <w:rPr>
                <w:sz w:val="23"/>
                <w:szCs w:val="23"/>
                <w:color w:val="auto"/>
              </w:rPr>
            </w:pPr>
          </w:p>
        </w:tc>
        <w:tc>
          <w:tcPr>
            <w:tcW w:w="8760" w:type="dxa"/>
            <w:vAlign w:val="bottom"/>
          </w:tcPr>
          <w:p>
            <w:pPr>
              <w:ind w:left="62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Condensed Consolidated Balance Sheets</w:t>
              </w:r>
            </w:hyperlink>
          </w:p>
        </w:tc>
        <w:tc>
          <w:tcPr>
            <w:tcW w:w="1460" w:type="dxa"/>
            <w:vAlign w:val="bottom"/>
          </w:tcPr>
          <w:p>
            <w:pPr>
              <w:jc w:val="center"/>
              <w:spacing w:after="0"/>
              <w:rPr>
                <w:rFonts w:ascii="Arial" w:cs="Arial" w:eastAsia="Arial" w:hAnsi="Arial"/>
                <w:sz w:val="18"/>
                <w:szCs w:val="18"/>
                <w:u w:val="single" w:color="auto"/>
                <w:color w:val="0000EE"/>
                <w:w w:val="99"/>
              </w:rPr>
            </w:pPr>
            <w:hyperlink w:anchor="page9">
              <w:r>
                <w:rPr>
                  <w:rFonts w:ascii="Arial" w:cs="Arial" w:eastAsia="Arial" w:hAnsi="Arial"/>
                  <w:sz w:val="18"/>
                  <w:szCs w:val="18"/>
                  <w:u w:val="single" w:color="auto"/>
                  <w:color w:val="0000EE"/>
                  <w:w w:val="99"/>
                </w:rPr>
                <w:t>9</w:t>
              </w:r>
            </w:hyperlink>
          </w:p>
        </w:tc>
      </w:tr>
      <w:tr>
        <w:trPr>
          <w:trHeight w:val="270"/>
        </w:trPr>
        <w:tc>
          <w:tcPr>
            <w:tcW w:w="980" w:type="dxa"/>
            <w:vAlign w:val="bottom"/>
          </w:tcPr>
          <w:p>
            <w:pPr>
              <w:spacing w:after="0"/>
              <w:rPr>
                <w:sz w:val="23"/>
                <w:szCs w:val="23"/>
                <w:color w:val="auto"/>
              </w:rPr>
            </w:pPr>
          </w:p>
        </w:tc>
        <w:tc>
          <w:tcPr>
            <w:tcW w:w="8760" w:type="dxa"/>
            <w:vAlign w:val="bottom"/>
          </w:tcPr>
          <w:p>
            <w:pPr>
              <w:ind w:left="62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Condensed Consolidated Statements of Cash Flows</w:t>
              </w:r>
            </w:hyperlink>
          </w:p>
        </w:tc>
        <w:tc>
          <w:tcPr>
            <w:tcW w:w="1460" w:type="dxa"/>
            <w:vAlign w:val="bottom"/>
          </w:tcPr>
          <w:p>
            <w:pPr>
              <w:jc w:val="center"/>
              <w:spacing w:after="0"/>
              <w:rPr>
                <w:rFonts w:ascii="Arial" w:cs="Arial" w:eastAsia="Arial" w:hAnsi="Arial"/>
                <w:sz w:val="18"/>
                <w:szCs w:val="18"/>
                <w:u w:val="single" w:color="auto"/>
                <w:color w:val="0000EE"/>
                <w:w w:val="89"/>
              </w:rPr>
            </w:pPr>
            <w:hyperlink w:anchor="page11">
              <w:r>
                <w:rPr>
                  <w:rFonts w:ascii="Arial" w:cs="Arial" w:eastAsia="Arial" w:hAnsi="Arial"/>
                  <w:sz w:val="18"/>
                  <w:szCs w:val="18"/>
                  <w:u w:val="single" w:color="auto"/>
                  <w:color w:val="0000EE"/>
                  <w:w w:val="89"/>
                </w:rPr>
                <w:t>11</w:t>
              </w:r>
            </w:hyperlink>
          </w:p>
        </w:tc>
      </w:tr>
      <w:tr>
        <w:trPr>
          <w:trHeight w:val="270"/>
        </w:trPr>
        <w:tc>
          <w:tcPr>
            <w:tcW w:w="980" w:type="dxa"/>
            <w:vAlign w:val="bottom"/>
          </w:tcPr>
          <w:p>
            <w:pPr>
              <w:spacing w:after="0"/>
              <w:rPr>
                <w:sz w:val="23"/>
                <w:szCs w:val="23"/>
                <w:color w:val="auto"/>
              </w:rPr>
            </w:pPr>
          </w:p>
        </w:tc>
        <w:tc>
          <w:tcPr>
            <w:tcW w:w="8760" w:type="dxa"/>
            <w:vAlign w:val="bottom"/>
          </w:tcPr>
          <w:p>
            <w:pPr>
              <w:ind w:left="62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Condensed Consolidated Statements of Equity</w:t>
              </w:r>
            </w:hyperlink>
          </w:p>
        </w:tc>
        <w:tc>
          <w:tcPr>
            <w:tcW w:w="1460" w:type="dxa"/>
            <w:vAlign w:val="bottom"/>
          </w:tcPr>
          <w:p>
            <w:pPr>
              <w:jc w:val="center"/>
              <w:spacing w:after="0"/>
              <w:rPr>
                <w:rFonts w:ascii="Arial" w:cs="Arial" w:eastAsia="Arial" w:hAnsi="Arial"/>
                <w:sz w:val="18"/>
                <w:szCs w:val="18"/>
                <w:u w:val="single" w:color="auto"/>
                <w:color w:val="0000EE"/>
                <w:w w:val="89"/>
              </w:rPr>
            </w:pPr>
            <w:hyperlink w:anchor="page12">
              <w:r>
                <w:rPr>
                  <w:rFonts w:ascii="Arial" w:cs="Arial" w:eastAsia="Arial" w:hAnsi="Arial"/>
                  <w:sz w:val="18"/>
                  <w:szCs w:val="18"/>
                  <w:u w:val="single" w:color="auto"/>
                  <w:color w:val="0000EE"/>
                  <w:w w:val="89"/>
                </w:rPr>
                <w:t>12</w:t>
              </w:r>
            </w:hyperlink>
          </w:p>
        </w:tc>
      </w:tr>
      <w:tr>
        <w:trPr>
          <w:trHeight w:val="270"/>
        </w:trPr>
        <w:tc>
          <w:tcPr>
            <w:tcW w:w="980" w:type="dxa"/>
            <w:vAlign w:val="bottom"/>
          </w:tcPr>
          <w:p>
            <w:pPr>
              <w:spacing w:after="0"/>
              <w:rPr>
                <w:sz w:val="23"/>
                <w:szCs w:val="23"/>
                <w:color w:val="auto"/>
              </w:rPr>
            </w:pPr>
          </w:p>
        </w:tc>
        <w:tc>
          <w:tcPr>
            <w:tcW w:w="8760" w:type="dxa"/>
            <w:vAlign w:val="bottom"/>
          </w:tcPr>
          <w:p>
            <w:pPr>
              <w:ind w:left="62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Notes to Condensed Consolidated Financial Statements</w:t>
              </w:r>
            </w:hyperlink>
          </w:p>
        </w:tc>
        <w:tc>
          <w:tcPr>
            <w:tcW w:w="1460" w:type="dxa"/>
            <w:vAlign w:val="bottom"/>
          </w:tcPr>
          <w:p>
            <w:pPr>
              <w:jc w:val="center"/>
              <w:spacing w:after="0"/>
              <w:rPr>
                <w:rFonts w:ascii="Arial" w:cs="Arial" w:eastAsia="Arial" w:hAnsi="Arial"/>
                <w:sz w:val="18"/>
                <w:szCs w:val="18"/>
                <w:u w:val="single" w:color="auto"/>
                <w:color w:val="0000EE"/>
                <w:w w:val="89"/>
              </w:rPr>
            </w:pPr>
            <w:hyperlink w:anchor="page13">
              <w:r>
                <w:rPr>
                  <w:rFonts w:ascii="Arial" w:cs="Arial" w:eastAsia="Arial" w:hAnsi="Arial"/>
                  <w:sz w:val="18"/>
                  <w:szCs w:val="18"/>
                  <w:u w:val="single" w:color="auto"/>
                  <w:color w:val="0000EE"/>
                  <w:w w:val="89"/>
                </w:rPr>
                <w:t>13</w:t>
              </w:r>
            </w:hyperlink>
          </w:p>
        </w:tc>
      </w:tr>
      <w:tr>
        <w:trPr>
          <w:trHeight w:val="270"/>
        </w:trPr>
        <w:tc>
          <w:tcPr>
            <w:tcW w:w="980" w:type="dxa"/>
            <w:vAlign w:val="bottom"/>
          </w:tcPr>
          <w:p>
            <w:pPr>
              <w:spacing w:after="0"/>
              <w:rPr>
                <w:sz w:val="23"/>
                <w:szCs w:val="23"/>
                <w:color w:val="auto"/>
              </w:rPr>
            </w:pPr>
          </w:p>
        </w:tc>
        <w:tc>
          <w:tcPr>
            <w:tcW w:w="8760" w:type="dxa"/>
            <w:vAlign w:val="bottom"/>
          </w:tcPr>
          <w:p>
            <w:pPr>
              <w:ind w:left="72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Note 1. Management’s Statement</w:t>
              </w:r>
            </w:hyperlink>
          </w:p>
        </w:tc>
        <w:tc>
          <w:tcPr>
            <w:tcW w:w="1460" w:type="dxa"/>
            <w:vAlign w:val="bottom"/>
          </w:tcPr>
          <w:p>
            <w:pPr>
              <w:jc w:val="center"/>
              <w:spacing w:after="0"/>
              <w:rPr>
                <w:rFonts w:ascii="Arial" w:cs="Arial" w:eastAsia="Arial" w:hAnsi="Arial"/>
                <w:sz w:val="18"/>
                <w:szCs w:val="18"/>
                <w:u w:val="single" w:color="auto"/>
                <w:color w:val="0000EE"/>
                <w:w w:val="89"/>
              </w:rPr>
            </w:pPr>
            <w:hyperlink w:anchor="page13">
              <w:r>
                <w:rPr>
                  <w:rFonts w:ascii="Arial" w:cs="Arial" w:eastAsia="Arial" w:hAnsi="Arial"/>
                  <w:sz w:val="18"/>
                  <w:szCs w:val="18"/>
                  <w:u w:val="single" w:color="auto"/>
                  <w:color w:val="0000EE"/>
                  <w:w w:val="89"/>
                </w:rPr>
                <w:t>13</w:t>
              </w:r>
            </w:hyperlink>
          </w:p>
        </w:tc>
      </w:tr>
      <w:tr>
        <w:trPr>
          <w:trHeight w:val="270"/>
        </w:trPr>
        <w:tc>
          <w:tcPr>
            <w:tcW w:w="980" w:type="dxa"/>
            <w:vAlign w:val="bottom"/>
          </w:tcPr>
          <w:p>
            <w:pPr>
              <w:spacing w:after="0"/>
              <w:rPr>
                <w:sz w:val="23"/>
                <w:szCs w:val="23"/>
                <w:color w:val="auto"/>
              </w:rPr>
            </w:pPr>
          </w:p>
        </w:tc>
        <w:tc>
          <w:tcPr>
            <w:tcW w:w="8760" w:type="dxa"/>
            <w:vAlign w:val="bottom"/>
          </w:tcPr>
          <w:p>
            <w:pPr>
              <w:ind w:left="72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Note 2. Revenue</w:t>
              </w:r>
            </w:hyperlink>
          </w:p>
        </w:tc>
        <w:tc>
          <w:tcPr>
            <w:tcW w:w="1460" w:type="dxa"/>
            <w:vAlign w:val="bottom"/>
          </w:tcPr>
          <w:p>
            <w:pPr>
              <w:jc w:val="center"/>
              <w:spacing w:after="0"/>
              <w:rPr>
                <w:rFonts w:ascii="Arial" w:cs="Arial" w:eastAsia="Arial" w:hAnsi="Arial"/>
                <w:sz w:val="18"/>
                <w:szCs w:val="18"/>
                <w:u w:val="single" w:color="auto"/>
                <w:color w:val="0000EE"/>
                <w:w w:val="89"/>
              </w:rPr>
            </w:pPr>
            <w:hyperlink w:anchor="page15">
              <w:r>
                <w:rPr>
                  <w:rFonts w:ascii="Arial" w:cs="Arial" w:eastAsia="Arial" w:hAnsi="Arial"/>
                  <w:sz w:val="18"/>
                  <w:szCs w:val="18"/>
                  <w:u w:val="single" w:color="auto"/>
                  <w:color w:val="0000EE"/>
                  <w:w w:val="89"/>
                </w:rPr>
                <w:t>15</w:t>
              </w:r>
            </w:hyperlink>
          </w:p>
        </w:tc>
      </w:tr>
      <w:tr>
        <w:trPr>
          <w:trHeight w:val="270"/>
        </w:trPr>
        <w:tc>
          <w:tcPr>
            <w:tcW w:w="980" w:type="dxa"/>
            <w:vAlign w:val="bottom"/>
          </w:tcPr>
          <w:p>
            <w:pPr>
              <w:spacing w:after="0"/>
              <w:rPr>
                <w:sz w:val="23"/>
                <w:szCs w:val="23"/>
                <w:color w:val="auto"/>
              </w:rPr>
            </w:pPr>
          </w:p>
        </w:tc>
        <w:tc>
          <w:tcPr>
            <w:tcW w:w="8760" w:type="dxa"/>
            <w:vAlign w:val="bottom"/>
          </w:tcPr>
          <w:p>
            <w:pPr>
              <w:ind w:left="72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Note 3. Business Segment Information</w:t>
              </w:r>
            </w:hyperlink>
          </w:p>
        </w:tc>
        <w:tc>
          <w:tcPr>
            <w:tcW w:w="1460" w:type="dxa"/>
            <w:vAlign w:val="bottom"/>
          </w:tcPr>
          <w:p>
            <w:pPr>
              <w:jc w:val="center"/>
              <w:spacing w:after="0"/>
              <w:rPr>
                <w:rFonts w:ascii="Arial" w:cs="Arial" w:eastAsia="Arial" w:hAnsi="Arial"/>
                <w:sz w:val="18"/>
                <w:szCs w:val="18"/>
                <w:u w:val="single" w:color="auto"/>
                <w:color w:val="0000EE"/>
                <w:w w:val="89"/>
              </w:rPr>
            </w:pPr>
            <w:hyperlink w:anchor="page16">
              <w:r>
                <w:rPr>
                  <w:rFonts w:ascii="Arial" w:cs="Arial" w:eastAsia="Arial" w:hAnsi="Arial"/>
                  <w:sz w:val="18"/>
                  <w:szCs w:val="18"/>
                  <w:u w:val="single" w:color="auto"/>
                  <w:color w:val="0000EE"/>
                  <w:w w:val="89"/>
                </w:rPr>
                <w:t>16</w:t>
              </w:r>
            </w:hyperlink>
          </w:p>
        </w:tc>
      </w:tr>
      <w:tr>
        <w:trPr>
          <w:trHeight w:val="270"/>
        </w:trPr>
        <w:tc>
          <w:tcPr>
            <w:tcW w:w="980" w:type="dxa"/>
            <w:vAlign w:val="bottom"/>
          </w:tcPr>
          <w:p>
            <w:pPr>
              <w:spacing w:after="0"/>
              <w:rPr>
                <w:sz w:val="23"/>
                <w:szCs w:val="23"/>
                <w:color w:val="auto"/>
              </w:rPr>
            </w:pPr>
          </w:p>
        </w:tc>
        <w:tc>
          <w:tcPr>
            <w:tcW w:w="8760" w:type="dxa"/>
            <w:vAlign w:val="bottom"/>
          </w:tcPr>
          <w:p>
            <w:pPr>
              <w:ind w:left="72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Note 4. Selected Balance Sheet Information</w:t>
              </w:r>
            </w:hyperlink>
          </w:p>
        </w:tc>
        <w:tc>
          <w:tcPr>
            <w:tcW w:w="1460" w:type="dxa"/>
            <w:vAlign w:val="bottom"/>
          </w:tcPr>
          <w:p>
            <w:pPr>
              <w:jc w:val="center"/>
              <w:spacing w:after="0"/>
              <w:rPr>
                <w:rFonts w:ascii="Arial" w:cs="Arial" w:eastAsia="Arial" w:hAnsi="Arial"/>
                <w:sz w:val="18"/>
                <w:szCs w:val="18"/>
                <w:u w:val="single" w:color="auto"/>
                <w:color w:val="0000EE"/>
                <w:w w:val="89"/>
              </w:rPr>
            </w:pPr>
            <w:hyperlink w:anchor="page17">
              <w:r>
                <w:rPr>
                  <w:rFonts w:ascii="Arial" w:cs="Arial" w:eastAsia="Arial" w:hAnsi="Arial"/>
                  <w:sz w:val="18"/>
                  <w:szCs w:val="18"/>
                  <w:u w:val="single" w:color="auto"/>
                  <w:color w:val="0000EE"/>
                  <w:w w:val="89"/>
                </w:rPr>
                <w:t>17</w:t>
              </w:r>
            </w:hyperlink>
          </w:p>
        </w:tc>
      </w:tr>
      <w:tr>
        <w:trPr>
          <w:trHeight w:val="270"/>
        </w:trPr>
        <w:tc>
          <w:tcPr>
            <w:tcW w:w="980" w:type="dxa"/>
            <w:vAlign w:val="bottom"/>
          </w:tcPr>
          <w:p>
            <w:pPr>
              <w:spacing w:after="0"/>
              <w:rPr>
                <w:sz w:val="23"/>
                <w:szCs w:val="23"/>
                <w:color w:val="auto"/>
              </w:rPr>
            </w:pPr>
          </w:p>
        </w:tc>
        <w:tc>
          <w:tcPr>
            <w:tcW w:w="8760" w:type="dxa"/>
            <w:vAlign w:val="bottom"/>
          </w:tcPr>
          <w:p>
            <w:pPr>
              <w:ind w:left="72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Note 5. Regulatory Matters</w:t>
              </w:r>
            </w:hyperlink>
          </w:p>
        </w:tc>
        <w:tc>
          <w:tcPr>
            <w:tcW w:w="1460" w:type="dxa"/>
            <w:vAlign w:val="bottom"/>
          </w:tcPr>
          <w:p>
            <w:pPr>
              <w:jc w:val="center"/>
              <w:spacing w:after="0"/>
              <w:rPr>
                <w:rFonts w:ascii="Arial" w:cs="Arial" w:eastAsia="Arial" w:hAnsi="Arial"/>
                <w:sz w:val="18"/>
                <w:szCs w:val="18"/>
                <w:u w:val="single" w:color="auto"/>
                <w:color w:val="0000EE"/>
                <w:w w:val="89"/>
              </w:rPr>
            </w:pPr>
            <w:hyperlink w:anchor="page19">
              <w:r>
                <w:rPr>
                  <w:rFonts w:ascii="Arial" w:cs="Arial" w:eastAsia="Arial" w:hAnsi="Arial"/>
                  <w:sz w:val="18"/>
                  <w:szCs w:val="18"/>
                  <w:u w:val="single" w:color="auto"/>
                  <w:color w:val="0000EE"/>
                  <w:w w:val="89"/>
                </w:rPr>
                <w:t>19</w:t>
              </w:r>
            </w:hyperlink>
          </w:p>
        </w:tc>
      </w:tr>
      <w:tr>
        <w:trPr>
          <w:trHeight w:val="270"/>
        </w:trPr>
        <w:tc>
          <w:tcPr>
            <w:tcW w:w="980" w:type="dxa"/>
            <w:vAlign w:val="bottom"/>
          </w:tcPr>
          <w:p>
            <w:pPr>
              <w:spacing w:after="0"/>
              <w:rPr>
                <w:sz w:val="23"/>
                <w:szCs w:val="23"/>
                <w:color w:val="auto"/>
              </w:rPr>
            </w:pPr>
          </w:p>
        </w:tc>
        <w:tc>
          <w:tcPr>
            <w:tcW w:w="8760" w:type="dxa"/>
            <w:vAlign w:val="bottom"/>
          </w:tcPr>
          <w:p>
            <w:pPr>
              <w:ind w:left="72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Note 6. Earnings Per Share</w:t>
              </w:r>
            </w:hyperlink>
          </w:p>
        </w:tc>
        <w:tc>
          <w:tcPr>
            <w:tcW w:w="1460" w:type="dxa"/>
            <w:vAlign w:val="bottom"/>
          </w:tcPr>
          <w:p>
            <w:pPr>
              <w:jc w:val="center"/>
              <w:spacing w:after="0"/>
              <w:rPr>
                <w:rFonts w:ascii="Arial" w:cs="Arial" w:eastAsia="Arial" w:hAnsi="Arial"/>
                <w:sz w:val="18"/>
                <w:szCs w:val="18"/>
                <w:u w:val="single" w:color="auto"/>
                <w:color w:val="0000EE"/>
                <w:w w:val="89"/>
              </w:rPr>
            </w:pPr>
            <w:hyperlink w:anchor="page20">
              <w:r>
                <w:rPr>
                  <w:rFonts w:ascii="Arial" w:cs="Arial" w:eastAsia="Arial" w:hAnsi="Arial"/>
                  <w:sz w:val="18"/>
                  <w:szCs w:val="18"/>
                  <w:u w:val="single" w:color="auto"/>
                  <w:color w:val="0000EE"/>
                  <w:w w:val="89"/>
                </w:rPr>
                <w:t>20</w:t>
              </w:r>
            </w:hyperlink>
          </w:p>
        </w:tc>
      </w:tr>
      <w:tr>
        <w:trPr>
          <w:trHeight w:val="270"/>
        </w:trPr>
        <w:tc>
          <w:tcPr>
            <w:tcW w:w="980" w:type="dxa"/>
            <w:vAlign w:val="bottom"/>
          </w:tcPr>
          <w:p>
            <w:pPr>
              <w:spacing w:after="0"/>
              <w:rPr>
                <w:sz w:val="23"/>
                <w:szCs w:val="23"/>
                <w:color w:val="auto"/>
              </w:rPr>
            </w:pPr>
          </w:p>
        </w:tc>
        <w:tc>
          <w:tcPr>
            <w:tcW w:w="8760" w:type="dxa"/>
            <w:vAlign w:val="bottom"/>
          </w:tcPr>
          <w:p>
            <w:pPr>
              <w:ind w:left="72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Note 7. Notes Payable, Current Maturities and Debt</w:t>
              </w:r>
            </w:hyperlink>
          </w:p>
        </w:tc>
        <w:tc>
          <w:tcPr>
            <w:tcW w:w="1460" w:type="dxa"/>
            <w:vAlign w:val="bottom"/>
          </w:tcPr>
          <w:p>
            <w:pPr>
              <w:jc w:val="center"/>
              <w:spacing w:after="0"/>
              <w:rPr>
                <w:rFonts w:ascii="Arial" w:cs="Arial" w:eastAsia="Arial" w:hAnsi="Arial"/>
                <w:sz w:val="18"/>
                <w:szCs w:val="18"/>
                <w:u w:val="single" w:color="auto"/>
                <w:color w:val="0000EE"/>
                <w:w w:val="89"/>
              </w:rPr>
            </w:pPr>
            <w:hyperlink w:anchor="page21">
              <w:r>
                <w:rPr>
                  <w:rFonts w:ascii="Arial" w:cs="Arial" w:eastAsia="Arial" w:hAnsi="Arial"/>
                  <w:sz w:val="18"/>
                  <w:szCs w:val="18"/>
                  <w:u w:val="single" w:color="auto"/>
                  <w:color w:val="0000EE"/>
                  <w:w w:val="89"/>
                </w:rPr>
                <w:t>21</w:t>
              </w:r>
            </w:hyperlink>
          </w:p>
        </w:tc>
      </w:tr>
      <w:tr>
        <w:trPr>
          <w:trHeight w:val="270"/>
        </w:trPr>
        <w:tc>
          <w:tcPr>
            <w:tcW w:w="980" w:type="dxa"/>
            <w:vAlign w:val="bottom"/>
          </w:tcPr>
          <w:p>
            <w:pPr>
              <w:spacing w:after="0"/>
              <w:rPr>
                <w:sz w:val="23"/>
                <w:szCs w:val="23"/>
                <w:color w:val="auto"/>
              </w:rPr>
            </w:pPr>
          </w:p>
        </w:tc>
        <w:tc>
          <w:tcPr>
            <w:tcW w:w="8760" w:type="dxa"/>
            <w:vAlign w:val="bottom"/>
          </w:tcPr>
          <w:p>
            <w:pPr>
              <w:ind w:left="72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Note 8. Equity</w:t>
              </w:r>
            </w:hyperlink>
          </w:p>
        </w:tc>
        <w:tc>
          <w:tcPr>
            <w:tcW w:w="1460" w:type="dxa"/>
            <w:vAlign w:val="bottom"/>
          </w:tcPr>
          <w:p>
            <w:pPr>
              <w:jc w:val="center"/>
              <w:spacing w:after="0"/>
              <w:rPr>
                <w:rFonts w:ascii="Arial" w:cs="Arial" w:eastAsia="Arial" w:hAnsi="Arial"/>
                <w:sz w:val="18"/>
                <w:szCs w:val="18"/>
                <w:u w:val="single" w:color="auto"/>
                <w:color w:val="0000EE"/>
                <w:w w:val="89"/>
              </w:rPr>
            </w:pPr>
            <w:hyperlink w:anchor="page22">
              <w:r>
                <w:rPr>
                  <w:rFonts w:ascii="Arial" w:cs="Arial" w:eastAsia="Arial" w:hAnsi="Arial"/>
                  <w:sz w:val="18"/>
                  <w:szCs w:val="18"/>
                  <w:u w:val="single" w:color="auto"/>
                  <w:color w:val="0000EE"/>
                  <w:w w:val="89"/>
                </w:rPr>
                <w:t>22</w:t>
              </w:r>
            </w:hyperlink>
          </w:p>
        </w:tc>
      </w:tr>
      <w:tr>
        <w:trPr>
          <w:trHeight w:val="270"/>
        </w:trPr>
        <w:tc>
          <w:tcPr>
            <w:tcW w:w="980" w:type="dxa"/>
            <w:vAlign w:val="bottom"/>
          </w:tcPr>
          <w:p>
            <w:pPr>
              <w:spacing w:after="0"/>
              <w:rPr>
                <w:sz w:val="23"/>
                <w:szCs w:val="23"/>
                <w:color w:val="auto"/>
              </w:rPr>
            </w:pPr>
          </w:p>
        </w:tc>
        <w:tc>
          <w:tcPr>
            <w:tcW w:w="8760" w:type="dxa"/>
            <w:vAlign w:val="bottom"/>
          </w:tcPr>
          <w:p>
            <w:pPr>
              <w:ind w:left="72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Note 9. Risk Management and Derivatives</w:t>
              </w:r>
            </w:hyperlink>
          </w:p>
        </w:tc>
        <w:tc>
          <w:tcPr>
            <w:tcW w:w="1460" w:type="dxa"/>
            <w:vAlign w:val="bottom"/>
          </w:tcPr>
          <w:p>
            <w:pPr>
              <w:jc w:val="center"/>
              <w:spacing w:after="0"/>
              <w:rPr>
                <w:rFonts w:ascii="Arial" w:cs="Arial" w:eastAsia="Arial" w:hAnsi="Arial"/>
                <w:sz w:val="18"/>
                <w:szCs w:val="18"/>
                <w:u w:val="single" w:color="auto"/>
                <w:color w:val="0000EE"/>
                <w:w w:val="89"/>
              </w:rPr>
            </w:pPr>
            <w:hyperlink w:anchor="page22">
              <w:r>
                <w:rPr>
                  <w:rFonts w:ascii="Arial" w:cs="Arial" w:eastAsia="Arial" w:hAnsi="Arial"/>
                  <w:sz w:val="18"/>
                  <w:szCs w:val="18"/>
                  <w:u w:val="single" w:color="auto"/>
                  <w:color w:val="0000EE"/>
                  <w:w w:val="89"/>
                </w:rPr>
                <w:t>22</w:t>
              </w:r>
            </w:hyperlink>
          </w:p>
        </w:tc>
      </w:tr>
      <w:tr>
        <w:trPr>
          <w:trHeight w:val="270"/>
        </w:trPr>
        <w:tc>
          <w:tcPr>
            <w:tcW w:w="980" w:type="dxa"/>
            <w:vAlign w:val="bottom"/>
          </w:tcPr>
          <w:p>
            <w:pPr>
              <w:spacing w:after="0"/>
              <w:rPr>
                <w:sz w:val="23"/>
                <w:szCs w:val="23"/>
                <w:color w:val="auto"/>
              </w:rPr>
            </w:pPr>
          </w:p>
        </w:tc>
        <w:tc>
          <w:tcPr>
            <w:tcW w:w="8760" w:type="dxa"/>
            <w:vAlign w:val="bottom"/>
          </w:tcPr>
          <w:p>
            <w:pPr>
              <w:ind w:left="72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Note 10. Fair Value Measurements</w:t>
              </w:r>
            </w:hyperlink>
          </w:p>
        </w:tc>
        <w:tc>
          <w:tcPr>
            <w:tcW w:w="1460" w:type="dxa"/>
            <w:vAlign w:val="bottom"/>
          </w:tcPr>
          <w:p>
            <w:pPr>
              <w:jc w:val="center"/>
              <w:spacing w:after="0"/>
              <w:rPr>
                <w:rFonts w:ascii="Arial" w:cs="Arial" w:eastAsia="Arial" w:hAnsi="Arial"/>
                <w:sz w:val="18"/>
                <w:szCs w:val="18"/>
                <w:u w:val="single" w:color="auto"/>
                <w:color w:val="0000EE"/>
                <w:w w:val="89"/>
              </w:rPr>
            </w:pPr>
            <w:hyperlink w:anchor="page25">
              <w:r>
                <w:rPr>
                  <w:rFonts w:ascii="Arial" w:cs="Arial" w:eastAsia="Arial" w:hAnsi="Arial"/>
                  <w:sz w:val="18"/>
                  <w:szCs w:val="18"/>
                  <w:u w:val="single" w:color="auto"/>
                  <w:color w:val="0000EE"/>
                  <w:w w:val="89"/>
                </w:rPr>
                <w:t>25</w:t>
              </w:r>
            </w:hyperlink>
          </w:p>
        </w:tc>
      </w:tr>
      <w:tr>
        <w:trPr>
          <w:trHeight w:val="270"/>
        </w:trPr>
        <w:tc>
          <w:tcPr>
            <w:tcW w:w="980" w:type="dxa"/>
            <w:vAlign w:val="bottom"/>
          </w:tcPr>
          <w:p>
            <w:pPr>
              <w:spacing w:after="0"/>
              <w:rPr>
                <w:sz w:val="23"/>
                <w:szCs w:val="23"/>
                <w:color w:val="auto"/>
              </w:rPr>
            </w:pPr>
          </w:p>
        </w:tc>
        <w:tc>
          <w:tcPr>
            <w:tcW w:w="8760" w:type="dxa"/>
            <w:vAlign w:val="bottom"/>
          </w:tcPr>
          <w:p>
            <w:pPr>
              <w:ind w:left="72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Note 11. Other Comprehensive Income (Loss)</w:t>
              </w:r>
            </w:hyperlink>
          </w:p>
        </w:tc>
        <w:tc>
          <w:tcPr>
            <w:tcW w:w="1460" w:type="dxa"/>
            <w:vAlign w:val="bottom"/>
          </w:tcPr>
          <w:p>
            <w:pPr>
              <w:jc w:val="center"/>
              <w:spacing w:after="0"/>
              <w:rPr>
                <w:rFonts w:ascii="Arial" w:cs="Arial" w:eastAsia="Arial" w:hAnsi="Arial"/>
                <w:sz w:val="18"/>
                <w:szCs w:val="18"/>
                <w:u w:val="single" w:color="auto"/>
                <w:color w:val="0000EE"/>
                <w:w w:val="89"/>
              </w:rPr>
            </w:pPr>
            <w:hyperlink w:anchor="page27">
              <w:r>
                <w:rPr>
                  <w:rFonts w:ascii="Arial" w:cs="Arial" w:eastAsia="Arial" w:hAnsi="Arial"/>
                  <w:sz w:val="18"/>
                  <w:szCs w:val="18"/>
                  <w:u w:val="single" w:color="auto"/>
                  <w:color w:val="0000EE"/>
                  <w:w w:val="89"/>
                </w:rPr>
                <w:t>27</w:t>
              </w:r>
            </w:hyperlink>
          </w:p>
        </w:tc>
      </w:tr>
      <w:tr>
        <w:trPr>
          <w:trHeight w:val="270"/>
        </w:trPr>
        <w:tc>
          <w:tcPr>
            <w:tcW w:w="980" w:type="dxa"/>
            <w:vAlign w:val="bottom"/>
          </w:tcPr>
          <w:p>
            <w:pPr>
              <w:spacing w:after="0"/>
              <w:rPr>
                <w:sz w:val="23"/>
                <w:szCs w:val="23"/>
                <w:color w:val="auto"/>
              </w:rPr>
            </w:pPr>
          </w:p>
        </w:tc>
        <w:tc>
          <w:tcPr>
            <w:tcW w:w="8760" w:type="dxa"/>
            <w:vAlign w:val="bottom"/>
          </w:tcPr>
          <w:p>
            <w:pPr>
              <w:ind w:left="72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Note 12. Employee Benefit Plans</w:t>
              </w:r>
            </w:hyperlink>
          </w:p>
        </w:tc>
        <w:tc>
          <w:tcPr>
            <w:tcW w:w="1460" w:type="dxa"/>
            <w:vAlign w:val="bottom"/>
          </w:tcPr>
          <w:p>
            <w:pPr>
              <w:jc w:val="center"/>
              <w:spacing w:after="0"/>
              <w:rPr>
                <w:rFonts w:ascii="Arial" w:cs="Arial" w:eastAsia="Arial" w:hAnsi="Arial"/>
                <w:sz w:val="18"/>
                <w:szCs w:val="18"/>
                <w:u w:val="single" w:color="auto"/>
                <w:color w:val="0000EE"/>
                <w:w w:val="89"/>
              </w:rPr>
            </w:pPr>
            <w:hyperlink w:anchor="page28">
              <w:r>
                <w:rPr>
                  <w:rFonts w:ascii="Arial" w:cs="Arial" w:eastAsia="Arial" w:hAnsi="Arial"/>
                  <w:sz w:val="18"/>
                  <w:szCs w:val="18"/>
                  <w:u w:val="single" w:color="auto"/>
                  <w:color w:val="0000EE"/>
                  <w:w w:val="89"/>
                </w:rPr>
                <w:t>28</w:t>
              </w:r>
            </w:hyperlink>
          </w:p>
        </w:tc>
      </w:tr>
      <w:tr>
        <w:trPr>
          <w:trHeight w:val="270"/>
        </w:trPr>
        <w:tc>
          <w:tcPr>
            <w:tcW w:w="980" w:type="dxa"/>
            <w:vAlign w:val="bottom"/>
          </w:tcPr>
          <w:p>
            <w:pPr>
              <w:spacing w:after="0"/>
              <w:rPr>
                <w:sz w:val="23"/>
                <w:szCs w:val="23"/>
                <w:color w:val="auto"/>
              </w:rPr>
            </w:pPr>
          </w:p>
        </w:tc>
        <w:tc>
          <w:tcPr>
            <w:tcW w:w="8760" w:type="dxa"/>
            <w:vAlign w:val="bottom"/>
          </w:tcPr>
          <w:p>
            <w:pPr>
              <w:ind w:left="72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Note 13. Commitments and Contingencies</w:t>
              </w:r>
            </w:hyperlink>
          </w:p>
        </w:tc>
        <w:tc>
          <w:tcPr>
            <w:tcW w:w="1460" w:type="dxa"/>
            <w:vAlign w:val="bottom"/>
          </w:tcPr>
          <w:p>
            <w:pPr>
              <w:jc w:val="center"/>
              <w:spacing w:after="0"/>
              <w:rPr>
                <w:rFonts w:ascii="Arial" w:cs="Arial" w:eastAsia="Arial" w:hAnsi="Arial"/>
                <w:sz w:val="18"/>
                <w:szCs w:val="18"/>
                <w:u w:val="single" w:color="auto"/>
                <w:color w:val="0000EE"/>
                <w:w w:val="89"/>
              </w:rPr>
            </w:pPr>
            <w:hyperlink w:anchor="page30">
              <w:r>
                <w:rPr>
                  <w:rFonts w:ascii="Arial" w:cs="Arial" w:eastAsia="Arial" w:hAnsi="Arial"/>
                  <w:sz w:val="18"/>
                  <w:szCs w:val="18"/>
                  <w:u w:val="single" w:color="auto"/>
                  <w:color w:val="0000EE"/>
                  <w:w w:val="89"/>
                </w:rPr>
                <w:t>30</w:t>
              </w:r>
            </w:hyperlink>
          </w:p>
        </w:tc>
      </w:tr>
      <w:tr>
        <w:trPr>
          <w:trHeight w:val="270"/>
        </w:trPr>
        <w:tc>
          <w:tcPr>
            <w:tcW w:w="980" w:type="dxa"/>
            <w:vAlign w:val="bottom"/>
          </w:tcPr>
          <w:p>
            <w:pPr>
              <w:spacing w:after="0"/>
              <w:rPr>
                <w:sz w:val="23"/>
                <w:szCs w:val="23"/>
                <w:color w:val="auto"/>
              </w:rPr>
            </w:pPr>
          </w:p>
        </w:tc>
        <w:tc>
          <w:tcPr>
            <w:tcW w:w="8760" w:type="dxa"/>
            <w:vAlign w:val="bottom"/>
          </w:tcPr>
          <w:p>
            <w:pPr>
              <w:ind w:left="72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Note 14. Income Taxes</w:t>
              </w:r>
            </w:hyperlink>
          </w:p>
        </w:tc>
        <w:tc>
          <w:tcPr>
            <w:tcW w:w="1460" w:type="dxa"/>
            <w:vAlign w:val="bottom"/>
          </w:tcPr>
          <w:p>
            <w:pPr>
              <w:jc w:val="center"/>
              <w:spacing w:after="0"/>
              <w:rPr>
                <w:rFonts w:ascii="Arial" w:cs="Arial" w:eastAsia="Arial" w:hAnsi="Arial"/>
                <w:sz w:val="18"/>
                <w:szCs w:val="18"/>
                <w:u w:val="single" w:color="auto"/>
                <w:color w:val="0000EE"/>
                <w:w w:val="89"/>
              </w:rPr>
            </w:pPr>
            <w:hyperlink w:anchor="page30">
              <w:r>
                <w:rPr>
                  <w:rFonts w:ascii="Arial" w:cs="Arial" w:eastAsia="Arial" w:hAnsi="Arial"/>
                  <w:sz w:val="18"/>
                  <w:szCs w:val="18"/>
                  <w:u w:val="single" w:color="auto"/>
                  <w:color w:val="0000EE"/>
                  <w:w w:val="89"/>
                </w:rPr>
                <w:t>30</w:t>
              </w:r>
            </w:hyperlink>
          </w:p>
        </w:tc>
      </w:tr>
      <w:tr>
        <w:trPr>
          <w:trHeight w:val="270"/>
        </w:trPr>
        <w:tc>
          <w:tcPr>
            <w:tcW w:w="980" w:type="dxa"/>
            <w:vAlign w:val="bottom"/>
          </w:tcPr>
          <w:p>
            <w:pPr>
              <w:spacing w:after="0"/>
              <w:rPr>
                <w:sz w:val="23"/>
                <w:szCs w:val="23"/>
                <w:color w:val="auto"/>
              </w:rPr>
            </w:pPr>
          </w:p>
        </w:tc>
        <w:tc>
          <w:tcPr>
            <w:tcW w:w="8760" w:type="dxa"/>
            <w:vAlign w:val="bottom"/>
          </w:tcPr>
          <w:p>
            <w:pPr>
              <w:ind w:left="72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Note 15. Investments</w:t>
              </w:r>
            </w:hyperlink>
          </w:p>
        </w:tc>
        <w:tc>
          <w:tcPr>
            <w:tcW w:w="1460" w:type="dxa"/>
            <w:vAlign w:val="bottom"/>
          </w:tcPr>
          <w:p>
            <w:pPr>
              <w:jc w:val="center"/>
              <w:spacing w:after="0"/>
              <w:rPr>
                <w:rFonts w:ascii="Arial" w:cs="Arial" w:eastAsia="Arial" w:hAnsi="Arial"/>
                <w:sz w:val="18"/>
                <w:szCs w:val="18"/>
                <w:u w:val="single" w:color="auto"/>
                <w:color w:val="0000EE"/>
                <w:w w:val="89"/>
              </w:rPr>
            </w:pPr>
            <w:hyperlink w:anchor="page31">
              <w:r>
                <w:rPr>
                  <w:rFonts w:ascii="Arial" w:cs="Arial" w:eastAsia="Arial" w:hAnsi="Arial"/>
                  <w:sz w:val="18"/>
                  <w:szCs w:val="18"/>
                  <w:u w:val="single" w:color="auto"/>
                  <w:color w:val="0000EE"/>
                  <w:w w:val="89"/>
                </w:rPr>
                <w:t>31</w:t>
              </w:r>
            </w:hyperlink>
          </w:p>
        </w:tc>
      </w:tr>
      <w:tr>
        <w:trPr>
          <w:trHeight w:val="270"/>
        </w:trPr>
        <w:tc>
          <w:tcPr>
            <w:tcW w:w="980" w:type="dxa"/>
            <w:vAlign w:val="bottom"/>
          </w:tcPr>
          <w:p>
            <w:pPr>
              <w:spacing w:after="0"/>
              <w:rPr>
                <w:sz w:val="23"/>
                <w:szCs w:val="23"/>
                <w:color w:val="auto"/>
              </w:rPr>
            </w:pPr>
          </w:p>
        </w:tc>
        <w:tc>
          <w:tcPr>
            <w:tcW w:w="8760" w:type="dxa"/>
            <w:vAlign w:val="bottom"/>
          </w:tcPr>
          <w:p>
            <w:pPr>
              <w:ind w:left="72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Note 16. Subsequent Events</w:t>
              </w:r>
            </w:hyperlink>
          </w:p>
        </w:tc>
        <w:tc>
          <w:tcPr>
            <w:tcW w:w="1460" w:type="dxa"/>
            <w:vAlign w:val="bottom"/>
          </w:tcPr>
          <w:p>
            <w:pPr>
              <w:jc w:val="center"/>
              <w:spacing w:after="0"/>
              <w:rPr>
                <w:rFonts w:ascii="Arial" w:cs="Arial" w:eastAsia="Arial" w:hAnsi="Arial"/>
                <w:sz w:val="18"/>
                <w:szCs w:val="18"/>
                <w:u w:val="single" w:color="auto"/>
                <w:color w:val="0000EE"/>
                <w:w w:val="89"/>
              </w:rPr>
            </w:pPr>
            <w:hyperlink w:anchor="page31">
              <w:r>
                <w:rPr>
                  <w:rFonts w:ascii="Arial" w:cs="Arial" w:eastAsia="Arial" w:hAnsi="Arial"/>
                  <w:sz w:val="18"/>
                  <w:szCs w:val="18"/>
                  <w:u w:val="single" w:color="auto"/>
                  <w:color w:val="0000EE"/>
                  <w:w w:val="89"/>
                </w:rPr>
                <w:t>31</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26"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0"/>
        </w:trPr>
        <w:tc>
          <w:tcPr>
            <w:tcW w:w="1360" w:type="dxa"/>
            <w:vAlign w:val="bottom"/>
          </w:tcPr>
          <w:p>
            <w:pPr>
              <w:spacing w:after="0"/>
              <w:rPr>
                <w:rFonts w:ascii="Arial" w:cs="Arial" w:eastAsia="Arial" w:hAnsi="Arial"/>
                <w:sz w:val="16"/>
                <w:szCs w:val="16"/>
                <w:b w:val="1"/>
                <w:bCs w:val="1"/>
                <w:u w:val="single" w:color="auto"/>
                <w:color w:val="0000EE"/>
                <w:w w:val="99"/>
              </w:rPr>
            </w:pPr>
            <w:hyperlink w:anchor="page2">
              <w:r>
                <w:rPr>
                  <w:rFonts w:ascii="Arial" w:cs="Arial" w:eastAsia="Arial" w:hAnsi="Arial"/>
                  <w:sz w:val="16"/>
                  <w:szCs w:val="16"/>
                  <w:b w:val="1"/>
                  <w:bCs w:val="1"/>
                  <w:u w:val="single" w:color="auto"/>
                  <w:color w:val="0000EE"/>
                  <w:w w:val="99"/>
                </w:rPr>
                <w:t>Table of Contents</w:t>
              </w:r>
            </w:hyperlink>
          </w:p>
        </w:tc>
        <w:tc>
          <w:tcPr>
            <w:tcW w:w="84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586"/>
        </w:trPr>
        <w:tc>
          <w:tcPr>
            <w:tcW w:w="1360" w:type="dxa"/>
            <w:vAlign w:val="bottom"/>
          </w:tcPr>
          <w:p>
            <w:pPr>
              <w:spacing w:after="0"/>
              <w:rPr>
                <w:sz w:val="24"/>
                <w:szCs w:val="24"/>
                <w:color w:val="auto"/>
              </w:rPr>
            </w:pPr>
          </w:p>
        </w:tc>
        <w:tc>
          <w:tcPr>
            <w:tcW w:w="8420" w:type="dxa"/>
            <w:vAlign w:val="bottom"/>
          </w:tcPr>
          <w:p>
            <w:pPr>
              <w:ind w:left="3300"/>
              <w:spacing w:after="0"/>
              <w:rPr>
                <w:sz w:val="20"/>
                <w:szCs w:val="20"/>
                <w:color w:val="auto"/>
              </w:rPr>
            </w:pPr>
            <w:r>
              <w:rPr>
                <w:rFonts w:ascii="Arial" w:cs="Arial" w:eastAsia="Arial" w:hAnsi="Arial"/>
                <w:sz w:val="18"/>
                <w:szCs w:val="18"/>
                <w:b w:val="1"/>
                <w:bCs w:val="1"/>
                <w:color w:val="auto"/>
              </w:rPr>
              <w:t>TABLE OF CONTENTS</w:t>
            </w:r>
          </w:p>
        </w:tc>
        <w:tc>
          <w:tcPr>
            <w:tcW w:w="1460" w:type="dxa"/>
            <w:vAlign w:val="bottom"/>
          </w:tcPr>
          <w:p>
            <w:pPr>
              <w:spacing w:after="0"/>
              <w:rPr>
                <w:sz w:val="24"/>
                <w:szCs w:val="24"/>
                <w:color w:val="auto"/>
              </w:rPr>
            </w:pPr>
          </w:p>
        </w:tc>
      </w:tr>
      <w:tr>
        <w:trPr>
          <w:trHeight w:val="270"/>
        </w:trPr>
        <w:tc>
          <w:tcPr>
            <w:tcW w:w="1360" w:type="dxa"/>
            <w:vAlign w:val="bottom"/>
          </w:tcPr>
          <w:p>
            <w:pPr>
              <w:spacing w:after="0"/>
              <w:rPr>
                <w:sz w:val="23"/>
                <w:szCs w:val="23"/>
                <w:color w:val="auto"/>
              </w:rPr>
            </w:pPr>
          </w:p>
        </w:tc>
        <w:tc>
          <w:tcPr>
            <w:tcW w:w="842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0"/>
              </w:rPr>
              <w:t>Page</w:t>
            </w:r>
          </w:p>
        </w:tc>
      </w:tr>
      <w:tr>
        <w:trPr>
          <w:trHeight w:val="27"/>
        </w:trPr>
        <w:tc>
          <w:tcPr>
            <w:tcW w:w="1360" w:type="dxa"/>
            <w:vAlign w:val="bottom"/>
          </w:tcPr>
          <w:p>
            <w:pPr>
              <w:spacing w:after="0"/>
              <w:rPr>
                <w:sz w:val="2"/>
                <w:szCs w:val="2"/>
                <w:color w:val="auto"/>
              </w:rPr>
            </w:pPr>
          </w:p>
        </w:tc>
        <w:tc>
          <w:tcPr>
            <w:tcW w:w="84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1360" w:type="dxa"/>
            <w:vAlign w:val="bottom"/>
          </w:tcPr>
          <w:p>
            <w:pPr>
              <w:ind w:left="40"/>
              <w:spacing w:after="0"/>
              <w:rPr>
                <w:sz w:val="20"/>
                <w:szCs w:val="20"/>
                <w:color w:val="auto"/>
              </w:rPr>
            </w:pPr>
            <w:r>
              <w:rPr>
                <w:rFonts w:ascii="Arial" w:cs="Arial" w:eastAsia="Arial" w:hAnsi="Arial"/>
                <w:sz w:val="18"/>
                <w:szCs w:val="18"/>
                <w:color w:val="auto"/>
              </w:rPr>
              <w:t>Item 2.</w:t>
            </w:r>
          </w:p>
        </w:tc>
        <w:tc>
          <w:tcPr>
            <w:tcW w:w="8420" w:type="dxa"/>
            <w:vAlign w:val="bottom"/>
          </w:tcPr>
          <w:p>
            <w:pPr>
              <w:ind w:left="14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Management’s Discussion and Analysis of Financial Condition and Results of Operations</w:t>
              </w:r>
            </w:hyperlink>
          </w:p>
        </w:tc>
        <w:tc>
          <w:tcPr>
            <w:tcW w:w="1460" w:type="dxa"/>
            <w:vAlign w:val="bottom"/>
          </w:tcPr>
          <w:p>
            <w:pPr>
              <w:jc w:val="center"/>
              <w:spacing w:after="0"/>
              <w:rPr>
                <w:rFonts w:ascii="Arial" w:cs="Arial" w:eastAsia="Arial" w:hAnsi="Arial"/>
                <w:sz w:val="18"/>
                <w:szCs w:val="18"/>
                <w:u w:val="single" w:color="auto"/>
                <w:color w:val="0000EE"/>
                <w:w w:val="89"/>
              </w:rPr>
            </w:pPr>
            <w:hyperlink w:anchor="page32">
              <w:r>
                <w:rPr>
                  <w:rFonts w:ascii="Arial" w:cs="Arial" w:eastAsia="Arial" w:hAnsi="Arial"/>
                  <w:sz w:val="18"/>
                  <w:szCs w:val="18"/>
                  <w:u w:val="single" w:color="auto"/>
                  <w:color w:val="0000EE"/>
                  <w:w w:val="89"/>
                </w:rPr>
                <w:t>32</w:t>
              </w:r>
            </w:hyperlink>
          </w:p>
        </w:tc>
      </w:tr>
      <w:tr>
        <w:trPr>
          <w:trHeight w:val="270"/>
        </w:trPr>
        <w:tc>
          <w:tcPr>
            <w:tcW w:w="1360" w:type="dxa"/>
            <w:vAlign w:val="bottom"/>
          </w:tcPr>
          <w:p>
            <w:pPr>
              <w:spacing w:after="0"/>
              <w:rPr>
                <w:sz w:val="23"/>
                <w:szCs w:val="23"/>
                <w:color w:val="auto"/>
              </w:rPr>
            </w:pPr>
          </w:p>
        </w:tc>
        <w:tc>
          <w:tcPr>
            <w:tcW w:w="8420" w:type="dxa"/>
            <w:vAlign w:val="bottom"/>
          </w:tcPr>
          <w:p>
            <w:pPr>
              <w:ind w:left="28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Results of Operations</w:t>
              </w:r>
            </w:hyperlink>
          </w:p>
        </w:tc>
        <w:tc>
          <w:tcPr>
            <w:tcW w:w="1460" w:type="dxa"/>
            <w:vAlign w:val="bottom"/>
          </w:tcPr>
          <w:p>
            <w:pPr>
              <w:jc w:val="center"/>
              <w:spacing w:after="0"/>
              <w:rPr>
                <w:rFonts w:ascii="Arial" w:cs="Arial" w:eastAsia="Arial" w:hAnsi="Arial"/>
                <w:sz w:val="18"/>
                <w:szCs w:val="18"/>
                <w:u w:val="single" w:color="auto"/>
                <w:color w:val="0000EE"/>
                <w:w w:val="89"/>
              </w:rPr>
            </w:pPr>
            <w:hyperlink w:anchor="page33">
              <w:r>
                <w:rPr>
                  <w:rFonts w:ascii="Arial" w:cs="Arial" w:eastAsia="Arial" w:hAnsi="Arial"/>
                  <w:sz w:val="18"/>
                  <w:szCs w:val="18"/>
                  <w:u w:val="single" w:color="auto"/>
                  <w:color w:val="0000EE"/>
                  <w:w w:val="89"/>
                </w:rPr>
                <w:t>33</w:t>
              </w:r>
            </w:hyperlink>
          </w:p>
        </w:tc>
      </w:tr>
      <w:tr>
        <w:trPr>
          <w:trHeight w:val="270"/>
        </w:trPr>
        <w:tc>
          <w:tcPr>
            <w:tcW w:w="1360" w:type="dxa"/>
            <w:vAlign w:val="bottom"/>
          </w:tcPr>
          <w:p>
            <w:pPr>
              <w:spacing w:after="0"/>
              <w:rPr>
                <w:sz w:val="23"/>
                <w:szCs w:val="23"/>
                <w:color w:val="auto"/>
              </w:rPr>
            </w:pPr>
          </w:p>
        </w:tc>
        <w:tc>
          <w:tcPr>
            <w:tcW w:w="8420" w:type="dxa"/>
            <w:vAlign w:val="bottom"/>
          </w:tcPr>
          <w:p>
            <w:pPr>
              <w:ind w:left="28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Non-GAAP Financial Measure</w:t>
              </w:r>
            </w:hyperlink>
          </w:p>
        </w:tc>
        <w:tc>
          <w:tcPr>
            <w:tcW w:w="1460" w:type="dxa"/>
            <w:vAlign w:val="bottom"/>
          </w:tcPr>
          <w:p>
            <w:pPr>
              <w:jc w:val="center"/>
              <w:spacing w:after="0"/>
              <w:rPr>
                <w:rFonts w:ascii="Arial" w:cs="Arial" w:eastAsia="Arial" w:hAnsi="Arial"/>
                <w:sz w:val="18"/>
                <w:szCs w:val="18"/>
                <w:u w:val="single" w:color="auto"/>
                <w:color w:val="0000EE"/>
                <w:w w:val="89"/>
              </w:rPr>
            </w:pPr>
            <w:hyperlink w:anchor="page36">
              <w:r>
                <w:rPr>
                  <w:rFonts w:ascii="Arial" w:cs="Arial" w:eastAsia="Arial" w:hAnsi="Arial"/>
                  <w:sz w:val="18"/>
                  <w:szCs w:val="18"/>
                  <w:u w:val="single" w:color="auto"/>
                  <w:color w:val="0000EE"/>
                  <w:w w:val="89"/>
                </w:rPr>
                <w:t>36</w:t>
              </w:r>
            </w:hyperlink>
          </w:p>
        </w:tc>
      </w:tr>
      <w:tr>
        <w:trPr>
          <w:trHeight w:val="270"/>
        </w:trPr>
        <w:tc>
          <w:tcPr>
            <w:tcW w:w="1360" w:type="dxa"/>
            <w:vAlign w:val="bottom"/>
          </w:tcPr>
          <w:p>
            <w:pPr>
              <w:spacing w:after="0"/>
              <w:rPr>
                <w:sz w:val="23"/>
                <w:szCs w:val="23"/>
                <w:color w:val="auto"/>
              </w:rPr>
            </w:pPr>
          </w:p>
        </w:tc>
        <w:tc>
          <w:tcPr>
            <w:tcW w:w="8420" w:type="dxa"/>
            <w:vAlign w:val="bottom"/>
          </w:tcPr>
          <w:p>
            <w:pPr>
              <w:ind w:left="50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Electric Utilities Segment</w:t>
              </w:r>
            </w:hyperlink>
          </w:p>
        </w:tc>
        <w:tc>
          <w:tcPr>
            <w:tcW w:w="1460" w:type="dxa"/>
            <w:vAlign w:val="bottom"/>
          </w:tcPr>
          <w:p>
            <w:pPr>
              <w:jc w:val="center"/>
              <w:spacing w:after="0"/>
              <w:rPr>
                <w:rFonts w:ascii="Arial" w:cs="Arial" w:eastAsia="Arial" w:hAnsi="Arial"/>
                <w:sz w:val="18"/>
                <w:szCs w:val="18"/>
                <w:u w:val="single" w:color="auto"/>
                <w:color w:val="0000EE"/>
                <w:w w:val="89"/>
              </w:rPr>
            </w:pPr>
            <w:hyperlink w:anchor="page37">
              <w:r>
                <w:rPr>
                  <w:rFonts w:ascii="Arial" w:cs="Arial" w:eastAsia="Arial" w:hAnsi="Arial"/>
                  <w:sz w:val="18"/>
                  <w:szCs w:val="18"/>
                  <w:u w:val="single" w:color="auto"/>
                  <w:color w:val="0000EE"/>
                  <w:w w:val="89"/>
                </w:rPr>
                <w:t>37</w:t>
              </w:r>
            </w:hyperlink>
          </w:p>
        </w:tc>
      </w:tr>
      <w:tr>
        <w:trPr>
          <w:trHeight w:val="270"/>
        </w:trPr>
        <w:tc>
          <w:tcPr>
            <w:tcW w:w="1360" w:type="dxa"/>
            <w:vAlign w:val="bottom"/>
          </w:tcPr>
          <w:p>
            <w:pPr>
              <w:spacing w:after="0"/>
              <w:rPr>
                <w:sz w:val="23"/>
                <w:szCs w:val="23"/>
                <w:color w:val="auto"/>
              </w:rPr>
            </w:pPr>
          </w:p>
        </w:tc>
        <w:tc>
          <w:tcPr>
            <w:tcW w:w="8420" w:type="dxa"/>
            <w:vAlign w:val="bottom"/>
          </w:tcPr>
          <w:p>
            <w:pPr>
              <w:ind w:left="50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Gas Utilities Segment</w:t>
              </w:r>
            </w:hyperlink>
          </w:p>
        </w:tc>
        <w:tc>
          <w:tcPr>
            <w:tcW w:w="1460" w:type="dxa"/>
            <w:vAlign w:val="bottom"/>
          </w:tcPr>
          <w:p>
            <w:pPr>
              <w:jc w:val="center"/>
              <w:spacing w:after="0"/>
              <w:rPr>
                <w:rFonts w:ascii="Arial" w:cs="Arial" w:eastAsia="Arial" w:hAnsi="Arial"/>
                <w:sz w:val="18"/>
                <w:szCs w:val="18"/>
                <w:u w:val="single" w:color="auto"/>
                <w:color w:val="0000EE"/>
                <w:w w:val="89"/>
              </w:rPr>
            </w:pPr>
            <w:hyperlink w:anchor="page40">
              <w:r>
                <w:rPr>
                  <w:rFonts w:ascii="Arial" w:cs="Arial" w:eastAsia="Arial" w:hAnsi="Arial"/>
                  <w:sz w:val="18"/>
                  <w:szCs w:val="18"/>
                  <w:u w:val="single" w:color="auto"/>
                  <w:color w:val="0000EE"/>
                  <w:w w:val="89"/>
                </w:rPr>
                <w:t>40</w:t>
              </w:r>
            </w:hyperlink>
          </w:p>
        </w:tc>
      </w:tr>
      <w:tr>
        <w:trPr>
          <w:trHeight w:val="270"/>
        </w:trPr>
        <w:tc>
          <w:tcPr>
            <w:tcW w:w="1360" w:type="dxa"/>
            <w:vAlign w:val="bottom"/>
          </w:tcPr>
          <w:p>
            <w:pPr>
              <w:spacing w:after="0"/>
              <w:rPr>
                <w:sz w:val="23"/>
                <w:szCs w:val="23"/>
                <w:color w:val="auto"/>
              </w:rPr>
            </w:pPr>
          </w:p>
        </w:tc>
        <w:tc>
          <w:tcPr>
            <w:tcW w:w="8420" w:type="dxa"/>
            <w:vAlign w:val="bottom"/>
          </w:tcPr>
          <w:p>
            <w:pPr>
              <w:ind w:left="50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Regulatory Matters</w:t>
              </w:r>
            </w:hyperlink>
          </w:p>
        </w:tc>
        <w:tc>
          <w:tcPr>
            <w:tcW w:w="1460" w:type="dxa"/>
            <w:vAlign w:val="bottom"/>
          </w:tcPr>
          <w:p>
            <w:pPr>
              <w:jc w:val="center"/>
              <w:spacing w:after="0"/>
              <w:rPr>
                <w:rFonts w:ascii="Arial" w:cs="Arial" w:eastAsia="Arial" w:hAnsi="Arial"/>
                <w:sz w:val="18"/>
                <w:szCs w:val="18"/>
                <w:u w:val="single" w:color="auto"/>
                <w:color w:val="0000EE"/>
                <w:w w:val="89"/>
              </w:rPr>
            </w:pPr>
            <w:hyperlink w:anchor="page42">
              <w:r>
                <w:rPr>
                  <w:rFonts w:ascii="Arial" w:cs="Arial" w:eastAsia="Arial" w:hAnsi="Arial"/>
                  <w:sz w:val="18"/>
                  <w:szCs w:val="18"/>
                  <w:u w:val="single" w:color="auto"/>
                  <w:color w:val="0000EE"/>
                  <w:w w:val="89"/>
                </w:rPr>
                <w:t>42</w:t>
              </w:r>
            </w:hyperlink>
          </w:p>
        </w:tc>
      </w:tr>
      <w:tr>
        <w:trPr>
          <w:trHeight w:val="270"/>
        </w:trPr>
        <w:tc>
          <w:tcPr>
            <w:tcW w:w="1360" w:type="dxa"/>
            <w:vAlign w:val="bottom"/>
          </w:tcPr>
          <w:p>
            <w:pPr>
              <w:spacing w:after="0"/>
              <w:rPr>
                <w:sz w:val="23"/>
                <w:szCs w:val="23"/>
                <w:color w:val="auto"/>
              </w:rPr>
            </w:pPr>
          </w:p>
        </w:tc>
        <w:tc>
          <w:tcPr>
            <w:tcW w:w="8420" w:type="dxa"/>
            <w:vAlign w:val="bottom"/>
          </w:tcPr>
          <w:p>
            <w:pPr>
              <w:ind w:left="50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Power Generation Segment</w:t>
              </w:r>
            </w:hyperlink>
          </w:p>
        </w:tc>
        <w:tc>
          <w:tcPr>
            <w:tcW w:w="1460" w:type="dxa"/>
            <w:vAlign w:val="bottom"/>
          </w:tcPr>
          <w:p>
            <w:pPr>
              <w:jc w:val="center"/>
              <w:spacing w:after="0"/>
              <w:rPr>
                <w:rFonts w:ascii="Arial" w:cs="Arial" w:eastAsia="Arial" w:hAnsi="Arial"/>
                <w:sz w:val="18"/>
                <w:szCs w:val="18"/>
                <w:u w:val="single" w:color="auto"/>
                <w:color w:val="0000EE"/>
                <w:w w:val="89"/>
              </w:rPr>
            </w:pPr>
            <w:hyperlink w:anchor="page42">
              <w:r>
                <w:rPr>
                  <w:rFonts w:ascii="Arial" w:cs="Arial" w:eastAsia="Arial" w:hAnsi="Arial"/>
                  <w:sz w:val="18"/>
                  <w:szCs w:val="18"/>
                  <w:u w:val="single" w:color="auto"/>
                  <w:color w:val="0000EE"/>
                  <w:w w:val="89"/>
                </w:rPr>
                <w:t>42</w:t>
              </w:r>
            </w:hyperlink>
          </w:p>
        </w:tc>
      </w:tr>
      <w:tr>
        <w:trPr>
          <w:trHeight w:val="270"/>
        </w:trPr>
        <w:tc>
          <w:tcPr>
            <w:tcW w:w="1360" w:type="dxa"/>
            <w:vAlign w:val="bottom"/>
          </w:tcPr>
          <w:p>
            <w:pPr>
              <w:spacing w:after="0"/>
              <w:rPr>
                <w:sz w:val="23"/>
                <w:szCs w:val="23"/>
                <w:color w:val="auto"/>
              </w:rPr>
            </w:pPr>
          </w:p>
        </w:tc>
        <w:tc>
          <w:tcPr>
            <w:tcW w:w="8420" w:type="dxa"/>
            <w:vAlign w:val="bottom"/>
          </w:tcPr>
          <w:p>
            <w:pPr>
              <w:ind w:left="50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Mining Segment</w:t>
              </w:r>
            </w:hyperlink>
          </w:p>
        </w:tc>
        <w:tc>
          <w:tcPr>
            <w:tcW w:w="1460" w:type="dxa"/>
            <w:vAlign w:val="bottom"/>
          </w:tcPr>
          <w:p>
            <w:pPr>
              <w:jc w:val="center"/>
              <w:spacing w:after="0"/>
              <w:rPr>
                <w:rFonts w:ascii="Arial" w:cs="Arial" w:eastAsia="Arial" w:hAnsi="Arial"/>
                <w:sz w:val="18"/>
                <w:szCs w:val="18"/>
                <w:u w:val="single" w:color="auto"/>
                <w:color w:val="0000EE"/>
                <w:w w:val="89"/>
              </w:rPr>
            </w:pPr>
            <w:hyperlink w:anchor="page44">
              <w:r>
                <w:rPr>
                  <w:rFonts w:ascii="Arial" w:cs="Arial" w:eastAsia="Arial" w:hAnsi="Arial"/>
                  <w:sz w:val="18"/>
                  <w:szCs w:val="18"/>
                  <w:u w:val="single" w:color="auto"/>
                  <w:color w:val="0000EE"/>
                  <w:w w:val="89"/>
                </w:rPr>
                <w:t>43</w:t>
              </w:r>
            </w:hyperlink>
          </w:p>
        </w:tc>
      </w:tr>
      <w:tr>
        <w:trPr>
          <w:trHeight w:val="270"/>
        </w:trPr>
        <w:tc>
          <w:tcPr>
            <w:tcW w:w="1360" w:type="dxa"/>
            <w:vAlign w:val="bottom"/>
          </w:tcPr>
          <w:p>
            <w:pPr>
              <w:spacing w:after="0"/>
              <w:rPr>
                <w:sz w:val="23"/>
                <w:szCs w:val="23"/>
                <w:color w:val="auto"/>
              </w:rPr>
            </w:pPr>
          </w:p>
        </w:tc>
        <w:tc>
          <w:tcPr>
            <w:tcW w:w="8420" w:type="dxa"/>
            <w:vAlign w:val="bottom"/>
          </w:tcPr>
          <w:p>
            <w:pPr>
              <w:ind w:left="50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Corporate and Other</w:t>
              </w:r>
            </w:hyperlink>
          </w:p>
        </w:tc>
        <w:tc>
          <w:tcPr>
            <w:tcW w:w="1460" w:type="dxa"/>
            <w:vAlign w:val="bottom"/>
          </w:tcPr>
          <w:p>
            <w:pPr>
              <w:jc w:val="center"/>
              <w:spacing w:after="0"/>
              <w:rPr>
                <w:rFonts w:ascii="Arial" w:cs="Arial" w:eastAsia="Arial" w:hAnsi="Arial"/>
                <w:sz w:val="18"/>
                <w:szCs w:val="18"/>
                <w:u w:val="single" w:color="auto"/>
                <w:color w:val="0000EE"/>
                <w:w w:val="89"/>
              </w:rPr>
            </w:pPr>
            <w:hyperlink w:anchor="page44">
              <w:r>
                <w:rPr>
                  <w:rFonts w:ascii="Arial" w:cs="Arial" w:eastAsia="Arial" w:hAnsi="Arial"/>
                  <w:sz w:val="18"/>
                  <w:szCs w:val="18"/>
                  <w:u w:val="single" w:color="auto"/>
                  <w:color w:val="0000EE"/>
                  <w:w w:val="89"/>
                </w:rPr>
                <w:t>43</w:t>
              </w:r>
            </w:hyperlink>
          </w:p>
        </w:tc>
      </w:tr>
      <w:tr>
        <w:trPr>
          <w:trHeight w:val="270"/>
        </w:trPr>
        <w:tc>
          <w:tcPr>
            <w:tcW w:w="1360" w:type="dxa"/>
            <w:vAlign w:val="bottom"/>
          </w:tcPr>
          <w:p>
            <w:pPr>
              <w:spacing w:after="0"/>
              <w:rPr>
                <w:sz w:val="23"/>
                <w:szCs w:val="23"/>
                <w:color w:val="auto"/>
              </w:rPr>
            </w:pPr>
          </w:p>
        </w:tc>
        <w:tc>
          <w:tcPr>
            <w:tcW w:w="8420" w:type="dxa"/>
            <w:vAlign w:val="bottom"/>
          </w:tcPr>
          <w:p>
            <w:pPr>
              <w:ind w:left="500"/>
              <w:spacing w:after="0"/>
              <w:rPr>
                <w:rFonts w:ascii="Arial" w:cs="Arial" w:eastAsia="Arial" w:hAnsi="Arial"/>
                <w:sz w:val="18"/>
                <w:szCs w:val="18"/>
                <w:u w:val="single" w:color="auto"/>
                <w:color w:val="0000EE"/>
                <w:w w:val="94"/>
              </w:rPr>
            </w:pPr>
            <w:hyperlink w:anchor="page44">
              <w:r>
                <w:rPr>
                  <w:rFonts w:ascii="Arial" w:cs="Arial" w:eastAsia="Arial" w:hAnsi="Arial"/>
                  <w:sz w:val="18"/>
                  <w:szCs w:val="18"/>
                  <w:u w:val="single" w:color="auto"/>
                  <w:color w:val="0000EE"/>
                  <w:w w:val="94"/>
                </w:rPr>
                <w:t>Interest Expense, Impairment of Investment, Other Income (Expense) and Income Tax Benefit (Expense)</w:t>
              </w:r>
            </w:hyperlink>
          </w:p>
        </w:tc>
        <w:tc>
          <w:tcPr>
            <w:tcW w:w="1460" w:type="dxa"/>
            <w:vAlign w:val="bottom"/>
          </w:tcPr>
          <w:p>
            <w:pPr>
              <w:jc w:val="center"/>
              <w:spacing w:after="0"/>
              <w:rPr>
                <w:rFonts w:ascii="Arial" w:cs="Arial" w:eastAsia="Arial" w:hAnsi="Arial"/>
                <w:sz w:val="18"/>
                <w:szCs w:val="18"/>
                <w:u w:val="single" w:color="auto"/>
                <w:color w:val="0000EE"/>
                <w:w w:val="89"/>
              </w:rPr>
            </w:pPr>
            <w:hyperlink w:anchor="page44">
              <w:r>
                <w:rPr>
                  <w:rFonts w:ascii="Arial" w:cs="Arial" w:eastAsia="Arial" w:hAnsi="Arial"/>
                  <w:sz w:val="18"/>
                  <w:szCs w:val="18"/>
                  <w:u w:val="single" w:color="auto"/>
                  <w:color w:val="0000EE"/>
                  <w:w w:val="89"/>
                </w:rPr>
                <w:t>43</w:t>
              </w:r>
            </w:hyperlink>
          </w:p>
        </w:tc>
      </w:tr>
      <w:tr>
        <w:trPr>
          <w:trHeight w:val="270"/>
        </w:trPr>
        <w:tc>
          <w:tcPr>
            <w:tcW w:w="1360" w:type="dxa"/>
            <w:vAlign w:val="bottom"/>
          </w:tcPr>
          <w:p>
            <w:pPr>
              <w:spacing w:after="0"/>
              <w:rPr>
                <w:sz w:val="23"/>
                <w:szCs w:val="23"/>
                <w:color w:val="auto"/>
              </w:rPr>
            </w:pPr>
          </w:p>
        </w:tc>
        <w:tc>
          <w:tcPr>
            <w:tcW w:w="8420" w:type="dxa"/>
            <w:vAlign w:val="bottom"/>
          </w:tcPr>
          <w:p>
            <w:pPr>
              <w:ind w:left="28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Critical Accounting Policies Involving Significant Accounting Estimates</w:t>
              </w:r>
            </w:hyperlink>
          </w:p>
        </w:tc>
        <w:tc>
          <w:tcPr>
            <w:tcW w:w="1460" w:type="dxa"/>
            <w:vAlign w:val="bottom"/>
          </w:tcPr>
          <w:p>
            <w:pPr>
              <w:jc w:val="center"/>
              <w:spacing w:after="0"/>
              <w:rPr>
                <w:rFonts w:ascii="Arial" w:cs="Arial" w:eastAsia="Arial" w:hAnsi="Arial"/>
                <w:sz w:val="18"/>
                <w:szCs w:val="18"/>
                <w:u w:val="single" w:color="auto"/>
                <w:color w:val="0000EE"/>
                <w:w w:val="89"/>
              </w:rPr>
            </w:pPr>
            <w:hyperlink w:anchor="page45">
              <w:r>
                <w:rPr>
                  <w:rFonts w:ascii="Arial" w:cs="Arial" w:eastAsia="Arial" w:hAnsi="Arial"/>
                  <w:sz w:val="18"/>
                  <w:szCs w:val="18"/>
                  <w:u w:val="single" w:color="auto"/>
                  <w:color w:val="0000EE"/>
                  <w:w w:val="89"/>
                </w:rPr>
                <w:t>43</w:t>
              </w:r>
            </w:hyperlink>
          </w:p>
        </w:tc>
      </w:tr>
      <w:tr>
        <w:trPr>
          <w:trHeight w:val="270"/>
        </w:trPr>
        <w:tc>
          <w:tcPr>
            <w:tcW w:w="1360" w:type="dxa"/>
            <w:vAlign w:val="bottom"/>
          </w:tcPr>
          <w:p>
            <w:pPr>
              <w:spacing w:after="0"/>
              <w:rPr>
                <w:sz w:val="23"/>
                <w:szCs w:val="23"/>
                <w:color w:val="auto"/>
              </w:rPr>
            </w:pPr>
          </w:p>
        </w:tc>
        <w:tc>
          <w:tcPr>
            <w:tcW w:w="8420" w:type="dxa"/>
            <w:vAlign w:val="bottom"/>
          </w:tcPr>
          <w:p>
            <w:pPr>
              <w:ind w:left="28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Liquidity and Capital Resources</w:t>
              </w:r>
            </w:hyperlink>
          </w:p>
        </w:tc>
        <w:tc>
          <w:tcPr>
            <w:tcW w:w="1460" w:type="dxa"/>
            <w:vAlign w:val="bottom"/>
          </w:tcPr>
          <w:p>
            <w:pPr>
              <w:jc w:val="center"/>
              <w:spacing w:after="0"/>
              <w:rPr>
                <w:rFonts w:ascii="Arial" w:cs="Arial" w:eastAsia="Arial" w:hAnsi="Arial"/>
                <w:sz w:val="18"/>
                <w:szCs w:val="18"/>
                <w:u w:val="single" w:color="auto"/>
                <w:color w:val="0000EE"/>
                <w:w w:val="89"/>
              </w:rPr>
            </w:pPr>
            <w:hyperlink w:anchor="page45">
              <w:r>
                <w:rPr>
                  <w:rFonts w:ascii="Arial" w:cs="Arial" w:eastAsia="Arial" w:hAnsi="Arial"/>
                  <w:sz w:val="18"/>
                  <w:szCs w:val="18"/>
                  <w:u w:val="single" w:color="auto"/>
                  <w:color w:val="0000EE"/>
                  <w:w w:val="89"/>
                </w:rPr>
                <w:t>43</w:t>
              </w:r>
            </w:hyperlink>
          </w:p>
        </w:tc>
      </w:tr>
      <w:tr>
        <w:trPr>
          <w:trHeight w:val="270"/>
        </w:trPr>
        <w:tc>
          <w:tcPr>
            <w:tcW w:w="1360" w:type="dxa"/>
            <w:vAlign w:val="bottom"/>
          </w:tcPr>
          <w:p>
            <w:pPr>
              <w:spacing w:after="0"/>
              <w:rPr>
                <w:sz w:val="23"/>
                <w:szCs w:val="23"/>
                <w:color w:val="auto"/>
              </w:rPr>
            </w:pPr>
          </w:p>
        </w:tc>
        <w:tc>
          <w:tcPr>
            <w:tcW w:w="8420" w:type="dxa"/>
            <w:vAlign w:val="bottom"/>
          </w:tcPr>
          <w:p>
            <w:pPr>
              <w:ind w:left="50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Cash Flow Activities</w:t>
              </w:r>
            </w:hyperlink>
          </w:p>
        </w:tc>
        <w:tc>
          <w:tcPr>
            <w:tcW w:w="1460" w:type="dxa"/>
            <w:vAlign w:val="bottom"/>
          </w:tcPr>
          <w:p>
            <w:pPr>
              <w:jc w:val="center"/>
              <w:spacing w:after="0"/>
              <w:rPr>
                <w:rFonts w:ascii="Arial" w:cs="Arial" w:eastAsia="Arial" w:hAnsi="Arial"/>
                <w:sz w:val="18"/>
                <w:szCs w:val="18"/>
                <w:u w:val="single" w:color="auto"/>
                <w:color w:val="0000EE"/>
                <w:w w:val="89"/>
              </w:rPr>
            </w:pPr>
            <w:hyperlink w:anchor="page45">
              <w:r>
                <w:rPr>
                  <w:rFonts w:ascii="Arial" w:cs="Arial" w:eastAsia="Arial" w:hAnsi="Arial"/>
                  <w:sz w:val="18"/>
                  <w:szCs w:val="18"/>
                  <w:u w:val="single" w:color="auto"/>
                  <w:color w:val="0000EE"/>
                  <w:w w:val="89"/>
                </w:rPr>
                <w:t>43</w:t>
              </w:r>
            </w:hyperlink>
          </w:p>
        </w:tc>
      </w:tr>
      <w:tr>
        <w:trPr>
          <w:trHeight w:val="270"/>
        </w:trPr>
        <w:tc>
          <w:tcPr>
            <w:tcW w:w="1360" w:type="dxa"/>
            <w:vAlign w:val="bottom"/>
          </w:tcPr>
          <w:p>
            <w:pPr>
              <w:spacing w:after="0"/>
              <w:rPr>
                <w:sz w:val="23"/>
                <w:szCs w:val="23"/>
                <w:color w:val="auto"/>
              </w:rPr>
            </w:pPr>
          </w:p>
        </w:tc>
        <w:tc>
          <w:tcPr>
            <w:tcW w:w="8420" w:type="dxa"/>
            <w:vAlign w:val="bottom"/>
          </w:tcPr>
          <w:p>
            <w:pPr>
              <w:ind w:left="50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Dividends</w:t>
              </w:r>
            </w:hyperlink>
          </w:p>
        </w:tc>
        <w:tc>
          <w:tcPr>
            <w:tcW w:w="1460" w:type="dxa"/>
            <w:vAlign w:val="bottom"/>
          </w:tcPr>
          <w:p>
            <w:pPr>
              <w:jc w:val="center"/>
              <w:spacing w:after="0"/>
              <w:rPr>
                <w:rFonts w:ascii="Arial" w:cs="Arial" w:eastAsia="Arial" w:hAnsi="Arial"/>
                <w:sz w:val="18"/>
                <w:szCs w:val="18"/>
                <w:u w:val="single" w:color="auto"/>
                <w:color w:val="0000EE"/>
                <w:w w:val="89"/>
              </w:rPr>
            </w:pPr>
            <w:hyperlink w:anchor="page46">
              <w:r>
                <w:rPr>
                  <w:rFonts w:ascii="Arial" w:cs="Arial" w:eastAsia="Arial" w:hAnsi="Arial"/>
                  <w:sz w:val="18"/>
                  <w:szCs w:val="18"/>
                  <w:u w:val="single" w:color="auto"/>
                  <w:color w:val="0000EE"/>
                  <w:w w:val="89"/>
                </w:rPr>
                <w:t>44</w:t>
              </w:r>
            </w:hyperlink>
          </w:p>
        </w:tc>
      </w:tr>
      <w:tr>
        <w:trPr>
          <w:trHeight w:val="270"/>
        </w:trPr>
        <w:tc>
          <w:tcPr>
            <w:tcW w:w="1360" w:type="dxa"/>
            <w:vAlign w:val="bottom"/>
          </w:tcPr>
          <w:p>
            <w:pPr>
              <w:spacing w:after="0"/>
              <w:rPr>
                <w:sz w:val="23"/>
                <w:szCs w:val="23"/>
                <w:color w:val="auto"/>
              </w:rPr>
            </w:pPr>
          </w:p>
        </w:tc>
        <w:tc>
          <w:tcPr>
            <w:tcW w:w="8420" w:type="dxa"/>
            <w:vAlign w:val="bottom"/>
          </w:tcPr>
          <w:p>
            <w:pPr>
              <w:ind w:left="50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Financing Transactions and Short-Term Liquidity</w:t>
              </w:r>
            </w:hyperlink>
          </w:p>
        </w:tc>
        <w:tc>
          <w:tcPr>
            <w:tcW w:w="1460" w:type="dxa"/>
            <w:vAlign w:val="bottom"/>
          </w:tcPr>
          <w:p>
            <w:pPr>
              <w:jc w:val="center"/>
              <w:spacing w:after="0"/>
              <w:rPr>
                <w:rFonts w:ascii="Arial" w:cs="Arial" w:eastAsia="Arial" w:hAnsi="Arial"/>
                <w:sz w:val="18"/>
                <w:szCs w:val="18"/>
                <w:u w:val="single" w:color="auto"/>
                <w:color w:val="0000EE"/>
                <w:w w:val="89"/>
              </w:rPr>
            </w:pPr>
            <w:hyperlink w:anchor="page46">
              <w:r>
                <w:rPr>
                  <w:rFonts w:ascii="Arial" w:cs="Arial" w:eastAsia="Arial" w:hAnsi="Arial"/>
                  <w:sz w:val="18"/>
                  <w:szCs w:val="18"/>
                  <w:u w:val="single" w:color="auto"/>
                  <w:color w:val="0000EE"/>
                  <w:w w:val="89"/>
                </w:rPr>
                <w:t>44</w:t>
              </w:r>
            </w:hyperlink>
          </w:p>
        </w:tc>
      </w:tr>
      <w:tr>
        <w:trPr>
          <w:trHeight w:val="270"/>
        </w:trPr>
        <w:tc>
          <w:tcPr>
            <w:tcW w:w="1360" w:type="dxa"/>
            <w:vAlign w:val="bottom"/>
          </w:tcPr>
          <w:p>
            <w:pPr>
              <w:spacing w:after="0"/>
              <w:rPr>
                <w:sz w:val="23"/>
                <w:szCs w:val="23"/>
                <w:color w:val="auto"/>
              </w:rPr>
            </w:pPr>
          </w:p>
        </w:tc>
        <w:tc>
          <w:tcPr>
            <w:tcW w:w="8420" w:type="dxa"/>
            <w:vAlign w:val="bottom"/>
          </w:tcPr>
          <w:p>
            <w:pPr>
              <w:ind w:left="50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Capital Requirements</w:t>
              </w:r>
            </w:hyperlink>
          </w:p>
        </w:tc>
        <w:tc>
          <w:tcPr>
            <w:tcW w:w="1460" w:type="dxa"/>
            <w:vAlign w:val="bottom"/>
          </w:tcPr>
          <w:p>
            <w:pPr>
              <w:jc w:val="center"/>
              <w:spacing w:after="0"/>
              <w:rPr>
                <w:rFonts w:ascii="Arial" w:cs="Arial" w:eastAsia="Arial" w:hAnsi="Arial"/>
                <w:sz w:val="18"/>
                <w:szCs w:val="18"/>
                <w:u w:val="single" w:color="auto"/>
                <w:color w:val="0000EE"/>
                <w:w w:val="89"/>
              </w:rPr>
            </w:pPr>
            <w:hyperlink w:anchor="page48">
              <w:r>
                <w:rPr>
                  <w:rFonts w:ascii="Arial" w:cs="Arial" w:eastAsia="Arial" w:hAnsi="Arial"/>
                  <w:sz w:val="18"/>
                  <w:szCs w:val="18"/>
                  <w:u w:val="single" w:color="auto"/>
                  <w:color w:val="0000EE"/>
                  <w:w w:val="89"/>
                </w:rPr>
                <w:t>45</w:t>
              </w:r>
            </w:hyperlink>
          </w:p>
        </w:tc>
      </w:tr>
      <w:tr>
        <w:trPr>
          <w:trHeight w:val="270"/>
        </w:trPr>
        <w:tc>
          <w:tcPr>
            <w:tcW w:w="1360" w:type="dxa"/>
            <w:vAlign w:val="bottom"/>
          </w:tcPr>
          <w:p>
            <w:pPr>
              <w:spacing w:after="0"/>
              <w:rPr>
                <w:sz w:val="23"/>
                <w:szCs w:val="23"/>
                <w:color w:val="auto"/>
              </w:rPr>
            </w:pPr>
          </w:p>
        </w:tc>
        <w:tc>
          <w:tcPr>
            <w:tcW w:w="8420" w:type="dxa"/>
            <w:vAlign w:val="bottom"/>
          </w:tcPr>
          <w:p>
            <w:pPr>
              <w:ind w:left="50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Contractual Obligations</w:t>
              </w:r>
            </w:hyperlink>
          </w:p>
        </w:tc>
        <w:tc>
          <w:tcPr>
            <w:tcW w:w="1460" w:type="dxa"/>
            <w:vAlign w:val="bottom"/>
          </w:tcPr>
          <w:p>
            <w:pPr>
              <w:jc w:val="center"/>
              <w:spacing w:after="0"/>
              <w:rPr>
                <w:rFonts w:ascii="Arial" w:cs="Arial" w:eastAsia="Arial" w:hAnsi="Arial"/>
                <w:sz w:val="18"/>
                <w:szCs w:val="18"/>
                <w:u w:val="single" w:color="auto"/>
                <w:color w:val="0000EE"/>
                <w:w w:val="89"/>
              </w:rPr>
            </w:pPr>
            <w:hyperlink w:anchor="page48">
              <w:r>
                <w:rPr>
                  <w:rFonts w:ascii="Arial" w:cs="Arial" w:eastAsia="Arial" w:hAnsi="Arial"/>
                  <w:sz w:val="18"/>
                  <w:szCs w:val="18"/>
                  <w:u w:val="single" w:color="auto"/>
                  <w:color w:val="0000EE"/>
                  <w:w w:val="89"/>
                </w:rPr>
                <w:t>45</w:t>
              </w:r>
            </w:hyperlink>
          </w:p>
        </w:tc>
      </w:tr>
      <w:tr>
        <w:trPr>
          <w:trHeight w:val="270"/>
        </w:trPr>
        <w:tc>
          <w:tcPr>
            <w:tcW w:w="1360" w:type="dxa"/>
            <w:vAlign w:val="bottom"/>
          </w:tcPr>
          <w:p>
            <w:pPr>
              <w:spacing w:after="0"/>
              <w:rPr>
                <w:sz w:val="23"/>
                <w:szCs w:val="23"/>
                <w:color w:val="auto"/>
              </w:rPr>
            </w:pPr>
          </w:p>
        </w:tc>
        <w:tc>
          <w:tcPr>
            <w:tcW w:w="8420" w:type="dxa"/>
            <w:vAlign w:val="bottom"/>
          </w:tcPr>
          <w:p>
            <w:pPr>
              <w:ind w:left="50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Off-Balance Sheet Commitments</w:t>
              </w:r>
            </w:hyperlink>
          </w:p>
        </w:tc>
        <w:tc>
          <w:tcPr>
            <w:tcW w:w="1460" w:type="dxa"/>
            <w:vAlign w:val="bottom"/>
          </w:tcPr>
          <w:p>
            <w:pPr>
              <w:jc w:val="center"/>
              <w:spacing w:after="0"/>
              <w:rPr>
                <w:rFonts w:ascii="Arial" w:cs="Arial" w:eastAsia="Arial" w:hAnsi="Arial"/>
                <w:sz w:val="18"/>
                <w:szCs w:val="18"/>
                <w:u w:val="single" w:color="auto"/>
                <w:color w:val="0000EE"/>
                <w:w w:val="89"/>
              </w:rPr>
            </w:pPr>
            <w:hyperlink w:anchor="page48">
              <w:r>
                <w:rPr>
                  <w:rFonts w:ascii="Arial" w:cs="Arial" w:eastAsia="Arial" w:hAnsi="Arial"/>
                  <w:sz w:val="18"/>
                  <w:szCs w:val="18"/>
                  <w:u w:val="single" w:color="auto"/>
                  <w:color w:val="0000EE"/>
                  <w:w w:val="89"/>
                </w:rPr>
                <w:t>45</w:t>
              </w:r>
            </w:hyperlink>
          </w:p>
        </w:tc>
      </w:tr>
      <w:tr>
        <w:trPr>
          <w:trHeight w:val="270"/>
        </w:trPr>
        <w:tc>
          <w:tcPr>
            <w:tcW w:w="1360" w:type="dxa"/>
            <w:vAlign w:val="bottom"/>
          </w:tcPr>
          <w:p>
            <w:pPr>
              <w:spacing w:after="0"/>
              <w:rPr>
                <w:sz w:val="23"/>
                <w:szCs w:val="23"/>
                <w:color w:val="auto"/>
              </w:rPr>
            </w:pPr>
          </w:p>
        </w:tc>
        <w:tc>
          <w:tcPr>
            <w:tcW w:w="8420" w:type="dxa"/>
            <w:vAlign w:val="bottom"/>
          </w:tcPr>
          <w:p>
            <w:pPr>
              <w:ind w:left="28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New Accounting Pronouncements</w:t>
              </w:r>
            </w:hyperlink>
          </w:p>
        </w:tc>
        <w:tc>
          <w:tcPr>
            <w:tcW w:w="1460" w:type="dxa"/>
            <w:vAlign w:val="bottom"/>
          </w:tcPr>
          <w:p>
            <w:pPr>
              <w:jc w:val="center"/>
              <w:spacing w:after="0"/>
              <w:rPr>
                <w:rFonts w:ascii="Arial" w:cs="Arial" w:eastAsia="Arial" w:hAnsi="Arial"/>
                <w:sz w:val="18"/>
                <w:szCs w:val="18"/>
                <w:u w:val="single" w:color="auto"/>
                <w:color w:val="0000EE"/>
                <w:w w:val="89"/>
              </w:rPr>
            </w:pPr>
            <w:hyperlink w:anchor="page49">
              <w:r>
                <w:rPr>
                  <w:rFonts w:ascii="Arial" w:cs="Arial" w:eastAsia="Arial" w:hAnsi="Arial"/>
                  <w:sz w:val="18"/>
                  <w:szCs w:val="18"/>
                  <w:u w:val="single" w:color="auto"/>
                  <w:color w:val="0000EE"/>
                  <w:w w:val="89"/>
                </w:rPr>
                <w:t>45</w:t>
              </w:r>
            </w:hyperlink>
          </w:p>
        </w:tc>
      </w:tr>
      <w:tr>
        <w:trPr>
          <w:trHeight w:val="270"/>
        </w:trPr>
        <w:tc>
          <w:tcPr>
            <w:tcW w:w="1360" w:type="dxa"/>
            <w:vAlign w:val="bottom"/>
          </w:tcPr>
          <w:p>
            <w:pPr>
              <w:spacing w:after="0"/>
              <w:rPr>
                <w:sz w:val="23"/>
                <w:szCs w:val="23"/>
                <w:color w:val="auto"/>
              </w:rPr>
            </w:pPr>
          </w:p>
        </w:tc>
        <w:tc>
          <w:tcPr>
            <w:tcW w:w="8420" w:type="dxa"/>
            <w:vAlign w:val="bottom"/>
          </w:tcPr>
          <w:p>
            <w:pPr>
              <w:ind w:left="28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Forward-Looking Information</w:t>
              </w:r>
            </w:hyperlink>
          </w:p>
        </w:tc>
        <w:tc>
          <w:tcPr>
            <w:tcW w:w="1460" w:type="dxa"/>
            <w:vAlign w:val="bottom"/>
          </w:tcPr>
          <w:p>
            <w:pPr>
              <w:jc w:val="center"/>
              <w:spacing w:after="0"/>
              <w:rPr>
                <w:rFonts w:ascii="Arial" w:cs="Arial" w:eastAsia="Arial" w:hAnsi="Arial"/>
                <w:sz w:val="18"/>
                <w:szCs w:val="18"/>
                <w:u w:val="single" w:color="auto"/>
                <w:color w:val="0000EE"/>
                <w:w w:val="89"/>
              </w:rPr>
            </w:pPr>
            <w:hyperlink w:anchor="page49">
              <w:r>
                <w:rPr>
                  <w:rFonts w:ascii="Arial" w:cs="Arial" w:eastAsia="Arial" w:hAnsi="Arial"/>
                  <w:sz w:val="18"/>
                  <w:szCs w:val="18"/>
                  <w:u w:val="single" w:color="auto"/>
                  <w:color w:val="0000EE"/>
                  <w:w w:val="89"/>
                </w:rPr>
                <w:t>45</w:t>
              </w:r>
            </w:hyperlink>
          </w:p>
        </w:tc>
      </w:tr>
      <w:tr>
        <w:trPr>
          <w:trHeight w:val="270"/>
        </w:trPr>
        <w:tc>
          <w:tcPr>
            <w:tcW w:w="1360" w:type="dxa"/>
            <w:vAlign w:val="bottom"/>
          </w:tcPr>
          <w:p>
            <w:pPr>
              <w:ind w:left="40"/>
              <w:spacing w:after="0"/>
              <w:rPr>
                <w:sz w:val="20"/>
                <w:szCs w:val="20"/>
                <w:color w:val="auto"/>
              </w:rPr>
            </w:pPr>
            <w:r>
              <w:rPr>
                <w:rFonts w:ascii="Arial" w:cs="Arial" w:eastAsia="Arial" w:hAnsi="Arial"/>
                <w:sz w:val="18"/>
                <w:szCs w:val="18"/>
                <w:color w:val="auto"/>
              </w:rPr>
              <w:t>Item 3.</w:t>
            </w:r>
          </w:p>
        </w:tc>
        <w:tc>
          <w:tcPr>
            <w:tcW w:w="8420" w:type="dxa"/>
            <w:vAlign w:val="bottom"/>
          </w:tcPr>
          <w:p>
            <w:pPr>
              <w:ind w:left="14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Quantitative and Qualitative Disclosures About Market Risk</w:t>
              </w:r>
            </w:hyperlink>
          </w:p>
        </w:tc>
        <w:tc>
          <w:tcPr>
            <w:tcW w:w="1460" w:type="dxa"/>
            <w:vAlign w:val="bottom"/>
          </w:tcPr>
          <w:p>
            <w:pPr>
              <w:jc w:val="center"/>
              <w:spacing w:after="0"/>
              <w:rPr>
                <w:rFonts w:ascii="Arial" w:cs="Arial" w:eastAsia="Arial" w:hAnsi="Arial"/>
                <w:sz w:val="18"/>
                <w:szCs w:val="18"/>
                <w:u w:val="single" w:color="auto"/>
                <w:color w:val="0000EE"/>
                <w:w w:val="89"/>
              </w:rPr>
            </w:pPr>
            <w:hyperlink w:anchor="page49">
              <w:r>
                <w:rPr>
                  <w:rFonts w:ascii="Arial" w:cs="Arial" w:eastAsia="Arial" w:hAnsi="Arial"/>
                  <w:sz w:val="18"/>
                  <w:szCs w:val="18"/>
                  <w:u w:val="single" w:color="auto"/>
                  <w:color w:val="0000EE"/>
                  <w:w w:val="89"/>
                </w:rPr>
                <w:t>45</w:t>
              </w:r>
            </w:hyperlink>
          </w:p>
        </w:tc>
      </w:tr>
      <w:tr>
        <w:trPr>
          <w:trHeight w:val="270"/>
        </w:trPr>
        <w:tc>
          <w:tcPr>
            <w:tcW w:w="1360" w:type="dxa"/>
            <w:vAlign w:val="bottom"/>
          </w:tcPr>
          <w:p>
            <w:pPr>
              <w:ind w:left="40"/>
              <w:spacing w:after="0"/>
              <w:rPr>
                <w:sz w:val="20"/>
                <w:szCs w:val="20"/>
                <w:color w:val="auto"/>
              </w:rPr>
            </w:pPr>
            <w:r>
              <w:rPr>
                <w:rFonts w:ascii="Arial" w:cs="Arial" w:eastAsia="Arial" w:hAnsi="Arial"/>
                <w:sz w:val="18"/>
                <w:szCs w:val="18"/>
                <w:color w:val="auto"/>
              </w:rPr>
              <w:t>Item 4.</w:t>
            </w:r>
          </w:p>
        </w:tc>
        <w:tc>
          <w:tcPr>
            <w:tcW w:w="8420" w:type="dxa"/>
            <w:vAlign w:val="bottom"/>
          </w:tcPr>
          <w:p>
            <w:pPr>
              <w:ind w:left="14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Controls and Procedures</w:t>
              </w:r>
            </w:hyperlink>
          </w:p>
        </w:tc>
        <w:tc>
          <w:tcPr>
            <w:tcW w:w="1460" w:type="dxa"/>
            <w:vAlign w:val="bottom"/>
          </w:tcPr>
          <w:p>
            <w:pPr>
              <w:jc w:val="center"/>
              <w:spacing w:after="0"/>
              <w:rPr>
                <w:rFonts w:ascii="Arial" w:cs="Arial" w:eastAsia="Arial" w:hAnsi="Arial"/>
                <w:sz w:val="18"/>
                <w:szCs w:val="18"/>
                <w:u w:val="single" w:color="auto"/>
                <w:color w:val="0000EE"/>
                <w:w w:val="89"/>
              </w:rPr>
            </w:pPr>
            <w:hyperlink w:anchor="page50">
              <w:r>
                <w:rPr>
                  <w:rFonts w:ascii="Arial" w:cs="Arial" w:eastAsia="Arial" w:hAnsi="Arial"/>
                  <w:sz w:val="18"/>
                  <w:szCs w:val="18"/>
                  <w:u w:val="single" w:color="auto"/>
                  <w:color w:val="0000EE"/>
                  <w:w w:val="89"/>
                </w:rPr>
                <w:t>46</w:t>
              </w:r>
            </w:hyperlink>
          </w:p>
        </w:tc>
      </w:tr>
      <w:tr>
        <w:trPr>
          <w:trHeight w:val="499"/>
        </w:trPr>
        <w:tc>
          <w:tcPr>
            <w:tcW w:w="9780" w:type="dxa"/>
            <w:vAlign w:val="bottom"/>
            <w:gridSpan w:val="2"/>
          </w:tcPr>
          <w:p>
            <w:pPr>
              <w:ind w:left="4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PART II. OTHER INFORMATION</w:t>
              </w:r>
            </w:hyperlink>
          </w:p>
        </w:tc>
        <w:tc>
          <w:tcPr>
            <w:tcW w:w="1460" w:type="dxa"/>
            <w:vAlign w:val="bottom"/>
          </w:tcPr>
          <w:p>
            <w:pPr>
              <w:spacing w:after="0"/>
              <w:rPr>
                <w:sz w:val="24"/>
                <w:szCs w:val="24"/>
                <w:color w:val="auto"/>
              </w:rPr>
            </w:pPr>
          </w:p>
        </w:tc>
      </w:tr>
      <w:tr>
        <w:trPr>
          <w:trHeight w:val="270"/>
        </w:trPr>
        <w:tc>
          <w:tcPr>
            <w:tcW w:w="1360" w:type="dxa"/>
            <w:vAlign w:val="bottom"/>
          </w:tcPr>
          <w:p>
            <w:pPr>
              <w:ind w:left="40"/>
              <w:spacing w:after="0"/>
              <w:rPr>
                <w:sz w:val="20"/>
                <w:szCs w:val="20"/>
                <w:color w:val="auto"/>
              </w:rPr>
            </w:pPr>
            <w:r>
              <w:rPr>
                <w:rFonts w:ascii="Arial" w:cs="Arial" w:eastAsia="Arial" w:hAnsi="Arial"/>
                <w:sz w:val="18"/>
                <w:szCs w:val="18"/>
                <w:color w:val="auto"/>
              </w:rPr>
              <w:t>Item 1.</w:t>
            </w:r>
          </w:p>
        </w:tc>
        <w:tc>
          <w:tcPr>
            <w:tcW w:w="8420" w:type="dxa"/>
            <w:vAlign w:val="bottom"/>
          </w:tcPr>
          <w:p>
            <w:pPr>
              <w:ind w:left="14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Legal Proceedings</w:t>
              </w:r>
            </w:hyperlink>
          </w:p>
        </w:tc>
        <w:tc>
          <w:tcPr>
            <w:tcW w:w="1460" w:type="dxa"/>
            <w:vAlign w:val="bottom"/>
          </w:tcPr>
          <w:p>
            <w:pPr>
              <w:jc w:val="center"/>
              <w:spacing w:after="0"/>
              <w:rPr>
                <w:rFonts w:ascii="Arial" w:cs="Arial" w:eastAsia="Arial" w:hAnsi="Arial"/>
                <w:sz w:val="18"/>
                <w:szCs w:val="18"/>
                <w:u w:val="single" w:color="auto"/>
                <w:color w:val="0000EE"/>
                <w:w w:val="89"/>
              </w:rPr>
            </w:pPr>
            <w:hyperlink w:anchor="page50">
              <w:r>
                <w:rPr>
                  <w:rFonts w:ascii="Arial" w:cs="Arial" w:eastAsia="Arial" w:hAnsi="Arial"/>
                  <w:sz w:val="18"/>
                  <w:szCs w:val="18"/>
                  <w:u w:val="single" w:color="auto"/>
                  <w:color w:val="0000EE"/>
                  <w:w w:val="89"/>
                </w:rPr>
                <w:t>46</w:t>
              </w:r>
            </w:hyperlink>
          </w:p>
        </w:tc>
      </w:tr>
      <w:tr>
        <w:trPr>
          <w:trHeight w:val="270"/>
        </w:trPr>
        <w:tc>
          <w:tcPr>
            <w:tcW w:w="1360" w:type="dxa"/>
            <w:vAlign w:val="bottom"/>
          </w:tcPr>
          <w:p>
            <w:pPr>
              <w:ind w:left="40"/>
              <w:spacing w:after="0"/>
              <w:rPr>
                <w:sz w:val="20"/>
                <w:szCs w:val="20"/>
                <w:color w:val="auto"/>
              </w:rPr>
            </w:pPr>
            <w:r>
              <w:rPr>
                <w:rFonts w:ascii="Arial" w:cs="Arial" w:eastAsia="Arial" w:hAnsi="Arial"/>
                <w:sz w:val="18"/>
                <w:szCs w:val="18"/>
                <w:color w:val="auto"/>
              </w:rPr>
              <w:t>Item 1A.</w:t>
            </w:r>
          </w:p>
        </w:tc>
        <w:tc>
          <w:tcPr>
            <w:tcW w:w="8420" w:type="dxa"/>
            <w:vAlign w:val="bottom"/>
          </w:tcPr>
          <w:p>
            <w:pPr>
              <w:ind w:left="14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Risk Factors</w:t>
              </w:r>
            </w:hyperlink>
          </w:p>
        </w:tc>
        <w:tc>
          <w:tcPr>
            <w:tcW w:w="1460" w:type="dxa"/>
            <w:vAlign w:val="bottom"/>
          </w:tcPr>
          <w:p>
            <w:pPr>
              <w:jc w:val="center"/>
              <w:spacing w:after="0"/>
              <w:rPr>
                <w:rFonts w:ascii="Arial" w:cs="Arial" w:eastAsia="Arial" w:hAnsi="Arial"/>
                <w:sz w:val="18"/>
                <w:szCs w:val="18"/>
                <w:u w:val="single" w:color="auto"/>
                <w:color w:val="0000EE"/>
                <w:w w:val="89"/>
              </w:rPr>
            </w:pPr>
            <w:hyperlink w:anchor="page50">
              <w:r>
                <w:rPr>
                  <w:rFonts w:ascii="Arial" w:cs="Arial" w:eastAsia="Arial" w:hAnsi="Arial"/>
                  <w:sz w:val="18"/>
                  <w:szCs w:val="18"/>
                  <w:u w:val="single" w:color="auto"/>
                  <w:color w:val="0000EE"/>
                  <w:w w:val="89"/>
                </w:rPr>
                <w:t>46</w:t>
              </w:r>
            </w:hyperlink>
          </w:p>
        </w:tc>
      </w:tr>
      <w:tr>
        <w:trPr>
          <w:trHeight w:val="270"/>
        </w:trPr>
        <w:tc>
          <w:tcPr>
            <w:tcW w:w="1360" w:type="dxa"/>
            <w:vAlign w:val="bottom"/>
          </w:tcPr>
          <w:p>
            <w:pPr>
              <w:ind w:left="40"/>
              <w:spacing w:after="0"/>
              <w:rPr>
                <w:sz w:val="20"/>
                <w:szCs w:val="20"/>
                <w:color w:val="auto"/>
              </w:rPr>
            </w:pPr>
            <w:r>
              <w:rPr>
                <w:rFonts w:ascii="Arial" w:cs="Arial" w:eastAsia="Arial" w:hAnsi="Arial"/>
                <w:sz w:val="18"/>
                <w:szCs w:val="18"/>
                <w:color w:val="auto"/>
              </w:rPr>
              <w:t>Item 4.</w:t>
            </w:r>
          </w:p>
        </w:tc>
        <w:tc>
          <w:tcPr>
            <w:tcW w:w="8420" w:type="dxa"/>
            <w:vAlign w:val="bottom"/>
          </w:tcPr>
          <w:p>
            <w:pPr>
              <w:ind w:left="14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Mine Safety Disclosures</w:t>
              </w:r>
            </w:hyperlink>
          </w:p>
        </w:tc>
        <w:tc>
          <w:tcPr>
            <w:tcW w:w="1460" w:type="dxa"/>
            <w:vAlign w:val="bottom"/>
          </w:tcPr>
          <w:p>
            <w:pPr>
              <w:jc w:val="center"/>
              <w:spacing w:after="0"/>
              <w:rPr>
                <w:rFonts w:ascii="Arial" w:cs="Arial" w:eastAsia="Arial" w:hAnsi="Arial"/>
                <w:sz w:val="18"/>
                <w:szCs w:val="18"/>
                <w:u w:val="single" w:color="auto"/>
                <w:color w:val="0000EE"/>
                <w:w w:val="89"/>
              </w:rPr>
            </w:pPr>
            <w:hyperlink w:anchor="page51">
              <w:r>
                <w:rPr>
                  <w:rFonts w:ascii="Arial" w:cs="Arial" w:eastAsia="Arial" w:hAnsi="Arial"/>
                  <w:sz w:val="18"/>
                  <w:szCs w:val="18"/>
                  <w:u w:val="single" w:color="auto"/>
                  <w:color w:val="0000EE"/>
                  <w:w w:val="89"/>
                </w:rPr>
                <w:t>47</w:t>
              </w:r>
            </w:hyperlink>
          </w:p>
        </w:tc>
      </w:tr>
      <w:tr>
        <w:trPr>
          <w:trHeight w:val="270"/>
        </w:trPr>
        <w:tc>
          <w:tcPr>
            <w:tcW w:w="1360" w:type="dxa"/>
            <w:vAlign w:val="bottom"/>
          </w:tcPr>
          <w:p>
            <w:pPr>
              <w:ind w:left="40"/>
              <w:spacing w:after="0"/>
              <w:rPr>
                <w:sz w:val="20"/>
                <w:szCs w:val="20"/>
                <w:color w:val="auto"/>
              </w:rPr>
            </w:pPr>
            <w:r>
              <w:rPr>
                <w:rFonts w:ascii="Arial" w:cs="Arial" w:eastAsia="Arial" w:hAnsi="Arial"/>
                <w:sz w:val="18"/>
                <w:szCs w:val="18"/>
                <w:color w:val="auto"/>
              </w:rPr>
              <w:t>Item 6.</w:t>
            </w:r>
          </w:p>
        </w:tc>
        <w:tc>
          <w:tcPr>
            <w:tcW w:w="8420" w:type="dxa"/>
            <w:vAlign w:val="bottom"/>
          </w:tcPr>
          <w:p>
            <w:pPr>
              <w:ind w:left="14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Exhibits</w:t>
              </w:r>
            </w:hyperlink>
          </w:p>
        </w:tc>
        <w:tc>
          <w:tcPr>
            <w:tcW w:w="1460" w:type="dxa"/>
            <w:vAlign w:val="bottom"/>
          </w:tcPr>
          <w:p>
            <w:pPr>
              <w:jc w:val="center"/>
              <w:spacing w:after="0"/>
              <w:rPr>
                <w:rFonts w:ascii="Arial" w:cs="Arial" w:eastAsia="Arial" w:hAnsi="Arial"/>
                <w:sz w:val="18"/>
                <w:szCs w:val="18"/>
                <w:u w:val="single" w:color="auto"/>
                <w:color w:val="0000EE"/>
                <w:w w:val="89"/>
              </w:rPr>
            </w:pPr>
            <w:hyperlink w:anchor="page51">
              <w:r>
                <w:rPr>
                  <w:rFonts w:ascii="Arial" w:cs="Arial" w:eastAsia="Arial" w:hAnsi="Arial"/>
                  <w:sz w:val="18"/>
                  <w:szCs w:val="18"/>
                  <w:u w:val="single" w:color="auto"/>
                  <w:color w:val="0000EE"/>
                  <w:w w:val="89"/>
                </w:rPr>
                <w:t>47</w:t>
              </w:r>
            </w:hyperlink>
          </w:p>
        </w:tc>
      </w:tr>
      <w:tr>
        <w:trPr>
          <w:trHeight w:val="500"/>
        </w:trPr>
        <w:tc>
          <w:tcPr>
            <w:tcW w:w="1360" w:type="dxa"/>
            <w:vAlign w:val="bottom"/>
          </w:tcPr>
          <w:p>
            <w:pPr>
              <w:ind w:left="4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Signatures</w:t>
              </w:r>
            </w:hyperlink>
          </w:p>
        </w:tc>
        <w:tc>
          <w:tcPr>
            <w:tcW w:w="8420" w:type="dxa"/>
            <w:vAlign w:val="bottom"/>
          </w:tcPr>
          <w:p>
            <w:pPr>
              <w:spacing w:after="0"/>
              <w:rPr>
                <w:sz w:val="24"/>
                <w:szCs w:val="24"/>
                <w:color w:val="auto"/>
              </w:rPr>
            </w:pPr>
          </w:p>
        </w:tc>
        <w:tc>
          <w:tcPr>
            <w:tcW w:w="1460" w:type="dxa"/>
            <w:vAlign w:val="bottom"/>
          </w:tcPr>
          <w:p>
            <w:pPr>
              <w:jc w:val="center"/>
              <w:spacing w:after="0"/>
              <w:rPr>
                <w:rFonts w:ascii="Arial" w:cs="Arial" w:eastAsia="Arial" w:hAnsi="Arial"/>
                <w:sz w:val="18"/>
                <w:szCs w:val="18"/>
                <w:u w:val="single" w:color="auto"/>
                <w:color w:val="0000EE"/>
                <w:w w:val="89"/>
              </w:rPr>
            </w:pPr>
            <w:hyperlink w:anchor="page54">
              <w:r>
                <w:rPr>
                  <w:rFonts w:ascii="Arial" w:cs="Arial" w:eastAsia="Arial" w:hAnsi="Arial"/>
                  <w:sz w:val="18"/>
                  <w:szCs w:val="18"/>
                  <w:u w:val="single" w:color="auto"/>
                  <w:color w:val="0000EE"/>
                  <w:w w:val="89"/>
                </w:rPr>
                <w:t>49</w:t>
              </w:r>
            </w:hyperlink>
          </w:p>
        </w:tc>
      </w:tr>
      <w:tr>
        <w:trPr>
          <w:trHeight w:val="675"/>
        </w:trPr>
        <w:tc>
          <w:tcPr>
            <w:tcW w:w="1360" w:type="dxa"/>
            <w:vAlign w:val="bottom"/>
          </w:tcPr>
          <w:p>
            <w:pPr>
              <w:spacing w:after="0"/>
              <w:rPr>
                <w:sz w:val="24"/>
                <w:szCs w:val="24"/>
                <w:color w:val="auto"/>
              </w:rPr>
            </w:pPr>
          </w:p>
        </w:tc>
        <w:tc>
          <w:tcPr>
            <w:tcW w:w="8420" w:type="dxa"/>
            <w:vAlign w:val="bottom"/>
          </w:tcPr>
          <w:p>
            <w:pPr>
              <w:ind w:left="4220"/>
              <w:spacing w:after="0"/>
              <w:rPr>
                <w:sz w:val="20"/>
                <w:szCs w:val="20"/>
                <w:color w:val="auto"/>
              </w:rPr>
            </w:pPr>
            <w:r>
              <w:rPr>
                <w:rFonts w:ascii="Arial" w:cs="Arial" w:eastAsia="Arial" w:hAnsi="Arial"/>
                <w:sz w:val="18"/>
                <w:szCs w:val="18"/>
                <w:color w:val="auto"/>
              </w:rPr>
              <w:t>3</w:t>
            </w:r>
          </w:p>
        </w:tc>
        <w:tc>
          <w:tcPr>
            <w:tcW w:w="1460" w:type="dxa"/>
            <w:vAlign w:val="bottom"/>
          </w:tcPr>
          <w:p>
            <w:pPr>
              <w:spacing w:after="0"/>
              <w:rPr>
                <w:sz w:val="24"/>
                <w:szCs w:val="24"/>
                <w:color w:val="auto"/>
              </w:rPr>
            </w:pPr>
          </w:p>
        </w:tc>
      </w:tr>
    </w:tbl>
    <w:p>
      <w:pPr>
        <w:sectPr>
          <w:pgSz w:w="11900" w:h="16838" w:orient="portrait"/>
          <w:cols w:equalWidth="0" w:num="1">
            <w:col w:w="11240"/>
          </w:cols>
          <w:pgMar w:left="320" w:top="126" w:right="339"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GLOSSARY OF TERMS AND ABBREVIATIONS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terms and abbreviations appear in the text of this report and have the definitions described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740" w:type="dxa"/>
            <w:vAlign w:val="bottom"/>
            <w:shd w:val="clear" w:color="auto" w:fill="CEFFE7"/>
          </w:tcPr>
          <w:p>
            <w:pPr>
              <w:ind w:left="40"/>
              <w:spacing w:after="0"/>
              <w:rPr>
                <w:sz w:val="20"/>
                <w:szCs w:val="20"/>
                <w:color w:val="auto"/>
              </w:rPr>
            </w:pPr>
            <w:r>
              <w:rPr>
                <w:rFonts w:ascii="Arial" w:cs="Arial" w:eastAsia="Arial" w:hAnsi="Arial"/>
                <w:sz w:val="18"/>
                <w:szCs w:val="18"/>
                <w:color w:val="auto"/>
              </w:rPr>
              <w:t>AFUDC</w:t>
            </w:r>
          </w:p>
        </w:tc>
        <w:tc>
          <w:tcPr>
            <w:tcW w:w="8500" w:type="dxa"/>
            <w:vAlign w:val="bottom"/>
            <w:shd w:val="clear" w:color="auto" w:fill="CEFFE7"/>
          </w:tcPr>
          <w:p>
            <w:pPr>
              <w:ind w:left="100"/>
              <w:spacing w:after="0"/>
              <w:rPr>
                <w:sz w:val="20"/>
                <w:szCs w:val="20"/>
                <w:color w:val="auto"/>
              </w:rPr>
            </w:pPr>
            <w:r>
              <w:rPr>
                <w:rFonts w:ascii="Arial" w:cs="Arial" w:eastAsia="Arial" w:hAnsi="Arial"/>
                <w:sz w:val="18"/>
                <w:szCs w:val="18"/>
                <w:color w:val="auto"/>
              </w:rPr>
              <w:t>Allowance for Funds Used During Construction</w:t>
            </w: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ALJ</w:t>
            </w:r>
          </w:p>
        </w:tc>
        <w:tc>
          <w:tcPr>
            <w:tcW w:w="8500" w:type="dxa"/>
            <w:vAlign w:val="bottom"/>
          </w:tcPr>
          <w:p>
            <w:pPr>
              <w:ind w:left="100"/>
              <w:spacing w:after="0"/>
              <w:rPr>
                <w:sz w:val="20"/>
                <w:szCs w:val="20"/>
                <w:color w:val="auto"/>
              </w:rPr>
            </w:pPr>
            <w:r>
              <w:rPr>
                <w:rFonts w:ascii="Arial" w:cs="Arial" w:eastAsia="Arial" w:hAnsi="Arial"/>
                <w:sz w:val="18"/>
                <w:szCs w:val="18"/>
                <w:color w:val="auto"/>
              </w:rPr>
              <w:t>Administrative Law Judge</w:t>
            </w:r>
          </w:p>
        </w:tc>
      </w:tr>
      <w:tr>
        <w:trPr>
          <w:trHeight w:val="27"/>
        </w:trPr>
        <w:tc>
          <w:tcPr>
            <w:tcW w:w="2740" w:type="dxa"/>
            <w:vAlign w:val="bottom"/>
          </w:tcPr>
          <w:p>
            <w:pPr>
              <w:spacing w:after="0"/>
              <w:rPr>
                <w:sz w:val="2"/>
                <w:szCs w:val="2"/>
                <w:color w:val="auto"/>
              </w:rPr>
            </w:pPr>
          </w:p>
        </w:tc>
        <w:tc>
          <w:tcPr>
            <w:tcW w:w="8500" w:type="dxa"/>
            <w:vAlign w:val="bottom"/>
          </w:tcPr>
          <w:p>
            <w:pPr>
              <w:spacing w:after="0"/>
              <w:rPr>
                <w:sz w:val="2"/>
                <w:szCs w:val="2"/>
                <w:color w:val="auto"/>
              </w:rPr>
            </w:pPr>
          </w:p>
        </w:tc>
      </w:tr>
      <w:tr>
        <w:trPr>
          <w:trHeight w:val="250"/>
        </w:trPr>
        <w:tc>
          <w:tcPr>
            <w:tcW w:w="27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AOCI</w:t>
            </w:r>
          </w:p>
        </w:tc>
        <w:tc>
          <w:tcPr>
            <w:tcW w:w="8500" w:type="dxa"/>
            <w:vAlign w:val="bottom"/>
            <w:tcBorders>
              <w:bottom w:val="single" w:sz="8" w:color="CEFFE7"/>
            </w:tcBorders>
            <w:shd w:val="clear" w:color="auto" w:fill="CEFFE7"/>
          </w:tcPr>
          <w:p>
            <w:pPr>
              <w:ind w:left="100"/>
              <w:spacing w:after="0"/>
              <w:rPr>
                <w:sz w:val="20"/>
                <w:szCs w:val="20"/>
                <w:color w:val="auto"/>
              </w:rPr>
            </w:pPr>
            <w:r>
              <w:rPr>
                <w:rFonts w:ascii="Arial" w:cs="Arial" w:eastAsia="Arial" w:hAnsi="Arial"/>
                <w:sz w:val="18"/>
                <w:szCs w:val="18"/>
                <w:color w:val="auto"/>
              </w:rPr>
              <w:t>Accumulated Other Comprehensive Income (Loss)</w:t>
            </w:r>
          </w:p>
        </w:tc>
      </w:tr>
      <w:tr>
        <w:trPr>
          <w:trHeight w:val="229"/>
        </w:trPr>
        <w:tc>
          <w:tcPr>
            <w:tcW w:w="2740" w:type="dxa"/>
            <w:vAlign w:val="bottom"/>
          </w:tcPr>
          <w:p>
            <w:pPr>
              <w:ind w:left="40"/>
              <w:spacing w:after="0"/>
              <w:rPr>
                <w:sz w:val="20"/>
                <w:szCs w:val="20"/>
                <w:color w:val="auto"/>
              </w:rPr>
            </w:pPr>
            <w:r>
              <w:rPr>
                <w:rFonts w:ascii="Arial" w:cs="Arial" w:eastAsia="Arial" w:hAnsi="Arial"/>
                <w:sz w:val="18"/>
                <w:szCs w:val="18"/>
                <w:color w:val="auto"/>
              </w:rPr>
              <w:t>Arkansas Gas</w:t>
            </w:r>
          </w:p>
        </w:tc>
        <w:tc>
          <w:tcPr>
            <w:tcW w:w="8500" w:type="dxa"/>
            <w:vAlign w:val="bottom"/>
          </w:tcPr>
          <w:p>
            <w:pPr>
              <w:ind w:left="100"/>
              <w:spacing w:after="0"/>
              <w:rPr>
                <w:sz w:val="20"/>
                <w:szCs w:val="20"/>
                <w:color w:val="auto"/>
              </w:rPr>
            </w:pPr>
            <w:r>
              <w:rPr>
                <w:rFonts w:ascii="Arial" w:cs="Arial" w:eastAsia="Arial" w:hAnsi="Arial"/>
                <w:sz w:val="18"/>
                <w:szCs w:val="18"/>
                <w:color w:val="auto"/>
                <w:w w:val="98"/>
              </w:rPr>
              <w:t>Black Hills Energy Arkansas, Inc., a direct, wholly-owned subsidiary of Black Hills Utility Holdings, providing</w:t>
            </w:r>
          </w:p>
        </w:tc>
      </w:tr>
      <w:tr>
        <w:trPr>
          <w:trHeight w:val="230"/>
        </w:trPr>
        <w:tc>
          <w:tcPr>
            <w:tcW w:w="2740" w:type="dxa"/>
            <w:vAlign w:val="bottom"/>
          </w:tcPr>
          <w:p>
            <w:pPr>
              <w:spacing w:after="0"/>
              <w:rPr>
                <w:sz w:val="20"/>
                <w:szCs w:val="20"/>
                <w:color w:val="auto"/>
              </w:rPr>
            </w:pPr>
          </w:p>
        </w:tc>
        <w:tc>
          <w:tcPr>
            <w:tcW w:w="8500" w:type="dxa"/>
            <w:vAlign w:val="bottom"/>
          </w:tcPr>
          <w:p>
            <w:pPr>
              <w:ind w:left="100"/>
              <w:spacing w:after="0"/>
              <w:rPr>
                <w:sz w:val="20"/>
                <w:szCs w:val="20"/>
                <w:color w:val="auto"/>
              </w:rPr>
            </w:pPr>
            <w:r>
              <w:rPr>
                <w:rFonts w:ascii="Arial" w:cs="Arial" w:eastAsia="Arial" w:hAnsi="Arial"/>
                <w:sz w:val="18"/>
                <w:szCs w:val="18"/>
                <w:color w:val="auto"/>
              </w:rPr>
              <w:t>natural gas services to customers in Arkansas (doing business as Black Hills Energy).</w:t>
            </w:r>
          </w:p>
        </w:tc>
      </w:tr>
      <w:tr>
        <w:trPr>
          <w:trHeight w:val="27"/>
        </w:trPr>
        <w:tc>
          <w:tcPr>
            <w:tcW w:w="2740" w:type="dxa"/>
            <w:vAlign w:val="bottom"/>
          </w:tcPr>
          <w:p>
            <w:pPr>
              <w:spacing w:after="0"/>
              <w:rPr>
                <w:sz w:val="2"/>
                <w:szCs w:val="2"/>
                <w:color w:val="auto"/>
              </w:rPr>
            </w:pPr>
          </w:p>
        </w:tc>
        <w:tc>
          <w:tcPr>
            <w:tcW w:w="8500" w:type="dxa"/>
            <w:vAlign w:val="bottom"/>
          </w:tcPr>
          <w:p>
            <w:pPr>
              <w:spacing w:after="0"/>
              <w:rPr>
                <w:sz w:val="2"/>
                <w:szCs w:val="2"/>
                <w:color w:val="auto"/>
              </w:rPr>
            </w:pPr>
          </w:p>
        </w:tc>
      </w:tr>
      <w:tr>
        <w:trPr>
          <w:trHeight w:val="250"/>
        </w:trPr>
        <w:tc>
          <w:tcPr>
            <w:tcW w:w="27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ASC</w:t>
            </w:r>
          </w:p>
        </w:tc>
        <w:tc>
          <w:tcPr>
            <w:tcW w:w="8500" w:type="dxa"/>
            <w:vAlign w:val="bottom"/>
            <w:tcBorders>
              <w:bottom w:val="single" w:sz="8" w:color="CEFFE7"/>
            </w:tcBorders>
            <w:shd w:val="clear" w:color="auto" w:fill="CEFFE7"/>
          </w:tcPr>
          <w:p>
            <w:pPr>
              <w:ind w:left="100"/>
              <w:spacing w:after="0"/>
              <w:rPr>
                <w:sz w:val="20"/>
                <w:szCs w:val="20"/>
                <w:color w:val="auto"/>
              </w:rPr>
            </w:pPr>
            <w:r>
              <w:rPr>
                <w:rFonts w:ascii="Arial" w:cs="Arial" w:eastAsia="Arial" w:hAnsi="Arial"/>
                <w:sz w:val="18"/>
                <w:szCs w:val="18"/>
                <w:color w:val="auto"/>
              </w:rPr>
              <w:t>Accounting Standards Codification</w:t>
            </w: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ASU</w:t>
            </w:r>
          </w:p>
        </w:tc>
        <w:tc>
          <w:tcPr>
            <w:tcW w:w="8500" w:type="dxa"/>
            <w:vAlign w:val="bottom"/>
          </w:tcPr>
          <w:p>
            <w:pPr>
              <w:ind w:left="100"/>
              <w:spacing w:after="0"/>
              <w:rPr>
                <w:sz w:val="20"/>
                <w:szCs w:val="20"/>
                <w:color w:val="auto"/>
              </w:rPr>
            </w:pPr>
            <w:r>
              <w:rPr>
                <w:rFonts w:ascii="Arial" w:cs="Arial" w:eastAsia="Arial" w:hAnsi="Arial"/>
                <w:sz w:val="18"/>
                <w:szCs w:val="18"/>
                <w:color w:val="auto"/>
              </w:rPr>
              <w:t>Accounting Standards Update issued by the FASB</w:t>
            </w:r>
          </w:p>
        </w:tc>
      </w:tr>
      <w:tr>
        <w:trPr>
          <w:trHeight w:val="27"/>
        </w:trPr>
        <w:tc>
          <w:tcPr>
            <w:tcW w:w="2740" w:type="dxa"/>
            <w:vAlign w:val="bottom"/>
          </w:tcPr>
          <w:p>
            <w:pPr>
              <w:spacing w:after="0"/>
              <w:rPr>
                <w:sz w:val="2"/>
                <w:szCs w:val="2"/>
                <w:color w:val="auto"/>
              </w:rPr>
            </w:pPr>
          </w:p>
        </w:tc>
        <w:tc>
          <w:tcPr>
            <w:tcW w:w="8500" w:type="dxa"/>
            <w:vAlign w:val="bottom"/>
          </w:tcPr>
          <w:p>
            <w:pPr>
              <w:spacing w:after="0"/>
              <w:rPr>
                <w:sz w:val="2"/>
                <w:szCs w:val="2"/>
                <w:color w:val="auto"/>
              </w:rPr>
            </w:pPr>
          </w:p>
        </w:tc>
      </w:tr>
      <w:tr>
        <w:trPr>
          <w:trHeight w:val="250"/>
        </w:trPr>
        <w:tc>
          <w:tcPr>
            <w:tcW w:w="27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ATM</w:t>
            </w:r>
          </w:p>
        </w:tc>
        <w:tc>
          <w:tcPr>
            <w:tcW w:w="8500" w:type="dxa"/>
            <w:vAlign w:val="bottom"/>
            <w:tcBorders>
              <w:bottom w:val="single" w:sz="8" w:color="CEFFE7"/>
            </w:tcBorders>
            <w:shd w:val="clear" w:color="auto" w:fill="CEFFE7"/>
          </w:tcPr>
          <w:p>
            <w:pPr>
              <w:ind w:left="100"/>
              <w:spacing w:after="0"/>
              <w:rPr>
                <w:sz w:val="20"/>
                <w:szCs w:val="20"/>
                <w:color w:val="auto"/>
              </w:rPr>
            </w:pPr>
            <w:r>
              <w:rPr>
                <w:rFonts w:ascii="Arial" w:cs="Arial" w:eastAsia="Arial" w:hAnsi="Arial"/>
                <w:sz w:val="18"/>
                <w:szCs w:val="18"/>
                <w:color w:val="auto"/>
              </w:rPr>
              <w:t>At-the-market equity offering program</w:t>
            </w: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Availability</w:t>
            </w:r>
          </w:p>
        </w:tc>
        <w:tc>
          <w:tcPr>
            <w:tcW w:w="8500" w:type="dxa"/>
            <w:vAlign w:val="bottom"/>
          </w:tcPr>
          <w:p>
            <w:pPr>
              <w:ind w:left="100"/>
              <w:spacing w:after="0"/>
              <w:rPr>
                <w:sz w:val="20"/>
                <w:szCs w:val="20"/>
                <w:color w:val="auto"/>
              </w:rPr>
            </w:pPr>
            <w:r>
              <w:rPr>
                <w:rFonts w:ascii="Arial" w:cs="Arial" w:eastAsia="Arial" w:hAnsi="Arial"/>
                <w:sz w:val="18"/>
                <w:szCs w:val="18"/>
                <w:color w:val="auto"/>
              </w:rPr>
              <w:t>The availability factor of a power plant is the percentage of the time that it is available to provide energy.</w:t>
            </w:r>
          </w:p>
        </w:tc>
      </w:tr>
      <w:tr>
        <w:trPr>
          <w:trHeight w:val="27"/>
        </w:trPr>
        <w:tc>
          <w:tcPr>
            <w:tcW w:w="2740" w:type="dxa"/>
            <w:vAlign w:val="bottom"/>
          </w:tcPr>
          <w:p>
            <w:pPr>
              <w:spacing w:after="0"/>
              <w:rPr>
                <w:sz w:val="2"/>
                <w:szCs w:val="2"/>
                <w:color w:val="auto"/>
              </w:rPr>
            </w:pPr>
          </w:p>
        </w:tc>
        <w:tc>
          <w:tcPr>
            <w:tcW w:w="8500" w:type="dxa"/>
            <w:vAlign w:val="bottom"/>
          </w:tcPr>
          <w:p>
            <w:pPr>
              <w:spacing w:after="0"/>
              <w:rPr>
                <w:sz w:val="2"/>
                <w:szCs w:val="2"/>
                <w:color w:val="auto"/>
              </w:rPr>
            </w:pPr>
          </w:p>
        </w:tc>
      </w:tr>
      <w:tr>
        <w:trPr>
          <w:trHeight w:val="250"/>
        </w:trPr>
        <w:tc>
          <w:tcPr>
            <w:tcW w:w="27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BHC</w:t>
            </w:r>
          </w:p>
        </w:tc>
        <w:tc>
          <w:tcPr>
            <w:tcW w:w="8500" w:type="dxa"/>
            <w:vAlign w:val="bottom"/>
            <w:tcBorders>
              <w:bottom w:val="single" w:sz="8" w:color="CEFFE7"/>
            </w:tcBorders>
            <w:shd w:val="clear" w:color="auto" w:fill="CEFFE7"/>
          </w:tcPr>
          <w:p>
            <w:pPr>
              <w:ind w:left="100"/>
              <w:spacing w:after="0"/>
              <w:rPr>
                <w:sz w:val="20"/>
                <w:szCs w:val="20"/>
                <w:color w:val="auto"/>
              </w:rPr>
            </w:pPr>
            <w:r>
              <w:rPr>
                <w:rFonts w:ascii="Arial" w:cs="Arial" w:eastAsia="Arial" w:hAnsi="Arial"/>
                <w:sz w:val="18"/>
                <w:szCs w:val="18"/>
                <w:color w:val="auto"/>
              </w:rPr>
              <w:t>Black Hills Corporation; the Company</w:t>
            </w: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Black Hills Colorado IPP</w:t>
            </w:r>
          </w:p>
        </w:tc>
        <w:tc>
          <w:tcPr>
            <w:tcW w:w="8500" w:type="dxa"/>
            <w:vAlign w:val="bottom"/>
          </w:tcPr>
          <w:p>
            <w:pPr>
              <w:ind w:left="100"/>
              <w:spacing w:after="0"/>
              <w:rPr>
                <w:sz w:val="20"/>
                <w:szCs w:val="20"/>
                <w:color w:val="auto"/>
              </w:rPr>
            </w:pPr>
            <w:r>
              <w:rPr>
                <w:rFonts w:ascii="Arial" w:cs="Arial" w:eastAsia="Arial" w:hAnsi="Arial"/>
                <w:sz w:val="18"/>
                <w:szCs w:val="18"/>
                <w:color w:val="auto"/>
              </w:rPr>
              <w:t>Black Hills Colorado IPP, LLC a 50.1% owned subsidiary of Black Hills Electric Generation</w:t>
            </w:r>
          </w:p>
        </w:tc>
      </w:tr>
      <w:tr>
        <w:trPr>
          <w:trHeight w:val="27"/>
        </w:trPr>
        <w:tc>
          <w:tcPr>
            <w:tcW w:w="2740" w:type="dxa"/>
            <w:vAlign w:val="bottom"/>
          </w:tcPr>
          <w:p>
            <w:pPr>
              <w:spacing w:after="0"/>
              <w:rPr>
                <w:sz w:val="2"/>
                <w:szCs w:val="2"/>
                <w:color w:val="auto"/>
              </w:rPr>
            </w:pPr>
          </w:p>
        </w:tc>
        <w:tc>
          <w:tcPr>
            <w:tcW w:w="8500" w:type="dxa"/>
            <w:vAlign w:val="bottom"/>
          </w:tcPr>
          <w:p>
            <w:pPr>
              <w:spacing w:after="0"/>
              <w:rPr>
                <w:sz w:val="2"/>
                <w:szCs w:val="2"/>
                <w:color w:val="auto"/>
              </w:rPr>
            </w:pPr>
          </w:p>
        </w:tc>
      </w:tr>
      <w:tr>
        <w:trPr>
          <w:trHeight w:val="229"/>
        </w:trPr>
        <w:tc>
          <w:tcPr>
            <w:tcW w:w="2740" w:type="dxa"/>
            <w:vAlign w:val="bottom"/>
            <w:shd w:val="clear" w:color="auto" w:fill="CEFFE7"/>
          </w:tcPr>
          <w:p>
            <w:pPr>
              <w:ind w:left="40"/>
              <w:spacing w:after="0"/>
              <w:rPr>
                <w:sz w:val="20"/>
                <w:szCs w:val="20"/>
                <w:color w:val="auto"/>
              </w:rPr>
            </w:pPr>
            <w:r>
              <w:rPr>
                <w:rFonts w:ascii="Arial" w:cs="Arial" w:eastAsia="Arial" w:hAnsi="Arial"/>
                <w:sz w:val="18"/>
                <w:szCs w:val="18"/>
                <w:color w:val="auto"/>
              </w:rPr>
              <w:t>Black Hills Electric Generation</w:t>
            </w:r>
          </w:p>
        </w:tc>
        <w:tc>
          <w:tcPr>
            <w:tcW w:w="8500" w:type="dxa"/>
            <w:vAlign w:val="bottom"/>
            <w:shd w:val="clear" w:color="auto" w:fill="CEFFE7"/>
          </w:tcPr>
          <w:p>
            <w:pPr>
              <w:ind w:left="100"/>
              <w:spacing w:after="0"/>
              <w:rPr>
                <w:sz w:val="20"/>
                <w:szCs w:val="20"/>
                <w:color w:val="auto"/>
              </w:rPr>
            </w:pPr>
            <w:r>
              <w:rPr>
                <w:rFonts w:ascii="Arial" w:cs="Arial" w:eastAsia="Arial" w:hAnsi="Arial"/>
                <w:sz w:val="18"/>
                <w:szCs w:val="18"/>
                <w:color w:val="auto"/>
                <w:w w:val="96"/>
              </w:rPr>
              <w:t>Black Hills Electric Generation, LLC, a direct, wholly-owned subsidiary of Black Hills Non-regulated Holdings,</w:t>
            </w:r>
          </w:p>
        </w:tc>
      </w:tr>
      <w:tr>
        <w:trPr>
          <w:trHeight w:val="237"/>
        </w:trPr>
        <w:tc>
          <w:tcPr>
            <w:tcW w:w="2740" w:type="dxa"/>
            <w:vAlign w:val="bottom"/>
            <w:tcBorders>
              <w:bottom w:val="single" w:sz="8" w:color="CEFFE7"/>
            </w:tcBorders>
            <w:shd w:val="clear" w:color="auto" w:fill="CEFFE7"/>
          </w:tcPr>
          <w:p>
            <w:pPr>
              <w:spacing w:after="0"/>
              <w:rPr>
                <w:sz w:val="20"/>
                <w:szCs w:val="20"/>
                <w:color w:val="auto"/>
              </w:rPr>
            </w:pPr>
          </w:p>
        </w:tc>
        <w:tc>
          <w:tcPr>
            <w:tcW w:w="8500" w:type="dxa"/>
            <w:vAlign w:val="bottom"/>
            <w:tcBorders>
              <w:bottom w:val="single" w:sz="8" w:color="CEFFE7"/>
            </w:tcBorders>
            <w:shd w:val="clear" w:color="auto" w:fill="CEFFE7"/>
          </w:tcPr>
          <w:p>
            <w:pPr>
              <w:ind w:left="100"/>
              <w:spacing w:after="0"/>
              <w:rPr>
                <w:sz w:val="20"/>
                <w:szCs w:val="20"/>
                <w:color w:val="auto"/>
              </w:rPr>
            </w:pPr>
            <w:r>
              <w:rPr>
                <w:rFonts w:ascii="Arial" w:cs="Arial" w:eastAsia="Arial" w:hAnsi="Arial"/>
                <w:sz w:val="18"/>
                <w:szCs w:val="18"/>
                <w:color w:val="auto"/>
              </w:rPr>
              <w:t>providing wholesale electric capacity and energy primarily to our affiliate utilities.</w:t>
            </w: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Black Hills Energy</w:t>
            </w:r>
          </w:p>
        </w:tc>
        <w:tc>
          <w:tcPr>
            <w:tcW w:w="8500" w:type="dxa"/>
            <w:vAlign w:val="bottom"/>
          </w:tcPr>
          <w:p>
            <w:pPr>
              <w:ind w:left="100"/>
              <w:spacing w:after="0"/>
              <w:rPr>
                <w:sz w:val="20"/>
                <w:szCs w:val="20"/>
                <w:color w:val="auto"/>
              </w:rPr>
            </w:pPr>
            <w:r>
              <w:rPr>
                <w:rFonts w:ascii="Arial" w:cs="Arial" w:eastAsia="Arial" w:hAnsi="Arial"/>
                <w:sz w:val="18"/>
                <w:szCs w:val="18"/>
                <w:color w:val="auto"/>
              </w:rPr>
              <w:t>The name used to conduct the business of our utility companies</w:t>
            </w:r>
          </w:p>
        </w:tc>
      </w:tr>
      <w:tr>
        <w:trPr>
          <w:trHeight w:val="27"/>
        </w:trPr>
        <w:tc>
          <w:tcPr>
            <w:tcW w:w="2740" w:type="dxa"/>
            <w:vAlign w:val="bottom"/>
          </w:tcPr>
          <w:p>
            <w:pPr>
              <w:spacing w:after="0"/>
              <w:rPr>
                <w:sz w:val="2"/>
                <w:szCs w:val="2"/>
                <w:color w:val="auto"/>
              </w:rPr>
            </w:pPr>
          </w:p>
        </w:tc>
        <w:tc>
          <w:tcPr>
            <w:tcW w:w="8500" w:type="dxa"/>
            <w:vAlign w:val="bottom"/>
          </w:tcPr>
          <w:p>
            <w:pPr>
              <w:spacing w:after="0"/>
              <w:rPr>
                <w:sz w:val="2"/>
                <w:szCs w:val="2"/>
                <w:color w:val="auto"/>
              </w:rPr>
            </w:pPr>
          </w:p>
        </w:tc>
      </w:tr>
      <w:tr>
        <w:trPr>
          <w:trHeight w:val="229"/>
        </w:trPr>
        <w:tc>
          <w:tcPr>
            <w:tcW w:w="2740" w:type="dxa"/>
            <w:vAlign w:val="bottom"/>
            <w:shd w:val="clear" w:color="auto" w:fill="CEFFE7"/>
          </w:tcPr>
          <w:p>
            <w:pPr>
              <w:ind w:left="40"/>
              <w:spacing w:after="0"/>
              <w:rPr>
                <w:sz w:val="20"/>
                <w:szCs w:val="20"/>
                <w:color w:val="auto"/>
              </w:rPr>
            </w:pPr>
            <w:r>
              <w:rPr>
                <w:rFonts w:ascii="Arial" w:cs="Arial" w:eastAsia="Arial" w:hAnsi="Arial"/>
                <w:sz w:val="18"/>
                <w:szCs w:val="18"/>
                <w:color w:val="auto"/>
              </w:rPr>
              <w:t>Black Hills Energy Services</w:t>
            </w:r>
          </w:p>
        </w:tc>
        <w:tc>
          <w:tcPr>
            <w:tcW w:w="8500" w:type="dxa"/>
            <w:vAlign w:val="bottom"/>
            <w:shd w:val="clear" w:color="auto" w:fill="CEFFE7"/>
          </w:tcPr>
          <w:p>
            <w:pPr>
              <w:ind w:left="100"/>
              <w:spacing w:after="0"/>
              <w:rPr>
                <w:sz w:val="20"/>
                <w:szCs w:val="20"/>
                <w:color w:val="auto"/>
              </w:rPr>
            </w:pPr>
            <w:r>
              <w:rPr>
                <w:rFonts w:ascii="Arial" w:cs="Arial" w:eastAsia="Arial" w:hAnsi="Arial"/>
                <w:sz w:val="18"/>
                <w:szCs w:val="18"/>
                <w:color w:val="auto"/>
              </w:rPr>
              <w:t>Black Hills Energy Services Company, an indirect, wholly-owned subsidiary of Black Hills Utility Holdings,</w:t>
            </w:r>
          </w:p>
        </w:tc>
      </w:tr>
      <w:tr>
        <w:trPr>
          <w:trHeight w:val="237"/>
        </w:trPr>
        <w:tc>
          <w:tcPr>
            <w:tcW w:w="2740" w:type="dxa"/>
            <w:vAlign w:val="bottom"/>
            <w:tcBorders>
              <w:bottom w:val="single" w:sz="8" w:color="CEFFE7"/>
            </w:tcBorders>
            <w:shd w:val="clear" w:color="auto" w:fill="CEFFE7"/>
          </w:tcPr>
          <w:p>
            <w:pPr>
              <w:spacing w:after="0"/>
              <w:rPr>
                <w:sz w:val="20"/>
                <w:szCs w:val="20"/>
                <w:color w:val="auto"/>
              </w:rPr>
            </w:pPr>
          </w:p>
        </w:tc>
        <w:tc>
          <w:tcPr>
            <w:tcW w:w="8500" w:type="dxa"/>
            <w:vAlign w:val="bottom"/>
            <w:tcBorders>
              <w:bottom w:val="single" w:sz="8" w:color="CEFFE7"/>
            </w:tcBorders>
            <w:shd w:val="clear" w:color="auto" w:fill="CEFFE7"/>
          </w:tcPr>
          <w:p>
            <w:pPr>
              <w:ind w:left="100"/>
              <w:spacing w:after="0"/>
              <w:rPr>
                <w:sz w:val="20"/>
                <w:szCs w:val="20"/>
                <w:color w:val="auto"/>
              </w:rPr>
            </w:pPr>
            <w:r>
              <w:rPr>
                <w:rFonts w:ascii="Arial" w:cs="Arial" w:eastAsia="Arial" w:hAnsi="Arial"/>
                <w:sz w:val="18"/>
                <w:szCs w:val="18"/>
                <w:color w:val="auto"/>
                <w:w w:val="96"/>
              </w:rPr>
              <w:t>providing natural gas commodity supply for the Choice Gas Programs (doing business as Black Hills Energy).</w:t>
            </w: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w w:val="96"/>
              </w:rPr>
              <w:t>Black Hills Non-regulated Holdings</w:t>
            </w:r>
          </w:p>
        </w:tc>
        <w:tc>
          <w:tcPr>
            <w:tcW w:w="8500" w:type="dxa"/>
            <w:vAlign w:val="bottom"/>
          </w:tcPr>
          <w:p>
            <w:pPr>
              <w:ind w:left="100"/>
              <w:spacing w:after="0"/>
              <w:rPr>
                <w:sz w:val="20"/>
                <w:szCs w:val="20"/>
                <w:color w:val="auto"/>
              </w:rPr>
            </w:pPr>
            <w:r>
              <w:rPr>
                <w:rFonts w:ascii="Arial" w:cs="Arial" w:eastAsia="Arial" w:hAnsi="Arial"/>
                <w:sz w:val="18"/>
                <w:szCs w:val="18"/>
                <w:color w:val="auto"/>
              </w:rPr>
              <w:t>Black Hills Non-regulated Holdings, LLC, a direct, wholly-owned subsidiary of Black Hills Corporation</w:t>
            </w:r>
          </w:p>
        </w:tc>
      </w:tr>
      <w:tr>
        <w:trPr>
          <w:trHeight w:val="27"/>
        </w:trPr>
        <w:tc>
          <w:tcPr>
            <w:tcW w:w="2740" w:type="dxa"/>
            <w:vAlign w:val="bottom"/>
          </w:tcPr>
          <w:p>
            <w:pPr>
              <w:spacing w:after="0"/>
              <w:rPr>
                <w:sz w:val="2"/>
                <w:szCs w:val="2"/>
                <w:color w:val="auto"/>
              </w:rPr>
            </w:pPr>
          </w:p>
        </w:tc>
        <w:tc>
          <w:tcPr>
            <w:tcW w:w="8500" w:type="dxa"/>
            <w:vAlign w:val="bottom"/>
          </w:tcPr>
          <w:p>
            <w:pPr>
              <w:spacing w:after="0"/>
              <w:rPr>
                <w:sz w:val="2"/>
                <w:szCs w:val="2"/>
                <w:color w:val="auto"/>
              </w:rPr>
            </w:pPr>
          </w:p>
        </w:tc>
      </w:tr>
      <w:tr>
        <w:trPr>
          <w:trHeight w:val="229"/>
        </w:trPr>
        <w:tc>
          <w:tcPr>
            <w:tcW w:w="2740" w:type="dxa"/>
            <w:vAlign w:val="bottom"/>
            <w:shd w:val="clear" w:color="auto" w:fill="CEFFE7"/>
          </w:tcPr>
          <w:p>
            <w:pPr>
              <w:ind w:left="40"/>
              <w:spacing w:after="0"/>
              <w:rPr>
                <w:sz w:val="20"/>
                <w:szCs w:val="20"/>
                <w:color w:val="auto"/>
              </w:rPr>
            </w:pPr>
            <w:r>
              <w:rPr>
                <w:rFonts w:ascii="Arial" w:cs="Arial" w:eastAsia="Arial" w:hAnsi="Arial"/>
                <w:sz w:val="18"/>
                <w:szCs w:val="18"/>
                <w:color w:val="auto"/>
              </w:rPr>
              <w:t>Black Hills Power</w:t>
            </w:r>
          </w:p>
        </w:tc>
        <w:tc>
          <w:tcPr>
            <w:tcW w:w="8500" w:type="dxa"/>
            <w:vAlign w:val="bottom"/>
            <w:shd w:val="clear" w:color="auto" w:fill="CEFFE7"/>
          </w:tcPr>
          <w:p>
            <w:pPr>
              <w:ind w:left="100"/>
              <w:spacing w:after="0"/>
              <w:rPr>
                <w:sz w:val="20"/>
                <w:szCs w:val="20"/>
                <w:color w:val="auto"/>
              </w:rPr>
            </w:pPr>
            <w:r>
              <w:rPr>
                <w:rFonts w:ascii="Arial" w:cs="Arial" w:eastAsia="Arial" w:hAnsi="Arial"/>
                <w:sz w:val="18"/>
                <w:szCs w:val="18"/>
                <w:color w:val="auto"/>
                <w:w w:val="97"/>
              </w:rPr>
              <w:t>Black Hills Power, Inc., a direct, wholly-owned subsidiary of Black Hills Corporation (doing business as Black</w:t>
            </w:r>
          </w:p>
        </w:tc>
      </w:tr>
      <w:tr>
        <w:trPr>
          <w:trHeight w:val="237"/>
        </w:trPr>
        <w:tc>
          <w:tcPr>
            <w:tcW w:w="2740" w:type="dxa"/>
            <w:vAlign w:val="bottom"/>
            <w:tcBorders>
              <w:bottom w:val="single" w:sz="8" w:color="CEFFE7"/>
            </w:tcBorders>
            <w:shd w:val="clear" w:color="auto" w:fill="CEFFE7"/>
          </w:tcPr>
          <w:p>
            <w:pPr>
              <w:spacing w:after="0"/>
              <w:rPr>
                <w:sz w:val="20"/>
                <w:szCs w:val="20"/>
                <w:color w:val="auto"/>
              </w:rPr>
            </w:pPr>
          </w:p>
        </w:tc>
        <w:tc>
          <w:tcPr>
            <w:tcW w:w="8500" w:type="dxa"/>
            <w:vAlign w:val="bottom"/>
            <w:tcBorders>
              <w:bottom w:val="single" w:sz="8" w:color="CEFFE7"/>
            </w:tcBorders>
            <w:shd w:val="clear" w:color="auto" w:fill="CEFFE7"/>
          </w:tcPr>
          <w:p>
            <w:pPr>
              <w:ind w:left="100"/>
              <w:spacing w:after="0"/>
              <w:rPr>
                <w:sz w:val="20"/>
                <w:szCs w:val="20"/>
                <w:color w:val="auto"/>
              </w:rPr>
            </w:pPr>
            <w:r>
              <w:rPr>
                <w:rFonts w:ascii="Arial" w:cs="Arial" w:eastAsia="Arial" w:hAnsi="Arial"/>
                <w:sz w:val="18"/>
                <w:szCs w:val="18"/>
                <w:color w:val="auto"/>
              </w:rPr>
              <w:t>Hills Energy). Also known as South Dakota Electric.</w:t>
            </w:r>
          </w:p>
        </w:tc>
      </w:tr>
      <w:tr>
        <w:trPr>
          <w:trHeight w:val="229"/>
        </w:trPr>
        <w:tc>
          <w:tcPr>
            <w:tcW w:w="2740" w:type="dxa"/>
            <w:vAlign w:val="bottom"/>
          </w:tcPr>
          <w:p>
            <w:pPr>
              <w:ind w:left="40"/>
              <w:spacing w:after="0"/>
              <w:rPr>
                <w:sz w:val="20"/>
                <w:szCs w:val="20"/>
                <w:color w:val="auto"/>
              </w:rPr>
            </w:pPr>
            <w:r>
              <w:rPr>
                <w:rFonts w:ascii="Arial" w:cs="Arial" w:eastAsia="Arial" w:hAnsi="Arial"/>
                <w:sz w:val="18"/>
                <w:szCs w:val="18"/>
                <w:color w:val="auto"/>
              </w:rPr>
              <w:t>Black Hills Utility Holdings</w:t>
            </w:r>
          </w:p>
        </w:tc>
        <w:tc>
          <w:tcPr>
            <w:tcW w:w="8500" w:type="dxa"/>
            <w:vAlign w:val="bottom"/>
          </w:tcPr>
          <w:p>
            <w:pPr>
              <w:ind w:left="100"/>
              <w:spacing w:after="0"/>
              <w:rPr>
                <w:sz w:val="20"/>
                <w:szCs w:val="20"/>
                <w:color w:val="auto"/>
              </w:rPr>
            </w:pPr>
            <w:r>
              <w:rPr>
                <w:rFonts w:ascii="Arial" w:cs="Arial" w:eastAsia="Arial" w:hAnsi="Arial"/>
                <w:sz w:val="18"/>
                <w:szCs w:val="18"/>
                <w:color w:val="auto"/>
                <w:w w:val="94"/>
              </w:rPr>
              <w:t>Black Hills Utility Holdings, Inc., a direct, wholly-owned subsidiary of Black Hills Corporation (doing business as</w:t>
            </w:r>
          </w:p>
        </w:tc>
      </w:tr>
      <w:tr>
        <w:trPr>
          <w:trHeight w:val="230"/>
        </w:trPr>
        <w:tc>
          <w:tcPr>
            <w:tcW w:w="2740" w:type="dxa"/>
            <w:vAlign w:val="bottom"/>
          </w:tcPr>
          <w:p>
            <w:pPr>
              <w:spacing w:after="0"/>
              <w:rPr>
                <w:sz w:val="20"/>
                <w:szCs w:val="20"/>
                <w:color w:val="auto"/>
              </w:rPr>
            </w:pPr>
          </w:p>
        </w:tc>
        <w:tc>
          <w:tcPr>
            <w:tcW w:w="8500" w:type="dxa"/>
            <w:vAlign w:val="bottom"/>
          </w:tcPr>
          <w:p>
            <w:pPr>
              <w:ind w:left="100"/>
              <w:spacing w:after="0"/>
              <w:rPr>
                <w:sz w:val="20"/>
                <w:szCs w:val="20"/>
                <w:color w:val="auto"/>
              </w:rPr>
            </w:pPr>
            <w:r>
              <w:rPr>
                <w:rFonts w:ascii="Arial" w:cs="Arial" w:eastAsia="Arial" w:hAnsi="Arial"/>
                <w:sz w:val="18"/>
                <w:szCs w:val="18"/>
                <w:color w:val="auto"/>
              </w:rPr>
              <w:t>Black Hills Energy)</w:t>
            </w:r>
          </w:p>
        </w:tc>
      </w:tr>
      <w:tr>
        <w:trPr>
          <w:trHeight w:val="27"/>
        </w:trPr>
        <w:tc>
          <w:tcPr>
            <w:tcW w:w="2740" w:type="dxa"/>
            <w:vAlign w:val="bottom"/>
          </w:tcPr>
          <w:p>
            <w:pPr>
              <w:spacing w:after="0"/>
              <w:rPr>
                <w:sz w:val="2"/>
                <w:szCs w:val="2"/>
                <w:color w:val="auto"/>
              </w:rPr>
            </w:pPr>
          </w:p>
        </w:tc>
        <w:tc>
          <w:tcPr>
            <w:tcW w:w="8500" w:type="dxa"/>
            <w:vAlign w:val="bottom"/>
          </w:tcPr>
          <w:p>
            <w:pPr>
              <w:spacing w:after="0"/>
              <w:rPr>
                <w:sz w:val="2"/>
                <w:szCs w:val="2"/>
                <w:color w:val="auto"/>
              </w:rPr>
            </w:pPr>
          </w:p>
        </w:tc>
      </w:tr>
      <w:tr>
        <w:trPr>
          <w:trHeight w:val="250"/>
        </w:trPr>
        <w:tc>
          <w:tcPr>
            <w:tcW w:w="27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Black Hills Wyoming</w:t>
            </w:r>
          </w:p>
        </w:tc>
        <w:tc>
          <w:tcPr>
            <w:tcW w:w="8500" w:type="dxa"/>
            <w:vAlign w:val="bottom"/>
            <w:tcBorders>
              <w:bottom w:val="single" w:sz="8" w:color="CEFFE7"/>
            </w:tcBorders>
            <w:shd w:val="clear" w:color="auto" w:fill="CEFFE7"/>
          </w:tcPr>
          <w:p>
            <w:pPr>
              <w:ind w:left="100"/>
              <w:spacing w:after="0"/>
              <w:rPr>
                <w:sz w:val="20"/>
                <w:szCs w:val="20"/>
                <w:color w:val="auto"/>
              </w:rPr>
            </w:pPr>
            <w:r>
              <w:rPr>
                <w:rFonts w:ascii="Arial" w:cs="Arial" w:eastAsia="Arial" w:hAnsi="Arial"/>
                <w:sz w:val="18"/>
                <w:szCs w:val="18"/>
                <w:color w:val="auto"/>
              </w:rPr>
              <w:t>Black Hills Wyoming, LLC, a direct, wholly-owned subsidiary of Black Hills Electric Generation</w:t>
            </w:r>
          </w:p>
        </w:tc>
      </w:tr>
      <w:tr>
        <w:trPr>
          <w:trHeight w:val="229"/>
        </w:trPr>
        <w:tc>
          <w:tcPr>
            <w:tcW w:w="2740" w:type="dxa"/>
            <w:vAlign w:val="bottom"/>
          </w:tcPr>
          <w:p>
            <w:pPr>
              <w:ind w:left="40"/>
              <w:spacing w:after="0"/>
              <w:rPr>
                <w:sz w:val="20"/>
                <w:szCs w:val="20"/>
                <w:color w:val="auto"/>
              </w:rPr>
            </w:pPr>
            <w:r>
              <w:rPr>
                <w:rFonts w:ascii="Arial" w:cs="Arial" w:eastAsia="Arial" w:hAnsi="Arial"/>
                <w:sz w:val="18"/>
                <w:szCs w:val="18"/>
                <w:color w:val="auto"/>
              </w:rPr>
              <w:t>Busch Ranch I</w:t>
            </w:r>
          </w:p>
        </w:tc>
        <w:tc>
          <w:tcPr>
            <w:tcW w:w="8500" w:type="dxa"/>
            <w:vAlign w:val="bottom"/>
          </w:tcPr>
          <w:p>
            <w:pPr>
              <w:ind w:left="100"/>
              <w:spacing w:after="0"/>
              <w:rPr>
                <w:sz w:val="20"/>
                <w:szCs w:val="20"/>
                <w:color w:val="auto"/>
              </w:rPr>
            </w:pPr>
            <w:r>
              <w:rPr>
                <w:rFonts w:ascii="Arial" w:cs="Arial" w:eastAsia="Arial" w:hAnsi="Arial"/>
                <w:sz w:val="18"/>
                <w:szCs w:val="18"/>
                <w:color w:val="auto"/>
                <w:w w:val="94"/>
              </w:rPr>
              <w:t>29 MW wind farm near Pueblo, Colorado, jointly owned by Colorado Electric and Black Hills Electric Generation,</w:t>
            </w:r>
          </w:p>
        </w:tc>
      </w:tr>
      <w:tr>
        <w:trPr>
          <w:trHeight w:val="230"/>
        </w:trPr>
        <w:tc>
          <w:tcPr>
            <w:tcW w:w="2740" w:type="dxa"/>
            <w:vAlign w:val="bottom"/>
          </w:tcPr>
          <w:p>
            <w:pPr>
              <w:spacing w:after="0"/>
              <w:rPr>
                <w:sz w:val="20"/>
                <w:szCs w:val="20"/>
                <w:color w:val="auto"/>
              </w:rPr>
            </w:pPr>
          </w:p>
        </w:tc>
        <w:tc>
          <w:tcPr>
            <w:tcW w:w="8500" w:type="dxa"/>
            <w:vAlign w:val="bottom"/>
          </w:tcPr>
          <w:p>
            <w:pPr>
              <w:ind w:left="100"/>
              <w:spacing w:after="0"/>
              <w:rPr>
                <w:sz w:val="20"/>
                <w:szCs w:val="20"/>
                <w:color w:val="auto"/>
              </w:rPr>
            </w:pPr>
            <w:r>
              <w:rPr>
                <w:rFonts w:ascii="Arial" w:cs="Arial" w:eastAsia="Arial" w:hAnsi="Arial"/>
                <w:sz w:val="18"/>
                <w:szCs w:val="18"/>
                <w:color w:val="auto"/>
              </w:rPr>
              <w:t>each having a 50% ownership interest in the wind farm.</w:t>
            </w:r>
          </w:p>
        </w:tc>
      </w:tr>
      <w:tr>
        <w:trPr>
          <w:trHeight w:val="243"/>
        </w:trPr>
        <w:tc>
          <w:tcPr>
            <w:tcW w:w="2740" w:type="dxa"/>
            <w:vAlign w:val="bottom"/>
          </w:tcPr>
          <w:p>
            <w:pPr>
              <w:spacing w:after="0"/>
              <w:rPr>
                <w:sz w:val="21"/>
                <w:szCs w:val="21"/>
                <w:color w:val="auto"/>
              </w:rPr>
            </w:pPr>
          </w:p>
        </w:tc>
        <w:tc>
          <w:tcPr>
            <w:tcW w:w="8500" w:type="dxa"/>
            <w:vAlign w:val="bottom"/>
          </w:tcPr>
          <w:p>
            <w:pPr>
              <w:spacing w:after="0"/>
              <w:rPr>
                <w:sz w:val="21"/>
                <w:szCs w:val="21"/>
                <w:color w:val="auto"/>
              </w:rPr>
            </w:pPr>
          </w:p>
        </w:tc>
      </w:tr>
      <w:tr>
        <w:trPr>
          <w:trHeight w:val="229"/>
        </w:trPr>
        <w:tc>
          <w:tcPr>
            <w:tcW w:w="2740" w:type="dxa"/>
            <w:vAlign w:val="bottom"/>
            <w:shd w:val="clear" w:color="auto" w:fill="CEFFE7"/>
          </w:tcPr>
          <w:p>
            <w:pPr>
              <w:ind w:left="40"/>
              <w:spacing w:after="0"/>
              <w:rPr>
                <w:sz w:val="20"/>
                <w:szCs w:val="20"/>
                <w:color w:val="auto"/>
              </w:rPr>
            </w:pPr>
            <w:r>
              <w:rPr>
                <w:rFonts w:ascii="Arial" w:cs="Arial" w:eastAsia="Arial" w:hAnsi="Arial"/>
                <w:sz w:val="18"/>
                <w:szCs w:val="18"/>
                <w:color w:val="auto"/>
              </w:rPr>
              <w:t>Busch Ranch II</w:t>
            </w:r>
          </w:p>
        </w:tc>
        <w:tc>
          <w:tcPr>
            <w:tcW w:w="8500" w:type="dxa"/>
            <w:vAlign w:val="bottom"/>
            <w:shd w:val="clear" w:color="auto" w:fill="CEFFE7"/>
          </w:tcPr>
          <w:p>
            <w:pPr>
              <w:ind w:left="100"/>
              <w:spacing w:after="0"/>
              <w:rPr>
                <w:sz w:val="20"/>
                <w:szCs w:val="20"/>
                <w:color w:val="auto"/>
              </w:rPr>
            </w:pPr>
            <w:r>
              <w:rPr>
                <w:rFonts w:ascii="Arial" w:cs="Arial" w:eastAsia="Arial" w:hAnsi="Arial"/>
                <w:sz w:val="18"/>
                <w:szCs w:val="18"/>
                <w:color w:val="auto"/>
                <w:w w:val="99"/>
              </w:rPr>
              <w:t>60 MW wind farm near Pueblo, Colorado, built by Black Hills Electric Generation to provide wind energy to</w:t>
            </w:r>
          </w:p>
        </w:tc>
      </w:tr>
      <w:tr>
        <w:trPr>
          <w:trHeight w:val="237"/>
        </w:trPr>
        <w:tc>
          <w:tcPr>
            <w:tcW w:w="2740" w:type="dxa"/>
            <w:vAlign w:val="bottom"/>
            <w:tcBorders>
              <w:bottom w:val="single" w:sz="8" w:color="CEFFE7"/>
            </w:tcBorders>
            <w:shd w:val="clear" w:color="auto" w:fill="CEFFE7"/>
          </w:tcPr>
          <w:p>
            <w:pPr>
              <w:spacing w:after="0"/>
              <w:rPr>
                <w:sz w:val="20"/>
                <w:szCs w:val="20"/>
                <w:color w:val="auto"/>
              </w:rPr>
            </w:pPr>
          </w:p>
        </w:tc>
        <w:tc>
          <w:tcPr>
            <w:tcW w:w="8500" w:type="dxa"/>
            <w:vAlign w:val="bottom"/>
            <w:tcBorders>
              <w:bottom w:val="single" w:sz="8" w:color="CEFFE7"/>
            </w:tcBorders>
            <w:shd w:val="clear" w:color="auto" w:fill="CEFFE7"/>
          </w:tcPr>
          <w:p>
            <w:pPr>
              <w:ind w:left="100"/>
              <w:spacing w:after="0"/>
              <w:rPr>
                <w:sz w:val="20"/>
                <w:szCs w:val="20"/>
                <w:color w:val="auto"/>
              </w:rPr>
            </w:pPr>
            <w:r>
              <w:rPr>
                <w:rFonts w:ascii="Arial" w:cs="Arial" w:eastAsia="Arial" w:hAnsi="Arial"/>
                <w:sz w:val="18"/>
                <w:szCs w:val="18"/>
                <w:color w:val="auto"/>
              </w:rPr>
              <w:t>Colorado Electric through a power purchase agreement expiring in November 2044.</w:t>
            </w:r>
          </w:p>
        </w:tc>
      </w:tr>
      <w:tr>
        <w:trPr>
          <w:trHeight w:val="229"/>
        </w:trPr>
        <w:tc>
          <w:tcPr>
            <w:tcW w:w="2740" w:type="dxa"/>
            <w:vAlign w:val="bottom"/>
          </w:tcPr>
          <w:p>
            <w:pPr>
              <w:ind w:left="40"/>
              <w:spacing w:after="0"/>
              <w:rPr>
                <w:sz w:val="20"/>
                <w:szCs w:val="20"/>
                <w:color w:val="auto"/>
              </w:rPr>
            </w:pPr>
            <w:r>
              <w:rPr>
                <w:rFonts w:ascii="Arial" w:cs="Arial" w:eastAsia="Arial" w:hAnsi="Arial"/>
                <w:sz w:val="18"/>
                <w:szCs w:val="18"/>
                <w:color w:val="auto"/>
              </w:rPr>
              <w:t>CAPP</w:t>
            </w:r>
          </w:p>
        </w:tc>
        <w:tc>
          <w:tcPr>
            <w:tcW w:w="8500" w:type="dxa"/>
            <w:vAlign w:val="bottom"/>
          </w:tcPr>
          <w:p>
            <w:pPr>
              <w:ind w:left="100"/>
              <w:spacing w:after="0"/>
              <w:rPr>
                <w:sz w:val="20"/>
                <w:szCs w:val="20"/>
                <w:color w:val="auto"/>
              </w:rPr>
            </w:pPr>
            <w:r>
              <w:rPr>
                <w:rFonts w:ascii="Arial" w:cs="Arial" w:eastAsia="Arial" w:hAnsi="Arial"/>
                <w:sz w:val="18"/>
                <w:szCs w:val="18"/>
                <w:color w:val="auto"/>
                <w:w w:val="91"/>
              </w:rPr>
              <w:t>Customer Appliance Protection Plan, which provides appliance repair services to residential natural gas customers</w:t>
            </w:r>
          </w:p>
        </w:tc>
      </w:tr>
      <w:tr>
        <w:trPr>
          <w:trHeight w:val="216"/>
        </w:trPr>
        <w:tc>
          <w:tcPr>
            <w:tcW w:w="2740" w:type="dxa"/>
            <w:vAlign w:val="bottom"/>
          </w:tcPr>
          <w:p>
            <w:pPr>
              <w:spacing w:after="0"/>
              <w:rPr>
                <w:sz w:val="18"/>
                <w:szCs w:val="18"/>
                <w:color w:val="auto"/>
              </w:rPr>
            </w:pPr>
          </w:p>
        </w:tc>
        <w:tc>
          <w:tcPr>
            <w:tcW w:w="8500" w:type="dxa"/>
            <w:vAlign w:val="bottom"/>
          </w:tcPr>
          <w:p>
            <w:pPr>
              <w:ind w:left="100"/>
              <w:spacing w:after="0"/>
              <w:rPr>
                <w:sz w:val="20"/>
                <w:szCs w:val="20"/>
                <w:color w:val="auto"/>
              </w:rPr>
            </w:pPr>
            <w:r>
              <w:rPr>
                <w:rFonts w:ascii="Arial" w:cs="Arial" w:eastAsia="Arial" w:hAnsi="Arial"/>
                <w:sz w:val="18"/>
                <w:szCs w:val="18"/>
                <w:color w:val="auto"/>
                <w:w w:val="94"/>
              </w:rPr>
              <w:t>through on-going monthly service agreements. The consolidation of the existing Service Guard and CAPP plans</w:t>
            </w:r>
          </w:p>
        </w:tc>
      </w:tr>
      <w:tr>
        <w:trPr>
          <w:trHeight w:val="230"/>
        </w:trPr>
        <w:tc>
          <w:tcPr>
            <w:tcW w:w="2740" w:type="dxa"/>
            <w:vAlign w:val="bottom"/>
          </w:tcPr>
          <w:p>
            <w:pPr>
              <w:spacing w:after="0"/>
              <w:rPr>
                <w:sz w:val="20"/>
                <w:szCs w:val="20"/>
                <w:color w:val="auto"/>
              </w:rPr>
            </w:pPr>
          </w:p>
        </w:tc>
        <w:tc>
          <w:tcPr>
            <w:tcW w:w="8500" w:type="dxa"/>
            <w:vAlign w:val="bottom"/>
          </w:tcPr>
          <w:p>
            <w:pPr>
              <w:ind w:left="100"/>
              <w:spacing w:after="0"/>
              <w:rPr>
                <w:sz w:val="20"/>
                <w:szCs w:val="20"/>
                <w:color w:val="auto"/>
              </w:rPr>
            </w:pPr>
            <w:r>
              <w:rPr>
                <w:rFonts w:ascii="Arial" w:cs="Arial" w:eastAsia="Arial" w:hAnsi="Arial"/>
                <w:sz w:val="18"/>
                <w:szCs w:val="18"/>
                <w:color w:val="auto"/>
              </w:rPr>
              <w:t>into the revamped Service Guard Comfort Plan is currently underway across our service territories.</w:t>
            </w:r>
          </w:p>
        </w:tc>
      </w:tr>
      <w:tr>
        <w:trPr>
          <w:trHeight w:val="27"/>
        </w:trPr>
        <w:tc>
          <w:tcPr>
            <w:tcW w:w="2740" w:type="dxa"/>
            <w:vAlign w:val="bottom"/>
          </w:tcPr>
          <w:p>
            <w:pPr>
              <w:spacing w:after="0"/>
              <w:rPr>
                <w:sz w:val="2"/>
                <w:szCs w:val="2"/>
                <w:color w:val="auto"/>
              </w:rPr>
            </w:pPr>
          </w:p>
        </w:tc>
        <w:tc>
          <w:tcPr>
            <w:tcW w:w="8500" w:type="dxa"/>
            <w:vAlign w:val="bottom"/>
          </w:tcPr>
          <w:p>
            <w:pPr>
              <w:spacing w:after="0"/>
              <w:rPr>
                <w:sz w:val="2"/>
                <w:szCs w:val="2"/>
                <w:color w:val="auto"/>
              </w:rPr>
            </w:pPr>
          </w:p>
        </w:tc>
      </w:tr>
      <w:tr>
        <w:trPr>
          <w:trHeight w:val="229"/>
        </w:trPr>
        <w:tc>
          <w:tcPr>
            <w:tcW w:w="2740" w:type="dxa"/>
            <w:vAlign w:val="bottom"/>
            <w:shd w:val="clear" w:color="auto" w:fill="CEFFE7"/>
          </w:tcPr>
          <w:p>
            <w:pPr>
              <w:ind w:left="40"/>
              <w:spacing w:after="0"/>
              <w:rPr>
                <w:sz w:val="20"/>
                <w:szCs w:val="20"/>
                <w:color w:val="auto"/>
              </w:rPr>
            </w:pPr>
            <w:r>
              <w:rPr>
                <w:rFonts w:ascii="Arial" w:cs="Arial" w:eastAsia="Arial" w:hAnsi="Arial"/>
                <w:sz w:val="18"/>
                <w:szCs w:val="18"/>
                <w:color w:val="auto"/>
              </w:rPr>
              <w:t>CARES Act</w:t>
            </w:r>
          </w:p>
        </w:tc>
        <w:tc>
          <w:tcPr>
            <w:tcW w:w="8500" w:type="dxa"/>
            <w:vAlign w:val="bottom"/>
            <w:shd w:val="clear" w:color="auto" w:fill="CEFFE7"/>
          </w:tcPr>
          <w:p>
            <w:pPr>
              <w:ind w:left="100"/>
              <w:spacing w:after="0"/>
              <w:rPr>
                <w:sz w:val="20"/>
                <w:szCs w:val="20"/>
                <w:color w:val="auto"/>
              </w:rPr>
            </w:pPr>
            <w:r>
              <w:rPr>
                <w:rFonts w:ascii="Arial" w:cs="Arial" w:eastAsia="Arial" w:hAnsi="Arial"/>
                <w:sz w:val="18"/>
                <w:szCs w:val="18"/>
                <w:color w:val="auto"/>
                <w:w w:val="97"/>
              </w:rPr>
              <w:t>Coronavirus Aid, Relief, and Economic Security Act, signed on March 27, 2020, which is a tax and spending</w:t>
            </w:r>
          </w:p>
        </w:tc>
      </w:tr>
      <w:tr>
        <w:trPr>
          <w:trHeight w:val="237"/>
        </w:trPr>
        <w:tc>
          <w:tcPr>
            <w:tcW w:w="2740" w:type="dxa"/>
            <w:vAlign w:val="bottom"/>
            <w:tcBorders>
              <w:bottom w:val="single" w:sz="8" w:color="CEFFE7"/>
            </w:tcBorders>
            <w:shd w:val="clear" w:color="auto" w:fill="CEFFE7"/>
          </w:tcPr>
          <w:p>
            <w:pPr>
              <w:spacing w:after="0"/>
              <w:rPr>
                <w:sz w:val="20"/>
                <w:szCs w:val="20"/>
                <w:color w:val="auto"/>
              </w:rPr>
            </w:pPr>
          </w:p>
        </w:tc>
        <w:tc>
          <w:tcPr>
            <w:tcW w:w="8500" w:type="dxa"/>
            <w:vAlign w:val="bottom"/>
            <w:tcBorders>
              <w:bottom w:val="single" w:sz="8" w:color="CEFFE7"/>
            </w:tcBorders>
            <w:shd w:val="clear" w:color="auto" w:fill="CEFFE7"/>
          </w:tcPr>
          <w:p>
            <w:pPr>
              <w:ind w:left="100"/>
              <w:spacing w:after="0"/>
              <w:rPr>
                <w:sz w:val="20"/>
                <w:szCs w:val="20"/>
                <w:color w:val="auto"/>
              </w:rPr>
            </w:pPr>
            <w:r>
              <w:rPr>
                <w:rFonts w:ascii="Arial" w:cs="Arial" w:eastAsia="Arial" w:hAnsi="Arial"/>
                <w:sz w:val="18"/>
                <w:szCs w:val="18"/>
                <w:color w:val="auto"/>
                <w:w w:val="98"/>
              </w:rPr>
              <w:t>package intended to provide additional economic relief and address the impact of the COVID-19 pandemic.</w:t>
            </w:r>
          </w:p>
        </w:tc>
      </w:tr>
      <w:tr>
        <w:trPr>
          <w:trHeight w:val="229"/>
        </w:trPr>
        <w:tc>
          <w:tcPr>
            <w:tcW w:w="2740" w:type="dxa"/>
            <w:vAlign w:val="bottom"/>
          </w:tcPr>
          <w:p>
            <w:pPr>
              <w:ind w:left="40"/>
              <w:spacing w:after="0"/>
              <w:rPr>
                <w:sz w:val="20"/>
                <w:szCs w:val="20"/>
                <w:color w:val="auto"/>
              </w:rPr>
            </w:pPr>
            <w:r>
              <w:rPr>
                <w:rFonts w:ascii="Arial" w:cs="Arial" w:eastAsia="Arial" w:hAnsi="Arial"/>
                <w:sz w:val="18"/>
                <w:szCs w:val="18"/>
                <w:color w:val="auto"/>
              </w:rPr>
              <w:t>Cheyenne Light</w:t>
            </w:r>
          </w:p>
        </w:tc>
        <w:tc>
          <w:tcPr>
            <w:tcW w:w="8500" w:type="dxa"/>
            <w:vAlign w:val="bottom"/>
          </w:tcPr>
          <w:p>
            <w:pPr>
              <w:ind w:left="100"/>
              <w:spacing w:after="0"/>
              <w:rPr>
                <w:sz w:val="20"/>
                <w:szCs w:val="20"/>
                <w:color w:val="auto"/>
              </w:rPr>
            </w:pPr>
            <w:r>
              <w:rPr>
                <w:rFonts w:ascii="Arial" w:cs="Arial" w:eastAsia="Arial" w:hAnsi="Arial"/>
                <w:sz w:val="18"/>
                <w:szCs w:val="18"/>
                <w:color w:val="auto"/>
              </w:rPr>
              <w:t>Cheyenne Light, Fuel and Power Company, a direct, wholly-owned subsidiary of Black Hills Corporation,</w:t>
            </w:r>
          </w:p>
        </w:tc>
      </w:tr>
      <w:tr>
        <w:trPr>
          <w:trHeight w:val="216"/>
        </w:trPr>
        <w:tc>
          <w:tcPr>
            <w:tcW w:w="2740" w:type="dxa"/>
            <w:vAlign w:val="bottom"/>
          </w:tcPr>
          <w:p>
            <w:pPr>
              <w:spacing w:after="0"/>
              <w:rPr>
                <w:sz w:val="18"/>
                <w:szCs w:val="18"/>
                <w:color w:val="auto"/>
              </w:rPr>
            </w:pPr>
          </w:p>
        </w:tc>
        <w:tc>
          <w:tcPr>
            <w:tcW w:w="8500" w:type="dxa"/>
            <w:vAlign w:val="bottom"/>
          </w:tcPr>
          <w:p>
            <w:pPr>
              <w:ind w:left="100"/>
              <w:spacing w:after="0"/>
              <w:rPr>
                <w:sz w:val="20"/>
                <w:szCs w:val="20"/>
                <w:color w:val="auto"/>
              </w:rPr>
            </w:pPr>
            <w:r>
              <w:rPr>
                <w:rFonts w:ascii="Arial" w:cs="Arial" w:eastAsia="Arial" w:hAnsi="Arial"/>
                <w:sz w:val="18"/>
                <w:szCs w:val="18"/>
                <w:color w:val="auto"/>
                <w:w w:val="93"/>
              </w:rPr>
              <w:t>providing electric service in the Cheyenne, Wyoming area (doing business as Black Hills Energy). Also known as</w:t>
            </w:r>
          </w:p>
        </w:tc>
      </w:tr>
      <w:tr>
        <w:trPr>
          <w:trHeight w:val="230"/>
        </w:trPr>
        <w:tc>
          <w:tcPr>
            <w:tcW w:w="2740" w:type="dxa"/>
            <w:vAlign w:val="bottom"/>
          </w:tcPr>
          <w:p>
            <w:pPr>
              <w:spacing w:after="0"/>
              <w:rPr>
                <w:sz w:val="20"/>
                <w:szCs w:val="20"/>
                <w:color w:val="auto"/>
              </w:rPr>
            </w:pPr>
          </w:p>
        </w:tc>
        <w:tc>
          <w:tcPr>
            <w:tcW w:w="8500" w:type="dxa"/>
            <w:vAlign w:val="bottom"/>
          </w:tcPr>
          <w:p>
            <w:pPr>
              <w:ind w:left="100"/>
              <w:spacing w:after="0"/>
              <w:rPr>
                <w:sz w:val="20"/>
                <w:szCs w:val="20"/>
                <w:color w:val="auto"/>
              </w:rPr>
            </w:pPr>
            <w:r>
              <w:rPr>
                <w:rFonts w:ascii="Arial" w:cs="Arial" w:eastAsia="Arial" w:hAnsi="Arial"/>
                <w:sz w:val="18"/>
                <w:szCs w:val="18"/>
                <w:color w:val="auto"/>
              </w:rPr>
              <w:t>Wyoming Electric.</w:t>
            </w:r>
          </w:p>
        </w:tc>
      </w:tr>
      <w:tr>
        <w:trPr>
          <w:trHeight w:val="27"/>
        </w:trPr>
        <w:tc>
          <w:tcPr>
            <w:tcW w:w="2740" w:type="dxa"/>
            <w:vAlign w:val="bottom"/>
          </w:tcPr>
          <w:p>
            <w:pPr>
              <w:spacing w:after="0"/>
              <w:rPr>
                <w:sz w:val="2"/>
                <w:szCs w:val="2"/>
                <w:color w:val="auto"/>
              </w:rPr>
            </w:pPr>
          </w:p>
        </w:tc>
        <w:tc>
          <w:tcPr>
            <w:tcW w:w="8500" w:type="dxa"/>
            <w:vAlign w:val="bottom"/>
          </w:tcPr>
          <w:p>
            <w:pPr>
              <w:spacing w:after="0"/>
              <w:rPr>
                <w:sz w:val="2"/>
                <w:szCs w:val="2"/>
                <w:color w:val="auto"/>
              </w:rPr>
            </w:pPr>
          </w:p>
        </w:tc>
      </w:tr>
      <w:tr>
        <w:trPr>
          <w:trHeight w:val="229"/>
        </w:trPr>
        <w:tc>
          <w:tcPr>
            <w:tcW w:w="2740" w:type="dxa"/>
            <w:vAlign w:val="bottom"/>
            <w:shd w:val="clear" w:color="auto" w:fill="CEFFE7"/>
          </w:tcPr>
          <w:p>
            <w:pPr>
              <w:ind w:left="40"/>
              <w:spacing w:after="0"/>
              <w:rPr>
                <w:sz w:val="20"/>
                <w:szCs w:val="20"/>
                <w:color w:val="auto"/>
              </w:rPr>
            </w:pPr>
            <w:r>
              <w:rPr>
                <w:rFonts w:ascii="Arial" w:cs="Arial" w:eastAsia="Arial" w:hAnsi="Arial"/>
                <w:sz w:val="18"/>
                <w:szCs w:val="18"/>
                <w:color w:val="auto"/>
              </w:rPr>
              <w:t>Choice Gas Program</w:t>
            </w:r>
          </w:p>
        </w:tc>
        <w:tc>
          <w:tcPr>
            <w:tcW w:w="8500" w:type="dxa"/>
            <w:vAlign w:val="bottom"/>
            <w:shd w:val="clear" w:color="auto" w:fill="CEFFE7"/>
          </w:tcPr>
          <w:p>
            <w:pPr>
              <w:ind w:left="100"/>
              <w:spacing w:after="0"/>
              <w:rPr>
                <w:sz w:val="20"/>
                <w:szCs w:val="20"/>
                <w:color w:val="auto"/>
              </w:rPr>
            </w:pPr>
            <w:r>
              <w:rPr>
                <w:rFonts w:ascii="Arial" w:cs="Arial" w:eastAsia="Arial" w:hAnsi="Arial"/>
                <w:sz w:val="18"/>
                <w:szCs w:val="18"/>
                <w:color w:val="auto"/>
                <w:w w:val="92"/>
              </w:rPr>
              <w:t>Regulator-approved programs in Wyoming and Nebraska that allow certain utility customers to select their natural</w:t>
            </w:r>
          </w:p>
        </w:tc>
      </w:tr>
      <w:tr>
        <w:trPr>
          <w:trHeight w:val="216"/>
        </w:trPr>
        <w:tc>
          <w:tcPr>
            <w:tcW w:w="2740" w:type="dxa"/>
            <w:vAlign w:val="bottom"/>
            <w:shd w:val="clear" w:color="auto" w:fill="CEFFE7"/>
          </w:tcPr>
          <w:p>
            <w:pPr>
              <w:spacing w:after="0"/>
              <w:rPr>
                <w:sz w:val="18"/>
                <w:szCs w:val="18"/>
                <w:color w:val="auto"/>
              </w:rPr>
            </w:pPr>
          </w:p>
        </w:tc>
        <w:tc>
          <w:tcPr>
            <w:tcW w:w="8500" w:type="dxa"/>
            <w:vAlign w:val="bottom"/>
            <w:shd w:val="clear" w:color="auto" w:fill="CEFFE7"/>
          </w:tcPr>
          <w:p>
            <w:pPr>
              <w:ind w:left="100"/>
              <w:spacing w:after="0"/>
              <w:rPr>
                <w:sz w:val="20"/>
                <w:szCs w:val="20"/>
                <w:color w:val="auto"/>
              </w:rPr>
            </w:pPr>
            <w:r>
              <w:rPr>
                <w:rFonts w:ascii="Arial" w:cs="Arial" w:eastAsia="Arial" w:hAnsi="Arial"/>
                <w:sz w:val="18"/>
                <w:szCs w:val="18"/>
                <w:color w:val="auto"/>
                <w:w w:val="97"/>
              </w:rPr>
              <w:t>gas commodity supplier, providing for the unbundling of the commodity service from the distribution delivery</w:t>
            </w:r>
          </w:p>
        </w:tc>
      </w:tr>
      <w:tr>
        <w:trPr>
          <w:trHeight w:val="237"/>
        </w:trPr>
        <w:tc>
          <w:tcPr>
            <w:tcW w:w="2740" w:type="dxa"/>
            <w:vAlign w:val="bottom"/>
            <w:tcBorders>
              <w:bottom w:val="single" w:sz="8" w:color="CEFFE7"/>
            </w:tcBorders>
            <w:shd w:val="clear" w:color="auto" w:fill="CEFFE7"/>
          </w:tcPr>
          <w:p>
            <w:pPr>
              <w:spacing w:after="0"/>
              <w:rPr>
                <w:sz w:val="20"/>
                <w:szCs w:val="20"/>
                <w:color w:val="auto"/>
              </w:rPr>
            </w:pPr>
          </w:p>
        </w:tc>
        <w:tc>
          <w:tcPr>
            <w:tcW w:w="8500" w:type="dxa"/>
            <w:vAlign w:val="bottom"/>
            <w:tcBorders>
              <w:bottom w:val="single" w:sz="8" w:color="CEFFE7"/>
            </w:tcBorders>
            <w:shd w:val="clear" w:color="auto" w:fill="CEFFE7"/>
          </w:tcPr>
          <w:p>
            <w:pPr>
              <w:ind w:left="100"/>
              <w:spacing w:after="0"/>
              <w:rPr>
                <w:sz w:val="20"/>
                <w:szCs w:val="20"/>
                <w:color w:val="auto"/>
              </w:rPr>
            </w:pPr>
            <w:r>
              <w:rPr>
                <w:rFonts w:ascii="Arial" w:cs="Arial" w:eastAsia="Arial" w:hAnsi="Arial"/>
                <w:sz w:val="18"/>
                <w:szCs w:val="18"/>
                <w:color w:val="auto"/>
              </w:rPr>
              <w:t>service.</w:t>
            </w: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City of Gillette</w:t>
            </w:r>
          </w:p>
        </w:tc>
        <w:tc>
          <w:tcPr>
            <w:tcW w:w="8500" w:type="dxa"/>
            <w:vAlign w:val="bottom"/>
          </w:tcPr>
          <w:p>
            <w:pPr>
              <w:ind w:left="100"/>
              <w:spacing w:after="0"/>
              <w:rPr>
                <w:sz w:val="20"/>
                <w:szCs w:val="20"/>
                <w:color w:val="auto"/>
              </w:rPr>
            </w:pPr>
            <w:r>
              <w:rPr>
                <w:rFonts w:ascii="Arial" w:cs="Arial" w:eastAsia="Arial" w:hAnsi="Arial"/>
                <w:sz w:val="18"/>
                <w:szCs w:val="18"/>
                <w:color w:val="auto"/>
              </w:rPr>
              <w:t>Gillette, Wyoming</w:t>
            </w:r>
          </w:p>
        </w:tc>
      </w:tr>
      <w:tr>
        <w:trPr>
          <w:trHeight w:val="27"/>
        </w:trPr>
        <w:tc>
          <w:tcPr>
            <w:tcW w:w="2740" w:type="dxa"/>
            <w:vAlign w:val="bottom"/>
          </w:tcPr>
          <w:p>
            <w:pPr>
              <w:spacing w:after="0"/>
              <w:rPr>
                <w:sz w:val="2"/>
                <w:szCs w:val="2"/>
                <w:color w:val="auto"/>
              </w:rPr>
            </w:pPr>
          </w:p>
        </w:tc>
        <w:tc>
          <w:tcPr>
            <w:tcW w:w="8500" w:type="dxa"/>
            <w:vAlign w:val="bottom"/>
          </w:tcPr>
          <w:p>
            <w:pPr>
              <w:spacing w:after="0"/>
              <w:rPr>
                <w:sz w:val="2"/>
                <w:szCs w:val="2"/>
                <w:color w:val="auto"/>
              </w:rPr>
            </w:pPr>
          </w:p>
        </w:tc>
      </w:tr>
      <w:tr>
        <w:trPr>
          <w:trHeight w:val="229"/>
        </w:trPr>
        <w:tc>
          <w:tcPr>
            <w:tcW w:w="2740" w:type="dxa"/>
            <w:vAlign w:val="bottom"/>
            <w:shd w:val="clear" w:color="auto" w:fill="CEFFE7"/>
          </w:tcPr>
          <w:p>
            <w:pPr>
              <w:ind w:left="40"/>
              <w:spacing w:after="0"/>
              <w:rPr>
                <w:sz w:val="20"/>
                <w:szCs w:val="20"/>
                <w:color w:val="auto"/>
              </w:rPr>
            </w:pPr>
            <w:r>
              <w:rPr>
                <w:rFonts w:ascii="Arial" w:cs="Arial" w:eastAsia="Arial" w:hAnsi="Arial"/>
                <w:sz w:val="18"/>
                <w:szCs w:val="18"/>
                <w:color w:val="auto"/>
              </w:rPr>
              <w:t>Colorado Electric</w:t>
            </w:r>
          </w:p>
        </w:tc>
        <w:tc>
          <w:tcPr>
            <w:tcW w:w="8500" w:type="dxa"/>
            <w:vAlign w:val="bottom"/>
            <w:shd w:val="clear" w:color="auto" w:fill="CEFFE7"/>
          </w:tcPr>
          <w:p>
            <w:pPr>
              <w:ind w:left="100"/>
              <w:spacing w:after="0"/>
              <w:rPr>
                <w:sz w:val="20"/>
                <w:szCs w:val="20"/>
                <w:color w:val="auto"/>
              </w:rPr>
            </w:pPr>
            <w:r>
              <w:rPr>
                <w:rFonts w:ascii="Arial" w:cs="Arial" w:eastAsia="Arial" w:hAnsi="Arial"/>
                <w:sz w:val="18"/>
                <w:szCs w:val="18"/>
                <w:color w:val="auto"/>
              </w:rPr>
              <w:t>Black Hills Colorado Electric, LLC, a direct, wholly-owned subsidiary of Black Hills</w:t>
            </w:r>
          </w:p>
        </w:tc>
      </w:tr>
      <w:tr>
        <w:trPr>
          <w:trHeight w:val="237"/>
        </w:trPr>
        <w:tc>
          <w:tcPr>
            <w:tcW w:w="2740" w:type="dxa"/>
            <w:vAlign w:val="bottom"/>
            <w:tcBorders>
              <w:bottom w:val="single" w:sz="8" w:color="CEFFE7"/>
            </w:tcBorders>
            <w:shd w:val="clear" w:color="auto" w:fill="CEFFE7"/>
          </w:tcPr>
          <w:p>
            <w:pPr>
              <w:spacing w:after="0"/>
              <w:rPr>
                <w:sz w:val="20"/>
                <w:szCs w:val="20"/>
                <w:color w:val="auto"/>
              </w:rPr>
            </w:pPr>
          </w:p>
        </w:tc>
        <w:tc>
          <w:tcPr>
            <w:tcW w:w="8500" w:type="dxa"/>
            <w:vAlign w:val="bottom"/>
            <w:tcBorders>
              <w:bottom w:val="single" w:sz="8" w:color="CEFFE7"/>
            </w:tcBorders>
            <w:shd w:val="clear" w:color="auto" w:fill="CEFFE7"/>
          </w:tcPr>
          <w:p>
            <w:pPr>
              <w:ind w:left="100"/>
              <w:spacing w:after="0"/>
              <w:rPr>
                <w:sz w:val="20"/>
                <w:szCs w:val="20"/>
                <w:color w:val="auto"/>
              </w:rPr>
            </w:pPr>
            <w:r>
              <w:rPr>
                <w:rFonts w:ascii="Arial" w:cs="Arial" w:eastAsia="Arial" w:hAnsi="Arial"/>
                <w:sz w:val="18"/>
                <w:szCs w:val="18"/>
                <w:color w:val="auto"/>
                <w:w w:val="98"/>
              </w:rPr>
              <w:t>Utility Holdings, providing electric service to customers in Colorado (doing business as Black Hills Energy).</w:t>
            </w:r>
          </w:p>
        </w:tc>
      </w:tr>
      <w:tr>
        <w:trPr>
          <w:trHeight w:val="229"/>
        </w:trPr>
        <w:tc>
          <w:tcPr>
            <w:tcW w:w="2740" w:type="dxa"/>
            <w:vAlign w:val="bottom"/>
          </w:tcPr>
          <w:p>
            <w:pPr>
              <w:ind w:left="40"/>
              <w:spacing w:after="0"/>
              <w:rPr>
                <w:sz w:val="20"/>
                <w:szCs w:val="20"/>
                <w:color w:val="auto"/>
              </w:rPr>
            </w:pPr>
            <w:r>
              <w:rPr>
                <w:rFonts w:ascii="Arial" w:cs="Arial" w:eastAsia="Arial" w:hAnsi="Arial"/>
                <w:sz w:val="18"/>
                <w:szCs w:val="18"/>
                <w:color w:val="auto"/>
              </w:rPr>
              <w:t>Colorado Gas</w:t>
            </w:r>
          </w:p>
        </w:tc>
        <w:tc>
          <w:tcPr>
            <w:tcW w:w="8500" w:type="dxa"/>
            <w:vAlign w:val="bottom"/>
          </w:tcPr>
          <w:p>
            <w:pPr>
              <w:ind w:left="100"/>
              <w:spacing w:after="0"/>
              <w:rPr>
                <w:sz w:val="20"/>
                <w:szCs w:val="20"/>
                <w:color w:val="auto"/>
              </w:rPr>
            </w:pPr>
            <w:r>
              <w:rPr>
                <w:rFonts w:ascii="Arial" w:cs="Arial" w:eastAsia="Arial" w:hAnsi="Arial"/>
                <w:sz w:val="18"/>
                <w:szCs w:val="18"/>
                <w:color w:val="auto"/>
                <w:w w:val="98"/>
              </w:rPr>
              <w:t>Black Hills Colorado Gas, Inc., an indirect, wholly-owned subsidiary of Black Hills Utility Holdings, providing</w:t>
            </w:r>
          </w:p>
        </w:tc>
      </w:tr>
      <w:tr>
        <w:trPr>
          <w:trHeight w:val="230"/>
        </w:trPr>
        <w:tc>
          <w:tcPr>
            <w:tcW w:w="2740" w:type="dxa"/>
            <w:vAlign w:val="bottom"/>
          </w:tcPr>
          <w:p>
            <w:pPr>
              <w:spacing w:after="0"/>
              <w:rPr>
                <w:sz w:val="20"/>
                <w:szCs w:val="20"/>
                <w:color w:val="auto"/>
              </w:rPr>
            </w:pPr>
          </w:p>
        </w:tc>
        <w:tc>
          <w:tcPr>
            <w:tcW w:w="8500" w:type="dxa"/>
            <w:vAlign w:val="bottom"/>
          </w:tcPr>
          <w:p>
            <w:pPr>
              <w:ind w:left="100"/>
              <w:spacing w:after="0"/>
              <w:rPr>
                <w:sz w:val="20"/>
                <w:szCs w:val="20"/>
                <w:color w:val="auto"/>
              </w:rPr>
            </w:pPr>
            <w:r>
              <w:rPr>
                <w:rFonts w:ascii="Arial" w:cs="Arial" w:eastAsia="Arial" w:hAnsi="Arial"/>
                <w:sz w:val="18"/>
                <w:szCs w:val="18"/>
                <w:color w:val="auto"/>
              </w:rPr>
              <w:t>natural gas services to customers in Colorado (doing business as Black Hills Energy).</w:t>
            </w:r>
          </w:p>
        </w:tc>
      </w:tr>
      <w:tr>
        <w:trPr>
          <w:trHeight w:val="459"/>
        </w:trPr>
        <w:tc>
          <w:tcPr>
            <w:tcW w:w="2740" w:type="dxa"/>
            <w:vAlign w:val="bottom"/>
          </w:tcPr>
          <w:p>
            <w:pPr>
              <w:spacing w:after="0"/>
              <w:rPr>
                <w:sz w:val="24"/>
                <w:szCs w:val="24"/>
                <w:color w:val="auto"/>
              </w:rPr>
            </w:pPr>
          </w:p>
        </w:tc>
        <w:tc>
          <w:tcPr>
            <w:tcW w:w="8500" w:type="dxa"/>
            <w:vAlign w:val="bottom"/>
          </w:tcPr>
          <w:p>
            <w:pPr>
              <w:ind w:left="284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240"/>
          </w:cols>
          <w:pgMar w:left="320" w:top="126" w:right="339" w:bottom="1440" w:gutter="0" w:footer="0" w:header="0"/>
        </w:sectPr>
      </w:pPr>
    </w:p>
    <w:bookmarkStart w:id="4" w:name="page5"/>
    <w:bookmarkEnd w:id="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500" w:type="dxa"/>
            <w:vAlign w:val="bottom"/>
            <w:shd w:val="clear" w:color="auto" w:fill="CEFFE7"/>
          </w:tcPr>
          <w:p>
            <w:pPr>
              <w:ind w:left="40"/>
              <w:spacing w:after="0"/>
              <w:rPr>
                <w:sz w:val="20"/>
                <w:szCs w:val="20"/>
                <w:color w:val="auto"/>
              </w:rPr>
            </w:pPr>
            <w:r>
              <w:rPr>
                <w:rFonts w:ascii="Arial" w:cs="Arial" w:eastAsia="Arial" w:hAnsi="Arial"/>
                <w:sz w:val="18"/>
                <w:szCs w:val="18"/>
                <w:color w:val="auto"/>
              </w:rPr>
              <w:t>Consolidated Indebtedness to</w:t>
            </w:r>
          </w:p>
        </w:tc>
        <w:tc>
          <w:tcPr>
            <w:tcW w:w="8740" w:type="dxa"/>
            <w:vAlign w:val="bottom"/>
            <w:shd w:val="clear" w:color="auto" w:fill="CEFFE7"/>
          </w:tcPr>
          <w:p>
            <w:pPr>
              <w:ind w:left="340"/>
              <w:spacing w:after="0"/>
              <w:rPr>
                <w:sz w:val="20"/>
                <w:szCs w:val="20"/>
                <w:color w:val="auto"/>
              </w:rPr>
            </w:pPr>
            <w:r>
              <w:rPr>
                <w:rFonts w:ascii="Arial" w:cs="Arial" w:eastAsia="Arial" w:hAnsi="Arial"/>
                <w:sz w:val="18"/>
                <w:szCs w:val="18"/>
                <w:color w:val="auto"/>
                <w:w w:val="93"/>
              </w:rPr>
              <w:t>Any indebtedness outstanding at such time, divided by capital at such time. Capital being consolidated net worth</w:t>
            </w:r>
          </w:p>
        </w:tc>
      </w:tr>
      <w:tr>
        <w:trPr>
          <w:trHeight w:val="216"/>
        </w:trPr>
        <w:tc>
          <w:tcPr>
            <w:tcW w:w="2500" w:type="dxa"/>
            <w:vAlign w:val="bottom"/>
            <w:shd w:val="clear" w:color="auto" w:fill="CEFFE7"/>
          </w:tcPr>
          <w:p>
            <w:pPr>
              <w:ind w:left="40"/>
              <w:spacing w:after="0"/>
              <w:rPr>
                <w:sz w:val="20"/>
                <w:szCs w:val="20"/>
                <w:color w:val="auto"/>
              </w:rPr>
            </w:pPr>
            <w:r>
              <w:rPr>
                <w:rFonts w:ascii="Arial" w:cs="Arial" w:eastAsia="Arial" w:hAnsi="Arial"/>
                <w:sz w:val="18"/>
                <w:szCs w:val="18"/>
                <w:color w:val="auto"/>
              </w:rPr>
              <w:t>Capitalization Ratio</w:t>
            </w:r>
          </w:p>
        </w:tc>
        <w:tc>
          <w:tcPr>
            <w:tcW w:w="8740" w:type="dxa"/>
            <w:vAlign w:val="bottom"/>
            <w:shd w:val="clear" w:color="auto" w:fill="CEFFE7"/>
          </w:tcPr>
          <w:p>
            <w:pPr>
              <w:ind w:left="340"/>
              <w:spacing w:after="0"/>
              <w:rPr>
                <w:sz w:val="20"/>
                <w:szCs w:val="20"/>
                <w:color w:val="auto"/>
              </w:rPr>
            </w:pPr>
            <w:r>
              <w:rPr>
                <w:rFonts w:ascii="Arial" w:cs="Arial" w:eastAsia="Arial" w:hAnsi="Arial"/>
                <w:sz w:val="18"/>
                <w:szCs w:val="18"/>
                <w:color w:val="auto"/>
                <w:w w:val="91"/>
              </w:rPr>
              <w:t>(excluding noncontrolling interest) plus consolidated indebtedness (including letters of credit and certain guarantees</w:t>
            </w:r>
          </w:p>
        </w:tc>
      </w:tr>
      <w:tr>
        <w:trPr>
          <w:trHeight w:val="237"/>
        </w:trPr>
        <w:tc>
          <w:tcPr>
            <w:tcW w:w="2500" w:type="dxa"/>
            <w:vAlign w:val="bottom"/>
            <w:tcBorders>
              <w:bottom w:val="single" w:sz="8" w:color="CEFFE7"/>
            </w:tcBorders>
            <w:shd w:val="clear" w:color="auto" w:fill="CEFFE7"/>
          </w:tcPr>
          <w:p>
            <w:pPr>
              <w:spacing w:after="0"/>
              <w:rPr>
                <w:sz w:val="20"/>
                <w:szCs w:val="20"/>
                <w:color w:val="auto"/>
              </w:rPr>
            </w:pPr>
          </w:p>
        </w:tc>
        <w:tc>
          <w:tcPr>
            <w:tcW w:w="8740" w:type="dxa"/>
            <w:vAlign w:val="bottom"/>
            <w:tcBorders>
              <w:bottom w:val="single" w:sz="8" w:color="CEFFE7"/>
            </w:tcBorders>
            <w:shd w:val="clear" w:color="auto" w:fill="CEFFE7"/>
          </w:tcPr>
          <w:p>
            <w:pPr>
              <w:ind w:left="340"/>
              <w:spacing w:after="0"/>
              <w:rPr>
                <w:sz w:val="20"/>
                <w:szCs w:val="20"/>
                <w:color w:val="auto"/>
              </w:rPr>
            </w:pPr>
            <w:r>
              <w:rPr>
                <w:rFonts w:ascii="Arial" w:cs="Arial" w:eastAsia="Arial" w:hAnsi="Arial"/>
                <w:sz w:val="18"/>
                <w:szCs w:val="18"/>
                <w:color w:val="auto"/>
              </w:rPr>
              <w:t>issued) as defined within the current Revolving Credit Facility.</w:t>
            </w:r>
          </w:p>
        </w:tc>
      </w:tr>
      <w:tr>
        <w:trPr>
          <w:trHeight w:val="229"/>
        </w:trPr>
        <w:tc>
          <w:tcPr>
            <w:tcW w:w="2500" w:type="dxa"/>
            <w:vAlign w:val="bottom"/>
          </w:tcPr>
          <w:p>
            <w:pPr>
              <w:ind w:left="40"/>
              <w:spacing w:after="0"/>
              <w:rPr>
                <w:sz w:val="20"/>
                <w:szCs w:val="20"/>
                <w:color w:val="auto"/>
              </w:rPr>
            </w:pPr>
            <w:r>
              <w:rPr>
                <w:rFonts w:ascii="Arial" w:cs="Arial" w:eastAsia="Arial" w:hAnsi="Arial"/>
                <w:sz w:val="18"/>
                <w:szCs w:val="18"/>
                <w:color w:val="auto"/>
              </w:rPr>
              <w:t>Cooling Degree Day (CDD)</w:t>
            </w:r>
          </w:p>
        </w:tc>
        <w:tc>
          <w:tcPr>
            <w:tcW w:w="8740" w:type="dxa"/>
            <w:vAlign w:val="bottom"/>
          </w:tcPr>
          <w:p>
            <w:pPr>
              <w:ind w:left="340"/>
              <w:spacing w:after="0"/>
              <w:rPr>
                <w:sz w:val="20"/>
                <w:szCs w:val="20"/>
                <w:color w:val="auto"/>
              </w:rPr>
            </w:pPr>
            <w:r>
              <w:rPr>
                <w:rFonts w:ascii="Arial" w:cs="Arial" w:eastAsia="Arial" w:hAnsi="Arial"/>
                <w:sz w:val="18"/>
                <w:szCs w:val="18"/>
                <w:color w:val="auto"/>
                <w:w w:val="93"/>
              </w:rPr>
              <w:t>A cooling degree day is equivalent to each degree that the average of the high and low temperatures for a day is</w:t>
            </w:r>
          </w:p>
        </w:tc>
      </w:tr>
      <w:tr>
        <w:trPr>
          <w:trHeight w:val="216"/>
        </w:trPr>
        <w:tc>
          <w:tcPr>
            <w:tcW w:w="2500" w:type="dxa"/>
            <w:vAlign w:val="bottom"/>
          </w:tcPr>
          <w:p>
            <w:pPr>
              <w:spacing w:after="0"/>
              <w:rPr>
                <w:sz w:val="18"/>
                <w:szCs w:val="18"/>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w w:val="90"/>
              </w:rPr>
              <w:t>above 65 degrees. The warmer the climate, the greater the number of cooling degree days. Cooling degree days are</w:t>
            </w:r>
          </w:p>
        </w:tc>
      </w:tr>
      <w:tr>
        <w:trPr>
          <w:trHeight w:val="216"/>
        </w:trPr>
        <w:tc>
          <w:tcPr>
            <w:tcW w:w="2500" w:type="dxa"/>
            <w:vAlign w:val="bottom"/>
          </w:tcPr>
          <w:p>
            <w:pPr>
              <w:spacing w:after="0"/>
              <w:rPr>
                <w:sz w:val="18"/>
                <w:szCs w:val="18"/>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w w:val="96"/>
              </w:rPr>
              <w:t>used in the utility industry to measure the relative warmth and to compare relative temperatures between one</w:t>
            </w:r>
          </w:p>
        </w:tc>
      </w:tr>
      <w:tr>
        <w:trPr>
          <w:trHeight w:val="216"/>
        </w:trPr>
        <w:tc>
          <w:tcPr>
            <w:tcW w:w="2500" w:type="dxa"/>
            <w:vAlign w:val="bottom"/>
          </w:tcPr>
          <w:p>
            <w:pPr>
              <w:spacing w:after="0"/>
              <w:rPr>
                <w:sz w:val="18"/>
                <w:szCs w:val="18"/>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w w:val="94"/>
              </w:rPr>
              <w:t>geographic area and another. Normal degree days are based on the National Weather Service data for selected</w:t>
            </w:r>
          </w:p>
        </w:tc>
      </w:tr>
      <w:tr>
        <w:trPr>
          <w:trHeight w:val="230"/>
        </w:trPr>
        <w:tc>
          <w:tcPr>
            <w:tcW w:w="2500" w:type="dxa"/>
            <w:vAlign w:val="bottom"/>
          </w:tcPr>
          <w:p>
            <w:pPr>
              <w:spacing w:after="0"/>
              <w:rPr>
                <w:sz w:val="20"/>
                <w:szCs w:val="20"/>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locations.</w:t>
            </w:r>
          </w:p>
        </w:tc>
      </w:tr>
      <w:tr>
        <w:trPr>
          <w:trHeight w:val="27"/>
        </w:trPr>
        <w:tc>
          <w:tcPr>
            <w:tcW w:w="2500" w:type="dxa"/>
            <w:vAlign w:val="bottom"/>
          </w:tcPr>
          <w:p>
            <w:pPr>
              <w:spacing w:after="0"/>
              <w:rPr>
                <w:sz w:val="2"/>
                <w:szCs w:val="2"/>
                <w:color w:val="auto"/>
              </w:rPr>
            </w:pPr>
          </w:p>
        </w:tc>
        <w:tc>
          <w:tcPr>
            <w:tcW w:w="8740" w:type="dxa"/>
            <w:vAlign w:val="bottom"/>
          </w:tcPr>
          <w:p>
            <w:pPr>
              <w:spacing w:after="0"/>
              <w:rPr>
                <w:sz w:val="2"/>
                <w:szCs w:val="2"/>
                <w:color w:val="auto"/>
              </w:rPr>
            </w:pPr>
          </w:p>
        </w:tc>
      </w:tr>
      <w:tr>
        <w:trPr>
          <w:trHeight w:val="229"/>
        </w:trPr>
        <w:tc>
          <w:tcPr>
            <w:tcW w:w="2500" w:type="dxa"/>
            <w:vAlign w:val="bottom"/>
            <w:shd w:val="clear" w:color="auto" w:fill="CEFFE7"/>
          </w:tcPr>
          <w:p>
            <w:pPr>
              <w:ind w:left="40"/>
              <w:spacing w:after="0"/>
              <w:rPr>
                <w:sz w:val="20"/>
                <w:szCs w:val="20"/>
                <w:color w:val="auto"/>
              </w:rPr>
            </w:pPr>
            <w:r>
              <w:rPr>
                <w:rFonts w:ascii="Arial" w:cs="Arial" w:eastAsia="Arial" w:hAnsi="Arial"/>
                <w:sz w:val="18"/>
                <w:szCs w:val="18"/>
                <w:color w:val="auto"/>
              </w:rPr>
              <w:t>Corriedale</w:t>
            </w:r>
          </w:p>
        </w:tc>
        <w:tc>
          <w:tcPr>
            <w:tcW w:w="8740" w:type="dxa"/>
            <w:vAlign w:val="bottom"/>
            <w:shd w:val="clear" w:color="auto" w:fill="CEFFE7"/>
          </w:tcPr>
          <w:p>
            <w:pPr>
              <w:ind w:left="340"/>
              <w:spacing w:after="0"/>
              <w:rPr>
                <w:sz w:val="20"/>
                <w:szCs w:val="20"/>
                <w:color w:val="auto"/>
              </w:rPr>
            </w:pPr>
            <w:r>
              <w:rPr>
                <w:rFonts w:ascii="Arial" w:cs="Arial" w:eastAsia="Arial" w:hAnsi="Arial"/>
                <w:sz w:val="18"/>
                <w:szCs w:val="18"/>
                <w:color w:val="auto"/>
                <w:w w:val="93"/>
              </w:rPr>
              <w:t>Wind project near Cheyenne, Wyoming, that will be a 52.5 MW wind farm jointly owned by South Dakota Electric</w:t>
            </w:r>
          </w:p>
        </w:tc>
      </w:tr>
      <w:tr>
        <w:trPr>
          <w:trHeight w:val="237"/>
        </w:trPr>
        <w:tc>
          <w:tcPr>
            <w:tcW w:w="2500" w:type="dxa"/>
            <w:vAlign w:val="bottom"/>
            <w:tcBorders>
              <w:bottom w:val="single" w:sz="8" w:color="CEFFE7"/>
            </w:tcBorders>
            <w:shd w:val="clear" w:color="auto" w:fill="CEFFE7"/>
          </w:tcPr>
          <w:p>
            <w:pPr>
              <w:spacing w:after="0"/>
              <w:rPr>
                <w:sz w:val="20"/>
                <w:szCs w:val="20"/>
                <w:color w:val="auto"/>
              </w:rPr>
            </w:pPr>
          </w:p>
        </w:tc>
        <w:tc>
          <w:tcPr>
            <w:tcW w:w="8740" w:type="dxa"/>
            <w:vAlign w:val="bottom"/>
            <w:tcBorders>
              <w:bottom w:val="single" w:sz="8" w:color="CEFFE7"/>
            </w:tcBorders>
            <w:shd w:val="clear" w:color="auto" w:fill="CEFFE7"/>
          </w:tcPr>
          <w:p>
            <w:pPr>
              <w:ind w:left="340"/>
              <w:spacing w:after="0"/>
              <w:rPr>
                <w:sz w:val="20"/>
                <w:szCs w:val="20"/>
                <w:color w:val="auto"/>
              </w:rPr>
            </w:pPr>
            <w:r>
              <w:rPr>
                <w:rFonts w:ascii="Arial" w:cs="Arial" w:eastAsia="Arial" w:hAnsi="Arial"/>
                <w:sz w:val="18"/>
                <w:szCs w:val="18"/>
                <w:color w:val="auto"/>
                <w:w w:val="97"/>
              </w:rPr>
              <w:t>and Wyoming Electric and will serve as the dedicated wind energy supply to the Renewable Ready program.</w:t>
            </w:r>
          </w:p>
        </w:tc>
      </w:tr>
      <w:tr>
        <w:trPr>
          <w:trHeight w:val="229"/>
        </w:trPr>
        <w:tc>
          <w:tcPr>
            <w:tcW w:w="2500" w:type="dxa"/>
            <w:vAlign w:val="bottom"/>
          </w:tcPr>
          <w:p>
            <w:pPr>
              <w:ind w:left="40"/>
              <w:spacing w:after="0"/>
              <w:rPr>
                <w:sz w:val="20"/>
                <w:szCs w:val="20"/>
                <w:color w:val="auto"/>
              </w:rPr>
            </w:pPr>
            <w:r>
              <w:rPr>
                <w:rFonts w:ascii="Arial" w:cs="Arial" w:eastAsia="Arial" w:hAnsi="Arial"/>
                <w:sz w:val="18"/>
                <w:szCs w:val="18"/>
                <w:color w:val="auto"/>
              </w:rPr>
              <w:t>COVID-19</w:t>
            </w:r>
          </w:p>
        </w:tc>
        <w:tc>
          <w:tcPr>
            <w:tcW w:w="8740" w:type="dxa"/>
            <w:vAlign w:val="bottom"/>
          </w:tcPr>
          <w:p>
            <w:pPr>
              <w:ind w:left="340"/>
              <w:spacing w:after="0"/>
              <w:rPr>
                <w:sz w:val="20"/>
                <w:szCs w:val="20"/>
                <w:color w:val="auto"/>
              </w:rPr>
            </w:pPr>
            <w:r>
              <w:rPr>
                <w:rFonts w:ascii="Arial" w:cs="Arial" w:eastAsia="Arial" w:hAnsi="Arial"/>
                <w:sz w:val="18"/>
                <w:szCs w:val="18"/>
                <w:color w:val="auto"/>
                <w:w w:val="90"/>
              </w:rPr>
              <w:t>The official name for the 2019 novel coronavirus disease, which was announced on February 11, 2020 by the World</w:t>
            </w:r>
          </w:p>
        </w:tc>
      </w:tr>
      <w:tr>
        <w:trPr>
          <w:trHeight w:val="230"/>
        </w:trPr>
        <w:tc>
          <w:tcPr>
            <w:tcW w:w="2500" w:type="dxa"/>
            <w:vAlign w:val="bottom"/>
          </w:tcPr>
          <w:p>
            <w:pPr>
              <w:spacing w:after="0"/>
              <w:rPr>
                <w:sz w:val="20"/>
                <w:szCs w:val="20"/>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Health Organization, that is causing a global pandemic</w:t>
            </w:r>
          </w:p>
        </w:tc>
      </w:tr>
      <w:tr>
        <w:trPr>
          <w:trHeight w:val="27"/>
        </w:trPr>
        <w:tc>
          <w:tcPr>
            <w:tcW w:w="2500" w:type="dxa"/>
            <w:vAlign w:val="bottom"/>
          </w:tcPr>
          <w:p>
            <w:pPr>
              <w:spacing w:after="0"/>
              <w:rPr>
                <w:sz w:val="2"/>
                <w:szCs w:val="2"/>
                <w:color w:val="auto"/>
              </w:rPr>
            </w:pPr>
          </w:p>
        </w:tc>
        <w:tc>
          <w:tcPr>
            <w:tcW w:w="8740" w:type="dxa"/>
            <w:vAlign w:val="bottom"/>
          </w:tcPr>
          <w:p>
            <w:pPr>
              <w:spacing w:after="0"/>
              <w:rPr>
                <w:sz w:val="2"/>
                <w:szCs w:val="2"/>
                <w:color w:val="auto"/>
              </w:rPr>
            </w:pPr>
          </w:p>
        </w:tc>
      </w:tr>
      <w:tr>
        <w:trPr>
          <w:trHeight w:val="250"/>
        </w:trPr>
        <w:tc>
          <w:tcPr>
            <w:tcW w:w="25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CP Program</w:t>
            </w:r>
          </w:p>
        </w:tc>
        <w:tc>
          <w:tcPr>
            <w:tcW w:w="8740" w:type="dxa"/>
            <w:vAlign w:val="bottom"/>
            <w:tcBorders>
              <w:bottom w:val="single" w:sz="8" w:color="CEFFE7"/>
            </w:tcBorders>
            <w:shd w:val="clear" w:color="auto" w:fill="CEFFE7"/>
          </w:tcPr>
          <w:p>
            <w:pPr>
              <w:ind w:left="340"/>
              <w:spacing w:after="0"/>
              <w:rPr>
                <w:sz w:val="20"/>
                <w:szCs w:val="20"/>
                <w:color w:val="auto"/>
              </w:rPr>
            </w:pPr>
            <w:r>
              <w:rPr>
                <w:rFonts w:ascii="Arial" w:cs="Arial" w:eastAsia="Arial" w:hAnsi="Arial"/>
                <w:sz w:val="18"/>
                <w:szCs w:val="18"/>
                <w:color w:val="auto"/>
              </w:rPr>
              <w:t>Commercial Paper Program</w:t>
            </w:r>
          </w:p>
        </w:tc>
      </w:tr>
      <w:tr>
        <w:trPr>
          <w:trHeight w:val="243"/>
        </w:trPr>
        <w:tc>
          <w:tcPr>
            <w:tcW w:w="2500" w:type="dxa"/>
            <w:vAlign w:val="bottom"/>
          </w:tcPr>
          <w:p>
            <w:pPr>
              <w:ind w:left="40"/>
              <w:spacing w:after="0"/>
              <w:rPr>
                <w:sz w:val="20"/>
                <w:szCs w:val="20"/>
                <w:color w:val="auto"/>
              </w:rPr>
            </w:pPr>
            <w:r>
              <w:rPr>
                <w:rFonts w:ascii="Arial" w:cs="Arial" w:eastAsia="Arial" w:hAnsi="Arial"/>
                <w:sz w:val="18"/>
                <w:szCs w:val="18"/>
                <w:color w:val="auto"/>
              </w:rPr>
              <w:t>CPUC</w:t>
            </w:r>
          </w:p>
        </w:tc>
        <w:tc>
          <w:tcPr>
            <w:tcW w:w="8740" w:type="dxa"/>
            <w:vAlign w:val="bottom"/>
          </w:tcPr>
          <w:p>
            <w:pPr>
              <w:ind w:left="340"/>
              <w:spacing w:after="0"/>
              <w:rPr>
                <w:sz w:val="20"/>
                <w:szCs w:val="20"/>
                <w:color w:val="auto"/>
              </w:rPr>
            </w:pPr>
            <w:r>
              <w:rPr>
                <w:rFonts w:ascii="Arial" w:cs="Arial" w:eastAsia="Arial" w:hAnsi="Arial"/>
                <w:sz w:val="18"/>
                <w:szCs w:val="18"/>
                <w:color w:val="auto"/>
              </w:rPr>
              <w:t>Colorado Public Utilities Commission</w:t>
            </w:r>
          </w:p>
        </w:tc>
      </w:tr>
      <w:tr>
        <w:trPr>
          <w:trHeight w:val="27"/>
        </w:trPr>
        <w:tc>
          <w:tcPr>
            <w:tcW w:w="2500" w:type="dxa"/>
            <w:vAlign w:val="bottom"/>
          </w:tcPr>
          <w:p>
            <w:pPr>
              <w:spacing w:after="0"/>
              <w:rPr>
                <w:sz w:val="2"/>
                <w:szCs w:val="2"/>
                <w:color w:val="auto"/>
              </w:rPr>
            </w:pPr>
          </w:p>
        </w:tc>
        <w:tc>
          <w:tcPr>
            <w:tcW w:w="8740" w:type="dxa"/>
            <w:vAlign w:val="bottom"/>
          </w:tcPr>
          <w:p>
            <w:pPr>
              <w:spacing w:after="0"/>
              <w:rPr>
                <w:sz w:val="2"/>
                <w:szCs w:val="2"/>
                <w:color w:val="auto"/>
              </w:rPr>
            </w:pPr>
          </w:p>
        </w:tc>
      </w:tr>
      <w:tr>
        <w:trPr>
          <w:trHeight w:val="250"/>
        </w:trPr>
        <w:tc>
          <w:tcPr>
            <w:tcW w:w="25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CVA</w:t>
            </w:r>
          </w:p>
        </w:tc>
        <w:tc>
          <w:tcPr>
            <w:tcW w:w="8740" w:type="dxa"/>
            <w:vAlign w:val="bottom"/>
            <w:tcBorders>
              <w:bottom w:val="single" w:sz="8" w:color="CEFFE7"/>
            </w:tcBorders>
            <w:shd w:val="clear" w:color="auto" w:fill="CEFFE7"/>
          </w:tcPr>
          <w:p>
            <w:pPr>
              <w:ind w:left="340"/>
              <w:spacing w:after="0"/>
              <w:rPr>
                <w:sz w:val="20"/>
                <w:szCs w:val="20"/>
                <w:color w:val="auto"/>
              </w:rPr>
            </w:pPr>
            <w:r>
              <w:rPr>
                <w:rFonts w:ascii="Arial" w:cs="Arial" w:eastAsia="Arial" w:hAnsi="Arial"/>
                <w:sz w:val="18"/>
                <w:szCs w:val="18"/>
                <w:color w:val="auto"/>
              </w:rPr>
              <w:t>Credit Valuation Adjustment</w:t>
            </w:r>
          </w:p>
        </w:tc>
      </w:tr>
      <w:tr>
        <w:trPr>
          <w:trHeight w:val="243"/>
        </w:trPr>
        <w:tc>
          <w:tcPr>
            <w:tcW w:w="2500" w:type="dxa"/>
            <w:vAlign w:val="bottom"/>
          </w:tcPr>
          <w:p>
            <w:pPr>
              <w:ind w:left="40"/>
              <w:spacing w:after="0"/>
              <w:rPr>
                <w:sz w:val="20"/>
                <w:szCs w:val="20"/>
                <w:color w:val="auto"/>
              </w:rPr>
            </w:pPr>
            <w:r>
              <w:rPr>
                <w:rFonts w:ascii="Arial" w:cs="Arial" w:eastAsia="Arial" w:hAnsi="Arial"/>
                <w:sz w:val="18"/>
                <w:szCs w:val="18"/>
                <w:color w:val="auto"/>
              </w:rPr>
              <w:t>Dodd-Frank</w:t>
            </w:r>
          </w:p>
        </w:tc>
        <w:tc>
          <w:tcPr>
            <w:tcW w:w="8740" w:type="dxa"/>
            <w:vAlign w:val="bottom"/>
          </w:tcPr>
          <w:p>
            <w:pPr>
              <w:ind w:left="340"/>
              <w:spacing w:after="0"/>
              <w:rPr>
                <w:sz w:val="20"/>
                <w:szCs w:val="20"/>
                <w:color w:val="auto"/>
              </w:rPr>
            </w:pPr>
            <w:r>
              <w:rPr>
                <w:rFonts w:ascii="Arial" w:cs="Arial" w:eastAsia="Arial" w:hAnsi="Arial"/>
                <w:sz w:val="18"/>
                <w:szCs w:val="18"/>
                <w:color w:val="auto"/>
              </w:rPr>
              <w:t>Dodd-Frank Wall Street Reform and Consumer Protection Act</w:t>
            </w:r>
          </w:p>
        </w:tc>
      </w:tr>
      <w:tr>
        <w:trPr>
          <w:trHeight w:val="27"/>
        </w:trPr>
        <w:tc>
          <w:tcPr>
            <w:tcW w:w="2500" w:type="dxa"/>
            <w:vAlign w:val="bottom"/>
          </w:tcPr>
          <w:p>
            <w:pPr>
              <w:spacing w:after="0"/>
              <w:rPr>
                <w:sz w:val="2"/>
                <w:szCs w:val="2"/>
                <w:color w:val="auto"/>
              </w:rPr>
            </w:pPr>
          </w:p>
        </w:tc>
        <w:tc>
          <w:tcPr>
            <w:tcW w:w="8740" w:type="dxa"/>
            <w:vAlign w:val="bottom"/>
          </w:tcPr>
          <w:p>
            <w:pPr>
              <w:spacing w:after="0"/>
              <w:rPr>
                <w:sz w:val="2"/>
                <w:szCs w:val="2"/>
                <w:color w:val="auto"/>
              </w:rPr>
            </w:pPr>
          </w:p>
        </w:tc>
      </w:tr>
      <w:tr>
        <w:trPr>
          <w:trHeight w:val="250"/>
        </w:trPr>
        <w:tc>
          <w:tcPr>
            <w:tcW w:w="25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Dth</w:t>
            </w:r>
          </w:p>
        </w:tc>
        <w:tc>
          <w:tcPr>
            <w:tcW w:w="8740" w:type="dxa"/>
            <w:vAlign w:val="bottom"/>
            <w:tcBorders>
              <w:bottom w:val="single" w:sz="8" w:color="CEFFE7"/>
            </w:tcBorders>
            <w:shd w:val="clear" w:color="auto" w:fill="CEFFE7"/>
          </w:tcPr>
          <w:p>
            <w:pPr>
              <w:ind w:left="340"/>
              <w:spacing w:after="0"/>
              <w:rPr>
                <w:sz w:val="20"/>
                <w:szCs w:val="20"/>
                <w:color w:val="auto"/>
              </w:rPr>
            </w:pPr>
            <w:r>
              <w:rPr>
                <w:rFonts w:ascii="Arial" w:cs="Arial" w:eastAsia="Arial" w:hAnsi="Arial"/>
                <w:sz w:val="18"/>
                <w:szCs w:val="18"/>
                <w:color w:val="auto"/>
                <w:w w:val="99"/>
              </w:rPr>
              <w:t>Dekatherm. A unit of energy equal to 10 therms or approximately one million British thermal units (MMBtu)</w:t>
            </w:r>
          </w:p>
        </w:tc>
      </w:tr>
      <w:tr>
        <w:trPr>
          <w:trHeight w:val="243"/>
        </w:trPr>
        <w:tc>
          <w:tcPr>
            <w:tcW w:w="2500" w:type="dxa"/>
            <w:vAlign w:val="bottom"/>
          </w:tcPr>
          <w:p>
            <w:pPr>
              <w:ind w:left="40"/>
              <w:spacing w:after="0"/>
              <w:rPr>
                <w:sz w:val="20"/>
                <w:szCs w:val="20"/>
                <w:color w:val="auto"/>
              </w:rPr>
            </w:pPr>
            <w:r>
              <w:rPr>
                <w:rFonts w:ascii="Arial" w:cs="Arial" w:eastAsia="Arial" w:hAnsi="Arial"/>
                <w:sz w:val="18"/>
                <w:szCs w:val="18"/>
                <w:color w:val="auto"/>
              </w:rPr>
              <w:t>FASB</w:t>
            </w:r>
          </w:p>
        </w:tc>
        <w:tc>
          <w:tcPr>
            <w:tcW w:w="8740" w:type="dxa"/>
            <w:vAlign w:val="bottom"/>
          </w:tcPr>
          <w:p>
            <w:pPr>
              <w:ind w:left="340"/>
              <w:spacing w:after="0"/>
              <w:rPr>
                <w:sz w:val="20"/>
                <w:szCs w:val="20"/>
                <w:color w:val="auto"/>
              </w:rPr>
            </w:pPr>
            <w:r>
              <w:rPr>
                <w:rFonts w:ascii="Arial" w:cs="Arial" w:eastAsia="Arial" w:hAnsi="Arial"/>
                <w:sz w:val="18"/>
                <w:szCs w:val="18"/>
                <w:color w:val="auto"/>
              </w:rPr>
              <w:t>Financial Accounting Standards Board</w:t>
            </w:r>
          </w:p>
        </w:tc>
      </w:tr>
      <w:tr>
        <w:trPr>
          <w:trHeight w:val="27"/>
        </w:trPr>
        <w:tc>
          <w:tcPr>
            <w:tcW w:w="2500" w:type="dxa"/>
            <w:vAlign w:val="bottom"/>
          </w:tcPr>
          <w:p>
            <w:pPr>
              <w:spacing w:after="0"/>
              <w:rPr>
                <w:sz w:val="2"/>
                <w:szCs w:val="2"/>
                <w:color w:val="auto"/>
              </w:rPr>
            </w:pPr>
          </w:p>
        </w:tc>
        <w:tc>
          <w:tcPr>
            <w:tcW w:w="8740" w:type="dxa"/>
            <w:vAlign w:val="bottom"/>
          </w:tcPr>
          <w:p>
            <w:pPr>
              <w:spacing w:after="0"/>
              <w:rPr>
                <w:sz w:val="2"/>
                <w:szCs w:val="2"/>
                <w:color w:val="auto"/>
              </w:rPr>
            </w:pPr>
          </w:p>
        </w:tc>
      </w:tr>
      <w:tr>
        <w:trPr>
          <w:trHeight w:val="250"/>
        </w:trPr>
        <w:tc>
          <w:tcPr>
            <w:tcW w:w="25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FERC</w:t>
            </w:r>
          </w:p>
        </w:tc>
        <w:tc>
          <w:tcPr>
            <w:tcW w:w="8740" w:type="dxa"/>
            <w:vAlign w:val="bottom"/>
            <w:tcBorders>
              <w:bottom w:val="single" w:sz="8" w:color="CEFFE7"/>
            </w:tcBorders>
            <w:shd w:val="clear" w:color="auto" w:fill="CEFFE7"/>
          </w:tcPr>
          <w:p>
            <w:pPr>
              <w:ind w:left="340"/>
              <w:spacing w:after="0"/>
              <w:rPr>
                <w:sz w:val="20"/>
                <w:szCs w:val="20"/>
                <w:color w:val="auto"/>
              </w:rPr>
            </w:pPr>
            <w:r>
              <w:rPr>
                <w:rFonts w:ascii="Arial" w:cs="Arial" w:eastAsia="Arial" w:hAnsi="Arial"/>
                <w:sz w:val="18"/>
                <w:szCs w:val="18"/>
                <w:color w:val="auto"/>
              </w:rPr>
              <w:t>United States Federal Energy Regulatory Commission</w:t>
            </w:r>
          </w:p>
        </w:tc>
      </w:tr>
      <w:tr>
        <w:trPr>
          <w:trHeight w:val="243"/>
        </w:trPr>
        <w:tc>
          <w:tcPr>
            <w:tcW w:w="2500" w:type="dxa"/>
            <w:vAlign w:val="bottom"/>
          </w:tcPr>
          <w:p>
            <w:pPr>
              <w:ind w:left="40"/>
              <w:spacing w:after="0"/>
              <w:rPr>
                <w:sz w:val="20"/>
                <w:szCs w:val="20"/>
                <w:color w:val="auto"/>
              </w:rPr>
            </w:pPr>
            <w:r>
              <w:rPr>
                <w:rFonts w:ascii="Arial" w:cs="Arial" w:eastAsia="Arial" w:hAnsi="Arial"/>
                <w:sz w:val="18"/>
                <w:szCs w:val="18"/>
                <w:color w:val="auto"/>
              </w:rPr>
              <w:t>Fitch</w:t>
            </w:r>
          </w:p>
        </w:tc>
        <w:tc>
          <w:tcPr>
            <w:tcW w:w="8740" w:type="dxa"/>
            <w:vAlign w:val="bottom"/>
          </w:tcPr>
          <w:p>
            <w:pPr>
              <w:ind w:left="340"/>
              <w:spacing w:after="0"/>
              <w:rPr>
                <w:sz w:val="20"/>
                <w:szCs w:val="20"/>
                <w:color w:val="auto"/>
              </w:rPr>
            </w:pPr>
            <w:r>
              <w:rPr>
                <w:rFonts w:ascii="Arial" w:cs="Arial" w:eastAsia="Arial" w:hAnsi="Arial"/>
                <w:sz w:val="18"/>
                <w:szCs w:val="18"/>
                <w:color w:val="auto"/>
              </w:rPr>
              <w:t>Fitch Ratings Inc.</w:t>
            </w:r>
          </w:p>
        </w:tc>
      </w:tr>
      <w:tr>
        <w:trPr>
          <w:trHeight w:val="27"/>
        </w:trPr>
        <w:tc>
          <w:tcPr>
            <w:tcW w:w="2500" w:type="dxa"/>
            <w:vAlign w:val="bottom"/>
          </w:tcPr>
          <w:p>
            <w:pPr>
              <w:spacing w:after="0"/>
              <w:rPr>
                <w:sz w:val="2"/>
                <w:szCs w:val="2"/>
                <w:color w:val="auto"/>
              </w:rPr>
            </w:pPr>
          </w:p>
        </w:tc>
        <w:tc>
          <w:tcPr>
            <w:tcW w:w="8740" w:type="dxa"/>
            <w:vAlign w:val="bottom"/>
          </w:tcPr>
          <w:p>
            <w:pPr>
              <w:spacing w:after="0"/>
              <w:rPr>
                <w:sz w:val="2"/>
                <w:szCs w:val="2"/>
                <w:color w:val="auto"/>
              </w:rPr>
            </w:pPr>
          </w:p>
        </w:tc>
      </w:tr>
      <w:tr>
        <w:trPr>
          <w:trHeight w:val="250"/>
        </w:trPr>
        <w:tc>
          <w:tcPr>
            <w:tcW w:w="25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GAAP</w:t>
            </w:r>
          </w:p>
        </w:tc>
        <w:tc>
          <w:tcPr>
            <w:tcW w:w="8740" w:type="dxa"/>
            <w:vAlign w:val="bottom"/>
            <w:tcBorders>
              <w:bottom w:val="single" w:sz="8" w:color="CEFFE7"/>
            </w:tcBorders>
            <w:shd w:val="clear" w:color="auto" w:fill="CEFFE7"/>
          </w:tcPr>
          <w:p>
            <w:pPr>
              <w:ind w:left="340"/>
              <w:spacing w:after="0"/>
              <w:rPr>
                <w:sz w:val="20"/>
                <w:szCs w:val="20"/>
                <w:color w:val="auto"/>
              </w:rPr>
            </w:pPr>
            <w:r>
              <w:rPr>
                <w:rFonts w:ascii="Arial" w:cs="Arial" w:eastAsia="Arial" w:hAnsi="Arial"/>
                <w:sz w:val="18"/>
                <w:szCs w:val="18"/>
                <w:color w:val="auto"/>
              </w:rPr>
              <w:t>Accounting principles generally accepted in the United States of America</w:t>
            </w:r>
          </w:p>
        </w:tc>
      </w:tr>
      <w:tr>
        <w:trPr>
          <w:trHeight w:val="229"/>
        </w:trPr>
        <w:tc>
          <w:tcPr>
            <w:tcW w:w="2500" w:type="dxa"/>
            <w:vAlign w:val="bottom"/>
          </w:tcPr>
          <w:p>
            <w:pPr>
              <w:ind w:left="40"/>
              <w:spacing w:after="0"/>
              <w:rPr>
                <w:sz w:val="20"/>
                <w:szCs w:val="20"/>
                <w:color w:val="auto"/>
              </w:rPr>
            </w:pPr>
            <w:r>
              <w:rPr>
                <w:rFonts w:ascii="Arial" w:cs="Arial" w:eastAsia="Arial" w:hAnsi="Arial"/>
                <w:sz w:val="18"/>
                <w:szCs w:val="18"/>
                <w:color w:val="auto"/>
              </w:rPr>
              <w:t>Heating Degree Day (HDD)</w:t>
            </w:r>
          </w:p>
        </w:tc>
        <w:tc>
          <w:tcPr>
            <w:tcW w:w="8740" w:type="dxa"/>
            <w:vAlign w:val="bottom"/>
          </w:tcPr>
          <w:p>
            <w:pPr>
              <w:ind w:left="340"/>
              <w:spacing w:after="0"/>
              <w:rPr>
                <w:sz w:val="20"/>
                <w:szCs w:val="20"/>
                <w:color w:val="auto"/>
              </w:rPr>
            </w:pPr>
            <w:r>
              <w:rPr>
                <w:rFonts w:ascii="Arial" w:cs="Arial" w:eastAsia="Arial" w:hAnsi="Arial"/>
                <w:sz w:val="18"/>
                <w:szCs w:val="18"/>
                <w:color w:val="auto"/>
                <w:w w:val="90"/>
              </w:rPr>
              <w:t>A heating degree day is equivalent to each degree that the average of the high and the low temperatures for a day is</w:t>
            </w:r>
          </w:p>
        </w:tc>
      </w:tr>
      <w:tr>
        <w:trPr>
          <w:trHeight w:val="216"/>
        </w:trPr>
        <w:tc>
          <w:tcPr>
            <w:tcW w:w="2500" w:type="dxa"/>
            <w:vAlign w:val="bottom"/>
          </w:tcPr>
          <w:p>
            <w:pPr>
              <w:spacing w:after="0"/>
              <w:rPr>
                <w:sz w:val="18"/>
                <w:szCs w:val="18"/>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w w:val="91"/>
              </w:rPr>
              <w:t>below 65 degrees. The colder the climate, the greater the number of heating degree days. Heating degree days are</w:t>
            </w:r>
          </w:p>
        </w:tc>
      </w:tr>
      <w:tr>
        <w:trPr>
          <w:trHeight w:val="216"/>
        </w:trPr>
        <w:tc>
          <w:tcPr>
            <w:tcW w:w="2500" w:type="dxa"/>
            <w:vAlign w:val="bottom"/>
          </w:tcPr>
          <w:p>
            <w:pPr>
              <w:spacing w:after="0"/>
              <w:rPr>
                <w:sz w:val="18"/>
                <w:szCs w:val="18"/>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w w:val="95"/>
              </w:rPr>
              <w:t>used in the utility industry to measure the relative coldness and to compare relative temperatures between one</w:t>
            </w:r>
          </w:p>
        </w:tc>
      </w:tr>
      <w:tr>
        <w:trPr>
          <w:trHeight w:val="216"/>
        </w:trPr>
        <w:tc>
          <w:tcPr>
            <w:tcW w:w="2500" w:type="dxa"/>
            <w:vAlign w:val="bottom"/>
          </w:tcPr>
          <w:p>
            <w:pPr>
              <w:spacing w:after="0"/>
              <w:rPr>
                <w:sz w:val="18"/>
                <w:szCs w:val="18"/>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w w:val="94"/>
              </w:rPr>
              <w:t>geographic area and another. Normal degree days are based on the National Weather Service data for selected</w:t>
            </w:r>
          </w:p>
        </w:tc>
      </w:tr>
      <w:tr>
        <w:trPr>
          <w:trHeight w:val="230"/>
        </w:trPr>
        <w:tc>
          <w:tcPr>
            <w:tcW w:w="2500" w:type="dxa"/>
            <w:vAlign w:val="bottom"/>
          </w:tcPr>
          <w:p>
            <w:pPr>
              <w:spacing w:after="0"/>
              <w:rPr>
                <w:sz w:val="20"/>
                <w:szCs w:val="20"/>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locations.</w:t>
            </w:r>
          </w:p>
        </w:tc>
      </w:tr>
      <w:tr>
        <w:trPr>
          <w:trHeight w:val="27"/>
        </w:trPr>
        <w:tc>
          <w:tcPr>
            <w:tcW w:w="2500" w:type="dxa"/>
            <w:vAlign w:val="bottom"/>
          </w:tcPr>
          <w:p>
            <w:pPr>
              <w:spacing w:after="0"/>
              <w:rPr>
                <w:sz w:val="2"/>
                <w:szCs w:val="2"/>
                <w:color w:val="auto"/>
              </w:rPr>
            </w:pPr>
          </w:p>
        </w:tc>
        <w:tc>
          <w:tcPr>
            <w:tcW w:w="8740" w:type="dxa"/>
            <w:vAlign w:val="bottom"/>
          </w:tcPr>
          <w:p>
            <w:pPr>
              <w:spacing w:after="0"/>
              <w:rPr>
                <w:sz w:val="2"/>
                <w:szCs w:val="2"/>
                <w:color w:val="auto"/>
              </w:rPr>
            </w:pPr>
          </w:p>
        </w:tc>
      </w:tr>
      <w:tr>
        <w:trPr>
          <w:trHeight w:val="229"/>
        </w:trPr>
        <w:tc>
          <w:tcPr>
            <w:tcW w:w="2500" w:type="dxa"/>
            <w:vAlign w:val="bottom"/>
            <w:shd w:val="clear" w:color="auto" w:fill="CEFFE7"/>
          </w:tcPr>
          <w:p>
            <w:pPr>
              <w:ind w:left="40"/>
              <w:spacing w:after="0"/>
              <w:rPr>
                <w:sz w:val="20"/>
                <w:szCs w:val="20"/>
                <w:color w:val="auto"/>
              </w:rPr>
            </w:pPr>
            <w:r>
              <w:rPr>
                <w:rFonts w:ascii="Arial" w:cs="Arial" w:eastAsia="Arial" w:hAnsi="Arial"/>
                <w:sz w:val="18"/>
                <w:szCs w:val="18"/>
                <w:color w:val="auto"/>
              </w:rPr>
              <w:t>HomeServe</w:t>
            </w:r>
          </w:p>
        </w:tc>
        <w:tc>
          <w:tcPr>
            <w:tcW w:w="8740" w:type="dxa"/>
            <w:vAlign w:val="bottom"/>
            <w:shd w:val="clear" w:color="auto" w:fill="CEFFE7"/>
          </w:tcPr>
          <w:p>
            <w:pPr>
              <w:ind w:left="340"/>
              <w:spacing w:after="0"/>
              <w:rPr>
                <w:sz w:val="20"/>
                <w:szCs w:val="20"/>
                <w:color w:val="auto"/>
              </w:rPr>
            </w:pPr>
            <w:r>
              <w:rPr>
                <w:rFonts w:ascii="Arial" w:cs="Arial" w:eastAsia="Arial" w:hAnsi="Arial"/>
                <w:sz w:val="18"/>
                <w:szCs w:val="18"/>
                <w:color w:val="auto"/>
                <w:w w:val="94"/>
              </w:rPr>
              <w:t>Repair service plans offered to electric and natural gas residential customers that cover parts and labor to repair</w:t>
            </w:r>
          </w:p>
        </w:tc>
      </w:tr>
      <w:tr>
        <w:trPr>
          <w:trHeight w:val="230"/>
        </w:trPr>
        <w:tc>
          <w:tcPr>
            <w:tcW w:w="2500" w:type="dxa"/>
            <w:vAlign w:val="bottom"/>
            <w:shd w:val="clear" w:color="auto" w:fill="CEFFE7"/>
          </w:tcPr>
          <w:p>
            <w:pPr>
              <w:spacing w:after="0"/>
              <w:rPr>
                <w:sz w:val="20"/>
                <w:szCs w:val="20"/>
                <w:color w:val="auto"/>
              </w:rPr>
            </w:pPr>
          </w:p>
        </w:tc>
        <w:tc>
          <w:tcPr>
            <w:tcW w:w="8740" w:type="dxa"/>
            <w:vAlign w:val="bottom"/>
            <w:shd w:val="clear" w:color="auto" w:fill="CEFFE7"/>
          </w:tcPr>
          <w:p>
            <w:pPr>
              <w:ind w:left="340"/>
              <w:spacing w:after="0"/>
              <w:rPr>
                <w:sz w:val="20"/>
                <w:szCs w:val="20"/>
                <w:color w:val="auto"/>
              </w:rPr>
            </w:pPr>
            <w:r>
              <w:rPr>
                <w:rFonts w:ascii="Arial" w:cs="Arial" w:eastAsia="Arial" w:hAnsi="Arial"/>
                <w:sz w:val="18"/>
                <w:szCs w:val="18"/>
                <w:color w:val="auto"/>
              </w:rPr>
              <w:t>electrical, gas, heating, cooling, and water systems.</w:t>
            </w:r>
          </w:p>
        </w:tc>
      </w:tr>
      <w:tr>
        <w:trPr>
          <w:trHeight w:val="243"/>
        </w:trPr>
        <w:tc>
          <w:tcPr>
            <w:tcW w:w="2500" w:type="dxa"/>
            <w:vAlign w:val="bottom"/>
            <w:shd w:val="clear" w:color="auto" w:fill="CEFFE7"/>
          </w:tcPr>
          <w:p>
            <w:pPr>
              <w:spacing w:after="0"/>
              <w:rPr>
                <w:sz w:val="21"/>
                <w:szCs w:val="21"/>
                <w:color w:val="auto"/>
              </w:rPr>
            </w:pPr>
          </w:p>
        </w:tc>
        <w:tc>
          <w:tcPr>
            <w:tcW w:w="8740" w:type="dxa"/>
            <w:vAlign w:val="bottom"/>
            <w:shd w:val="clear" w:color="auto" w:fill="CEFFE7"/>
          </w:tcPr>
          <w:p>
            <w:pPr>
              <w:spacing w:after="0"/>
              <w:rPr>
                <w:sz w:val="21"/>
                <w:szCs w:val="21"/>
                <w:color w:val="auto"/>
              </w:rPr>
            </w:pPr>
          </w:p>
        </w:tc>
      </w:tr>
      <w:tr>
        <w:trPr>
          <w:trHeight w:val="243"/>
        </w:trPr>
        <w:tc>
          <w:tcPr>
            <w:tcW w:w="2500" w:type="dxa"/>
            <w:vAlign w:val="bottom"/>
          </w:tcPr>
          <w:p>
            <w:pPr>
              <w:ind w:left="40"/>
              <w:spacing w:after="0"/>
              <w:rPr>
                <w:sz w:val="20"/>
                <w:szCs w:val="20"/>
                <w:color w:val="auto"/>
              </w:rPr>
            </w:pPr>
            <w:r>
              <w:rPr>
                <w:rFonts w:ascii="Arial" w:cs="Arial" w:eastAsia="Arial" w:hAnsi="Arial"/>
                <w:sz w:val="18"/>
                <w:szCs w:val="18"/>
                <w:color w:val="auto"/>
              </w:rPr>
              <w:t>ICFR</w:t>
            </w:r>
          </w:p>
        </w:tc>
        <w:tc>
          <w:tcPr>
            <w:tcW w:w="8740" w:type="dxa"/>
            <w:vAlign w:val="bottom"/>
          </w:tcPr>
          <w:p>
            <w:pPr>
              <w:ind w:left="340"/>
              <w:spacing w:after="0"/>
              <w:rPr>
                <w:sz w:val="20"/>
                <w:szCs w:val="20"/>
                <w:color w:val="auto"/>
              </w:rPr>
            </w:pPr>
            <w:r>
              <w:rPr>
                <w:rFonts w:ascii="Arial" w:cs="Arial" w:eastAsia="Arial" w:hAnsi="Arial"/>
                <w:sz w:val="18"/>
                <w:szCs w:val="18"/>
                <w:color w:val="auto"/>
              </w:rPr>
              <w:t>Internal Controls over Financial Reporting</w:t>
            </w:r>
          </w:p>
        </w:tc>
      </w:tr>
      <w:tr>
        <w:trPr>
          <w:trHeight w:val="27"/>
        </w:trPr>
        <w:tc>
          <w:tcPr>
            <w:tcW w:w="2500" w:type="dxa"/>
            <w:vAlign w:val="bottom"/>
          </w:tcPr>
          <w:p>
            <w:pPr>
              <w:spacing w:after="0"/>
              <w:rPr>
                <w:sz w:val="2"/>
                <w:szCs w:val="2"/>
                <w:color w:val="auto"/>
              </w:rPr>
            </w:pPr>
          </w:p>
        </w:tc>
        <w:tc>
          <w:tcPr>
            <w:tcW w:w="8740" w:type="dxa"/>
            <w:vAlign w:val="bottom"/>
          </w:tcPr>
          <w:p>
            <w:pPr>
              <w:spacing w:after="0"/>
              <w:rPr>
                <w:sz w:val="2"/>
                <w:szCs w:val="2"/>
                <w:color w:val="auto"/>
              </w:rPr>
            </w:pPr>
          </w:p>
        </w:tc>
      </w:tr>
      <w:tr>
        <w:trPr>
          <w:trHeight w:val="229"/>
        </w:trPr>
        <w:tc>
          <w:tcPr>
            <w:tcW w:w="2500" w:type="dxa"/>
            <w:vAlign w:val="bottom"/>
            <w:shd w:val="clear" w:color="auto" w:fill="CEFFE7"/>
          </w:tcPr>
          <w:p>
            <w:pPr>
              <w:ind w:left="40"/>
              <w:spacing w:after="0"/>
              <w:rPr>
                <w:sz w:val="20"/>
                <w:szCs w:val="20"/>
                <w:color w:val="auto"/>
              </w:rPr>
            </w:pPr>
            <w:r>
              <w:rPr>
                <w:rFonts w:ascii="Arial" w:cs="Arial" w:eastAsia="Arial" w:hAnsi="Arial"/>
                <w:sz w:val="18"/>
                <w:szCs w:val="18"/>
                <w:color w:val="auto"/>
              </w:rPr>
              <w:t>Iowa Gas</w:t>
            </w:r>
          </w:p>
        </w:tc>
        <w:tc>
          <w:tcPr>
            <w:tcW w:w="8740" w:type="dxa"/>
            <w:vAlign w:val="bottom"/>
            <w:shd w:val="clear" w:color="auto" w:fill="CEFFE7"/>
          </w:tcPr>
          <w:p>
            <w:pPr>
              <w:ind w:left="340"/>
              <w:spacing w:after="0"/>
              <w:rPr>
                <w:sz w:val="20"/>
                <w:szCs w:val="20"/>
                <w:color w:val="auto"/>
              </w:rPr>
            </w:pPr>
            <w:r>
              <w:rPr>
                <w:rFonts w:ascii="Arial" w:cs="Arial" w:eastAsia="Arial" w:hAnsi="Arial"/>
                <w:sz w:val="18"/>
                <w:szCs w:val="18"/>
                <w:color w:val="auto"/>
                <w:w w:val="98"/>
              </w:rPr>
              <w:t>Black Hills Iowa Gas Utility Company, LLC, a direct, wholly-owned subsidiary of Black Hills Utility Holdings,</w:t>
            </w:r>
          </w:p>
        </w:tc>
      </w:tr>
      <w:tr>
        <w:trPr>
          <w:trHeight w:val="237"/>
        </w:trPr>
        <w:tc>
          <w:tcPr>
            <w:tcW w:w="2500" w:type="dxa"/>
            <w:vAlign w:val="bottom"/>
            <w:tcBorders>
              <w:bottom w:val="single" w:sz="8" w:color="CEFFE7"/>
            </w:tcBorders>
            <w:shd w:val="clear" w:color="auto" w:fill="CEFFE7"/>
          </w:tcPr>
          <w:p>
            <w:pPr>
              <w:spacing w:after="0"/>
              <w:rPr>
                <w:sz w:val="20"/>
                <w:szCs w:val="20"/>
                <w:color w:val="auto"/>
              </w:rPr>
            </w:pPr>
          </w:p>
        </w:tc>
        <w:tc>
          <w:tcPr>
            <w:tcW w:w="8740" w:type="dxa"/>
            <w:vAlign w:val="bottom"/>
            <w:tcBorders>
              <w:bottom w:val="single" w:sz="8" w:color="CEFFE7"/>
            </w:tcBorders>
            <w:shd w:val="clear" w:color="auto" w:fill="CEFFE7"/>
          </w:tcPr>
          <w:p>
            <w:pPr>
              <w:ind w:left="340"/>
              <w:spacing w:after="0"/>
              <w:rPr>
                <w:sz w:val="20"/>
                <w:szCs w:val="20"/>
                <w:color w:val="auto"/>
              </w:rPr>
            </w:pPr>
            <w:r>
              <w:rPr>
                <w:rFonts w:ascii="Arial" w:cs="Arial" w:eastAsia="Arial" w:hAnsi="Arial"/>
                <w:sz w:val="18"/>
                <w:szCs w:val="18"/>
                <w:color w:val="auto"/>
              </w:rPr>
              <w:t>providing natural gas services to customers in Iowa (doing business as Black Hills Energy).</w:t>
            </w:r>
          </w:p>
        </w:tc>
      </w:tr>
      <w:tr>
        <w:trPr>
          <w:trHeight w:val="243"/>
        </w:trPr>
        <w:tc>
          <w:tcPr>
            <w:tcW w:w="2500" w:type="dxa"/>
            <w:vAlign w:val="bottom"/>
          </w:tcPr>
          <w:p>
            <w:pPr>
              <w:ind w:left="40"/>
              <w:spacing w:after="0"/>
              <w:rPr>
                <w:sz w:val="20"/>
                <w:szCs w:val="20"/>
                <w:color w:val="auto"/>
              </w:rPr>
            </w:pPr>
            <w:r>
              <w:rPr>
                <w:rFonts w:ascii="Arial" w:cs="Arial" w:eastAsia="Arial" w:hAnsi="Arial"/>
                <w:sz w:val="18"/>
                <w:szCs w:val="18"/>
                <w:color w:val="auto"/>
              </w:rPr>
              <w:t>IPP</w:t>
            </w:r>
          </w:p>
        </w:tc>
        <w:tc>
          <w:tcPr>
            <w:tcW w:w="8740" w:type="dxa"/>
            <w:vAlign w:val="bottom"/>
          </w:tcPr>
          <w:p>
            <w:pPr>
              <w:ind w:left="340"/>
              <w:spacing w:after="0"/>
              <w:rPr>
                <w:sz w:val="20"/>
                <w:szCs w:val="20"/>
                <w:color w:val="auto"/>
              </w:rPr>
            </w:pPr>
            <w:r>
              <w:rPr>
                <w:rFonts w:ascii="Arial" w:cs="Arial" w:eastAsia="Arial" w:hAnsi="Arial"/>
                <w:sz w:val="18"/>
                <w:szCs w:val="18"/>
                <w:color w:val="auto"/>
              </w:rPr>
              <w:t>Independent power producer</w:t>
            </w:r>
          </w:p>
        </w:tc>
      </w:tr>
      <w:tr>
        <w:trPr>
          <w:trHeight w:val="27"/>
        </w:trPr>
        <w:tc>
          <w:tcPr>
            <w:tcW w:w="2500" w:type="dxa"/>
            <w:vAlign w:val="bottom"/>
          </w:tcPr>
          <w:p>
            <w:pPr>
              <w:spacing w:after="0"/>
              <w:rPr>
                <w:sz w:val="2"/>
                <w:szCs w:val="2"/>
                <w:color w:val="auto"/>
              </w:rPr>
            </w:pPr>
          </w:p>
        </w:tc>
        <w:tc>
          <w:tcPr>
            <w:tcW w:w="8740" w:type="dxa"/>
            <w:vAlign w:val="bottom"/>
          </w:tcPr>
          <w:p>
            <w:pPr>
              <w:spacing w:after="0"/>
              <w:rPr>
                <w:sz w:val="2"/>
                <w:szCs w:val="2"/>
                <w:color w:val="auto"/>
              </w:rPr>
            </w:pPr>
          </w:p>
        </w:tc>
      </w:tr>
      <w:tr>
        <w:trPr>
          <w:trHeight w:val="250"/>
        </w:trPr>
        <w:tc>
          <w:tcPr>
            <w:tcW w:w="25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IRS</w:t>
            </w:r>
          </w:p>
        </w:tc>
        <w:tc>
          <w:tcPr>
            <w:tcW w:w="8740" w:type="dxa"/>
            <w:vAlign w:val="bottom"/>
            <w:tcBorders>
              <w:bottom w:val="single" w:sz="8" w:color="CEFFE7"/>
            </w:tcBorders>
            <w:shd w:val="clear" w:color="auto" w:fill="CEFFE7"/>
          </w:tcPr>
          <w:p>
            <w:pPr>
              <w:ind w:left="340"/>
              <w:spacing w:after="0"/>
              <w:rPr>
                <w:sz w:val="20"/>
                <w:szCs w:val="20"/>
                <w:color w:val="auto"/>
              </w:rPr>
            </w:pPr>
            <w:r>
              <w:rPr>
                <w:rFonts w:ascii="Arial" w:cs="Arial" w:eastAsia="Arial" w:hAnsi="Arial"/>
                <w:sz w:val="18"/>
                <w:szCs w:val="18"/>
                <w:color w:val="auto"/>
              </w:rPr>
              <w:t>United States Internal Revenue Service</w:t>
            </w:r>
          </w:p>
        </w:tc>
      </w:tr>
      <w:tr>
        <w:trPr>
          <w:trHeight w:val="229"/>
        </w:trPr>
        <w:tc>
          <w:tcPr>
            <w:tcW w:w="2500" w:type="dxa"/>
            <w:vAlign w:val="bottom"/>
          </w:tcPr>
          <w:p>
            <w:pPr>
              <w:ind w:left="40"/>
              <w:spacing w:after="0"/>
              <w:rPr>
                <w:sz w:val="20"/>
                <w:szCs w:val="20"/>
                <w:color w:val="auto"/>
              </w:rPr>
            </w:pPr>
            <w:r>
              <w:rPr>
                <w:rFonts w:ascii="Arial" w:cs="Arial" w:eastAsia="Arial" w:hAnsi="Arial"/>
                <w:sz w:val="18"/>
                <w:szCs w:val="18"/>
                <w:color w:val="auto"/>
              </w:rPr>
              <w:t>Kansas Gas</w:t>
            </w:r>
          </w:p>
        </w:tc>
        <w:tc>
          <w:tcPr>
            <w:tcW w:w="8740" w:type="dxa"/>
            <w:vAlign w:val="bottom"/>
          </w:tcPr>
          <w:p>
            <w:pPr>
              <w:ind w:left="340"/>
              <w:spacing w:after="0"/>
              <w:rPr>
                <w:sz w:val="20"/>
                <w:szCs w:val="20"/>
                <w:color w:val="auto"/>
              </w:rPr>
            </w:pPr>
            <w:r>
              <w:rPr>
                <w:rFonts w:ascii="Arial" w:cs="Arial" w:eastAsia="Arial" w:hAnsi="Arial"/>
                <w:sz w:val="18"/>
                <w:szCs w:val="18"/>
                <w:color w:val="auto"/>
                <w:w w:val="96"/>
              </w:rPr>
              <w:t>Black Hills Kansas Gas Utility Company, LLC, a direct, wholly-owned subsidiary of Black Hills Utility Holdings,</w:t>
            </w:r>
          </w:p>
        </w:tc>
      </w:tr>
      <w:tr>
        <w:trPr>
          <w:trHeight w:val="230"/>
        </w:trPr>
        <w:tc>
          <w:tcPr>
            <w:tcW w:w="2500" w:type="dxa"/>
            <w:vAlign w:val="bottom"/>
          </w:tcPr>
          <w:p>
            <w:pPr>
              <w:spacing w:after="0"/>
              <w:rPr>
                <w:sz w:val="20"/>
                <w:szCs w:val="20"/>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providing natural gas services to customers in Kansas (doing business as Black Hills Energy)</w:t>
            </w:r>
          </w:p>
        </w:tc>
      </w:tr>
      <w:tr>
        <w:trPr>
          <w:trHeight w:val="27"/>
        </w:trPr>
        <w:tc>
          <w:tcPr>
            <w:tcW w:w="2500" w:type="dxa"/>
            <w:vAlign w:val="bottom"/>
          </w:tcPr>
          <w:p>
            <w:pPr>
              <w:spacing w:after="0"/>
              <w:rPr>
                <w:sz w:val="2"/>
                <w:szCs w:val="2"/>
                <w:color w:val="auto"/>
              </w:rPr>
            </w:pPr>
          </w:p>
        </w:tc>
        <w:tc>
          <w:tcPr>
            <w:tcW w:w="8740" w:type="dxa"/>
            <w:vAlign w:val="bottom"/>
          </w:tcPr>
          <w:p>
            <w:pPr>
              <w:spacing w:after="0"/>
              <w:rPr>
                <w:sz w:val="2"/>
                <w:szCs w:val="2"/>
                <w:color w:val="auto"/>
              </w:rPr>
            </w:pPr>
          </w:p>
        </w:tc>
      </w:tr>
      <w:tr>
        <w:trPr>
          <w:trHeight w:val="250"/>
        </w:trPr>
        <w:tc>
          <w:tcPr>
            <w:tcW w:w="25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MMBtu</w:t>
            </w:r>
          </w:p>
        </w:tc>
        <w:tc>
          <w:tcPr>
            <w:tcW w:w="8740" w:type="dxa"/>
            <w:vAlign w:val="bottom"/>
            <w:tcBorders>
              <w:bottom w:val="single" w:sz="8" w:color="CEFFE7"/>
            </w:tcBorders>
            <w:shd w:val="clear" w:color="auto" w:fill="CEFFE7"/>
          </w:tcPr>
          <w:p>
            <w:pPr>
              <w:ind w:left="340"/>
              <w:spacing w:after="0"/>
              <w:rPr>
                <w:sz w:val="20"/>
                <w:szCs w:val="20"/>
                <w:color w:val="auto"/>
              </w:rPr>
            </w:pPr>
            <w:r>
              <w:rPr>
                <w:rFonts w:ascii="Arial" w:cs="Arial" w:eastAsia="Arial" w:hAnsi="Arial"/>
                <w:sz w:val="18"/>
                <w:szCs w:val="18"/>
                <w:color w:val="auto"/>
              </w:rPr>
              <w:t>Million British thermal units</w:t>
            </w:r>
          </w:p>
        </w:tc>
      </w:tr>
      <w:tr>
        <w:trPr>
          <w:trHeight w:val="243"/>
        </w:trPr>
        <w:tc>
          <w:tcPr>
            <w:tcW w:w="2500" w:type="dxa"/>
            <w:vAlign w:val="bottom"/>
          </w:tcPr>
          <w:p>
            <w:pPr>
              <w:ind w:left="40"/>
              <w:spacing w:after="0"/>
              <w:rPr>
                <w:sz w:val="20"/>
                <w:szCs w:val="20"/>
                <w:color w:val="auto"/>
              </w:rPr>
            </w:pPr>
            <w:r>
              <w:rPr>
                <w:rFonts w:ascii="Arial" w:cs="Arial" w:eastAsia="Arial" w:hAnsi="Arial"/>
                <w:sz w:val="18"/>
                <w:szCs w:val="18"/>
                <w:color w:val="auto"/>
              </w:rPr>
              <w:t>Moody’s</w:t>
            </w:r>
          </w:p>
        </w:tc>
        <w:tc>
          <w:tcPr>
            <w:tcW w:w="8740" w:type="dxa"/>
            <w:vAlign w:val="bottom"/>
          </w:tcPr>
          <w:p>
            <w:pPr>
              <w:ind w:left="340"/>
              <w:spacing w:after="0"/>
              <w:rPr>
                <w:sz w:val="20"/>
                <w:szCs w:val="20"/>
                <w:color w:val="auto"/>
              </w:rPr>
            </w:pPr>
            <w:r>
              <w:rPr>
                <w:rFonts w:ascii="Arial" w:cs="Arial" w:eastAsia="Arial" w:hAnsi="Arial"/>
                <w:sz w:val="18"/>
                <w:szCs w:val="18"/>
                <w:color w:val="auto"/>
              </w:rPr>
              <w:t>Moody’s Investors Service, Inc.</w:t>
            </w:r>
          </w:p>
        </w:tc>
      </w:tr>
      <w:tr>
        <w:trPr>
          <w:trHeight w:val="27"/>
        </w:trPr>
        <w:tc>
          <w:tcPr>
            <w:tcW w:w="2500" w:type="dxa"/>
            <w:vAlign w:val="bottom"/>
          </w:tcPr>
          <w:p>
            <w:pPr>
              <w:spacing w:after="0"/>
              <w:rPr>
                <w:sz w:val="2"/>
                <w:szCs w:val="2"/>
                <w:color w:val="auto"/>
              </w:rPr>
            </w:pPr>
          </w:p>
        </w:tc>
        <w:tc>
          <w:tcPr>
            <w:tcW w:w="8740" w:type="dxa"/>
            <w:vAlign w:val="bottom"/>
          </w:tcPr>
          <w:p>
            <w:pPr>
              <w:spacing w:after="0"/>
              <w:rPr>
                <w:sz w:val="2"/>
                <w:szCs w:val="2"/>
                <w:color w:val="auto"/>
              </w:rPr>
            </w:pPr>
          </w:p>
        </w:tc>
      </w:tr>
      <w:tr>
        <w:trPr>
          <w:trHeight w:val="250"/>
        </w:trPr>
        <w:tc>
          <w:tcPr>
            <w:tcW w:w="25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MW</w:t>
            </w:r>
          </w:p>
        </w:tc>
        <w:tc>
          <w:tcPr>
            <w:tcW w:w="8740" w:type="dxa"/>
            <w:vAlign w:val="bottom"/>
            <w:tcBorders>
              <w:bottom w:val="single" w:sz="8" w:color="CEFFE7"/>
            </w:tcBorders>
            <w:shd w:val="clear" w:color="auto" w:fill="CEFFE7"/>
          </w:tcPr>
          <w:p>
            <w:pPr>
              <w:ind w:left="340"/>
              <w:spacing w:after="0"/>
              <w:rPr>
                <w:sz w:val="20"/>
                <w:szCs w:val="20"/>
                <w:color w:val="auto"/>
              </w:rPr>
            </w:pPr>
            <w:r>
              <w:rPr>
                <w:rFonts w:ascii="Arial" w:cs="Arial" w:eastAsia="Arial" w:hAnsi="Arial"/>
                <w:sz w:val="18"/>
                <w:szCs w:val="18"/>
                <w:color w:val="auto"/>
              </w:rPr>
              <w:t>Megawatts</w:t>
            </w:r>
          </w:p>
        </w:tc>
      </w:tr>
      <w:tr>
        <w:trPr>
          <w:trHeight w:val="243"/>
        </w:trPr>
        <w:tc>
          <w:tcPr>
            <w:tcW w:w="2500" w:type="dxa"/>
            <w:vAlign w:val="bottom"/>
          </w:tcPr>
          <w:p>
            <w:pPr>
              <w:ind w:left="40"/>
              <w:spacing w:after="0"/>
              <w:rPr>
                <w:sz w:val="20"/>
                <w:szCs w:val="20"/>
                <w:color w:val="auto"/>
              </w:rPr>
            </w:pPr>
            <w:r>
              <w:rPr>
                <w:rFonts w:ascii="Arial" w:cs="Arial" w:eastAsia="Arial" w:hAnsi="Arial"/>
                <w:sz w:val="18"/>
                <w:szCs w:val="18"/>
                <w:color w:val="auto"/>
              </w:rPr>
              <w:t>MWh</w:t>
            </w:r>
          </w:p>
        </w:tc>
        <w:tc>
          <w:tcPr>
            <w:tcW w:w="8740" w:type="dxa"/>
            <w:vAlign w:val="bottom"/>
          </w:tcPr>
          <w:p>
            <w:pPr>
              <w:ind w:left="340"/>
              <w:spacing w:after="0"/>
              <w:rPr>
                <w:sz w:val="20"/>
                <w:szCs w:val="20"/>
                <w:color w:val="auto"/>
              </w:rPr>
            </w:pPr>
            <w:r>
              <w:rPr>
                <w:rFonts w:ascii="Arial" w:cs="Arial" w:eastAsia="Arial" w:hAnsi="Arial"/>
                <w:sz w:val="18"/>
                <w:szCs w:val="18"/>
                <w:color w:val="auto"/>
              </w:rPr>
              <w:t>Megawatt-hours</w:t>
            </w:r>
          </w:p>
        </w:tc>
      </w:tr>
      <w:tr>
        <w:trPr>
          <w:trHeight w:val="27"/>
        </w:trPr>
        <w:tc>
          <w:tcPr>
            <w:tcW w:w="2500" w:type="dxa"/>
            <w:vAlign w:val="bottom"/>
          </w:tcPr>
          <w:p>
            <w:pPr>
              <w:spacing w:after="0"/>
              <w:rPr>
                <w:sz w:val="2"/>
                <w:szCs w:val="2"/>
                <w:color w:val="auto"/>
              </w:rPr>
            </w:pPr>
          </w:p>
        </w:tc>
        <w:tc>
          <w:tcPr>
            <w:tcW w:w="8740" w:type="dxa"/>
            <w:vAlign w:val="bottom"/>
          </w:tcPr>
          <w:p>
            <w:pPr>
              <w:spacing w:after="0"/>
              <w:rPr>
                <w:sz w:val="2"/>
                <w:szCs w:val="2"/>
                <w:color w:val="auto"/>
              </w:rPr>
            </w:pPr>
          </w:p>
        </w:tc>
      </w:tr>
      <w:tr>
        <w:trPr>
          <w:trHeight w:val="229"/>
        </w:trPr>
        <w:tc>
          <w:tcPr>
            <w:tcW w:w="2500" w:type="dxa"/>
            <w:vAlign w:val="bottom"/>
            <w:shd w:val="clear" w:color="auto" w:fill="CEFFE7"/>
          </w:tcPr>
          <w:p>
            <w:pPr>
              <w:ind w:left="40"/>
              <w:spacing w:after="0"/>
              <w:rPr>
                <w:sz w:val="20"/>
                <w:szCs w:val="20"/>
                <w:color w:val="auto"/>
              </w:rPr>
            </w:pPr>
            <w:r>
              <w:rPr>
                <w:rFonts w:ascii="Arial" w:cs="Arial" w:eastAsia="Arial" w:hAnsi="Arial"/>
                <w:sz w:val="18"/>
                <w:szCs w:val="18"/>
                <w:color w:val="auto"/>
              </w:rPr>
              <w:t>Nebraska Gas</w:t>
            </w:r>
          </w:p>
        </w:tc>
        <w:tc>
          <w:tcPr>
            <w:tcW w:w="8740" w:type="dxa"/>
            <w:vAlign w:val="bottom"/>
            <w:shd w:val="clear" w:color="auto" w:fill="CEFFE7"/>
          </w:tcPr>
          <w:p>
            <w:pPr>
              <w:ind w:left="340"/>
              <w:spacing w:after="0"/>
              <w:rPr>
                <w:sz w:val="20"/>
                <w:szCs w:val="20"/>
                <w:color w:val="auto"/>
              </w:rPr>
            </w:pPr>
            <w:r>
              <w:rPr>
                <w:rFonts w:ascii="Arial" w:cs="Arial" w:eastAsia="Arial" w:hAnsi="Arial"/>
                <w:sz w:val="18"/>
                <w:szCs w:val="18"/>
                <w:color w:val="auto"/>
                <w:w w:val="97"/>
              </w:rPr>
              <w:t>Black Hills Nebraska Gas, LLC, an indirect, wholly-owned subsidiary of Black Hills Utility Holdings, providing</w:t>
            </w:r>
          </w:p>
        </w:tc>
      </w:tr>
      <w:tr>
        <w:trPr>
          <w:trHeight w:val="237"/>
        </w:trPr>
        <w:tc>
          <w:tcPr>
            <w:tcW w:w="2500" w:type="dxa"/>
            <w:vAlign w:val="bottom"/>
            <w:tcBorders>
              <w:bottom w:val="single" w:sz="8" w:color="CEFFE7"/>
            </w:tcBorders>
            <w:shd w:val="clear" w:color="auto" w:fill="CEFFE7"/>
          </w:tcPr>
          <w:p>
            <w:pPr>
              <w:spacing w:after="0"/>
              <w:rPr>
                <w:sz w:val="20"/>
                <w:szCs w:val="20"/>
                <w:color w:val="auto"/>
              </w:rPr>
            </w:pPr>
          </w:p>
        </w:tc>
        <w:tc>
          <w:tcPr>
            <w:tcW w:w="8740" w:type="dxa"/>
            <w:vAlign w:val="bottom"/>
            <w:tcBorders>
              <w:bottom w:val="single" w:sz="8" w:color="CEFFE7"/>
            </w:tcBorders>
            <w:shd w:val="clear" w:color="auto" w:fill="CEFFE7"/>
          </w:tcPr>
          <w:p>
            <w:pPr>
              <w:ind w:left="340"/>
              <w:spacing w:after="0"/>
              <w:rPr>
                <w:sz w:val="20"/>
                <w:szCs w:val="20"/>
                <w:color w:val="auto"/>
              </w:rPr>
            </w:pPr>
            <w:r>
              <w:rPr>
                <w:rFonts w:ascii="Arial" w:cs="Arial" w:eastAsia="Arial" w:hAnsi="Arial"/>
                <w:sz w:val="18"/>
                <w:szCs w:val="18"/>
                <w:color w:val="auto"/>
              </w:rPr>
              <w:t>natural gas services to customers in Nebraska (doing business as Black Hills Energy)</w:t>
            </w:r>
          </w:p>
        </w:tc>
      </w:tr>
      <w:tr>
        <w:trPr>
          <w:trHeight w:val="243"/>
        </w:trPr>
        <w:tc>
          <w:tcPr>
            <w:tcW w:w="2500" w:type="dxa"/>
            <w:vAlign w:val="bottom"/>
          </w:tcPr>
          <w:p>
            <w:pPr>
              <w:ind w:left="40"/>
              <w:spacing w:after="0"/>
              <w:rPr>
                <w:sz w:val="20"/>
                <w:szCs w:val="20"/>
                <w:color w:val="auto"/>
              </w:rPr>
            </w:pPr>
            <w:r>
              <w:rPr>
                <w:rFonts w:ascii="Arial" w:cs="Arial" w:eastAsia="Arial" w:hAnsi="Arial"/>
                <w:sz w:val="18"/>
                <w:szCs w:val="18"/>
                <w:color w:val="auto"/>
              </w:rPr>
              <w:t>NPSC</w:t>
            </w:r>
          </w:p>
        </w:tc>
        <w:tc>
          <w:tcPr>
            <w:tcW w:w="8740" w:type="dxa"/>
            <w:vAlign w:val="bottom"/>
          </w:tcPr>
          <w:p>
            <w:pPr>
              <w:ind w:left="340"/>
              <w:spacing w:after="0"/>
              <w:rPr>
                <w:sz w:val="20"/>
                <w:szCs w:val="20"/>
                <w:color w:val="auto"/>
              </w:rPr>
            </w:pPr>
            <w:r>
              <w:rPr>
                <w:rFonts w:ascii="Arial" w:cs="Arial" w:eastAsia="Arial" w:hAnsi="Arial"/>
                <w:sz w:val="18"/>
                <w:szCs w:val="18"/>
                <w:color w:val="auto"/>
              </w:rPr>
              <w:t>Nebraska Public Service Commission</w:t>
            </w:r>
          </w:p>
        </w:tc>
      </w:tr>
      <w:tr>
        <w:trPr>
          <w:trHeight w:val="27"/>
        </w:trPr>
        <w:tc>
          <w:tcPr>
            <w:tcW w:w="2500" w:type="dxa"/>
            <w:vAlign w:val="bottom"/>
          </w:tcPr>
          <w:p>
            <w:pPr>
              <w:spacing w:after="0"/>
              <w:rPr>
                <w:sz w:val="2"/>
                <w:szCs w:val="2"/>
                <w:color w:val="auto"/>
              </w:rPr>
            </w:pPr>
          </w:p>
        </w:tc>
        <w:tc>
          <w:tcPr>
            <w:tcW w:w="8740" w:type="dxa"/>
            <w:vAlign w:val="bottom"/>
          </w:tcPr>
          <w:p>
            <w:pPr>
              <w:spacing w:after="0"/>
              <w:rPr>
                <w:sz w:val="2"/>
                <w:szCs w:val="2"/>
                <w:color w:val="auto"/>
              </w:rPr>
            </w:pPr>
          </w:p>
        </w:tc>
      </w:tr>
      <w:tr>
        <w:trPr>
          <w:trHeight w:val="250"/>
        </w:trPr>
        <w:tc>
          <w:tcPr>
            <w:tcW w:w="25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OCI</w:t>
            </w:r>
          </w:p>
        </w:tc>
        <w:tc>
          <w:tcPr>
            <w:tcW w:w="8740" w:type="dxa"/>
            <w:vAlign w:val="bottom"/>
            <w:tcBorders>
              <w:bottom w:val="single" w:sz="8" w:color="CEFFE7"/>
            </w:tcBorders>
            <w:shd w:val="clear" w:color="auto" w:fill="CEFFE7"/>
          </w:tcPr>
          <w:p>
            <w:pPr>
              <w:ind w:left="340"/>
              <w:spacing w:after="0"/>
              <w:rPr>
                <w:sz w:val="20"/>
                <w:szCs w:val="20"/>
                <w:color w:val="auto"/>
              </w:rPr>
            </w:pPr>
            <w:r>
              <w:rPr>
                <w:rFonts w:ascii="Arial" w:cs="Arial" w:eastAsia="Arial" w:hAnsi="Arial"/>
                <w:sz w:val="18"/>
                <w:szCs w:val="18"/>
                <w:color w:val="auto"/>
              </w:rPr>
              <w:t>Other Comprehensive Income</w:t>
            </w:r>
          </w:p>
        </w:tc>
      </w:tr>
      <w:tr>
        <w:trPr>
          <w:trHeight w:val="243"/>
        </w:trPr>
        <w:tc>
          <w:tcPr>
            <w:tcW w:w="2500" w:type="dxa"/>
            <w:vAlign w:val="bottom"/>
          </w:tcPr>
          <w:p>
            <w:pPr>
              <w:ind w:left="40"/>
              <w:spacing w:after="0"/>
              <w:rPr>
                <w:sz w:val="20"/>
                <w:szCs w:val="20"/>
                <w:color w:val="auto"/>
              </w:rPr>
            </w:pPr>
            <w:r>
              <w:rPr>
                <w:rFonts w:ascii="Arial" w:cs="Arial" w:eastAsia="Arial" w:hAnsi="Arial"/>
                <w:sz w:val="18"/>
                <w:szCs w:val="18"/>
                <w:color w:val="auto"/>
              </w:rPr>
              <w:t>PPA</w:t>
            </w:r>
          </w:p>
        </w:tc>
        <w:tc>
          <w:tcPr>
            <w:tcW w:w="8740" w:type="dxa"/>
            <w:vAlign w:val="bottom"/>
          </w:tcPr>
          <w:p>
            <w:pPr>
              <w:ind w:left="340"/>
              <w:spacing w:after="0"/>
              <w:rPr>
                <w:sz w:val="20"/>
                <w:szCs w:val="20"/>
                <w:color w:val="auto"/>
              </w:rPr>
            </w:pPr>
            <w:r>
              <w:rPr>
                <w:rFonts w:ascii="Arial" w:cs="Arial" w:eastAsia="Arial" w:hAnsi="Arial"/>
                <w:sz w:val="18"/>
                <w:szCs w:val="18"/>
                <w:color w:val="auto"/>
              </w:rPr>
              <w:t>Power Purchase Agreement</w:t>
            </w:r>
          </w:p>
        </w:tc>
      </w:tr>
      <w:tr>
        <w:trPr>
          <w:trHeight w:val="27"/>
        </w:trPr>
        <w:tc>
          <w:tcPr>
            <w:tcW w:w="2500" w:type="dxa"/>
            <w:vAlign w:val="bottom"/>
          </w:tcPr>
          <w:p>
            <w:pPr>
              <w:spacing w:after="0"/>
              <w:rPr>
                <w:sz w:val="2"/>
                <w:szCs w:val="2"/>
                <w:color w:val="auto"/>
              </w:rPr>
            </w:pPr>
          </w:p>
        </w:tc>
        <w:tc>
          <w:tcPr>
            <w:tcW w:w="8740" w:type="dxa"/>
            <w:vAlign w:val="bottom"/>
          </w:tcPr>
          <w:p>
            <w:pPr>
              <w:spacing w:after="0"/>
              <w:rPr>
                <w:sz w:val="2"/>
                <w:szCs w:val="2"/>
                <w:color w:val="auto"/>
              </w:rPr>
            </w:pPr>
          </w:p>
        </w:tc>
      </w:tr>
      <w:tr>
        <w:trPr>
          <w:trHeight w:val="229"/>
        </w:trPr>
        <w:tc>
          <w:tcPr>
            <w:tcW w:w="2500" w:type="dxa"/>
            <w:vAlign w:val="bottom"/>
            <w:shd w:val="clear" w:color="auto" w:fill="CEFFE7"/>
          </w:tcPr>
          <w:p>
            <w:pPr>
              <w:ind w:left="40"/>
              <w:spacing w:after="0"/>
              <w:rPr>
                <w:sz w:val="20"/>
                <w:szCs w:val="20"/>
                <w:color w:val="auto"/>
              </w:rPr>
            </w:pPr>
            <w:r>
              <w:rPr>
                <w:rFonts w:ascii="Arial" w:cs="Arial" w:eastAsia="Arial" w:hAnsi="Arial"/>
                <w:sz w:val="18"/>
                <w:szCs w:val="18"/>
                <w:color w:val="auto"/>
              </w:rPr>
              <w:t>Pueblo Airport Generation</w:t>
            </w:r>
          </w:p>
        </w:tc>
        <w:tc>
          <w:tcPr>
            <w:tcW w:w="8740" w:type="dxa"/>
            <w:vAlign w:val="bottom"/>
            <w:shd w:val="clear" w:color="auto" w:fill="CEFFE7"/>
          </w:tcPr>
          <w:p>
            <w:pPr>
              <w:ind w:left="340"/>
              <w:spacing w:after="0"/>
              <w:rPr>
                <w:sz w:val="20"/>
                <w:szCs w:val="20"/>
                <w:color w:val="auto"/>
              </w:rPr>
            </w:pPr>
            <w:r>
              <w:rPr>
                <w:rFonts w:ascii="Arial" w:cs="Arial" w:eastAsia="Arial" w:hAnsi="Arial"/>
                <w:sz w:val="18"/>
                <w:szCs w:val="18"/>
                <w:color w:val="auto"/>
                <w:w w:val="97"/>
              </w:rPr>
              <w:t>420 MW combined cycle gas-fired power generation plants jointly owned by Colorado Electric (220 MW) and</w:t>
            </w:r>
          </w:p>
        </w:tc>
      </w:tr>
      <w:tr>
        <w:trPr>
          <w:trHeight w:val="216"/>
        </w:trPr>
        <w:tc>
          <w:tcPr>
            <w:tcW w:w="2500" w:type="dxa"/>
            <w:vAlign w:val="bottom"/>
            <w:shd w:val="clear" w:color="auto" w:fill="CEFFE7"/>
          </w:tcPr>
          <w:p>
            <w:pPr>
              <w:spacing w:after="0"/>
              <w:rPr>
                <w:sz w:val="18"/>
                <w:szCs w:val="18"/>
                <w:color w:val="auto"/>
              </w:rPr>
            </w:pPr>
          </w:p>
        </w:tc>
        <w:tc>
          <w:tcPr>
            <w:tcW w:w="8740" w:type="dxa"/>
            <w:vAlign w:val="bottom"/>
            <w:shd w:val="clear" w:color="auto" w:fill="CEFFE7"/>
          </w:tcPr>
          <w:p>
            <w:pPr>
              <w:ind w:left="340"/>
              <w:spacing w:after="0"/>
              <w:rPr>
                <w:sz w:val="20"/>
                <w:szCs w:val="20"/>
                <w:color w:val="auto"/>
              </w:rPr>
            </w:pPr>
            <w:r>
              <w:rPr>
                <w:rFonts w:ascii="Arial" w:cs="Arial" w:eastAsia="Arial" w:hAnsi="Arial"/>
                <w:sz w:val="18"/>
                <w:szCs w:val="18"/>
                <w:color w:val="auto"/>
              </w:rPr>
              <w:t>Black Hills Colorado IPP (200 MW). Black Hills Colorado IPP owns and operates this facility. The plants</w:t>
            </w:r>
          </w:p>
        </w:tc>
      </w:tr>
      <w:tr>
        <w:trPr>
          <w:trHeight w:val="237"/>
        </w:trPr>
        <w:tc>
          <w:tcPr>
            <w:tcW w:w="2500" w:type="dxa"/>
            <w:vAlign w:val="bottom"/>
            <w:tcBorders>
              <w:bottom w:val="single" w:sz="8" w:color="CEFFE7"/>
            </w:tcBorders>
            <w:shd w:val="clear" w:color="auto" w:fill="CEFFE7"/>
          </w:tcPr>
          <w:p>
            <w:pPr>
              <w:spacing w:after="0"/>
              <w:rPr>
                <w:sz w:val="20"/>
                <w:szCs w:val="20"/>
                <w:color w:val="auto"/>
              </w:rPr>
            </w:pPr>
          </w:p>
        </w:tc>
        <w:tc>
          <w:tcPr>
            <w:tcW w:w="8740" w:type="dxa"/>
            <w:vAlign w:val="bottom"/>
            <w:tcBorders>
              <w:bottom w:val="single" w:sz="8" w:color="CEFFE7"/>
            </w:tcBorders>
            <w:shd w:val="clear" w:color="auto" w:fill="CEFFE7"/>
          </w:tcPr>
          <w:p>
            <w:pPr>
              <w:ind w:left="340"/>
              <w:spacing w:after="0"/>
              <w:rPr>
                <w:sz w:val="20"/>
                <w:szCs w:val="20"/>
                <w:color w:val="auto"/>
              </w:rPr>
            </w:pPr>
            <w:r>
              <w:rPr>
                <w:rFonts w:ascii="Arial" w:cs="Arial" w:eastAsia="Arial" w:hAnsi="Arial"/>
                <w:sz w:val="18"/>
                <w:szCs w:val="18"/>
                <w:color w:val="auto"/>
              </w:rPr>
              <w:t>commenced operation on January 1, 2012.</w:t>
            </w:r>
          </w:p>
        </w:tc>
      </w:tr>
      <w:tr>
        <w:trPr>
          <w:trHeight w:val="229"/>
        </w:trPr>
        <w:tc>
          <w:tcPr>
            <w:tcW w:w="2500" w:type="dxa"/>
            <w:vAlign w:val="bottom"/>
          </w:tcPr>
          <w:p>
            <w:pPr>
              <w:ind w:left="40"/>
              <w:spacing w:after="0"/>
              <w:rPr>
                <w:sz w:val="20"/>
                <w:szCs w:val="20"/>
                <w:color w:val="auto"/>
              </w:rPr>
            </w:pPr>
            <w:r>
              <w:rPr>
                <w:rFonts w:ascii="Arial" w:cs="Arial" w:eastAsia="Arial" w:hAnsi="Arial"/>
                <w:sz w:val="18"/>
                <w:szCs w:val="18"/>
                <w:color w:val="auto"/>
              </w:rPr>
              <w:t>Renewable Ready</w:t>
            </w:r>
          </w:p>
        </w:tc>
        <w:tc>
          <w:tcPr>
            <w:tcW w:w="8740" w:type="dxa"/>
            <w:vAlign w:val="bottom"/>
          </w:tcPr>
          <w:p>
            <w:pPr>
              <w:ind w:left="340"/>
              <w:spacing w:after="0"/>
              <w:rPr>
                <w:sz w:val="20"/>
                <w:szCs w:val="20"/>
                <w:color w:val="auto"/>
              </w:rPr>
            </w:pPr>
            <w:r>
              <w:rPr>
                <w:rFonts w:ascii="Arial" w:cs="Arial" w:eastAsia="Arial" w:hAnsi="Arial"/>
                <w:sz w:val="18"/>
                <w:szCs w:val="18"/>
                <w:color w:val="auto"/>
                <w:w w:val="97"/>
              </w:rPr>
              <w:t>Voluntary renewable energy subscription program for large commercial, industrial and governmental agency</w:t>
            </w:r>
          </w:p>
        </w:tc>
      </w:tr>
      <w:tr>
        <w:trPr>
          <w:trHeight w:val="216"/>
        </w:trPr>
        <w:tc>
          <w:tcPr>
            <w:tcW w:w="2500" w:type="dxa"/>
            <w:vAlign w:val="bottom"/>
          </w:tcPr>
          <w:p>
            <w:pPr>
              <w:spacing w:after="0"/>
              <w:rPr>
                <w:sz w:val="18"/>
                <w:szCs w:val="18"/>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w w:val="97"/>
              </w:rPr>
              <w:t>customers. The Corriedale wind project will provide 52.5 MW of energy for Renewable Ready subscribers in</w:t>
            </w:r>
          </w:p>
        </w:tc>
      </w:tr>
      <w:tr>
        <w:trPr>
          <w:trHeight w:val="230"/>
        </w:trPr>
        <w:tc>
          <w:tcPr>
            <w:tcW w:w="2500" w:type="dxa"/>
            <w:vAlign w:val="bottom"/>
          </w:tcPr>
          <w:p>
            <w:pPr>
              <w:spacing w:after="0"/>
              <w:rPr>
                <w:sz w:val="20"/>
                <w:szCs w:val="20"/>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Wyoming and western South Dakota.</w:t>
            </w:r>
          </w:p>
        </w:tc>
      </w:tr>
    </w:tbl>
    <w:p>
      <w:pPr>
        <w:spacing w:after="0" w:line="200"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40"/>
          </w:cols>
          <w:pgMar w:left="320" w:top="126" w:right="339" w:bottom="1440" w:gutter="0" w:footer="0" w:header="0"/>
          <w:type w:val="continuous"/>
        </w:sectPr>
      </w:pPr>
    </w:p>
    <w:bookmarkStart w:id="5" w:name="page6"/>
    <w:bookmarkEnd w:id="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460" w:type="dxa"/>
            <w:vAlign w:val="bottom"/>
            <w:shd w:val="clear" w:color="auto" w:fill="CEFFE7"/>
          </w:tcPr>
          <w:p>
            <w:pPr>
              <w:ind w:left="40"/>
              <w:spacing w:after="0"/>
              <w:rPr>
                <w:sz w:val="20"/>
                <w:szCs w:val="20"/>
                <w:color w:val="auto"/>
              </w:rPr>
            </w:pPr>
            <w:r>
              <w:rPr>
                <w:rFonts w:ascii="Arial" w:cs="Arial" w:eastAsia="Arial" w:hAnsi="Arial"/>
                <w:sz w:val="18"/>
                <w:szCs w:val="18"/>
                <w:color w:val="auto"/>
              </w:rPr>
              <w:t>Revolving Credit Facility</w:t>
            </w:r>
          </w:p>
        </w:tc>
        <w:tc>
          <w:tcPr>
            <w:tcW w:w="8780" w:type="dxa"/>
            <w:vAlign w:val="bottom"/>
            <w:shd w:val="clear" w:color="auto" w:fill="CEFFE7"/>
          </w:tcPr>
          <w:p>
            <w:pPr>
              <w:ind w:left="380"/>
              <w:spacing w:after="0"/>
              <w:rPr>
                <w:sz w:val="20"/>
                <w:szCs w:val="20"/>
                <w:color w:val="auto"/>
              </w:rPr>
            </w:pPr>
            <w:r>
              <w:rPr>
                <w:rFonts w:ascii="Arial" w:cs="Arial" w:eastAsia="Arial" w:hAnsi="Arial"/>
                <w:sz w:val="18"/>
                <w:szCs w:val="18"/>
                <w:color w:val="auto"/>
                <w:w w:val="94"/>
              </w:rPr>
              <w:t>Our $750 million credit facility used to fund working capital needs, letters of credit and other corporate purposes,</w:t>
            </w:r>
          </w:p>
        </w:tc>
      </w:tr>
      <w:tr>
        <w:trPr>
          <w:trHeight w:val="237"/>
        </w:trPr>
        <w:tc>
          <w:tcPr>
            <w:tcW w:w="2460" w:type="dxa"/>
            <w:vAlign w:val="bottom"/>
            <w:tcBorders>
              <w:bottom w:val="single" w:sz="8" w:color="CEFFE7"/>
            </w:tcBorders>
            <w:shd w:val="clear" w:color="auto" w:fill="CEFFE7"/>
          </w:tcPr>
          <w:p>
            <w:pPr>
              <w:spacing w:after="0"/>
              <w:rPr>
                <w:sz w:val="20"/>
                <w:szCs w:val="20"/>
                <w:color w:val="auto"/>
              </w:rPr>
            </w:pPr>
          </w:p>
        </w:tc>
        <w:tc>
          <w:tcPr>
            <w:tcW w:w="878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which was amended and restated on July 30, 2018, and now terminates on July 30, 2023.</w:t>
            </w:r>
          </w:p>
        </w:tc>
      </w:tr>
      <w:tr>
        <w:trPr>
          <w:trHeight w:val="229"/>
        </w:trPr>
        <w:tc>
          <w:tcPr>
            <w:tcW w:w="2460" w:type="dxa"/>
            <w:vAlign w:val="bottom"/>
          </w:tcPr>
          <w:p>
            <w:pPr>
              <w:ind w:left="40"/>
              <w:spacing w:after="0"/>
              <w:rPr>
                <w:sz w:val="20"/>
                <w:szCs w:val="20"/>
                <w:color w:val="auto"/>
              </w:rPr>
            </w:pPr>
            <w:r>
              <w:rPr>
                <w:rFonts w:ascii="Arial" w:cs="Arial" w:eastAsia="Arial" w:hAnsi="Arial"/>
                <w:sz w:val="18"/>
                <w:szCs w:val="18"/>
                <w:color w:val="auto"/>
              </w:rPr>
              <w:t>RMNG</w:t>
            </w:r>
          </w:p>
        </w:tc>
        <w:tc>
          <w:tcPr>
            <w:tcW w:w="8780" w:type="dxa"/>
            <w:vAlign w:val="bottom"/>
          </w:tcPr>
          <w:p>
            <w:pPr>
              <w:ind w:left="380"/>
              <w:spacing w:after="0"/>
              <w:rPr>
                <w:sz w:val="20"/>
                <w:szCs w:val="20"/>
                <w:color w:val="auto"/>
              </w:rPr>
            </w:pPr>
            <w:r>
              <w:rPr>
                <w:rFonts w:ascii="Arial" w:cs="Arial" w:eastAsia="Arial" w:hAnsi="Arial"/>
                <w:sz w:val="18"/>
                <w:szCs w:val="18"/>
                <w:color w:val="auto"/>
                <w:w w:val="95"/>
              </w:rPr>
              <w:t>Rocky Mountain Natural Gas LLC, an indirect, wholly-owned subsidiary of Black Hills Utility Holdings, providing</w:t>
            </w:r>
          </w:p>
        </w:tc>
      </w:tr>
      <w:tr>
        <w:trPr>
          <w:trHeight w:val="230"/>
        </w:trPr>
        <w:tc>
          <w:tcPr>
            <w:tcW w:w="2460" w:type="dxa"/>
            <w:vAlign w:val="bottom"/>
          </w:tcPr>
          <w:p>
            <w:pPr>
              <w:spacing w:after="0"/>
              <w:rPr>
                <w:sz w:val="20"/>
                <w:szCs w:val="20"/>
                <w:color w:val="auto"/>
              </w:rPr>
            </w:pPr>
          </w:p>
        </w:tc>
        <w:tc>
          <w:tcPr>
            <w:tcW w:w="8780" w:type="dxa"/>
            <w:vAlign w:val="bottom"/>
          </w:tcPr>
          <w:p>
            <w:pPr>
              <w:ind w:left="380"/>
              <w:spacing w:after="0"/>
              <w:rPr>
                <w:sz w:val="20"/>
                <w:szCs w:val="20"/>
                <w:color w:val="auto"/>
              </w:rPr>
            </w:pPr>
            <w:r>
              <w:rPr>
                <w:rFonts w:ascii="Arial" w:cs="Arial" w:eastAsia="Arial" w:hAnsi="Arial"/>
                <w:sz w:val="18"/>
                <w:szCs w:val="18"/>
                <w:color w:val="auto"/>
                <w:w w:val="96"/>
              </w:rPr>
              <w:t>natural gas transmission and wholesale services in western Colorado (doing business as Black Hills Energy).</w:t>
            </w:r>
          </w:p>
        </w:tc>
      </w:tr>
      <w:tr>
        <w:trPr>
          <w:trHeight w:val="27"/>
        </w:trPr>
        <w:tc>
          <w:tcPr>
            <w:tcW w:w="2460" w:type="dxa"/>
            <w:vAlign w:val="bottom"/>
          </w:tcPr>
          <w:p>
            <w:pPr>
              <w:spacing w:after="0"/>
              <w:rPr>
                <w:sz w:val="2"/>
                <w:szCs w:val="2"/>
                <w:color w:val="auto"/>
              </w:rPr>
            </w:pPr>
          </w:p>
        </w:tc>
        <w:tc>
          <w:tcPr>
            <w:tcW w:w="8780" w:type="dxa"/>
            <w:vAlign w:val="bottom"/>
          </w:tcPr>
          <w:p>
            <w:pPr>
              <w:spacing w:after="0"/>
              <w:rPr>
                <w:sz w:val="2"/>
                <w:szCs w:val="2"/>
                <w:color w:val="auto"/>
              </w:rPr>
            </w:pPr>
          </w:p>
        </w:tc>
      </w:tr>
      <w:tr>
        <w:trPr>
          <w:trHeight w:val="250"/>
        </w:trPr>
        <w:tc>
          <w:tcPr>
            <w:tcW w:w="2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SDPUC</w:t>
            </w:r>
          </w:p>
        </w:tc>
        <w:tc>
          <w:tcPr>
            <w:tcW w:w="878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South Dakota Public Utilities Commission</w:t>
            </w:r>
          </w:p>
        </w:tc>
      </w:tr>
      <w:tr>
        <w:trPr>
          <w:trHeight w:val="243"/>
        </w:trPr>
        <w:tc>
          <w:tcPr>
            <w:tcW w:w="2460" w:type="dxa"/>
            <w:vAlign w:val="bottom"/>
          </w:tcPr>
          <w:p>
            <w:pPr>
              <w:ind w:left="40"/>
              <w:spacing w:after="0"/>
              <w:rPr>
                <w:sz w:val="20"/>
                <w:szCs w:val="20"/>
                <w:color w:val="auto"/>
              </w:rPr>
            </w:pPr>
            <w:r>
              <w:rPr>
                <w:rFonts w:ascii="Arial" w:cs="Arial" w:eastAsia="Arial" w:hAnsi="Arial"/>
                <w:sz w:val="18"/>
                <w:szCs w:val="18"/>
                <w:color w:val="auto"/>
              </w:rPr>
              <w:t>SEC</w:t>
            </w:r>
          </w:p>
        </w:tc>
        <w:tc>
          <w:tcPr>
            <w:tcW w:w="8780" w:type="dxa"/>
            <w:vAlign w:val="bottom"/>
          </w:tcPr>
          <w:p>
            <w:pPr>
              <w:ind w:left="380"/>
              <w:spacing w:after="0"/>
              <w:rPr>
                <w:sz w:val="20"/>
                <w:szCs w:val="20"/>
                <w:color w:val="auto"/>
              </w:rPr>
            </w:pPr>
            <w:r>
              <w:rPr>
                <w:rFonts w:ascii="Arial" w:cs="Arial" w:eastAsia="Arial" w:hAnsi="Arial"/>
                <w:sz w:val="18"/>
                <w:szCs w:val="18"/>
                <w:color w:val="auto"/>
              </w:rPr>
              <w:t>United States Securities and Exchange Commission</w:t>
            </w:r>
          </w:p>
        </w:tc>
      </w:tr>
      <w:tr>
        <w:trPr>
          <w:trHeight w:val="27"/>
        </w:trPr>
        <w:tc>
          <w:tcPr>
            <w:tcW w:w="2460" w:type="dxa"/>
            <w:vAlign w:val="bottom"/>
          </w:tcPr>
          <w:p>
            <w:pPr>
              <w:spacing w:after="0"/>
              <w:rPr>
                <w:sz w:val="2"/>
                <w:szCs w:val="2"/>
                <w:color w:val="auto"/>
              </w:rPr>
            </w:pPr>
          </w:p>
        </w:tc>
        <w:tc>
          <w:tcPr>
            <w:tcW w:w="8780" w:type="dxa"/>
            <w:vAlign w:val="bottom"/>
          </w:tcPr>
          <w:p>
            <w:pPr>
              <w:spacing w:after="0"/>
              <w:rPr>
                <w:sz w:val="2"/>
                <w:szCs w:val="2"/>
                <w:color w:val="auto"/>
              </w:rPr>
            </w:pPr>
          </w:p>
        </w:tc>
      </w:tr>
      <w:tr>
        <w:trPr>
          <w:trHeight w:val="229"/>
        </w:trPr>
        <w:tc>
          <w:tcPr>
            <w:tcW w:w="2460" w:type="dxa"/>
            <w:vAlign w:val="bottom"/>
            <w:shd w:val="clear" w:color="auto" w:fill="CEFFE7"/>
          </w:tcPr>
          <w:p>
            <w:pPr>
              <w:ind w:left="40"/>
              <w:spacing w:after="0"/>
              <w:rPr>
                <w:sz w:val="20"/>
                <w:szCs w:val="20"/>
                <w:color w:val="auto"/>
              </w:rPr>
            </w:pPr>
            <w:r>
              <w:rPr>
                <w:rFonts w:ascii="Arial" w:cs="Arial" w:eastAsia="Arial" w:hAnsi="Arial"/>
                <w:sz w:val="18"/>
                <w:szCs w:val="18"/>
                <w:color w:val="auto"/>
              </w:rPr>
              <w:t>Service Guard</w:t>
            </w:r>
          </w:p>
        </w:tc>
        <w:tc>
          <w:tcPr>
            <w:tcW w:w="8780" w:type="dxa"/>
            <w:vAlign w:val="bottom"/>
            <w:shd w:val="clear" w:color="auto" w:fill="CEFFE7"/>
          </w:tcPr>
          <w:p>
            <w:pPr>
              <w:ind w:left="380"/>
              <w:spacing w:after="0"/>
              <w:rPr>
                <w:sz w:val="20"/>
                <w:szCs w:val="20"/>
                <w:color w:val="auto"/>
              </w:rPr>
            </w:pPr>
            <w:r>
              <w:rPr>
                <w:rFonts w:ascii="Arial" w:cs="Arial" w:eastAsia="Arial" w:hAnsi="Arial"/>
                <w:sz w:val="18"/>
                <w:szCs w:val="18"/>
                <w:color w:val="auto"/>
                <w:w w:val="94"/>
              </w:rPr>
              <w:t>Home appliance repair product offering for both natural gas and electric residential customers through on-going</w:t>
            </w:r>
          </w:p>
        </w:tc>
      </w:tr>
      <w:tr>
        <w:trPr>
          <w:trHeight w:val="216"/>
        </w:trPr>
        <w:tc>
          <w:tcPr>
            <w:tcW w:w="2460" w:type="dxa"/>
            <w:vAlign w:val="bottom"/>
            <w:shd w:val="clear" w:color="auto" w:fill="CEFFE7"/>
          </w:tcPr>
          <w:p>
            <w:pPr>
              <w:spacing w:after="0"/>
              <w:rPr>
                <w:sz w:val="18"/>
                <w:szCs w:val="18"/>
                <w:color w:val="auto"/>
              </w:rPr>
            </w:pPr>
          </w:p>
        </w:tc>
        <w:tc>
          <w:tcPr>
            <w:tcW w:w="8780" w:type="dxa"/>
            <w:vAlign w:val="bottom"/>
            <w:shd w:val="clear" w:color="auto" w:fill="CEFFE7"/>
          </w:tcPr>
          <w:p>
            <w:pPr>
              <w:ind w:left="380"/>
              <w:spacing w:after="0"/>
              <w:rPr>
                <w:sz w:val="20"/>
                <w:szCs w:val="20"/>
                <w:color w:val="auto"/>
              </w:rPr>
            </w:pPr>
            <w:r>
              <w:rPr>
                <w:rFonts w:ascii="Arial" w:cs="Arial" w:eastAsia="Arial" w:hAnsi="Arial"/>
                <w:sz w:val="18"/>
                <w:szCs w:val="18"/>
                <w:color w:val="auto"/>
                <w:w w:val="93"/>
              </w:rPr>
              <w:t>monthly service agreements. The consolidation of the existing Service Guard and CAPP plans into the revamped</w:t>
            </w:r>
          </w:p>
        </w:tc>
      </w:tr>
      <w:tr>
        <w:trPr>
          <w:trHeight w:val="237"/>
        </w:trPr>
        <w:tc>
          <w:tcPr>
            <w:tcW w:w="2460" w:type="dxa"/>
            <w:vAlign w:val="bottom"/>
            <w:tcBorders>
              <w:bottom w:val="single" w:sz="8" w:color="CEFFE7"/>
            </w:tcBorders>
            <w:shd w:val="clear" w:color="auto" w:fill="CEFFE7"/>
          </w:tcPr>
          <w:p>
            <w:pPr>
              <w:spacing w:after="0"/>
              <w:rPr>
                <w:sz w:val="20"/>
                <w:szCs w:val="20"/>
                <w:color w:val="auto"/>
              </w:rPr>
            </w:pPr>
          </w:p>
        </w:tc>
        <w:tc>
          <w:tcPr>
            <w:tcW w:w="878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Service Guard Comfort Plan is currently underway across our service territories.</w:t>
            </w:r>
          </w:p>
        </w:tc>
      </w:tr>
      <w:tr>
        <w:trPr>
          <w:trHeight w:val="243"/>
        </w:trPr>
        <w:tc>
          <w:tcPr>
            <w:tcW w:w="2460" w:type="dxa"/>
            <w:vAlign w:val="bottom"/>
          </w:tcPr>
          <w:p>
            <w:pPr>
              <w:ind w:left="40"/>
              <w:spacing w:after="0"/>
              <w:rPr>
                <w:sz w:val="20"/>
                <w:szCs w:val="20"/>
                <w:color w:val="auto"/>
              </w:rPr>
            </w:pPr>
            <w:r>
              <w:rPr>
                <w:rFonts w:ascii="Arial" w:cs="Arial" w:eastAsia="Arial" w:hAnsi="Arial"/>
                <w:sz w:val="18"/>
                <w:szCs w:val="18"/>
                <w:color w:val="auto"/>
              </w:rPr>
              <w:t>Service Guard Comfort Plan</w:t>
            </w:r>
          </w:p>
        </w:tc>
        <w:tc>
          <w:tcPr>
            <w:tcW w:w="8780" w:type="dxa"/>
            <w:vAlign w:val="bottom"/>
          </w:tcPr>
          <w:p>
            <w:pPr>
              <w:ind w:left="380"/>
              <w:spacing w:after="0"/>
              <w:rPr>
                <w:sz w:val="20"/>
                <w:szCs w:val="20"/>
                <w:color w:val="auto"/>
              </w:rPr>
            </w:pPr>
            <w:r>
              <w:rPr>
                <w:rFonts w:ascii="Arial" w:cs="Arial" w:eastAsia="Arial" w:hAnsi="Arial"/>
                <w:sz w:val="18"/>
                <w:szCs w:val="18"/>
                <w:color w:val="auto"/>
              </w:rPr>
              <w:t>New plan that will consolidate Service Guard and CAPP and provide similar services.</w:t>
            </w:r>
          </w:p>
        </w:tc>
      </w:tr>
      <w:tr>
        <w:trPr>
          <w:trHeight w:val="27"/>
        </w:trPr>
        <w:tc>
          <w:tcPr>
            <w:tcW w:w="2460" w:type="dxa"/>
            <w:vAlign w:val="bottom"/>
          </w:tcPr>
          <w:p>
            <w:pPr>
              <w:spacing w:after="0"/>
              <w:rPr>
                <w:sz w:val="2"/>
                <w:szCs w:val="2"/>
                <w:color w:val="auto"/>
              </w:rPr>
            </w:pPr>
          </w:p>
        </w:tc>
        <w:tc>
          <w:tcPr>
            <w:tcW w:w="8780" w:type="dxa"/>
            <w:vAlign w:val="bottom"/>
          </w:tcPr>
          <w:p>
            <w:pPr>
              <w:spacing w:after="0"/>
              <w:rPr>
                <w:sz w:val="2"/>
                <w:szCs w:val="2"/>
                <w:color w:val="auto"/>
              </w:rPr>
            </w:pPr>
          </w:p>
        </w:tc>
      </w:tr>
      <w:tr>
        <w:trPr>
          <w:trHeight w:val="250"/>
        </w:trPr>
        <w:tc>
          <w:tcPr>
            <w:tcW w:w="2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S&amp;P</w:t>
            </w:r>
          </w:p>
        </w:tc>
        <w:tc>
          <w:tcPr>
            <w:tcW w:w="878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Standard and Poor’s, a division of The McGraw-Hill Companies, Inc.</w:t>
            </w:r>
          </w:p>
        </w:tc>
      </w:tr>
      <w:tr>
        <w:trPr>
          <w:trHeight w:val="229"/>
        </w:trPr>
        <w:tc>
          <w:tcPr>
            <w:tcW w:w="2460" w:type="dxa"/>
            <w:vAlign w:val="bottom"/>
          </w:tcPr>
          <w:p>
            <w:pPr>
              <w:ind w:left="40"/>
              <w:spacing w:after="0"/>
              <w:rPr>
                <w:sz w:val="20"/>
                <w:szCs w:val="20"/>
                <w:color w:val="auto"/>
              </w:rPr>
            </w:pPr>
            <w:r>
              <w:rPr>
                <w:rFonts w:ascii="Arial" w:cs="Arial" w:eastAsia="Arial" w:hAnsi="Arial"/>
                <w:sz w:val="18"/>
                <w:szCs w:val="18"/>
                <w:color w:val="auto"/>
              </w:rPr>
              <w:t>South Dakota Electric</w:t>
            </w:r>
          </w:p>
        </w:tc>
        <w:tc>
          <w:tcPr>
            <w:tcW w:w="8780" w:type="dxa"/>
            <w:vAlign w:val="bottom"/>
          </w:tcPr>
          <w:p>
            <w:pPr>
              <w:ind w:left="380"/>
              <w:spacing w:after="0"/>
              <w:rPr>
                <w:sz w:val="20"/>
                <w:szCs w:val="20"/>
                <w:color w:val="auto"/>
              </w:rPr>
            </w:pPr>
            <w:r>
              <w:rPr>
                <w:rFonts w:ascii="Arial" w:cs="Arial" w:eastAsia="Arial" w:hAnsi="Arial"/>
                <w:sz w:val="18"/>
                <w:szCs w:val="18"/>
                <w:color w:val="auto"/>
                <w:w w:val="94"/>
              </w:rPr>
              <w:t>Black Hills Power, Inc., a direct, wholly-owned subsidiary of Black Hills Corporation, providing electric service to</w:t>
            </w:r>
          </w:p>
        </w:tc>
      </w:tr>
      <w:tr>
        <w:trPr>
          <w:trHeight w:val="230"/>
        </w:trPr>
        <w:tc>
          <w:tcPr>
            <w:tcW w:w="2460" w:type="dxa"/>
            <w:vAlign w:val="bottom"/>
          </w:tcPr>
          <w:p>
            <w:pPr>
              <w:spacing w:after="0"/>
              <w:rPr>
                <w:sz w:val="20"/>
                <w:szCs w:val="20"/>
                <w:color w:val="auto"/>
              </w:rPr>
            </w:pPr>
          </w:p>
        </w:tc>
        <w:tc>
          <w:tcPr>
            <w:tcW w:w="8780" w:type="dxa"/>
            <w:vAlign w:val="bottom"/>
          </w:tcPr>
          <w:p>
            <w:pPr>
              <w:ind w:left="380"/>
              <w:spacing w:after="0"/>
              <w:rPr>
                <w:sz w:val="20"/>
                <w:szCs w:val="20"/>
                <w:color w:val="auto"/>
              </w:rPr>
            </w:pPr>
            <w:r>
              <w:rPr>
                <w:rFonts w:ascii="Arial" w:cs="Arial" w:eastAsia="Arial" w:hAnsi="Arial"/>
                <w:sz w:val="18"/>
                <w:szCs w:val="18"/>
                <w:color w:val="auto"/>
              </w:rPr>
              <w:t>customers in Montana, South Dakota and Wyoming (doing business as Black Hills Energy).</w:t>
            </w:r>
          </w:p>
        </w:tc>
      </w:tr>
      <w:tr>
        <w:trPr>
          <w:trHeight w:val="27"/>
        </w:trPr>
        <w:tc>
          <w:tcPr>
            <w:tcW w:w="2460" w:type="dxa"/>
            <w:vAlign w:val="bottom"/>
          </w:tcPr>
          <w:p>
            <w:pPr>
              <w:spacing w:after="0"/>
              <w:rPr>
                <w:sz w:val="2"/>
                <w:szCs w:val="2"/>
                <w:color w:val="auto"/>
              </w:rPr>
            </w:pPr>
          </w:p>
        </w:tc>
        <w:tc>
          <w:tcPr>
            <w:tcW w:w="8780" w:type="dxa"/>
            <w:vAlign w:val="bottom"/>
          </w:tcPr>
          <w:p>
            <w:pPr>
              <w:spacing w:after="0"/>
              <w:rPr>
                <w:sz w:val="2"/>
                <w:szCs w:val="2"/>
                <w:color w:val="auto"/>
              </w:rPr>
            </w:pPr>
          </w:p>
        </w:tc>
      </w:tr>
      <w:tr>
        <w:trPr>
          <w:trHeight w:val="229"/>
        </w:trPr>
        <w:tc>
          <w:tcPr>
            <w:tcW w:w="2460" w:type="dxa"/>
            <w:vAlign w:val="bottom"/>
            <w:shd w:val="clear" w:color="auto" w:fill="CEFFE7"/>
          </w:tcPr>
          <w:p>
            <w:pPr>
              <w:ind w:left="40"/>
              <w:spacing w:after="0"/>
              <w:rPr>
                <w:sz w:val="20"/>
                <w:szCs w:val="20"/>
                <w:color w:val="auto"/>
              </w:rPr>
            </w:pPr>
            <w:r>
              <w:rPr>
                <w:rFonts w:ascii="Arial" w:cs="Arial" w:eastAsia="Arial" w:hAnsi="Arial"/>
                <w:sz w:val="18"/>
                <w:szCs w:val="18"/>
                <w:color w:val="auto"/>
              </w:rPr>
              <w:t>Tech Services</w:t>
            </w:r>
          </w:p>
        </w:tc>
        <w:tc>
          <w:tcPr>
            <w:tcW w:w="8780" w:type="dxa"/>
            <w:vAlign w:val="bottom"/>
            <w:shd w:val="clear" w:color="auto" w:fill="CEFFE7"/>
          </w:tcPr>
          <w:p>
            <w:pPr>
              <w:ind w:left="380"/>
              <w:spacing w:after="0"/>
              <w:rPr>
                <w:sz w:val="20"/>
                <w:szCs w:val="20"/>
                <w:color w:val="auto"/>
              </w:rPr>
            </w:pPr>
            <w:r>
              <w:rPr>
                <w:rFonts w:ascii="Arial" w:cs="Arial" w:eastAsia="Arial" w:hAnsi="Arial"/>
                <w:sz w:val="18"/>
                <w:szCs w:val="18"/>
                <w:color w:val="auto"/>
                <w:w w:val="94"/>
              </w:rPr>
              <w:t>Non-regulated product lines within Black Hills Corporation that 1) provide electrical system construction services</w:t>
            </w:r>
          </w:p>
        </w:tc>
      </w:tr>
      <w:tr>
        <w:trPr>
          <w:trHeight w:val="216"/>
        </w:trPr>
        <w:tc>
          <w:tcPr>
            <w:tcW w:w="2460" w:type="dxa"/>
            <w:vAlign w:val="bottom"/>
            <w:shd w:val="clear" w:color="auto" w:fill="CEFFE7"/>
          </w:tcPr>
          <w:p>
            <w:pPr>
              <w:spacing w:after="0"/>
              <w:rPr>
                <w:sz w:val="18"/>
                <w:szCs w:val="18"/>
                <w:color w:val="auto"/>
              </w:rPr>
            </w:pPr>
          </w:p>
        </w:tc>
        <w:tc>
          <w:tcPr>
            <w:tcW w:w="8780" w:type="dxa"/>
            <w:vAlign w:val="bottom"/>
            <w:shd w:val="clear" w:color="auto" w:fill="CEFFE7"/>
          </w:tcPr>
          <w:p>
            <w:pPr>
              <w:ind w:left="380"/>
              <w:spacing w:after="0"/>
              <w:rPr>
                <w:sz w:val="20"/>
                <w:szCs w:val="20"/>
                <w:color w:val="auto"/>
              </w:rPr>
            </w:pPr>
            <w:r>
              <w:rPr>
                <w:rFonts w:ascii="Arial" w:cs="Arial" w:eastAsia="Arial" w:hAnsi="Arial"/>
                <w:sz w:val="18"/>
                <w:szCs w:val="18"/>
                <w:color w:val="auto"/>
                <w:w w:val="91"/>
              </w:rPr>
              <w:t>to large industrial customers of our electric utilities and 2) serve gas transportation customers throughout its service</w:t>
            </w:r>
          </w:p>
        </w:tc>
      </w:tr>
      <w:tr>
        <w:trPr>
          <w:trHeight w:val="216"/>
        </w:trPr>
        <w:tc>
          <w:tcPr>
            <w:tcW w:w="2460" w:type="dxa"/>
            <w:vAlign w:val="bottom"/>
            <w:shd w:val="clear" w:color="auto" w:fill="CEFFE7"/>
          </w:tcPr>
          <w:p>
            <w:pPr>
              <w:spacing w:after="0"/>
              <w:rPr>
                <w:sz w:val="18"/>
                <w:szCs w:val="18"/>
                <w:color w:val="auto"/>
              </w:rPr>
            </w:pPr>
          </w:p>
        </w:tc>
        <w:tc>
          <w:tcPr>
            <w:tcW w:w="8780" w:type="dxa"/>
            <w:vAlign w:val="bottom"/>
            <w:shd w:val="clear" w:color="auto" w:fill="CEFFE7"/>
          </w:tcPr>
          <w:p>
            <w:pPr>
              <w:ind w:left="380"/>
              <w:spacing w:after="0"/>
              <w:rPr>
                <w:sz w:val="20"/>
                <w:szCs w:val="20"/>
                <w:color w:val="auto"/>
              </w:rPr>
            </w:pPr>
            <w:r>
              <w:rPr>
                <w:rFonts w:ascii="Arial" w:cs="Arial" w:eastAsia="Arial" w:hAnsi="Arial"/>
                <w:sz w:val="18"/>
                <w:szCs w:val="18"/>
                <w:color w:val="auto"/>
                <w:w w:val="95"/>
              </w:rPr>
              <w:t>territory by constructing and maintaining customer-owner gas infrastructure facilities, typically through one-time</w:t>
            </w:r>
          </w:p>
        </w:tc>
      </w:tr>
      <w:tr>
        <w:trPr>
          <w:trHeight w:val="237"/>
        </w:trPr>
        <w:tc>
          <w:tcPr>
            <w:tcW w:w="2460" w:type="dxa"/>
            <w:vAlign w:val="bottom"/>
            <w:tcBorders>
              <w:bottom w:val="single" w:sz="8" w:color="CEFFE7"/>
            </w:tcBorders>
            <w:shd w:val="clear" w:color="auto" w:fill="CEFFE7"/>
          </w:tcPr>
          <w:p>
            <w:pPr>
              <w:spacing w:after="0"/>
              <w:rPr>
                <w:sz w:val="20"/>
                <w:szCs w:val="20"/>
                <w:color w:val="auto"/>
              </w:rPr>
            </w:pPr>
          </w:p>
        </w:tc>
        <w:tc>
          <w:tcPr>
            <w:tcW w:w="878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contracts.</w:t>
            </w:r>
          </w:p>
        </w:tc>
      </w:tr>
      <w:tr>
        <w:trPr>
          <w:trHeight w:val="243"/>
        </w:trPr>
        <w:tc>
          <w:tcPr>
            <w:tcW w:w="2460" w:type="dxa"/>
            <w:vAlign w:val="bottom"/>
          </w:tcPr>
          <w:p>
            <w:pPr>
              <w:ind w:left="40"/>
              <w:spacing w:after="0"/>
              <w:rPr>
                <w:sz w:val="20"/>
                <w:szCs w:val="20"/>
                <w:color w:val="auto"/>
              </w:rPr>
            </w:pPr>
            <w:r>
              <w:rPr>
                <w:rFonts w:ascii="Arial" w:cs="Arial" w:eastAsia="Arial" w:hAnsi="Arial"/>
                <w:sz w:val="18"/>
                <w:szCs w:val="18"/>
                <w:color w:val="auto"/>
              </w:rPr>
              <w:t>TCJA</w:t>
            </w:r>
          </w:p>
        </w:tc>
        <w:tc>
          <w:tcPr>
            <w:tcW w:w="8780" w:type="dxa"/>
            <w:vAlign w:val="bottom"/>
          </w:tcPr>
          <w:p>
            <w:pPr>
              <w:ind w:left="380"/>
              <w:spacing w:after="0"/>
              <w:rPr>
                <w:sz w:val="20"/>
                <w:szCs w:val="20"/>
                <w:color w:val="auto"/>
              </w:rPr>
            </w:pPr>
            <w:r>
              <w:rPr>
                <w:rFonts w:ascii="Arial" w:cs="Arial" w:eastAsia="Arial" w:hAnsi="Arial"/>
                <w:sz w:val="18"/>
                <w:szCs w:val="18"/>
                <w:color w:val="auto"/>
              </w:rPr>
              <w:t>Tax Cuts and Jobs Act</w:t>
            </w:r>
          </w:p>
        </w:tc>
      </w:tr>
      <w:tr>
        <w:trPr>
          <w:trHeight w:val="27"/>
        </w:trPr>
        <w:tc>
          <w:tcPr>
            <w:tcW w:w="2460" w:type="dxa"/>
            <w:vAlign w:val="bottom"/>
          </w:tcPr>
          <w:p>
            <w:pPr>
              <w:spacing w:after="0"/>
              <w:rPr>
                <w:sz w:val="2"/>
                <w:szCs w:val="2"/>
                <w:color w:val="auto"/>
              </w:rPr>
            </w:pPr>
          </w:p>
        </w:tc>
        <w:tc>
          <w:tcPr>
            <w:tcW w:w="8780" w:type="dxa"/>
            <w:vAlign w:val="bottom"/>
          </w:tcPr>
          <w:p>
            <w:pPr>
              <w:spacing w:after="0"/>
              <w:rPr>
                <w:sz w:val="2"/>
                <w:szCs w:val="2"/>
                <w:color w:val="auto"/>
              </w:rPr>
            </w:pPr>
          </w:p>
        </w:tc>
      </w:tr>
      <w:tr>
        <w:trPr>
          <w:trHeight w:val="250"/>
        </w:trPr>
        <w:tc>
          <w:tcPr>
            <w:tcW w:w="2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Utilities</w:t>
            </w:r>
          </w:p>
        </w:tc>
        <w:tc>
          <w:tcPr>
            <w:tcW w:w="878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Black Hills’ Electric and Gas Utilities</w:t>
            </w:r>
          </w:p>
        </w:tc>
      </w:tr>
      <w:tr>
        <w:trPr>
          <w:trHeight w:val="243"/>
        </w:trPr>
        <w:tc>
          <w:tcPr>
            <w:tcW w:w="2460" w:type="dxa"/>
            <w:vAlign w:val="bottom"/>
          </w:tcPr>
          <w:p>
            <w:pPr>
              <w:ind w:left="40"/>
              <w:spacing w:after="0"/>
              <w:rPr>
                <w:sz w:val="20"/>
                <w:szCs w:val="20"/>
                <w:color w:val="auto"/>
              </w:rPr>
            </w:pPr>
            <w:r>
              <w:rPr>
                <w:rFonts w:ascii="Arial" w:cs="Arial" w:eastAsia="Arial" w:hAnsi="Arial"/>
                <w:sz w:val="18"/>
                <w:szCs w:val="18"/>
                <w:color w:val="auto"/>
              </w:rPr>
              <w:t>Wind Capacity Factor</w:t>
            </w:r>
          </w:p>
        </w:tc>
        <w:tc>
          <w:tcPr>
            <w:tcW w:w="8780" w:type="dxa"/>
            <w:vAlign w:val="bottom"/>
          </w:tcPr>
          <w:p>
            <w:pPr>
              <w:ind w:left="380"/>
              <w:spacing w:after="0"/>
              <w:rPr>
                <w:sz w:val="20"/>
                <w:szCs w:val="20"/>
                <w:color w:val="auto"/>
              </w:rPr>
            </w:pPr>
            <w:r>
              <w:rPr>
                <w:rFonts w:ascii="Arial" w:cs="Arial" w:eastAsia="Arial" w:hAnsi="Arial"/>
                <w:sz w:val="18"/>
                <w:szCs w:val="18"/>
                <w:color w:val="auto"/>
                <w:w w:val="92"/>
              </w:rPr>
              <w:t>Measures the amount of electricity a wind turbine produces in a given time period relative to its maximum potential</w:t>
            </w:r>
          </w:p>
        </w:tc>
      </w:tr>
      <w:tr>
        <w:trPr>
          <w:trHeight w:val="27"/>
        </w:trPr>
        <w:tc>
          <w:tcPr>
            <w:tcW w:w="2460" w:type="dxa"/>
            <w:vAlign w:val="bottom"/>
          </w:tcPr>
          <w:p>
            <w:pPr>
              <w:spacing w:after="0"/>
              <w:rPr>
                <w:sz w:val="2"/>
                <w:szCs w:val="2"/>
                <w:color w:val="auto"/>
              </w:rPr>
            </w:pPr>
          </w:p>
        </w:tc>
        <w:tc>
          <w:tcPr>
            <w:tcW w:w="8780" w:type="dxa"/>
            <w:vAlign w:val="bottom"/>
          </w:tcPr>
          <w:p>
            <w:pPr>
              <w:spacing w:after="0"/>
              <w:rPr>
                <w:sz w:val="2"/>
                <w:szCs w:val="2"/>
                <w:color w:val="auto"/>
              </w:rPr>
            </w:pPr>
          </w:p>
        </w:tc>
      </w:tr>
      <w:tr>
        <w:trPr>
          <w:trHeight w:val="250"/>
        </w:trPr>
        <w:tc>
          <w:tcPr>
            <w:tcW w:w="2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WPSC</w:t>
            </w:r>
          </w:p>
        </w:tc>
        <w:tc>
          <w:tcPr>
            <w:tcW w:w="878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Wyoming Public Service Commission</w:t>
            </w:r>
          </w:p>
        </w:tc>
      </w:tr>
      <w:tr>
        <w:trPr>
          <w:trHeight w:val="229"/>
        </w:trPr>
        <w:tc>
          <w:tcPr>
            <w:tcW w:w="2460" w:type="dxa"/>
            <w:vAlign w:val="bottom"/>
          </w:tcPr>
          <w:p>
            <w:pPr>
              <w:ind w:left="40"/>
              <w:spacing w:after="0"/>
              <w:rPr>
                <w:sz w:val="20"/>
                <w:szCs w:val="20"/>
                <w:color w:val="auto"/>
              </w:rPr>
            </w:pPr>
            <w:r>
              <w:rPr>
                <w:rFonts w:ascii="Arial" w:cs="Arial" w:eastAsia="Arial" w:hAnsi="Arial"/>
                <w:sz w:val="18"/>
                <w:szCs w:val="18"/>
                <w:color w:val="auto"/>
              </w:rPr>
              <w:t>WRDC</w:t>
            </w:r>
          </w:p>
        </w:tc>
        <w:tc>
          <w:tcPr>
            <w:tcW w:w="8780" w:type="dxa"/>
            <w:vAlign w:val="bottom"/>
          </w:tcPr>
          <w:p>
            <w:pPr>
              <w:ind w:left="380"/>
              <w:spacing w:after="0"/>
              <w:rPr>
                <w:sz w:val="20"/>
                <w:szCs w:val="20"/>
                <w:color w:val="auto"/>
              </w:rPr>
            </w:pPr>
            <w:r>
              <w:rPr>
                <w:rFonts w:ascii="Arial" w:cs="Arial" w:eastAsia="Arial" w:hAnsi="Arial"/>
                <w:sz w:val="18"/>
                <w:szCs w:val="18"/>
                <w:color w:val="auto"/>
                <w:w w:val="96"/>
              </w:rPr>
              <w:t>Wyodak Resources Development Corporation, a direct, wholly-owned subsidiary of Black Hills Non-regulated</w:t>
            </w:r>
          </w:p>
        </w:tc>
      </w:tr>
      <w:tr>
        <w:trPr>
          <w:trHeight w:val="230"/>
        </w:trPr>
        <w:tc>
          <w:tcPr>
            <w:tcW w:w="2460" w:type="dxa"/>
            <w:vAlign w:val="bottom"/>
          </w:tcPr>
          <w:p>
            <w:pPr>
              <w:spacing w:after="0"/>
              <w:rPr>
                <w:sz w:val="20"/>
                <w:szCs w:val="20"/>
                <w:color w:val="auto"/>
              </w:rPr>
            </w:pPr>
          </w:p>
        </w:tc>
        <w:tc>
          <w:tcPr>
            <w:tcW w:w="8780" w:type="dxa"/>
            <w:vAlign w:val="bottom"/>
          </w:tcPr>
          <w:p>
            <w:pPr>
              <w:ind w:left="380"/>
              <w:spacing w:after="0"/>
              <w:rPr>
                <w:sz w:val="20"/>
                <w:szCs w:val="20"/>
                <w:color w:val="auto"/>
              </w:rPr>
            </w:pPr>
            <w:r>
              <w:rPr>
                <w:rFonts w:ascii="Arial" w:cs="Arial" w:eastAsia="Arial" w:hAnsi="Arial"/>
                <w:sz w:val="18"/>
                <w:szCs w:val="18"/>
                <w:color w:val="auto"/>
              </w:rPr>
              <w:t>Holdings (doing business as Black Hills Energy)</w:t>
            </w:r>
          </w:p>
        </w:tc>
      </w:tr>
      <w:tr>
        <w:trPr>
          <w:trHeight w:val="27"/>
        </w:trPr>
        <w:tc>
          <w:tcPr>
            <w:tcW w:w="2460" w:type="dxa"/>
            <w:vAlign w:val="bottom"/>
          </w:tcPr>
          <w:p>
            <w:pPr>
              <w:spacing w:after="0"/>
              <w:rPr>
                <w:sz w:val="2"/>
                <w:szCs w:val="2"/>
                <w:color w:val="auto"/>
              </w:rPr>
            </w:pPr>
          </w:p>
        </w:tc>
        <w:tc>
          <w:tcPr>
            <w:tcW w:w="8780" w:type="dxa"/>
            <w:vAlign w:val="bottom"/>
          </w:tcPr>
          <w:p>
            <w:pPr>
              <w:spacing w:after="0"/>
              <w:rPr>
                <w:sz w:val="2"/>
                <w:szCs w:val="2"/>
                <w:color w:val="auto"/>
              </w:rPr>
            </w:pPr>
          </w:p>
        </w:tc>
      </w:tr>
      <w:tr>
        <w:trPr>
          <w:trHeight w:val="229"/>
        </w:trPr>
        <w:tc>
          <w:tcPr>
            <w:tcW w:w="2460" w:type="dxa"/>
            <w:vAlign w:val="bottom"/>
            <w:shd w:val="clear" w:color="auto" w:fill="CEFFE7"/>
          </w:tcPr>
          <w:p>
            <w:pPr>
              <w:ind w:left="40"/>
              <w:spacing w:after="0"/>
              <w:rPr>
                <w:sz w:val="20"/>
                <w:szCs w:val="20"/>
                <w:color w:val="auto"/>
              </w:rPr>
            </w:pPr>
            <w:r>
              <w:rPr>
                <w:rFonts w:ascii="Arial" w:cs="Arial" w:eastAsia="Arial" w:hAnsi="Arial"/>
                <w:sz w:val="18"/>
                <w:szCs w:val="18"/>
                <w:color w:val="auto"/>
              </w:rPr>
              <w:t>Wyodak Plant</w:t>
            </w:r>
          </w:p>
        </w:tc>
        <w:tc>
          <w:tcPr>
            <w:tcW w:w="8780" w:type="dxa"/>
            <w:vAlign w:val="bottom"/>
            <w:shd w:val="clear" w:color="auto" w:fill="CEFFE7"/>
          </w:tcPr>
          <w:p>
            <w:pPr>
              <w:ind w:left="380"/>
              <w:spacing w:after="0"/>
              <w:rPr>
                <w:sz w:val="20"/>
                <w:szCs w:val="20"/>
                <w:color w:val="auto"/>
              </w:rPr>
            </w:pPr>
            <w:r>
              <w:rPr>
                <w:rFonts w:ascii="Arial" w:cs="Arial" w:eastAsia="Arial" w:hAnsi="Arial"/>
                <w:sz w:val="18"/>
                <w:szCs w:val="18"/>
                <w:color w:val="auto"/>
                <w:w w:val="97"/>
              </w:rPr>
              <w:t>Wyodak, a 362 MW mine-mouth coal-fired plant in Gillette, Wyoming, owned 80% by PacifiCorp and 20% by</w:t>
            </w:r>
          </w:p>
        </w:tc>
      </w:tr>
      <w:tr>
        <w:trPr>
          <w:trHeight w:val="237"/>
        </w:trPr>
        <w:tc>
          <w:tcPr>
            <w:tcW w:w="2460" w:type="dxa"/>
            <w:vAlign w:val="bottom"/>
            <w:tcBorders>
              <w:bottom w:val="single" w:sz="8" w:color="CEFFE7"/>
            </w:tcBorders>
            <w:shd w:val="clear" w:color="auto" w:fill="CEFFE7"/>
          </w:tcPr>
          <w:p>
            <w:pPr>
              <w:spacing w:after="0"/>
              <w:rPr>
                <w:sz w:val="20"/>
                <w:szCs w:val="20"/>
                <w:color w:val="auto"/>
              </w:rPr>
            </w:pPr>
          </w:p>
        </w:tc>
        <w:tc>
          <w:tcPr>
            <w:tcW w:w="878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Black Hills Energy South Dakota. Our WRDC mine supplies all of the fuel for the plant.</w:t>
            </w:r>
          </w:p>
        </w:tc>
      </w:tr>
      <w:tr>
        <w:trPr>
          <w:trHeight w:val="229"/>
        </w:trPr>
        <w:tc>
          <w:tcPr>
            <w:tcW w:w="2460" w:type="dxa"/>
            <w:vAlign w:val="bottom"/>
          </w:tcPr>
          <w:p>
            <w:pPr>
              <w:ind w:left="40"/>
              <w:spacing w:after="0"/>
              <w:rPr>
                <w:sz w:val="20"/>
                <w:szCs w:val="20"/>
                <w:color w:val="auto"/>
              </w:rPr>
            </w:pPr>
            <w:r>
              <w:rPr>
                <w:rFonts w:ascii="Arial" w:cs="Arial" w:eastAsia="Arial" w:hAnsi="Arial"/>
                <w:sz w:val="18"/>
                <w:szCs w:val="18"/>
                <w:color w:val="auto"/>
              </w:rPr>
              <w:t>Wyoming Electric</w:t>
            </w:r>
          </w:p>
        </w:tc>
        <w:tc>
          <w:tcPr>
            <w:tcW w:w="8780" w:type="dxa"/>
            <w:vAlign w:val="bottom"/>
          </w:tcPr>
          <w:p>
            <w:pPr>
              <w:ind w:left="380"/>
              <w:spacing w:after="0"/>
              <w:rPr>
                <w:sz w:val="20"/>
                <w:szCs w:val="20"/>
                <w:color w:val="auto"/>
              </w:rPr>
            </w:pPr>
            <w:r>
              <w:rPr>
                <w:rFonts w:ascii="Arial" w:cs="Arial" w:eastAsia="Arial" w:hAnsi="Arial"/>
                <w:sz w:val="18"/>
                <w:szCs w:val="18"/>
                <w:color w:val="auto"/>
              </w:rPr>
              <w:t>Cheyenne Light, Fuel and Power Company, a direct, wholly-owned subsidiary of Black Hills Corporation,</w:t>
            </w:r>
          </w:p>
        </w:tc>
      </w:tr>
      <w:tr>
        <w:trPr>
          <w:trHeight w:val="230"/>
        </w:trPr>
        <w:tc>
          <w:tcPr>
            <w:tcW w:w="2460" w:type="dxa"/>
            <w:vAlign w:val="bottom"/>
          </w:tcPr>
          <w:p>
            <w:pPr>
              <w:spacing w:after="0"/>
              <w:rPr>
                <w:sz w:val="20"/>
                <w:szCs w:val="20"/>
                <w:color w:val="auto"/>
              </w:rPr>
            </w:pPr>
          </w:p>
        </w:tc>
        <w:tc>
          <w:tcPr>
            <w:tcW w:w="8780" w:type="dxa"/>
            <w:vAlign w:val="bottom"/>
          </w:tcPr>
          <w:p>
            <w:pPr>
              <w:ind w:left="380"/>
              <w:spacing w:after="0"/>
              <w:rPr>
                <w:sz w:val="20"/>
                <w:szCs w:val="20"/>
                <w:color w:val="auto"/>
              </w:rPr>
            </w:pPr>
            <w:r>
              <w:rPr>
                <w:rFonts w:ascii="Arial" w:cs="Arial" w:eastAsia="Arial" w:hAnsi="Arial"/>
                <w:sz w:val="18"/>
                <w:szCs w:val="18"/>
                <w:color w:val="auto"/>
                <w:w w:val="94"/>
              </w:rPr>
              <w:t>providing electric service to customers in the Cheyenne, Wyoming area (doing business as Black Hills Energy).</w:t>
            </w:r>
          </w:p>
        </w:tc>
      </w:tr>
      <w:tr>
        <w:trPr>
          <w:trHeight w:val="27"/>
        </w:trPr>
        <w:tc>
          <w:tcPr>
            <w:tcW w:w="2460" w:type="dxa"/>
            <w:vAlign w:val="bottom"/>
          </w:tcPr>
          <w:p>
            <w:pPr>
              <w:spacing w:after="0"/>
              <w:rPr>
                <w:sz w:val="2"/>
                <w:szCs w:val="2"/>
                <w:color w:val="auto"/>
              </w:rPr>
            </w:pPr>
          </w:p>
        </w:tc>
        <w:tc>
          <w:tcPr>
            <w:tcW w:w="8780" w:type="dxa"/>
            <w:vAlign w:val="bottom"/>
          </w:tcPr>
          <w:p>
            <w:pPr>
              <w:spacing w:after="0"/>
              <w:rPr>
                <w:sz w:val="2"/>
                <w:szCs w:val="2"/>
                <w:color w:val="auto"/>
              </w:rPr>
            </w:pPr>
          </w:p>
        </w:tc>
      </w:tr>
      <w:tr>
        <w:trPr>
          <w:trHeight w:val="229"/>
        </w:trPr>
        <w:tc>
          <w:tcPr>
            <w:tcW w:w="2460" w:type="dxa"/>
            <w:vAlign w:val="bottom"/>
            <w:shd w:val="clear" w:color="auto" w:fill="CEFFE7"/>
          </w:tcPr>
          <w:p>
            <w:pPr>
              <w:ind w:left="40"/>
              <w:spacing w:after="0"/>
              <w:rPr>
                <w:sz w:val="20"/>
                <w:szCs w:val="20"/>
                <w:color w:val="auto"/>
              </w:rPr>
            </w:pPr>
            <w:r>
              <w:rPr>
                <w:rFonts w:ascii="Arial" w:cs="Arial" w:eastAsia="Arial" w:hAnsi="Arial"/>
                <w:sz w:val="18"/>
                <w:szCs w:val="18"/>
                <w:color w:val="auto"/>
              </w:rPr>
              <w:t>Wyoming Gas</w:t>
            </w:r>
          </w:p>
        </w:tc>
        <w:tc>
          <w:tcPr>
            <w:tcW w:w="8780" w:type="dxa"/>
            <w:vAlign w:val="bottom"/>
            <w:shd w:val="clear" w:color="auto" w:fill="CEFFE7"/>
          </w:tcPr>
          <w:p>
            <w:pPr>
              <w:ind w:left="380"/>
              <w:spacing w:after="0"/>
              <w:rPr>
                <w:sz w:val="20"/>
                <w:szCs w:val="20"/>
                <w:color w:val="auto"/>
              </w:rPr>
            </w:pPr>
            <w:r>
              <w:rPr>
                <w:rFonts w:ascii="Arial" w:cs="Arial" w:eastAsia="Arial" w:hAnsi="Arial"/>
                <w:sz w:val="18"/>
                <w:szCs w:val="18"/>
                <w:color w:val="auto"/>
              </w:rPr>
              <w:t>Black Hills Wyoming Gas, LLC, an indirect and wholly-owned subsidiary of Black Hills Utility Holdings,</w:t>
            </w:r>
          </w:p>
        </w:tc>
      </w:tr>
      <w:tr>
        <w:trPr>
          <w:trHeight w:val="237"/>
        </w:trPr>
        <w:tc>
          <w:tcPr>
            <w:tcW w:w="2460" w:type="dxa"/>
            <w:vAlign w:val="bottom"/>
            <w:tcBorders>
              <w:bottom w:val="single" w:sz="8" w:color="CEFFE7"/>
            </w:tcBorders>
            <w:shd w:val="clear" w:color="auto" w:fill="CEFFE7"/>
          </w:tcPr>
          <w:p>
            <w:pPr>
              <w:spacing w:after="0"/>
              <w:rPr>
                <w:sz w:val="20"/>
                <w:szCs w:val="20"/>
                <w:color w:val="auto"/>
              </w:rPr>
            </w:pPr>
          </w:p>
        </w:tc>
        <w:tc>
          <w:tcPr>
            <w:tcW w:w="878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providing natural gas services to customers in Wyoming (doing business as Black Hills Energy).</w:t>
            </w:r>
          </w:p>
        </w:tc>
      </w:tr>
      <w:tr>
        <w:trPr>
          <w:trHeight w:val="432"/>
        </w:trPr>
        <w:tc>
          <w:tcPr>
            <w:tcW w:w="2460" w:type="dxa"/>
            <w:vAlign w:val="bottom"/>
          </w:tcPr>
          <w:p>
            <w:pPr>
              <w:spacing w:after="0"/>
              <w:rPr>
                <w:sz w:val="24"/>
                <w:szCs w:val="24"/>
                <w:color w:val="auto"/>
              </w:rPr>
            </w:pPr>
          </w:p>
        </w:tc>
        <w:tc>
          <w:tcPr>
            <w:tcW w:w="8780" w:type="dxa"/>
            <w:vAlign w:val="bottom"/>
          </w:tcPr>
          <w:p>
            <w:pPr>
              <w:ind w:left="3120"/>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240"/>
          </w:cols>
          <w:pgMar w:left="320" w:top="126" w:right="339" w:bottom="1440" w:gutter="0" w:footer="0" w:header="0"/>
        </w:sectPr>
      </w:pPr>
    </w:p>
    <w:bookmarkStart w:id="6" w:name="page7"/>
    <w:bookmarkEnd w:id="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PART I.</w:t>
        <w:tab/>
        <w:t>FINANCIAL INFORMATION</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 HILLS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440" w:type="dxa"/>
            <w:vAlign w:val="bottom"/>
          </w:tcPr>
          <w:p>
            <w:pPr>
              <w:ind w:left="40"/>
              <w:spacing w:after="0"/>
              <w:rPr>
                <w:sz w:val="20"/>
                <w:szCs w:val="20"/>
                <w:color w:val="auto"/>
              </w:rPr>
            </w:pPr>
            <w:r>
              <w:rPr>
                <w:rFonts w:ascii="Arial" w:cs="Arial" w:eastAsia="Arial" w:hAnsi="Arial"/>
                <w:sz w:val="16"/>
                <w:szCs w:val="16"/>
                <w:color w:val="auto"/>
              </w:rPr>
              <w:t>(unaudited)</w:t>
            </w:r>
          </w:p>
        </w:tc>
        <w:tc>
          <w:tcPr>
            <w:tcW w:w="340" w:type="dxa"/>
            <w:vAlign w:val="bottom"/>
          </w:tcPr>
          <w:p>
            <w:pPr>
              <w:spacing w:after="0"/>
              <w:rPr>
                <w:sz w:val="17"/>
                <w:szCs w:val="17"/>
                <w:color w:val="auto"/>
              </w:rPr>
            </w:pPr>
          </w:p>
        </w:tc>
        <w:tc>
          <w:tcPr>
            <w:tcW w:w="3460" w:type="dxa"/>
            <w:vAlign w:val="bottom"/>
            <w:gridSpan w:val="3"/>
          </w:tcPr>
          <w:p>
            <w:pPr>
              <w:jc w:val="right"/>
              <w:ind w:right="779"/>
              <w:spacing w:after="0"/>
              <w:rPr>
                <w:sz w:val="20"/>
                <w:szCs w:val="20"/>
                <w:color w:val="auto"/>
              </w:rPr>
            </w:pPr>
            <w:r>
              <w:rPr>
                <w:rFonts w:ascii="Arial" w:cs="Arial" w:eastAsia="Arial" w:hAnsi="Arial"/>
                <w:sz w:val="16"/>
                <w:szCs w:val="16"/>
                <w:color w:val="auto"/>
              </w:rPr>
              <w:t>Three Months Ended March 31,</w:t>
            </w:r>
          </w:p>
        </w:tc>
      </w:tr>
      <w:tr>
        <w:trPr>
          <w:trHeight w:val="270"/>
        </w:trPr>
        <w:tc>
          <w:tcPr>
            <w:tcW w:w="7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60" w:type="dxa"/>
            <w:vAlign w:val="bottom"/>
          </w:tcPr>
          <w:p>
            <w:pPr>
              <w:jc w:val="right"/>
              <w:ind w:right="699"/>
              <w:spacing w:after="0"/>
              <w:rPr>
                <w:sz w:val="20"/>
                <w:szCs w:val="20"/>
                <w:color w:val="auto"/>
              </w:rPr>
            </w:pPr>
            <w:r>
              <w:rPr>
                <w:rFonts w:ascii="Arial" w:cs="Arial" w:eastAsia="Arial" w:hAnsi="Arial"/>
                <w:sz w:val="16"/>
                <w:szCs w:val="16"/>
                <w:color w:val="auto"/>
              </w:rPr>
              <w:t>2020</w:t>
            </w:r>
          </w:p>
        </w:tc>
        <w:tc>
          <w:tcPr>
            <w:tcW w:w="460" w:type="dxa"/>
            <w:vAlign w:val="bottom"/>
          </w:tcPr>
          <w:p>
            <w:pPr>
              <w:spacing w:after="0"/>
              <w:rPr>
                <w:sz w:val="23"/>
                <w:szCs w:val="23"/>
                <w:color w:val="auto"/>
              </w:rPr>
            </w:pPr>
          </w:p>
        </w:tc>
        <w:tc>
          <w:tcPr>
            <w:tcW w:w="1440" w:type="dxa"/>
            <w:vAlign w:val="bottom"/>
          </w:tcPr>
          <w:p>
            <w:pPr>
              <w:jc w:val="right"/>
              <w:ind w:right="699"/>
              <w:spacing w:after="0"/>
              <w:rPr>
                <w:sz w:val="20"/>
                <w:szCs w:val="20"/>
                <w:color w:val="auto"/>
              </w:rPr>
            </w:pPr>
            <w:r>
              <w:rPr>
                <w:rFonts w:ascii="Arial" w:cs="Arial" w:eastAsia="Arial" w:hAnsi="Arial"/>
                <w:sz w:val="16"/>
                <w:szCs w:val="16"/>
                <w:color w:val="auto"/>
              </w:rPr>
              <w:t>2019</w:t>
            </w:r>
          </w:p>
        </w:tc>
      </w:tr>
      <w:tr>
        <w:trPr>
          <w:trHeight w:val="33"/>
        </w:trPr>
        <w:tc>
          <w:tcPr>
            <w:tcW w:w="74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gridSpan w:val="3"/>
          </w:tcPr>
          <w:p>
            <w:pPr>
              <w:spacing w:after="0"/>
              <w:rPr>
                <w:sz w:val="2"/>
                <w:szCs w:val="2"/>
                <w:color w:val="auto"/>
              </w:rPr>
            </w:pPr>
          </w:p>
        </w:tc>
      </w:tr>
      <w:tr>
        <w:trPr>
          <w:trHeight w:val="217"/>
        </w:trPr>
        <w:tc>
          <w:tcPr>
            <w:tcW w:w="7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60" w:type="dxa"/>
            <w:vAlign w:val="bottom"/>
            <w:gridSpan w:val="3"/>
          </w:tcPr>
          <w:p>
            <w:pPr>
              <w:jc w:val="right"/>
              <w:ind w:right="479"/>
              <w:spacing w:after="0"/>
              <w:rPr>
                <w:sz w:val="20"/>
                <w:szCs w:val="20"/>
                <w:color w:val="auto"/>
              </w:rPr>
            </w:pPr>
            <w:r>
              <w:rPr>
                <w:rFonts w:ascii="Arial" w:cs="Arial" w:eastAsia="Arial" w:hAnsi="Arial"/>
                <w:sz w:val="16"/>
                <w:szCs w:val="16"/>
                <w:color w:val="auto"/>
                <w:w w:val="97"/>
              </w:rPr>
              <w:t>(in thousands, except per share amounts)</w:t>
            </w:r>
          </w:p>
        </w:tc>
      </w:tr>
      <w:tr>
        <w:trPr>
          <w:trHeight w:val="222"/>
        </w:trPr>
        <w:tc>
          <w:tcPr>
            <w:tcW w:w="7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57"/>
        </w:trPr>
        <w:tc>
          <w:tcPr>
            <w:tcW w:w="74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Revenue</w:t>
            </w:r>
          </w:p>
        </w:tc>
        <w:tc>
          <w:tcPr>
            <w:tcW w:w="340" w:type="dxa"/>
            <w:vAlign w:val="bottom"/>
            <w:tcBorders>
              <w:bottom w:val="single" w:sz="8" w:color="CEFFE7"/>
            </w:tcBorders>
            <w:shd w:val="clear" w:color="auto" w:fill="CEFFE7"/>
          </w:tcPr>
          <w:p>
            <w:pPr>
              <w:jc w:val="right"/>
              <w:ind w:right="15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537,050</w:t>
            </w:r>
          </w:p>
        </w:tc>
        <w:tc>
          <w:tcPr>
            <w:tcW w:w="460" w:type="dxa"/>
            <w:vAlign w:val="bottom"/>
            <w:tcBorders>
              <w:bottom w:val="single" w:sz="8" w:color="CEFFE7"/>
            </w:tcBorders>
            <w:shd w:val="clear" w:color="auto" w:fill="CEFFE7"/>
          </w:tcPr>
          <w:p>
            <w:pPr>
              <w:jc w:val="right"/>
              <w:ind w:right="25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597,810</w:t>
            </w:r>
          </w:p>
        </w:tc>
      </w:tr>
      <w:tr>
        <w:trPr>
          <w:trHeight w:val="183"/>
        </w:trPr>
        <w:tc>
          <w:tcPr>
            <w:tcW w:w="744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r>
      <w:tr>
        <w:trPr>
          <w:trHeight w:val="250"/>
        </w:trPr>
        <w:tc>
          <w:tcPr>
            <w:tcW w:w="74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Operating expenses:</w:t>
            </w:r>
          </w:p>
        </w:tc>
        <w:tc>
          <w:tcPr>
            <w:tcW w:w="340" w:type="dxa"/>
            <w:vAlign w:val="bottom"/>
            <w:tcBorders>
              <w:bottom w:val="single" w:sz="8" w:color="CEFFE7"/>
            </w:tcBorders>
            <w:shd w:val="clear" w:color="auto" w:fill="CEFFE7"/>
          </w:tcPr>
          <w:p>
            <w:pPr>
              <w:spacing w:after="0"/>
              <w:rPr>
                <w:sz w:val="21"/>
                <w:szCs w:val="21"/>
                <w:color w:val="auto"/>
              </w:rPr>
            </w:pPr>
          </w:p>
        </w:tc>
        <w:tc>
          <w:tcPr>
            <w:tcW w:w="1560" w:type="dxa"/>
            <w:vAlign w:val="bottom"/>
            <w:tcBorders>
              <w:bottom w:val="single" w:sz="8" w:color="CEFFE7"/>
            </w:tcBorders>
            <w:shd w:val="clear" w:color="auto" w:fill="CEFFE7"/>
          </w:tcPr>
          <w:p>
            <w:pPr>
              <w:spacing w:after="0"/>
              <w:rPr>
                <w:sz w:val="21"/>
                <w:szCs w:val="21"/>
                <w:color w:val="auto"/>
              </w:rPr>
            </w:pPr>
          </w:p>
        </w:tc>
        <w:tc>
          <w:tcPr>
            <w:tcW w:w="46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spacing w:after="0"/>
              <w:rPr>
                <w:sz w:val="21"/>
                <w:szCs w:val="21"/>
                <w:color w:val="auto"/>
              </w:rPr>
            </w:pPr>
          </w:p>
        </w:tc>
      </w:tr>
      <w:tr>
        <w:trPr>
          <w:trHeight w:val="224"/>
        </w:trPr>
        <w:tc>
          <w:tcPr>
            <w:tcW w:w="7440" w:type="dxa"/>
            <w:vAlign w:val="bottom"/>
          </w:tcPr>
          <w:p>
            <w:pPr>
              <w:ind w:left="40"/>
              <w:spacing w:after="0"/>
              <w:rPr>
                <w:sz w:val="20"/>
                <w:szCs w:val="20"/>
                <w:color w:val="auto"/>
              </w:rPr>
            </w:pPr>
            <w:r>
              <w:rPr>
                <w:rFonts w:ascii="Arial" w:cs="Arial" w:eastAsia="Arial" w:hAnsi="Arial"/>
                <w:sz w:val="16"/>
                <w:szCs w:val="16"/>
                <w:color w:val="auto"/>
              </w:rPr>
              <w:t>Fuel, purchased power and cost of natural gas sold</w:t>
            </w:r>
          </w:p>
        </w:tc>
        <w:tc>
          <w:tcPr>
            <w:tcW w:w="340" w:type="dxa"/>
            <w:vAlign w:val="bottom"/>
          </w:tcPr>
          <w:p>
            <w:pPr>
              <w:spacing w:after="0"/>
              <w:rPr>
                <w:sz w:val="19"/>
                <w:szCs w:val="19"/>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187,879</w:t>
            </w:r>
          </w:p>
        </w:tc>
        <w:tc>
          <w:tcPr>
            <w:tcW w:w="460" w:type="dxa"/>
            <w:vAlign w:val="bottom"/>
          </w:tcPr>
          <w:p>
            <w:pPr>
              <w:spacing w:after="0"/>
              <w:rPr>
                <w:sz w:val="19"/>
                <w:szCs w:val="19"/>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249,742</w:t>
            </w:r>
          </w:p>
        </w:tc>
      </w:tr>
      <w:tr>
        <w:trPr>
          <w:trHeight w:val="33"/>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7"/>
        </w:trPr>
        <w:tc>
          <w:tcPr>
            <w:tcW w:w="74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Operations and maintenance</w:t>
            </w:r>
          </w:p>
        </w:tc>
        <w:tc>
          <w:tcPr>
            <w:tcW w:w="340" w:type="dxa"/>
            <w:vAlign w:val="bottom"/>
            <w:tcBorders>
              <w:bottom w:val="single" w:sz="8" w:color="CEFFE7"/>
            </w:tcBorders>
            <w:shd w:val="clear" w:color="auto" w:fill="CEFFE7"/>
          </w:tcPr>
          <w:p>
            <w:pPr>
              <w:spacing w:after="0"/>
              <w:rPr>
                <w:sz w:val="20"/>
                <w:szCs w:val="20"/>
                <w:color w:val="auto"/>
              </w:rPr>
            </w:pPr>
          </w:p>
        </w:tc>
        <w:tc>
          <w:tcPr>
            <w:tcW w:w="15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125,466</w:t>
            </w:r>
          </w:p>
        </w:tc>
        <w:tc>
          <w:tcPr>
            <w:tcW w:w="460" w:type="dxa"/>
            <w:vAlign w:val="bottom"/>
            <w:tcBorders>
              <w:bottom w:val="single" w:sz="8" w:color="CEFFE7"/>
            </w:tcBorders>
            <w:shd w:val="clear" w:color="auto" w:fill="CEFFE7"/>
          </w:tcPr>
          <w:p>
            <w:pPr>
              <w:spacing w:after="0"/>
              <w:rPr>
                <w:sz w:val="20"/>
                <w:szCs w:val="20"/>
                <w:color w:val="auto"/>
              </w:rPr>
            </w:pPr>
          </w:p>
        </w:tc>
        <w:tc>
          <w:tcPr>
            <w:tcW w:w="14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123,584</w:t>
            </w:r>
          </w:p>
        </w:tc>
      </w:tr>
      <w:tr>
        <w:trPr>
          <w:trHeight w:val="223"/>
        </w:trPr>
        <w:tc>
          <w:tcPr>
            <w:tcW w:w="7440" w:type="dxa"/>
            <w:vAlign w:val="bottom"/>
          </w:tcPr>
          <w:p>
            <w:pPr>
              <w:ind w:left="40"/>
              <w:spacing w:after="0"/>
              <w:rPr>
                <w:sz w:val="20"/>
                <w:szCs w:val="20"/>
                <w:color w:val="auto"/>
              </w:rPr>
            </w:pPr>
            <w:r>
              <w:rPr>
                <w:rFonts w:ascii="Arial" w:cs="Arial" w:eastAsia="Arial" w:hAnsi="Arial"/>
                <w:sz w:val="16"/>
                <w:szCs w:val="16"/>
                <w:color w:val="auto"/>
              </w:rPr>
              <w:t>Depreciation, depletion and amortization</w:t>
            </w:r>
          </w:p>
        </w:tc>
        <w:tc>
          <w:tcPr>
            <w:tcW w:w="340" w:type="dxa"/>
            <w:vAlign w:val="bottom"/>
          </w:tcPr>
          <w:p>
            <w:pPr>
              <w:spacing w:after="0"/>
              <w:rPr>
                <w:sz w:val="19"/>
                <w:szCs w:val="19"/>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56,402</w:t>
            </w:r>
          </w:p>
        </w:tc>
        <w:tc>
          <w:tcPr>
            <w:tcW w:w="460" w:type="dxa"/>
            <w:vAlign w:val="bottom"/>
          </w:tcPr>
          <w:p>
            <w:pPr>
              <w:spacing w:after="0"/>
              <w:rPr>
                <w:sz w:val="19"/>
                <w:szCs w:val="19"/>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51,028</w:t>
            </w:r>
          </w:p>
        </w:tc>
      </w:tr>
      <w:tr>
        <w:trPr>
          <w:trHeight w:val="33"/>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7"/>
        </w:trPr>
        <w:tc>
          <w:tcPr>
            <w:tcW w:w="74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Taxes - property and production</w:t>
            </w:r>
          </w:p>
        </w:tc>
        <w:tc>
          <w:tcPr>
            <w:tcW w:w="340" w:type="dxa"/>
            <w:vAlign w:val="bottom"/>
            <w:tcBorders>
              <w:bottom w:val="single" w:sz="8" w:color="CEFFE7"/>
            </w:tcBorders>
            <w:shd w:val="clear" w:color="auto" w:fill="CEFFE7"/>
          </w:tcPr>
          <w:p>
            <w:pPr>
              <w:spacing w:after="0"/>
              <w:rPr>
                <w:sz w:val="22"/>
                <w:szCs w:val="22"/>
                <w:color w:val="auto"/>
              </w:rPr>
            </w:pPr>
          </w:p>
        </w:tc>
        <w:tc>
          <w:tcPr>
            <w:tcW w:w="15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14,118</w:t>
            </w:r>
          </w:p>
        </w:tc>
        <w:tc>
          <w:tcPr>
            <w:tcW w:w="460" w:type="dxa"/>
            <w:vAlign w:val="bottom"/>
            <w:tcBorders>
              <w:bottom w:val="single" w:sz="8" w:color="CEFFE7"/>
            </w:tcBorders>
            <w:shd w:val="clear" w:color="auto" w:fill="CEFFE7"/>
          </w:tcPr>
          <w:p>
            <w:pPr>
              <w:spacing w:after="0"/>
              <w:rPr>
                <w:sz w:val="22"/>
                <w:szCs w:val="22"/>
                <w:color w:val="auto"/>
              </w:rPr>
            </w:pPr>
          </w:p>
        </w:tc>
        <w:tc>
          <w:tcPr>
            <w:tcW w:w="14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13,325</w:t>
            </w:r>
          </w:p>
        </w:tc>
      </w:tr>
      <w:tr>
        <w:trPr>
          <w:trHeight w:val="217"/>
        </w:trPr>
        <w:tc>
          <w:tcPr>
            <w:tcW w:w="7440" w:type="dxa"/>
            <w:vAlign w:val="bottom"/>
          </w:tcPr>
          <w:p>
            <w:pPr>
              <w:ind w:left="50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383,865</w:t>
            </w:r>
          </w:p>
        </w:tc>
        <w:tc>
          <w:tcPr>
            <w:tcW w:w="4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437,679</w:t>
            </w:r>
          </w:p>
        </w:tc>
      </w:tr>
      <w:tr>
        <w:trPr>
          <w:trHeight w:val="33"/>
        </w:trPr>
        <w:tc>
          <w:tcPr>
            <w:tcW w:w="7440" w:type="dxa"/>
            <w:vAlign w:val="bottom"/>
            <w:tcBorders>
              <w:bottom w:val="single" w:sz="8" w:color="CEFFE7"/>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83"/>
        </w:trPr>
        <w:tc>
          <w:tcPr>
            <w:tcW w:w="7440" w:type="dxa"/>
            <w:vAlign w:val="bottom"/>
            <w:shd w:val="clear" w:color="auto" w:fill="CEFFE7"/>
          </w:tcPr>
          <w:p>
            <w:pPr>
              <w:spacing w:after="0"/>
              <w:rPr>
                <w:sz w:val="15"/>
                <w:szCs w:val="15"/>
                <w:color w:val="auto"/>
              </w:rPr>
            </w:pPr>
          </w:p>
        </w:tc>
        <w:tc>
          <w:tcPr>
            <w:tcW w:w="340" w:type="dxa"/>
            <w:vAlign w:val="bottom"/>
            <w:shd w:val="clear" w:color="auto" w:fill="CEFFE7"/>
          </w:tcPr>
          <w:p>
            <w:pPr>
              <w:spacing w:after="0"/>
              <w:rPr>
                <w:sz w:val="15"/>
                <w:szCs w:val="15"/>
                <w:color w:val="auto"/>
              </w:rPr>
            </w:pPr>
          </w:p>
        </w:tc>
        <w:tc>
          <w:tcPr>
            <w:tcW w:w="1560" w:type="dxa"/>
            <w:vAlign w:val="bottom"/>
            <w:shd w:val="clear" w:color="auto" w:fill="CEFFE7"/>
          </w:tcPr>
          <w:p>
            <w:pPr>
              <w:spacing w:after="0"/>
              <w:rPr>
                <w:sz w:val="15"/>
                <w:szCs w:val="15"/>
                <w:color w:val="auto"/>
              </w:rPr>
            </w:pPr>
          </w:p>
        </w:tc>
        <w:tc>
          <w:tcPr>
            <w:tcW w:w="460" w:type="dxa"/>
            <w:vAlign w:val="bottom"/>
            <w:shd w:val="clear" w:color="auto" w:fill="CEFFE7"/>
          </w:tcPr>
          <w:p>
            <w:pPr>
              <w:spacing w:after="0"/>
              <w:rPr>
                <w:sz w:val="15"/>
                <w:szCs w:val="15"/>
                <w:color w:val="auto"/>
              </w:rPr>
            </w:pPr>
          </w:p>
        </w:tc>
        <w:tc>
          <w:tcPr>
            <w:tcW w:w="1440" w:type="dxa"/>
            <w:vAlign w:val="bottom"/>
            <w:shd w:val="clear" w:color="auto" w:fill="CEFFE7"/>
          </w:tcPr>
          <w:p>
            <w:pPr>
              <w:spacing w:after="0"/>
              <w:rPr>
                <w:sz w:val="15"/>
                <w:szCs w:val="15"/>
                <w:color w:val="auto"/>
              </w:rPr>
            </w:pPr>
          </w:p>
        </w:tc>
      </w:tr>
      <w:tr>
        <w:trPr>
          <w:trHeight w:val="224"/>
        </w:trPr>
        <w:tc>
          <w:tcPr>
            <w:tcW w:w="744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340" w:type="dxa"/>
            <w:vAlign w:val="bottom"/>
          </w:tcPr>
          <w:p>
            <w:pPr>
              <w:spacing w:after="0"/>
              <w:rPr>
                <w:sz w:val="19"/>
                <w:szCs w:val="19"/>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153,185</w:t>
            </w:r>
          </w:p>
        </w:tc>
        <w:tc>
          <w:tcPr>
            <w:tcW w:w="460" w:type="dxa"/>
            <w:vAlign w:val="bottom"/>
          </w:tcPr>
          <w:p>
            <w:pPr>
              <w:spacing w:after="0"/>
              <w:rPr>
                <w:sz w:val="19"/>
                <w:szCs w:val="19"/>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160,131</w:t>
            </w:r>
          </w:p>
        </w:tc>
      </w:tr>
      <w:tr>
        <w:trPr>
          <w:trHeight w:val="33"/>
        </w:trPr>
        <w:tc>
          <w:tcPr>
            <w:tcW w:w="7440" w:type="dxa"/>
            <w:vAlign w:val="bottom"/>
            <w:tcBorders>
              <w:bottom w:val="single" w:sz="8" w:color="CEFFE7"/>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83"/>
        </w:trPr>
        <w:tc>
          <w:tcPr>
            <w:tcW w:w="7440" w:type="dxa"/>
            <w:vAlign w:val="bottom"/>
            <w:shd w:val="clear" w:color="auto" w:fill="CEFFE7"/>
          </w:tcPr>
          <w:p>
            <w:pPr>
              <w:spacing w:after="0"/>
              <w:rPr>
                <w:sz w:val="15"/>
                <w:szCs w:val="15"/>
                <w:color w:val="auto"/>
              </w:rPr>
            </w:pPr>
          </w:p>
        </w:tc>
        <w:tc>
          <w:tcPr>
            <w:tcW w:w="340" w:type="dxa"/>
            <w:vAlign w:val="bottom"/>
            <w:shd w:val="clear" w:color="auto" w:fill="CEFFE7"/>
          </w:tcPr>
          <w:p>
            <w:pPr>
              <w:spacing w:after="0"/>
              <w:rPr>
                <w:sz w:val="15"/>
                <w:szCs w:val="15"/>
                <w:color w:val="auto"/>
              </w:rPr>
            </w:pPr>
          </w:p>
        </w:tc>
        <w:tc>
          <w:tcPr>
            <w:tcW w:w="1560" w:type="dxa"/>
            <w:vAlign w:val="bottom"/>
            <w:shd w:val="clear" w:color="auto" w:fill="CEFFE7"/>
          </w:tcPr>
          <w:p>
            <w:pPr>
              <w:spacing w:after="0"/>
              <w:rPr>
                <w:sz w:val="15"/>
                <w:szCs w:val="15"/>
                <w:color w:val="auto"/>
              </w:rPr>
            </w:pPr>
          </w:p>
        </w:tc>
        <w:tc>
          <w:tcPr>
            <w:tcW w:w="460" w:type="dxa"/>
            <w:vAlign w:val="bottom"/>
            <w:shd w:val="clear" w:color="auto" w:fill="CEFFE7"/>
          </w:tcPr>
          <w:p>
            <w:pPr>
              <w:spacing w:after="0"/>
              <w:rPr>
                <w:sz w:val="15"/>
                <w:szCs w:val="15"/>
                <w:color w:val="auto"/>
              </w:rPr>
            </w:pPr>
          </w:p>
        </w:tc>
        <w:tc>
          <w:tcPr>
            <w:tcW w:w="1440" w:type="dxa"/>
            <w:vAlign w:val="bottom"/>
            <w:shd w:val="clear" w:color="auto" w:fill="CEFFE7"/>
          </w:tcPr>
          <w:p>
            <w:pPr>
              <w:spacing w:after="0"/>
              <w:rPr>
                <w:sz w:val="15"/>
                <w:szCs w:val="15"/>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Other income (expense):</w:t>
            </w:r>
          </w:p>
        </w:tc>
        <w:tc>
          <w:tcPr>
            <w:tcW w:w="3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0"/>
        </w:trPr>
        <w:tc>
          <w:tcPr>
            <w:tcW w:w="7440" w:type="dxa"/>
            <w:vAlign w:val="bottom"/>
            <w:shd w:val="clear" w:color="auto" w:fill="CEFFE7"/>
          </w:tcPr>
          <w:p>
            <w:pPr>
              <w:ind w:left="40"/>
              <w:spacing w:after="0"/>
              <w:rPr>
                <w:sz w:val="20"/>
                <w:szCs w:val="20"/>
                <w:color w:val="auto"/>
              </w:rPr>
            </w:pPr>
            <w:r>
              <w:rPr>
                <w:rFonts w:ascii="Arial" w:cs="Arial" w:eastAsia="Arial" w:hAnsi="Arial"/>
                <w:sz w:val="16"/>
                <w:szCs w:val="16"/>
                <w:color w:val="auto"/>
                <w:w w:val="94"/>
              </w:rPr>
              <w:t>Interest expense incurred net of amounts capitalized (including amortization of debt issuance costs, premiums</w:t>
            </w:r>
          </w:p>
        </w:tc>
        <w:tc>
          <w:tcPr>
            <w:tcW w:w="340" w:type="dxa"/>
            <w:vAlign w:val="bottom"/>
            <w:shd w:val="clear" w:color="auto" w:fill="CEFFE7"/>
          </w:tcPr>
          <w:p>
            <w:pPr>
              <w:spacing w:after="0"/>
              <w:rPr>
                <w:sz w:val="19"/>
                <w:szCs w:val="19"/>
                <w:color w:val="auto"/>
              </w:rPr>
            </w:pPr>
          </w:p>
        </w:tc>
        <w:tc>
          <w:tcPr>
            <w:tcW w:w="1560" w:type="dxa"/>
            <w:vAlign w:val="bottom"/>
            <w:shd w:val="clear" w:color="auto" w:fill="CEFFE7"/>
          </w:tcPr>
          <w:p>
            <w:pPr>
              <w:spacing w:after="0"/>
              <w:rPr>
                <w:sz w:val="19"/>
                <w:szCs w:val="19"/>
                <w:color w:val="auto"/>
              </w:rPr>
            </w:pPr>
          </w:p>
        </w:tc>
        <w:tc>
          <w:tcPr>
            <w:tcW w:w="460" w:type="dxa"/>
            <w:vAlign w:val="bottom"/>
            <w:shd w:val="clear" w:color="auto" w:fill="CEFFE7"/>
          </w:tcPr>
          <w:p>
            <w:pPr>
              <w:spacing w:after="0"/>
              <w:rPr>
                <w:sz w:val="19"/>
                <w:szCs w:val="19"/>
                <w:color w:val="auto"/>
              </w:rPr>
            </w:pPr>
          </w:p>
        </w:tc>
        <w:tc>
          <w:tcPr>
            <w:tcW w:w="1440" w:type="dxa"/>
            <w:vAlign w:val="bottom"/>
            <w:shd w:val="clear" w:color="auto" w:fill="CEFFE7"/>
          </w:tcPr>
          <w:p>
            <w:pPr>
              <w:spacing w:after="0"/>
              <w:rPr>
                <w:sz w:val="19"/>
                <w:szCs w:val="19"/>
                <w:color w:val="auto"/>
              </w:rPr>
            </w:pPr>
          </w:p>
        </w:tc>
      </w:tr>
      <w:tr>
        <w:trPr>
          <w:trHeight w:val="219"/>
        </w:trPr>
        <w:tc>
          <w:tcPr>
            <w:tcW w:w="74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and discounts)</w:t>
            </w:r>
          </w:p>
        </w:tc>
        <w:tc>
          <w:tcPr>
            <w:tcW w:w="340" w:type="dxa"/>
            <w:vAlign w:val="bottom"/>
            <w:tcBorders>
              <w:bottom w:val="single" w:sz="8" w:color="CEFFE7"/>
            </w:tcBorders>
            <w:shd w:val="clear" w:color="auto" w:fill="CEFFE7"/>
          </w:tcPr>
          <w:p>
            <w:pPr>
              <w:spacing w:after="0"/>
              <w:rPr>
                <w:sz w:val="19"/>
                <w:szCs w:val="19"/>
                <w:color w:val="auto"/>
              </w:rPr>
            </w:pPr>
          </w:p>
        </w:tc>
        <w:tc>
          <w:tcPr>
            <w:tcW w:w="15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(35,781)</w:t>
            </w:r>
          </w:p>
        </w:tc>
        <w:tc>
          <w:tcPr>
            <w:tcW w:w="460" w:type="dxa"/>
            <w:vAlign w:val="bottom"/>
            <w:tcBorders>
              <w:bottom w:val="single" w:sz="8" w:color="CEFFE7"/>
            </w:tcBorders>
            <w:shd w:val="clear" w:color="auto" w:fill="CEFFE7"/>
          </w:tcPr>
          <w:p>
            <w:pPr>
              <w:spacing w:after="0"/>
              <w:rPr>
                <w:sz w:val="19"/>
                <w:szCs w:val="19"/>
                <w:color w:val="auto"/>
              </w:rPr>
            </w:pPr>
          </w:p>
        </w:tc>
        <w:tc>
          <w:tcPr>
            <w:tcW w:w="14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(35,016)</w:t>
            </w:r>
          </w:p>
        </w:tc>
      </w:tr>
      <w:tr>
        <w:trPr>
          <w:trHeight w:val="224"/>
        </w:trPr>
        <w:tc>
          <w:tcPr>
            <w:tcW w:w="7440" w:type="dxa"/>
            <w:vAlign w:val="bottom"/>
          </w:tcPr>
          <w:p>
            <w:pPr>
              <w:ind w:left="40"/>
              <w:spacing w:after="0"/>
              <w:rPr>
                <w:sz w:val="20"/>
                <w:szCs w:val="20"/>
                <w:color w:val="auto"/>
              </w:rPr>
            </w:pPr>
            <w:r>
              <w:rPr>
                <w:rFonts w:ascii="Arial" w:cs="Arial" w:eastAsia="Arial" w:hAnsi="Arial"/>
                <w:sz w:val="16"/>
                <w:szCs w:val="16"/>
                <w:color w:val="auto"/>
              </w:rPr>
              <w:t>Interest income</w:t>
            </w:r>
          </w:p>
        </w:tc>
        <w:tc>
          <w:tcPr>
            <w:tcW w:w="340" w:type="dxa"/>
            <w:vAlign w:val="bottom"/>
          </w:tcPr>
          <w:p>
            <w:pPr>
              <w:spacing w:after="0"/>
              <w:rPr>
                <w:sz w:val="19"/>
                <w:szCs w:val="19"/>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328</w:t>
            </w:r>
          </w:p>
        </w:tc>
        <w:tc>
          <w:tcPr>
            <w:tcW w:w="460" w:type="dxa"/>
            <w:vAlign w:val="bottom"/>
          </w:tcPr>
          <w:p>
            <w:pPr>
              <w:spacing w:after="0"/>
              <w:rPr>
                <w:sz w:val="19"/>
                <w:szCs w:val="19"/>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299</w:t>
            </w:r>
          </w:p>
        </w:tc>
      </w:tr>
      <w:tr>
        <w:trPr>
          <w:trHeight w:val="33"/>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6"/>
        </w:trPr>
        <w:tc>
          <w:tcPr>
            <w:tcW w:w="74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Impairment of investment</w:t>
            </w:r>
          </w:p>
        </w:tc>
        <w:tc>
          <w:tcPr>
            <w:tcW w:w="340" w:type="dxa"/>
            <w:vAlign w:val="bottom"/>
            <w:tcBorders>
              <w:bottom w:val="single" w:sz="8" w:color="CEFFE7"/>
            </w:tcBorders>
            <w:shd w:val="clear" w:color="auto" w:fill="CEFFE7"/>
          </w:tcPr>
          <w:p>
            <w:pPr>
              <w:spacing w:after="0"/>
              <w:rPr>
                <w:sz w:val="20"/>
                <w:szCs w:val="20"/>
                <w:color w:val="auto"/>
              </w:rPr>
            </w:pPr>
          </w:p>
        </w:tc>
        <w:tc>
          <w:tcPr>
            <w:tcW w:w="15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(6,859)</w:t>
            </w:r>
          </w:p>
        </w:tc>
        <w:tc>
          <w:tcPr>
            <w:tcW w:w="460" w:type="dxa"/>
            <w:vAlign w:val="bottom"/>
            <w:tcBorders>
              <w:bottom w:val="single" w:sz="8" w:color="CEFFE7"/>
            </w:tcBorders>
            <w:shd w:val="clear" w:color="auto" w:fill="CEFFE7"/>
          </w:tcPr>
          <w:p>
            <w:pPr>
              <w:spacing w:after="0"/>
              <w:rPr>
                <w:sz w:val="20"/>
                <w:szCs w:val="20"/>
                <w:color w:val="auto"/>
              </w:rPr>
            </w:pPr>
          </w:p>
        </w:tc>
        <w:tc>
          <w:tcPr>
            <w:tcW w:w="14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744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340" w:type="dxa"/>
            <w:vAlign w:val="bottom"/>
          </w:tcPr>
          <w:p>
            <w:pPr>
              <w:spacing w:after="0"/>
              <w:rPr>
                <w:sz w:val="19"/>
                <w:szCs w:val="19"/>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2,353</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(789)</w:t>
            </w:r>
          </w:p>
        </w:tc>
      </w:tr>
      <w:tr>
        <w:trPr>
          <w:trHeight w:val="33"/>
        </w:trPr>
        <w:tc>
          <w:tcPr>
            <w:tcW w:w="7440" w:type="dxa"/>
            <w:vAlign w:val="bottom"/>
            <w:tcBorders>
              <w:bottom w:val="single" w:sz="8" w:color="CEFFE7"/>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EFFE7"/>
            </w:tcBorders>
            <w:shd w:val="clear" w:color="auto" w:fill="CEFFE7"/>
          </w:tcPr>
          <w:p>
            <w:pPr>
              <w:ind w:left="500"/>
              <w:spacing w:after="0"/>
              <w:rPr>
                <w:sz w:val="20"/>
                <w:szCs w:val="20"/>
                <w:color w:val="auto"/>
              </w:rPr>
            </w:pPr>
            <w:r>
              <w:rPr>
                <w:rFonts w:ascii="Arial" w:cs="Arial" w:eastAsia="Arial" w:hAnsi="Arial"/>
                <w:sz w:val="16"/>
                <w:szCs w:val="16"/>
                <w:color w:val="auto"/>
              </w:rPr>
              <w:t>Total other income (expense)</w:t>
            </w:r>
          </w:p>
        </w:tc>
        <w:tc>
          <w:tcPr>
            <w:tcW w:w="340" w:type="dxa"/>
            <w:vAlign w:val="bottom"/>
            <w:tcBorders>
              <w:bottom w:val="single" w:sz="8" w:color="CEFFE7"/>
            </w:tcBorders>
            <w:shd w:val="clear" w:color="auto" w:fill="CEFFE7"/>
          </w:tcPr>
          <w:p>
            <w:pPr>
              <w:spacing w:after="0"/>
              <w:rPr>
                <w:sz w:val="21"/>
                <w:szCs w:val="21"/>
                <w:color w:val="auto"/>
              </w:rPr>
            </w:pPr>
          </w:p>
        </w:tc>
        <w:tc>
          <w:tcPr>
            <w:tcW w:w="15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(39,959)</w:t>
            </w:r>
          </w:p>
        </w:tc>
        <w:tc>
          <w:tcPr>
            <w:tcW w:w="46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(35,506)</w:t>
            </w:r>
          </w:p>
        </w:tc>
      </w:tr>
      <w:tr>
        <w:trPr>
          <w:trHeight w:val="250"/>
        </w:trPr>
        <w:tc>
          <w:tcPr>
            <w:tcW w:w="744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r>
      <w:tr>
        <w:trPr>
          <w:trHeight w:val="236"/>
        </w:trPr>
        <w:tc>
          <w:tcPr>
            <w:tcW w:w="74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Income before income taxes</w:t>
            </w:r>
          </w:p>
        </w:tc>
        <w:tc>
          <w:tcPr>
            <w:tcW w:w="340" w:type="dxa"/>
            <w:vAlign w:val="bottom"/>
            <w:tcBorders>
              <w:bottom w:val="single" w:sz="8" w:color="CEFFE7"/>
            </w:tcBorders>
            <w:shd w:val="clear" w:color="auto" w:fill="CEFFE7"/>
          </w:tcPr>
          <w:p>
            <w:pPr>
              <w:spacing w:after="0"/>
              <w:rPr>
                <w:sz w:val="20"/>
                <w:szCs w:val="20"/>
                <w:color w:val="auto"/>
              </w:rPr>
            </w:pPr>
          </w:p>
        </w:tc>
        <w:tc>
          <w:tcPr>
            <w:tcW w:w="15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113,226</w:t>
            </w:r>
          </w:p>
        </w:tc>
        <w:tc>
          <w:tcPr>
            <w:tcW w:w="460" w:type="dxa"/>
            <w:vAlign w:val="bottom"/>
            <w:tcBorders>
              <w:bottom w:val="single" w:sz="8" w:color="CEFFE7"/>
            </w:tcBorders>
            <w:shd w:val="clear" w:color="auto" w:fill="CEFFE7"/>
          </w:tcPr>
          <w:p>
            <w:pPr>
              <w:spacing w:after="0"/>
              <w:rPr>
                <w:sz w:val="20"/>
                <w:szCs w:val="20"/>
                <w:color w:val="auto"/>
              </w:rPr>
            </w:pPr>
          </w:p>
        </w:tc>
        <w:tc>
          <w:tcPr>
            <w:tcW w:w="14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124,625</w:t>
            </w:r>
          </w:p>
        </w:tc>
      </w:tr>
      <w:tr>
        <w:trPr>
          <w:trHeight w:val="224"/>
        </w:trPr>
        <w:tc>
          <w:tcPr>
            <w:tcW w:w="744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(16,002)</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(17,263)</w:t>
            </w:r>
          </w:p>
        </w:tc>
      </w:tr>
      <w:tr>
        <w:trPr>
          <w:trHeight w:val="33"/>
        </w:trPr>
        <w:tc>
          <w:tcPr>
            <w:tcW w:w="7440" w:type="dxa"/>
            <w:vAlign w:val="bottom"/>
            <w:tcBorders>
              <w:bottom w:val="single" w:sz="8" w:color="CEFFE7"/>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6"/>
                <w:szCs w:val="16"/>
                <w:color w:val="auto"/>
              </w:rPr>
              <w:t>Net income</w:t>
            </w:r>
          </w:p>
        </w:tc>
        <w:tc>
          <w:tcPr>
            <w:tcW w:w="340" w:type="dxa"/>
            <w:vAlign w:val="bottom"/>
            <w:tcBorders>
              <w:bottom w:val="single" w:sz="8" w:color="CEFFE7"/>
            </w:tcBorders>
            <w:shd w:val="clear" w:color="auto" w:fill="CEFFE7"/>
          </w:tcPr>
          <w:p>
            <w:pPr>
              <w:spacing w:after="0"/>
              <w:rPr>
                <w:sz w:val="20"/>
                <w:szCs w:val="20"/>
                <w:color w:val="auto"/>
              </w:rPr>
            </w:pPr>
          </w:p>
        </w:tc>
        <w:tc>
          <w:tcPr>
            <w:tcW w:w="15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97,224</w:t>
            </w:r>
          </w:p>
        </w:tc>
        <w:tc>
          <w:tcPr>
            <w:tcW w:w="460" w:type="dxa"/>
            <w:vAlign w:val="bottom"/>
            <w:tcBorders>
              <w:bottom w:val="single" w:sz="8" w:color="CEFFE7"/>
            </w:tcBorders>
            <w:shd w:val="clear" w:color="auto" w:fill="CEFFE7"/>
          </w:tcPr>
          <w:p>
            <w:pPr>
              <w:spacing w:after="0"/>
              <w:rPr>
                <w:sz w:val="20"/>
                <w:szCs w:val="20"/>
                <w:color w:val="auto"/>
              </w:rPr>
            </w:pPr>
          </w:p>
        </w:tc>
        <w:tc>
          <w:tcPr>
            <w:tcW w:w="14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107,362</w:t>
            </w:r>
          </w:p>
        </w:tc>
      </w:tr>
      <w:tr>
        <w:trPr>
          <w:trHeight w:val="223"/>
        </w:trPr>
        <w:tc>
          <w:tcPr>
            <w:tcW w:w="7440" w:type="dxa"/>
            <w:vAlign w:val="bottom"/>
          </w:tcPr>
          <w:p>
            <w:pPr>
              <w:ind w:left="40"/>
              <w:spacing w:after="0"/>
              <w:rPr>
                <w:sz w:val="20"/>
                <w:szCs w:val="20"/>
                <w:color w:val="auto"/>
              </w:rPr>
            </w:pPr>
            <w:r>
              <w:rPr>
                <w:rFonts w:ascii="Arial" w:cs="Arial" w:eastAsia="Arial" w:hAnsi="Arial"/>
                <w:sz w:val="16"/>
                <w:szCs w:val="16"/>
                <w:color w:val="auto"/>
              </w:rPr>
              <w:t>Net income attributable to noncontrolling interest</w:t>
            </w: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(4,050)</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(3,554)</w:t>
            </w:r>
          </w:p>
        </w:tc>
      </w:tr>
      <w:tr>
        <w:trPr>
          <w:trHeight w:val="33"/>
        </w:trPr>
        <w:tc>
          <w:tcPr>
            <w:tcW w:w="7440" w:type="dxa"/>
            <w:vAlign w:val="bottom"/>
            <w:tcBorders>
              <w:bottom w:val="single" w:sz="8" w:color="CEFFE7"/>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3"/>
        </w:trPr>
        <w:tc>
          <w:tcPr>
            <w:tcW w:w="74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Net income available for common stock</w:t>
            </w:r>
          </w:p>
        </w:tc>
        <w:tc>
          <w:tcPr>
            <w:tcW w:w="340" w:type="dxa"/>
            <w:vAlign w:val="bottom"/>
            <w:tcBorders>
              <w:bottom w:val="single" w:sz="8" w:color="auto"/>
            </w:tcBorders>
            <w:shd w:val="clear" w:color="auto" w:fill="CEFFE7"/>
          </w:tcPr>
          <w:p>
            <w:pPr>
              <w:jc w:val="right"/>
              <w:ind w:right="15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93,174</w:t>
            </w:r>
          </w:p>
        </w:tc>
        <w:tc>
          <w:tcPr>
            <w:tcW w:w="460" w:type="dxa"/>
            <w:vAlign w:val="bottom"/>
            <w:tcBorders>
              <w:bottom w:val="single" w:sz="8" w:color="auto"/>
            </w:tcBorders>
            <w:shd w:val="clear" w:color="auto" w:fill="CEFFE7"/>
          </w:tcPr>
          <w:p>
            <w:pPr>
              <w:jc w:val="right"/>
              <w:ind w:right="25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103,808</w:t>
            </w:r>
          </w:p>
        </w:tc>
      </w:tr>
      <w:tr>
        <w:trPr>
          <w:trHeight w:val="20"/>
        </w:trPr>
        <w:tc>
          <w:tcPr>
            <w:tcW w:w="7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76"/>
        </w:trPr>
        <w:tc>
          <w:tcPr>
            <w:tcW w:w="7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9"/>
        </w:trPr>
        <w:tc>
          <w:tcPr>
            <w:tcW w:w="7440" w:type="dxa"/>
            <w:vAlign w:val="bottom"/>
            <w:shd w:val="clear" w:color="auto" w:fill="CEFFE7"/>
          </w:tcPr>
          <w:p>
            <w:pPr>
              <w:spacing w:after="0"/>
              <w:rPr>
                <w:sz w:val="16"/>
                <w:szCs w:val="16"/>
                <w:color w:val="auto"/>
              </w:rPr>
            </w:pPr>
          </w:p>
        </w:tc>
        <w:tc>
          <w:tcPr>
            <w:tcW w:w="340" w:type="dxa"/>
            <w:vAlign w:val="bottom"/>
            <w:shd w:val="clear" w:color="auto" w:fill="CEFFE7"/>
          </w:tcPr>
          <w:p>
            <w:pPr>
              <w:spacing w:after="0"/>
              <w:rPr>
                <w:sz w:val="16"/>
                <w:szCs w:val="16"/>
                <w:color w:val="auto"/>
              </w:rPr>
            </w:pPr>
          </w:p>
        </w:tc>
        <w:tc>
          <w:tcPr>
            <w:tcW w:w="1560" w:type="dxa"/>
            <w:vAlign w:val="bottom"/>
            <w:shd w:val="clear" w:color="auto" w:fill="CEFFE7"/>
          </w:tcPr>
          <w:p>
            <w:pPr>
              <w:spacing w:after="0"/>
              <w:rPr>
                <w:sz w:val="16"/>
                <w:szCs w:val="16"/>
                <w:color w:val="auto"/>
              </w:rPr>
            </w:pPr>
          </w:p>
        </w:tc>
        <w:tc>
          <w:tcPr>
            <w:tcW w:w="460" w:type="dxa"/>
            <w:vAlign w:val="bottom"/>
            <w:shd w:val="clear" w:color="auto" w:fill="CEFFE7"/>
          </w:tcPr>
          <w:p>
            <w:pPr>
              <w:spacing w:after="0"/>
              <w:rPr>
                <w:sz w:val="16"/>
                <w:szCs w:val="16"/>
                <w:color w:val="auto"/>
              </w:rPr>
            </w:pPr>
          </w:p>
        </w:tc>
        <w:tc>
          <w:tcPr>
            <w:tcW w:w="1440" w:type="dxa"/>
            <w:vAlign w:val="bottom"/>
            <w:shd w:val="clear" w:color="auto" w:fill="CEFFE7"/>
          </w:tcPr>
          <w:p>
            <w:pPr>
              <w:spacing w:after="0"/>
              <w:rPr>
                <w:sz w:val="16"/>
                <w:szCs w:val="16"/>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Earnings per share of common stock:</w:t>
            </w:r>
          </w:p>
        </w:tc>
        <w:tc>
          <w:tcPr>
            <w:tcW w:w="3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44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6"/>
                <w:szCs w:val="16"/>
                <w:color w:val="auto"/>
              </w:rPr>
              <w:t>Earnings per share, Basic</w:t>
            </w:r>
          </w:p>
        </w:tc>
        <w:tc>
          <w:tcPr>
            <w:tcW w:w="340" w:type="dxa"/>
            <w:vAlign w:val="bottom"/>
            <w:tcBorders>
              <w:bottom w:val="single" w:sz="8" w:color="auto"/>
            </w:tcBorders>
            <w:shd w:val="clear" w:color="auto" w:fill="CEFFE7"/>
          </w:tcPr>
          <w:p>
            <w:pPr>
              <w:jc w:val="right"/>
              <w:ind w:right="15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1.51</w:t>
            </w:r>
          </w:p>
        </w:tc>
        <w:tc>
          <w:tcPr>
            <w:tcW w:w="460" w:type="dxa"/>
            <w:vAlign w:val="bottom"/>
            <w:tcBorders>
              <w:bottom w:val="single" w:sz="8" w:color="auto"/>
            </w:tcBorders>
            <w:shd w:val="clear" w:color="auto" w:fill="CEFFE7"/>
          </w:tcPr>
          <w:p>
            <w:pPr>
              <w:jc w:val="right"/>
              <w:ind w:right="25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1.73</w:t>
            </w:r>
          </w:p>
        </w:tc>
      </w:tr>
      <w:tr>
        <w:trPr>
          <w:trHeight w:val="20"/>
        </w:trPr>
        <w:tc>
          <w:tcPr>
            <w:tcW w:w="7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77"/>
        </w:trPr>
        <w:tc>
          <w:tcPr>
            <w:tcW w:w="7440" w:type="dxa"/>
            <w:vAlign w:val="bottom"/>
            <w:tcBorders>
              <w:bottom w:val="single" w:sz="8" w:color="CEFFE7"/>
            </w:tcBorders>
          </w:tcPr>
          <w:p>
            <w:pPr>
              <w:ind w:left="240"/>
              <w:spacing w:after="0"/>
              <w:rPr>
                <w:sz w:val="20"/>
                <w:szCs w:val="20"/>
                <w:color w:val="auto"/>
              </w:rPr>
            </w:pPr>
            <w:r>
              <w:rPr>
                <w:rFonts w:ascii="Arial" w:cs="Arial" w:eastAsia="Arial" w:hAnsi="Arial"/>
                <w:sz w:val="16"/>
                <w:szCs w:val="16"/>
                <w:color w:val="auto"/>
              </w:rPr>
              <w:t>Earnings per share, Diluted</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1.51</w:t>
            </w: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1.73</w:t>
            </w:r>
          </w:p>
        </w:tc>
      </w:tr>
      <w:tr>
        <w:trPr>
          <w:trHeight w:val="176"/>
        </w:trPr>
        <w:tc>
          <w:tcPr>
            <w:tcW w:w="7440" w:type="dxa"/>
            <w:vAlign w:val="bottom"/>
            <w:shd w:val="clear" w:color="auto" w:fill="CEFFE7"/>
          </w:tcPr>
          <w:p>
            <w:pPr>
              <w:spacing w:after="0"/>
              <w:rPr>
                <w:sz w:val="15"/>
                <w:szCs w:val="15"/>
                <w:color w:val="auto"/>
              </w:rPr>
            </w:pPr>
          </w:p>
        </w:tc>
        <w:tc>
          <w:tcPr>
            <w:tcW w:w="340" w:type="dxa"/>
            <w:vAlign w:val="bottom"/>
            <w:shd w:val="clear" w:color="auto" w:fill="CEFFE7"/>
          </w:tcPr>
          <w:p>
            <w:pPr>
              <w:spacing w:after="0"/>
              <w:rPr>
                <w:sz w:val="15"/>
                <w:szCs w:val="15"/>
                <w:color w:val="auto"/>
              </w:rPr>
            </w:pPr>
          </w:p>
        </w:tc>
        <w:tc>
          <w:tcPr>
            <w:tcW w:w="1560" w:type="dxa"/>
            <w:vAlign w:val="bottom"/>
            <w:shd w:val="clear" w:color="auto" w:fill="CEFFE7"/>
          </w:tcPr>
          <w:p>
            <w:pPr>
              <w:spacing w:after="0"/>
              <w:rPr>
                <w:sz w:val="15"/>
                <w:szCs w:val="15"/>
                <w:color w:val="auto"/>
              </w:rPr>
            </w:pPr>
          </w:p>
        </w:tc>
        <w:tc>
          <w:tcPr>
            <w:tcW w:w="460" w:type="dxa"/>
            <w:vAlign w:val="bottom"/>
            <w:shd w:val="clear" w:color="auto" w:fill="CEFFE7"/>
          </w:tcPr>
          <w:p>
            <w:pPr>
              <w:spacing w:after="0"/>
              <w:rPr>
                <w:sz w:val="15"/>
                <w:szCs w:val="15"/>
                <w:color w:val="auto"/>
              </w:rPr>
            </w:pPr>
          </w:p>
        </w:tc>
        <w:tc>
          <w:tcPr>
            <w:tcW w:w="1440" w:type="dxa"/>
            <w:vAlign w:val="bottom"/>
            <w:shd w:val="clear" w:color="auto" w:fill="CEFFE7"/>
          </w:tcPr>
          <w:p>
            <w:pPr>
              <w:spacing w:after="0"/>
              <w:rPr>
                <w:sz w:val="15"/>
                <w:szCs w:val="15"/>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3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44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6"/>
                <w:szCs w:val="16"/>
                <w:color w:val="auto"/>
              </w:rPr>
              <w:t>Basic</w:t>
            </w:r>
          </w:p>
        </w:tc>
        <w:tc>
          <w:tcPr>
            <w:tcW w:w="340" w:type="dxa"/>
            <w:vAlign w:val="bottom"/>
            <w:tcBorders>
              <w:bottom w:val="single" w:sz="8" w:color="auto"/>
            </w:tcBorders>
            <w:shd w:val="clear" w:color="auto" w:fill="CEFFE7"/>
          </w:tcPr>
          <w:p>
            <w:pPr>
              <w:spacing w:after="0"/>
              <w:rPr>
                <w:sz w:val="21"/>
                <w:szCs w:val="21"/>
                <w:color w:val="auto"/>
              </w:rPr>
            </w:pPr>
          </w:p>
        </w:tc>
        <w:tc>
          <w:tcPr>
            <w:tcW w:w="156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61,778</w:t>
            </w:r>
          </w:p>
        </w:tc>
        <w:tc>
          <w:tcPr>
            <w:tcW w:w="460" w:type="dxa"/>
            <w:vAlign w:val="bottom"/>
            <w:tcBorders>
              <w:bottom w:val="single" w:sz="8" w:color="auto"/>
            </w:tcBorders>
            <w:shd w:val="clear" w:color="auto" w:fill="CEFFE7"/>
          </w:tcPr>
          <w:p>
            <w:pPr>
              <w:spacing w:after="0"/>
              <w:rPr>
                <w:sz w:val="21"/>
                <w:szCs w:val="21"/>
                <w:color w:val="auto"/>
              </w:rPr>
            </w:pPr>
          </w:p>
        </w:tc>
        <w:tc>
          <w:tcPr>
            <w:tcW w:w="144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59,920</w:t>
            </w:r>
          </w:p>
        </w:tc>
      </w:tr>
      <w:tr>
        <w:trPr>
          <w:trHeight w:val="20"/>
        </w:trPr>
        <w:tc>
          <w:tcPr>
            <w:tcW w:w="7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37"/>
        </w:trPr>
        <w:tc>
          <w:tcPr>
            <w:tcW w:w="7440" w:type="dxa"/>
            <w:vAlign w:val="bottom"/>
          </w:tcPr>
          <w:p>
            <w:pPr>
              <w:ind w:left="240"/>
              <w:spacing w:after="0"/>
              <w:rPr>
                <w:sz w:val="20"/>
                <w:szCs w:val="20"/>
                <w:color w:val="auto"/>
              </w:rPr>
            </w:pPr>
            <w:r>
              <w:rPr>
                <w:rFonts w:ascii="Arial" w:cs="Arial" w:eastAsia="Arial" w:hAnsi="Arial"/>
                <w:sz w:val="16"/>
                <w:szCs w:val="16"/>
                <w:color w:val="auto"/>
              </w:rPr>
              <w:t>Diluted</w:t>
            </w:r>
          </w:p>
        </w:tc>
        <w:tc>
          <w:tcPr>
            <w:tcW w:w="3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61,856</w:t>
            </w:r>
          </w:p>
        </w:tc>
        <w:tc>
          <w:tcPr>
            <w:tcW w:w="4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60,060</w:t>
            </w:r>
          </w:p>
        </w:tc>
      </w:tr>
      <w:tr>
        <w:trPr>
          <w:trHeight w:val="20"/>
        </w:trPr>
        <w:tc>
          <w:tcPr>
            <w:tcW w:w="7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center"/>
        <w:spacing w:after="0"/>
        <w:rPr>
          <w:rFonts w:ascii="Arial" w:cs="Arial" w:eastAsia="Arial" w:hAnsi="Arial"/>
          <w:sz w:val="14"/>
          <w:szCs w:val="14"/>
          <w:color w:val="auto"/>
        </w:rPr>
      </w:pPr>
      <w:r>
        <w:rPr>
          <w:rFonts w:ascii="Arial" w:cs="Arial" w:eastAsia="Arial" w:hAnsi="Arial"/>
          <w:sz w:val="14"/>
          <w:szCs w:val="14"/>
          <w:color w:val="auto"/>
        </w:rPr>
        <w:t xml:space="preserve">The accompanying </w:t>
      </w:r>
      <w:hyperlink w:anchor="page13">
        <w:r>
          <w:rPr>
            <w:rFonts w:ascii="Arial" w:cs="Arial" w:eastAsia="Arial" w:hAnsi="Arial"/>
            <w:sz w:val="14"/>
            <w:szCs w:val="14"/>
            <w:u w:val="single" w:color="auto"/>
            <w:color w:val="0000EE"/>
          </w:rPr>
          <w:t>Notes to Condensed Consolidated Financial Statements</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are an integral part of these Condensed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6" w:right="339" w:bottom="1440" w:gutter="0" w:footer="0" w:header="0"/>
        </w:sectPr>
      </w:pPr>
    </w:p>
    <w:bookmarkStart w:id="7" w:name="page8"/>
    <w:bookmarkEnd w:id="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 HILLS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9"/>
              </w:rPr>
              <w:t>Three Months Ended</w:t>
            </w:r>
          </w:p>
        </w:tc>
        <w:tc>
          <w:tcPr>
            <w:tcW w:w="1140" w:type="dxa"/>
            <w:vAlign w:val="bottom"/>
          </w:tcPr>
          <w:p>
            <w:pPr>
              <w:spacing w:after="0"/>
              <w:rPr>
                <w:sz w:val="18"/>
                <w:szCs w:val="18"/>
                <w:color w:val="auto"/>
              </w:rPr>
            </w:pPr>
          </w:p>
        </w:tc>
      </w:tr>
      <w:tr>
        <w:trPr>
          <w:trHeight w:val="230"/>
        </w:trPr>
        <w:tc>
          <w:tcPr>
            <w:tcW w:w="7440" w:type="dxa"/>
            <w:vAlign w:val="bottom"/>
          </w:tcPr>
          <w:p>
            <w:pPr>
              <w:ind w:left="40"/>
              <w:spacing w:after="0"/>
              <w:rPr>
                <w:sz w:val="20"/>
                <w:szCs w:val="20"/>
                <w:color w:val="auto"/>
              </w:rPr>
            </w:pPr>
            <w:r>
              <w:rPr>
                <w:rFonts w:ascii="Arial" w:cs="Arial" w:eastAsia="Arial" w:hAnsi="Arial"/>
                <w:sz w:val="18"/>
                <w:szCs w:val="18"/>
                <w:color w:val="auto"/>
              </w:rPr>
              <w:t>(unaudited)</w:t>
            </w:r>
          </w:p>
        </w:tc>
        <w:tc>
          <w:tcPr>
            <w:tcW w:w="1140" w:type="dxa"/>
            <w:vAlign w:val="bottom"/>
          </w:tcPr>
          <w:p>
            <w:pPr>
              <w:spacing w:after="0"/>
              <w:rPr>
                <w:sz w:val="20"/>
                <w:szCs w:val="20"/>
                <w:color w:val="auto"/>
              </w:rPr>
            </w:pP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92"/>
              </w:rPr>
              <w:t>March 31,</w:t>
            </w:r>
          </w:p>
        </w:tc>
        <w:tc>
          <w:tcPr>
            <w:tcW w:w="1140" w:type="dxa"/>
            <w:vAlign w:val="bottom"/>
          </w:tcPr>
          <w:p>
            <w:pPr>
              <w:spacing w:after="0"/>
              <w:rPr>
                <w:sz w:val="20"/>
                <w:szCs w:val="20"/>
                <w:color w:val="auto"/>
              </w:rPr>
            </w:pPr>
          </w:p>
        </w:tc>
      </w:tr>
      <w:tr>
        <w:trPr>
          <w:trHeight w:val="270"/>
        </w:trPr>
        <w:tc>
          <w:tcPr>
            <w:tcW w:w="74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2020</w:t>
            </w: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40" w:type="dxa"/>
            <w:vAlign w:val="bottom"/>
          </w:tcPr>
          <w:p>
            <w:pPr>
              <w:jc w:val="right"/>
              <w:ind w:right="690"/>
              <w:spacing w:after="0"/>
              <w:rPr>
                <w:sz w:val="20"/>
                <w:szCs w:val="20"/>
                <w:color w:val="auto"/>
              </w:rPr>
            </w:pPr>
            <w:r>
              <w:rPr>
                <w:rFonts w:ascii="Arial" w:cs="Arial" w:eastAsia="Arial" w:hAnsi="Arial"/>
                <w:sz w:val="18"/>
                <w:szCs w:val="18"/>
                <w:color w:val="auto"/>
                <w:w w:val="84"/>
              </w:rPr>
              <w:t>2019</w:t>
            </w:r>
          </w:p>
        </w:tc>
      </w:tr>
      <w:tr>
        <w:trPr>
          <w:trHeight w:val="27"/>
        </w:trPr>
        <w:tc>
          <w:tcPr>
            <w:tcW w:w="74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9"/>
              </w:rPr>
              <w:t>(in thousands)</w:t>
            </w:r>
          </w:p>
        </w:tc>
        <w:tc>
          <w:tcPr>
            <w:tcW w:w="1140" w:type="dxa"/>
            <w:vAlign w:val="bottom"/>
          </w:tcPr>
          <w:p>
            <w:pPr>
              <w:spacing w:after="0"/>
              <w:rPr>
                <w:sz w:val="20"/>
                <w:szCs w:val="20"/>
                <w:color w:val="auto"/>
              </w:rPr>
            </w:pPr>
          </w:p>
        </w:tc>
      </w:tr>
      <w:tr>
        <w:trPr>
          <w:trHeight w:val="351"/>
        </w:trPr>
        <w:tc>
          <w:tcPr>
            <w:tcW w:w="7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74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Net income</w:t>
            </w:r>
          </w:p>
        </w:tc>
        <w:tc>
          <w:tcPr>
            <w:tcW w:w="1140" w:type="dxa"/>
            <w:vAlign w:val="bottom"/>
            <w:tcBorders>
              <w:bottom w:val="single" w:sz="8" w:color="CEFFE7"/>
            </w:tcBorders>
            <w:shd w:val="clear" w:color="auto" w:fill="CEFFE7"/>
          </w:tcPr>
          <w:p>
            <w:pPr>
              <w:jc w:val="right"/>
              <w:ind w:right="9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97,224</w:t>
            </w:r>
          </w:p>
        </w:tc>
        <w:tc>
          <w:tcPr>
            <w:tcW w:w="780" w:type="dxa"/>
            <w:vAlign w:val="bottom"/>
            <w:tcBorders>
              <w:bottom w:val="single" w:sz="8" w:color="CEFFE7"/>
            </w:tcBorders>
            <w:shd w:val="clear" w:color="auto" w:fill="CEFFE7"/>
          </w:tcPr>
          <w:p>
            <w:pPr>
              <w:jc w:val="right"/>
              <w:ind w:right="5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107,362</w:t>
            </w:r>
          </w:p>
        </w:tc>
      </w:tr>
      <w:tr>
        <w:trPr>
          <w:trHeight w:val="318"/>
        </w:trPr>
        <w:tc>
          <w:tcPr>
            <w:tcW w:w="744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74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14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spacing w:after="0"/>
              <w:rPr>
                <w:sz w:val="21"/>
                <w:szCs w:val="21"/>
                <w:color w:val="auto"/>
              </w:rPr>
            </w:pPr>
          </w:p>
        </w:tc>
        <w:tc>
          <w:tcPr>
            <w:tcW w:w="78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spacing w:after="0"/>
              <w:rPr>
                <w:sz w:val="21"/>
                <w:szCs w:val="21"/>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Benefit plan liability adjustments - net gain (net of tax of $(17) and $0, respectively</w:t>
            </w:r>
          </w:p>
        </w:tc>
        <w:tc>
          <w:tcPr>
            <w:tcW w:w="11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7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7440" w:type="dxa"/>
            <w:vAlign w:val="bottom"/>
            <w:shd w:val="clear" w:color="auto" w:fill="CEFFE7"/>
          </w:tcPr>
          <w:p>
            <w:pPr>
              <w:ind w:left="380"/>
              <w:spacing w:after="0"/>
              <w:rPr>
                <w:sz w:val="20"/>
                <w:szCs w:val="20"/>
                <w:color w:val="auto"/>
              </w:rPr>
            </w:pPr>
            <w:r>
              <w:rPr>
                <w:rFonts w:ascii="Arial" w:cs="Arial" w:eastAsia="Arial" w:hAnsi="Arial"/>
                <w:sz w:val="18"/>
                <w:szCs w:val="18"/>
                <w:color w:val="auto"/>
                <w:w w:val="93"/>
              </w:rPr>
              <w:t>Reclassification adjustments of benefit plan liability - prior service cost (net of tax of $7 and $5,</w:t>
            </w:r>
          </w:p>
        </w:tc>
        <w:tc>
          <w:tcPr>
            <w:tcW w:w="1140" w:type="dxa"/>
            <w:vAlign w:val="bottom"/>
            <w:shd w:val="clear" w:color="auto" w:fill="CEFFE7"/>
          </w:tcPr>
          <w:p>
            <w:pPr>
              <w:spacing w:after="0"/>
              <w:rPr>
                <w:sz w:val="19"/>
                <w:szCs w:val="19"/>
                <w:color w:val="auto"/>
              </w:rPr>
            </w:pPr>
          </w:p>
        </w:tc>
        <w:tc>
          <w:tcPr>
            <w:tcW w:w="740" w:type="dxa"/>
            <w:vAlign w:val="bottom"/>
            <w:shd w:val="clear" w:color="auto" w:fill="CEFFE7"/>
          </w:tcPr>
          <w:p>
            <w:pPr>
              <w:spacing w:after="0"/>
              <w:rPr>
                <w:sz w:val="19"/>
                <w:szCs w:val="19"/>
                <w:color w:val="auto"/>
              </w:rPr>
            </w:pPr>
          </w:p>
        </w:tc>
        <w:tc>
          <w:tcPr>
            <w:tcW w:w="780" w:type="dxa"/>
            <w:vAlign w:val="bottom"/>
            <w:shd w:val="clear" w:color="auto" w:fill="CEFFE7"/>
          </w:tcPr>
          <w:p>
            <w:pPr>
              <w:spacing w:after="0"/>
              <w:rPr>
                <w:sz w:val="19"/>
                <w:szCs w:val="19"/>
                <w:color w:val="auto"/>
              </w:rPr>
            </w:pPr>
          </w:p>
        </w:tc>
        <w:tc>
          <w:tcPr>
            <w:tcW w:w="1140" w:type="dxa"/>
            <w:vAlign w:val="bottom"/>
            <w:shd w:val="clear" w:color="auto" w:fill="CEFFE7"/>
          </w:tcPr>
          <w:p>
            <w:pPr>
              <w:spacing w:after="0"/>
              <w:rPr>
                <w:sz w:val="19"/>
                <w:szCs w:val="19"/>
                <w:color w:val="auto"/>
              </w:rPr>
            </w:pPr>
          </w:p>
        </w:tc>
      </w:tr>
      <w:tr>
        <w:trPr>
          <w:trHeight w:val="237"/>
        </w:trPr>
        <w:tc>
          <w:tcPr>
            <w:tcW w:w="744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respectively)</w:t>
            </w:r>
          </w:p>
        </w:tc>
        <w:tc>
          <w:tcPr>
            <w:tcW w:w="1140" w:type="dxa"/>
            <w:vAlign w:val="bottom"/>
            <w:tcBorders>
              <w:bottom w:val="single" w:sz="8" w:color="CEFFE7"/>
            </w:tcBorders>
            <w:shd w:val="clear" w:color="auto" w:fill="CEFFE7"/>
          </w:tcPr>
          <w:p>
            <w:pPr>
              <w:spacing w:after="0"/>
              <w:rPr>
                <w:sz w:val="20"/>
                <w:szCs w:val="20"/>
                <w:color w:val="auto"/>
              </w:rPr>
            </w:pPr>
          </w:p>
        </w:tc>
        <w:tc>
          <w:tcPr>
            <w:tcW w:w="7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(23)</w:t>
            </w:r>
          </w:p>
        </w:tc>
        <w:tc>
          <w:tcPr>
            <w:tcW w:w="780" w:type="dxa"/>
            <w:vAlign w:val="bottom"/>
            <w:tcBorders>
              <w:bottom w:val="single" w:sz="8" w:color="CEFFE7"/>
            </w:tcBorders>
            <w:shd w:val="clear" w:color="auto" w:fill="CEFFE7"/>
          </w:tcPr>
          <w:p>
            <w:pPr>
              <w:spacing w:after="0"/>
              <w:rPr>
                <w:sz w:val="20"/>
                <w:szCs w:val="20"/>
                <w:color w:val="auto"/>
              </w:rPr>
            </w:pPr>
          </w:p>
        </w:tc>
        <w:tc>
          <w:tcPr>
            <w:tcW w:w="1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7440" w:type="dxa"/>
            <w:vAlign w:val="bottom"/>
          </w:tcPr>
          <w:p>
            <w:pPr>
              <w:ind w:left="380"/>
              <w:spacing w:after="0"/>
              <w:rPr>
                <w:sz w:val="20"/>
                <w:szCs w:val="20"/>
                <w:color w:val="auto"/>
              </w:rPr>
            </w:pPr>
            <w:r>
              <w:rPr>
                <w:rFonts w:ascii="Arial" w:cs="Arial" w:eastAsia="Arial" w:hAnsi="Arial"/>
                <w:sz w:val="18"/>
                <w:szCs w:val="18"/>
                <w:color w:val="auto"/>
                <w:w w:val="97"/>
              </w:rPr>
              <w:t>Reclassification adjustments of benefit plan liability - net gain (net of tax of $(95) and $(53),</w:t>
            </w: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7440" w:type="dxa"/>
            <w:vAlign w:val="bottom"/>
          </w:tcPr>
          <w:p>
            <w:pPr>
              <w:ind w:left="380"/>
              <w:spacing w:after="0"/>
              <w:rPr>
                <w:sz w:val="20"/>
                <w:szCs w:val="20"/>
                <w:color w:val="auto"/>
              </w:rPr>
            </w:pPr>
            <w:r>
              <w:rPr>
                <w:rFonts w:ascii="Arial" w:cs="Arial" w:eastAsia="Arial" w:hAnsi="Arial"/>
                <w:sz w:val="18"/>
                <w:szCs w:val="18"/>
                <w:color w:val="auto"/>
              </w:rPr>
              <w:t>respectively)</w:t>
            </w:r>
          </w:p>
        </w:tc>
        <w:tc>
          <w:tcPr>
            <w:tcW w:w="114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502</w:t>
            </w:r>
          </w:p>
        </w:tc>
        <w:tc>
          <w:tcPr>
            <w:tcW w:w="78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167</w:t>
            </w:r>
          </w:p>
        </w:tc>
      </w:tr>
      <w:tr>
        <w:trPr>
          <w:trHeight w:val="27"/>
        </w:trPr>
        <w:tc>
          <w:tcPr>
            <w:tcW w:w="7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44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Derivative instruments designated as cash flow hedges:</w:t>
            </w:r>
          </w:p>
        </w:tc>
        <w:tc>
          <w:tcPr>
            <w:tcW w:w="114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spacing w:after="0"/>
              <w:rPr>
                <w:sz w:val="21"/>
                <w:szCs w:val="21"/>
                <w:color w:val="auto"/>
              </w:rPr>
            </w:pPr>
          </w:p>
        </w:tc>
        <w:tc>
          <w:tcPr>
            <w:tcW w:w="78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spacing w:after="0"/>
              <w:rPr>
                <w:sz w:val="21"/>
                <w:szCs w:val="21"/>
                <w:color w:val="auto"/>
              </w:rPr>
            </w:pPr>
          </w:p>
        </w:tc>
      </w:tr>
      <w:tr>
        <w:trPr>
          <w:trHeight w:val="229"/>
        </w:trPr>
        <w:tc>
          <w:tcPr>
            <w:tcW w:w="7440" w:type="dxa"/>
            <w:vAlign w:val="bottom"/>
          </w:tcPr>
          <w:p>
            <w:pPr>
              <w:ind w:left="380"/>
              <w:spacing w:after="0"/>
              <w:rPr>
                <w:sz w:val="20"/>
                <w:szCs w:val="20"/>
                <w:color w:val="auto"/>
              </w:rPr>
            </w:pPr>
            <w:r>
              <w:rPr>
                <w:rFonts w:ascii="Arial" w:cs="Arial" w:eastAsia="Arial" w:hAnsi="Arial"/>
                <w:sz w:val="18"/>
                <w:szCs w:val="18"/>
                <w:color w:val="auto"/>
                <w:w w:val="96"/>
              </w:rPr>
              <w:t>Reclassification of net realized losses on settled/amortized interest rate swaps (net of tax of</w:t>
            </w: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7440" w:type="dxa"/>
            <w:vAlign w:val="bottom"/>
          </w:tcPr>
          <w:p>
            <w:pPr>
              <w:ind w:left="380"/>
              <w:spacing w:after="0"/>
              <w:rPr>
                <w:sz w:val="20"/>
                <w:szCs w:val="20"/>
                <w:color w:val="auto"/>
              </w:rPr>
            </w:pPr>
            <w:r>
              <w:rPr>
                <w:rFonts w:ascii="Arial" w:cs="Arial" w:eastAsia="Arial" w:hAnsi="Arial"/>
                <w:sz w:val="18"/>
                <w:szCs w:val="18"/>
                <w:color w:val="auto"/>
              </w:rPr>
              <w:t>$(170) and $(163), respectively)</w:t>
            </w:r>
          </w:p>
        </w:tc>
        <w:tc>
          <w:tcPr>
            <w:tcW w:w="114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543</w:t>
            </w:r>
          </w:p>
        </w:tc>
        <w:tc>
          <w:tcPr>
            <w:tcW w:w="78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550</w:t>
            </w:r>
          </w:p>
        </w:tc>
      </w:tr>
      <w:tr>
        <w:trPr>
          <w:trHeight w:val="27"/>
        </w:trPr>
        <w:tc>
          <w:tcPr>
            <w:tcW w:w="7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7440" w:type="dxa"/>
            <w:vAlign w:val="bottom"/>
            <w:shd w:val="clear" w:color="auto" w:fill="CEFFE7"/>
          </w:tcPr>
          <w:p>
            <w:pPr>
              <w:ind w:left="380"/>
              <w:spacing w:after="0"/>
              <w:rPr>
                <w:sz w:val="20"/>
                <w:szCs w:val="20"/>
                <w:color w:val="auto"/>
              </w:rPr>
            </w:pPr>
            <w:r>
              <w:rPr>
                <w:rFonts w:ascii="Arial" w:cs="Arial" w:eastAsia="Arial" w:hAnsi="Arial"/>
                <w:sz w:val="18"/>
                <w:szCs w:val="18"/>
                <w:color w:val="auto"/>
              </w:rPr>
              <w:t>Net unrealized gains (losses) on commodity derivatives (net of tax of $54 and $(54),</w:t>
            </w:r>
          </w:p>
        </w:tc>
        <w:tc>
          <w:tcPr>
            <w:tcW w:w="1140" w:type="dxa"/>
            <w:vAlign w:val="bottom"/>
            <w:shd w:val="clear" w:color="auto" w:fill="CEFFE7"/>
          </w:tcPr>
          <w:p>
            <w:pPr>
              <w:spacing w:after="0"/>
              <w:rPr>
                <w:sz w:val="19"/>
                <w:szCs w:val="19"/>
                <w:color w:val="auto"/>
              </w:rPr>
            </w:pPr>
          </w:p>
        </w:tc>
        <w:tc>
          <w:tcPr>
            <w:tcW w:w="740" w:type="dxa"/>
            <w:vAlign w:val="bottom"/>
            <w:shd w:val="clear" w:color="auto" w:fill="CEFFE7"/>
          </w:tcPr>
          <w:p>
            <w:pPr>
              <w:spacing w:after="0"/>
              <w:rPr>
                <w:sz w:val="19"/>
                <w:szCs w:val="19"/>
                <w:color w:val="auto"/>
              </w:rPr>
            </w:pPr>
          </w:p>
        </w:tc>
        <w:tc>
          <w:tcPr>
            <w:tcW w:w="780" w:type="dxa"/>
            <w:vAlign w:val="bottom"/>
            <w:shd w:val="clear" w:color="auto" w:fill="CEFFE7"/>
          </w:tcPr>
          <w:p>
            <w:pPr>
              <w:spacing w:after="0"/>
              <w:rPr>
                <w:sz w:val="19"/>
                <w:szCs w:val="19"/>
                <w:color w:val="auto"/>
              </w:rPr>
            </w:pPr>
          </w:p>
        </w:tc>
        <w:tc>
          <w:tcPr>
            <w:tcW w:w="1140" w:type="dxa"/>
            <w:vAlign w:val="bottom"/>
            <w:shd w:val="clear" w:color="auto" w:fill="CEFFE7"/>
          </w:tcPr>
          <w:p>
            <w:pPr>
              <w:spacing w:after="0"/>
              <w:rPr>
                <w:sz w:val="19"/>
                <w:szCs w:val="19"/>
                <w:color w:val="auto"/>
              </w:rPr>
            </w:pPr>
          </w:p>
        </w:tc>
      </w:tr>
      <w:tr>
        <w:trPr>
          <w:trHeight w:val="237"/>
        </w:trPr>
        <w:tc>
          <w:tcPr>
            <w:tcW w:w="744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respectively)</w:t>
            </w:r>
          </w:p>
        </w:tc>
        <w:tc>
          <w:tcPr>
            <w:tcW w:w="1140" w:type="dxa"/>
            <w:vAlign w:val="bottom"/>
            <w:tcBorders>
              <w:bottom w:val="single" w:sz="8" w:color="CEFFE7"/>
            </w:tcBorders>
            <w:shd w:val="clear" w:color="auto" w:fill="CEFFE7"/>
          </w:tcPr>
          <w:p>
            <w:pPr>
              <w:spacing w:after="0"/>
              <w:rPr>
                <w:sz w:val="20"/>
                <w:szCs w:val="20"/>
                <w:color w:val="auto"/>
              </w:rPr>
            </w:pPr>
          </w:p>
        </w:tc>
        <w:tc>
          <w:tcPr>
            <w:tcW w:w="7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(175)</w:t>
            </w:r>
          </w:p>
        </w:tc>
        <w:tc>
          <w:tcPr>
            <w:tcW w:w="780" w:type="dxa"/>
            <w:vAlign w:val="bottom"/>
            <w:tcBorders>
              <w:bottom w:val="single" w:sz="8" w:color="CEFFE7"/>
            </w:tcBorders>
            <w:shd w:val="clear" w:color="auto" w:fill="CEFFE7"/>
          </w:tcPr>
          <w:p>
            <w:pPr>
              <w:spacing w:after="0"/>
              <w:rPr>
                <w:sz w:val="20"/>
                <w:szCs w:val="20"/>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180</w:t>
            </w:r>
          </w:p>
        </w:tc>
      </w:tr>
      <w:tr>
        <w:trPr>
          <w:trHeight w:val="229"/>
        </w:trPr>
        <w:tc>
          <w:tcPr>
            <w:tcW w:w="7440" w:type="dxa"/>
            <w:vAlign w:val="bottom"/>
          </w:tcPr>
          <w:p>
            <w:pPr>
              <w:ind w:left="380"/>
              <w:spacing w:after="0"/>
              <w:rPr>
                <w:sz w:val="20"/>
                <w:szCs w:val="20"/>
                <w:color w:val="auto"/>
              </w:rPr>
            </w:pPr>
            <w:r>
              <w:rPr>
                <w:rFonts w:ascii="Arial" w:cs="Arial" w:eastAsia="Arial" w:hAnsi="Arial"/>
                <w:sz w:val="18"/>
                <w:szCs w:val="18"/>
                <w:color w:val="auto"/>
                <w:w w:val="96"/>
              </w:rPr>
              <w:t>Reclassification of net realized (gains) losses on settled commodity derivatives (net of tax of</w:t>
            </w: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7440" w:type="dxa"/>
            <w:vAlign w:val="bottom"/>
          </w:tcPr>
          <w:p>
            <w:pPr>
              <w:ind w:left="380"/>
              <w:spacing w:after="0"/>
              <w:rPr>
                <w:sz w:val="20"/>
                <w:szCs w:val="20"/>
                <w:color w:val="auto"/>
              </w:rPr>
            </w:pPr>
            <w:r>
              <w:rPr>
                <w:rFonts w:ascii="Arial" w:cs="Arial" w:eastAsia="Arial" w:hAnsi="Arial"/>
                <w:sz w:val="18"/>
                <w:szCs w:val="18"/>
                <w:color w:val="auto"/>
              </w:rPr>
              <w:t>$(115) and $128, respectively)</w:t>
            </w:r>
          </w:p>
        </w:tc>
        <w:tc>
          <w:tcPr>
            <w:tcW w:w="114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371</w:t>
            </w:r>
          </w:p>
        </w:tc>
        <w:tc>
          <w:tcPr>
            <w:tcW w:w="7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(426)</w:t>
            </w:r>
          </w:p>
        </w:tc>
      </w:tr>
      <w:tr>
        <w:trPr>
          <w:trHeight w:val="27"/>
        </w:trPr>
        <w:tc>
          <w:tcPr>
            <w:tcW w:w="7440" w:type="dxa"/>
            <w:vAlign w:val="bottom"/>
            <w:tcBorders>
              <w:bottom w:val="single" w:sz="8" w:color="CEFFE7"/>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74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Other comprehensive income, net of tax</w:t>
            </w:r>
          </w:p>
        </w:tc>
        <w:tc>
          <w:tcPr>
            <w:tcW w:w="1140" w:type="dxa"/>
            <w:vAlign w:val="bottom"/>
            <w:tcBorders>
              <w:bottom w:val="single" w:sz="8" w:color="CEFFE7"/>
            </w:tcBorders>
            <w:shd w:val="clear" w:color="auto" w:fill="CEFFE7"/>
          </w:tcPr>
          <w:p>
            <w:pPr>
              <w:spacing w:after="0"/>
              <w:rPr>
                <w:sz w:val="22"/>
                <w:szCs w:val="22"/>
                <w:color w:val="auto"/>
              </w:rPr>
            </w:pPr>
          </w:p>
        </w:tc>
        <w:tc>
          <w:tcPr>
            <w:tcW w:w="7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1,273</w:t>
            </w:r>
          </w:p>
        </w:tc>
        <w:tc>
          <w:tcPr>
            <w:tcW w:w="780" w:type="dxa"/>
            <w:vAlign w:val="bottom"/>
            <w:tcBorders>
              <w:bottom w:val="single" w:sz="8" w:color="CEFFE7"/>
            </w:tcBorders>
            <w:shd w:val="clear" w:color="auto" w:fill="CEFFE7"/>
          </w:tcPr>
          <w:p>
            <w:pPr>
              <w:spacing w:after="0"/>
              <w:rPr>
                <w:sz w:val="22"/>
                <w:szCs w:val="22"/>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457</w:t>
            </w:r>
          </w:p>
        </w:tc>
      </w:tr>
      <w:tr>
        <w:trPr>
          <w:trHeight w:val="318"/>
        </w:trPr>
        <w:tc>
          <w:tcPr>
            <w:tcW w:w="744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74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Comprehensive income</w:t>
            </w:r>
          </w:p>
        </w:tc>
        <w:tc>
          <w:tcPr>
            <w:tcW w:w="114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98,497</w:t>
            </w:r>
          </w:p>
        </w:tc>
        <w:tc>
          <w:tcPr>
            <w:tcW w:w="78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107,819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Less: comprehensive income attributable to noncontrolling interest</w:t>
            </w:r>
          </w:p>
        </w:tc>
        <w:tc>
          <w:tcPr>
            <w:tcW w:w="1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(4,050)</w:t>
            </w:r>
          </w:p>
        </w:tc>
        <w:tc>
          <w:tcPr>
            <w:tcW w:w="7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(3,554)</w:t>
            </w:r>
          </w:p>
        </w:tc>
      </w:tr>
      <w:tr>
        <w:trPr>
          <w:trHeight w:val="27"/>
        </w:trPr>
        <w:tc>
          <w:tcPr>
            <w:tcW w:w="7440" w:type="dxa"/>
            <w:vAlign w:val="bottom"/>
            <w:tcBorders>
              <w:bottom w:val="single" w:sz="8" w:color="CEFFE7"/>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8"/>
        </w:trPr>
        <w:tc>
          <w:tcPr>
            <w:tcW w:w="74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Comprehensive income available for common stock</w:t>
            </w:r>
          </w:p>
        </w:tc>
        <w:tc>
          <w:tcPr>
            <w:tcW w:w="1140" w:type="dxa"/>
            <w:vAlign w:val="bottom"/>
            <w:tcBorders>
              <w:bottom w:val="single" w:sz="8" w:color="CEFFE7"/>
            </w:tcBorders>
            <w:shd w:val="clear" w:color="auto" w:fill="CEFFE7"/>
          </w:tcPr>
          <w:p>
            <w:pPr>
              <w:jc w:val="right"/>
              <w:ind w:right="9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94,447</w:t>
            </w:r>
          </w:p>
        </w:tc>
        <w:tc>
          <w:tcPr>
            <w:tcW w:w="780" w:type="dxa"/>
            <w:vAlign w:val="bottom"/>
            <w:tcBorders>
              <w:bottom w:val="single" w:sz="8" w:color="CEFFE7"/>
            </w:tcBorders>
            <w:shd w:val="clear" w:color="auto" w:fill="CEFFE7"/>
          </w:tcPr>
          <w:p>
            <w:pPr>
              <w:jc w:val="right"/>
              <w:ind w:right="5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104,265</w:t>
            </w:r>
          </w:p>
        </w:tc>
      </w:tr>
      <w:tr>
        <w:trPr>
          <w:trHeight w:val="20"/>
        </w:trPr>
        <w:tc>
          <w:tcPr>
            <w:tcW w:w="7440" w:type="dxa"/>
            <w:vAlign w:val="bottom"/>
            <w:tcBorders>
              <w:top w:val="single" w:sz="8" w:color="CEFFE7"/>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jc w:val="center"/>
        <w:spacing w:after="0"/>
        <w:rPr>
          <w:rFonts w:ascii="Arial" w:cs="Arial" w:eastAsia="Arial" w:hAnsi="Arial"/>
          <w:sz w:val="16"/>
          <w:szCs w:val="16"/>
          <w:color w:val="auto"/>
        </w:rPr>
      </w:pPr>
      <w:r>
        <w:rPr>
          <w:rFonts w:ascii="Arial" w:cs="Arial" w:eastAsia="Arial" w:hAnsi="Arial"/>
          <w:sz w:val="16"/>
          <w:szCs w:val="16"/>
          <w:color w:val="auto"/>
        </w:rPr>
        <w:t xml:space="preserve">See </w:t>
      </w:r>
      <w:hyperlink w:anchor="page27">
        <w:r>
          <w:rPr>
            <w:rFonts w:ascii="Arial" w:cs="Arial" w:eastAsia="Arial" w:hAnsi="Arial"/>
            <w:sz w:val="16"/>
            <w:szCs w:val="16"/>
            <w:u w:val="single" w:color="auto"/>
            <w:color w:val="0000EE"/>
          </w:rPr>
          <w:t>Note 11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additional disclosures.</w:t>
      </w:r>
    </w:p>
    <w:p>
      <w:pPr>
        <w:spacing w:after="0" w:line="212" w:lineRule="exact"/>
        <w:rPr>
          <w:sz w:val="20"/>
          <w:szCs w:val="20"/>
          <w:color w:val="auto"/>
        </w:rPr>
      </w:pPr>
    </w:p>
    <w:p>
      <w:pPr>
        <w:jc w:val="center"/>
        <w:spacing w:after="0"/>
        <w:rPr>
          <w:rFonts w:ascii="Arial" w:cs="Arial" w:eastAsia="Arial" w:hAnsi="Arial"/>
          <w:sz w:val="14"/>
          <w:szCs w:val="14"/>
          <w:color w:val="auto"/>
        </w:rPr>
      </w:pPr>
      <w:r>
        <w:rPr>
          <w:rFonts w:ascii="Arial" w:cs="Arial" w:eastAsia="Arial" w:hAnsi="Arial"/>
          <w:sz w:val="14"/>
          <w:szCs w:val="14"/>
          <w:color w:val="auto"/>
        </w:rPr>
        <w:t xml:space="preserve">The accompanying </w:t>
      </w:r>
      <w:hyperlink w:anchor="page13">
        <w:r>
          <w:rPr>
            <w:rFonts w:ascii="Arial" w:cs="Arial" w:eastAsia="Arial" w:hAnsi="Arial"/>
            <w:sz w:val="14"/>
            <w:szCs w:val="14"/>
            <w:u w:val="single" w:color="auto"/>
            <w:color w:val="0000EE"/>
          </w:rPr>
          <w:t>Notes to Condensed Consolidated Financial Statements</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are an integral part of these Condensed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6" w:right="339" w:bottom="1440" w:gutter="0" w:footer="0" w:header="0"/>
        </w:sectPr>
      </w:pPr>
    </w:p>
    <w:bookmarkStart w:id="8" w:name="page9"/>
    <w:bookmarkEnd w:id="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 HILLS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ind w:left="40"/>
              <w:spacing w:after="0"/>
              <w:rPr>
                <w:sz w:val="20"/>
                <w:szCs w:val="20"/>
                <w:color w:val="auto"/>
              </w:rPr>
            </w:pPr>
            <w:r>
              <w:rPr>
                <w:rFonts w:ascii="Arial" w:cs="Arial" w:eastAsia="Arial" w:hAnsi="Arial"/>
                <w:sz w:val="18"/>
                <w:szCs w:val="18"/>
                <w:color w:val="auto"/>
              </w:rPr>
              <w:t>(unaudited)</w:t>
            </w:r>
          </w:p>
        </w:tc>
        <w:tc>
          <w:tcPr>
            <w:tcW w:w="280" w:type="dxa"/>
            <w:vAlign w:val="bottom"/>
          </w:tcPr>
          <w:p>
            <w:pPr>
              <w:spacing w:after="0"/>
              <w:rPr>
                <w:sz w:val="20"/>
                <w:szCs w:val="20"/>
                <w:color w:val="auto"/>
              </w:rPr>
            </w:pP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As of</w:t>
            </w:r>
          </w:p>
        </w:tc>
        <w:tc>
          <w:tcPr>
            <w:tcW w:w="1800" w:type="dxa"/>
            <w:vAlign w:val="bottom"/>
          </w:tcPr>
          <w:p>
            <w:pPr>
              <w:spacing w:after="0"/>
              <w:rPr>
                <w:sz w:val="20"/>
                <w:szCs w:val="20"/>
                <w:color w:val="auto"/>
              </w:rPr>
            </w:pPr>
          </w:p>
        </w:tc>
      </w:tr>
      <w:tr>
        <w:trPr>
          <w:trHeight w:val="270"/>
        </w:trPr>
        <w:tc>
          <w:tcPr>
            <w:tcW w:w="7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0" w:type="dxa"/>
            <w:vAlign w:val="bottom"/>
          </w:tcPr>
          <w:p>
            <w:pPr>
              <w:jc w:val="right"/>
              <w:ind w:right="410"/>
              <w:spacing w:after="0"/>
              <w:rPr>
                <w:sz w:val="20"/>
                <w:szCs w:val="20"/>
                <w:color w:val="auto"/>
              </w:rPr>
            </w:pPr>
            <w:r>
              <w:rPr>
                <w:rFonts w:ascii="Arial" w:cs="Arial" w:eastAsia="Arial" w:hAnsi="Arial"/>
                <w:sz w:val="18"/>
                <w:szCs w:val="18"/>
                <w:color w:val="auto"/>
              </w:rPr>
              <w:t>March 31, 2020</w:t>
            </w:r>
          </w:p>
        </w:tc>
        <w:tc>
          <w:tcPr>
            <w:tcW w:w="280" w:type="dxa"/>
            <w:vAlign w:val="bottom"/>
          </w:tcPr>
          <w:p>
            <w:pPr>
              <w:spacing w:after="0"/>
              <w:rPr>
                <w:sz w:val="23"/>
                <w:szCs w:val="23"/>
                <w:color w:val="auto"/>
              </w:rPr>
            </w:pPr>
          </w:p>
        </w:tc>
        <w:tc>
          <w:tcPr>
            <w:tcW w:w="1800" w:type="dxa"/>
            <w:vAlign w:val="bottom"/>
          </w:tcPr>
          <w:p>
            <w:pPr>
              <w:jc w:val="right"/>
              <w:ind w:right="210"/>
              <w:spacing w:after="0"/>
              <w:rPr>
                <w:sz w:val="20"/>
                <w:szCs w:val="20"/>
                <w:color w:val="auto"/>
              </w:rPr>
            </w:pPr>
            <w:r>
              <w:rPr>
                <w:rFonts w:ascii="Arial" w:cs="Arial" w:eastAsia="Arial" w:hAnsi="Arial"/>
                <w:sz w:val="18"/>
                <w:szCs w:val="18"/>
                <w:color w:val="auto"/>
                <w:w w:val="93"/>
              </w:rPr>
              <w:t>December 31, 2019</w:t>
            </w:r>
          </w:p>
        </w:tc>
      </w:tr>
      <w:tr>
        <w:trPr>
          <w:trHeight w:val="27"/>
        </w:trPr>
        <w:tc>
          <w:tcPr>
            <w:tcW w:w="7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gridSpan w:val="3"/>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80" w:type="dxa"/>
            <w:vAlign w:val="bottom"/>
            <w:gridSpan w:val="3"/>
          </w:tcPr>
          <w:p>
            <w:pPr>
              <w:jc w:val="right"/>
              <w:ind w:right="1470"/>
              <w:spacing w:after="0"/>
              <w:rPr>
                <w:sz w:val="20"/>
                <w:szCs w:val="20"/>
                <w:color w:val="auto"/>
              </w:rPr>
            </w:pPr>
            <w:r>
              <w:rPr>
                <w:rFonts w:ascii="Arial" w:cs="Arial" w:eastAsia="Arial" w:hAnsi="Arial"/>
                <w:sz w:val="18"/>
                <w:szCs w:val="18"/>
                <w:color w:val="auto"/>
              </w:rPr>
              <w:t>(in thousands)</w:t>
            </w:r>
          </w:p>
        </w:tc>
      </w:tr>
      <w:tr>
        <w:trPr>
          <w:trHeight w:val="270"/>
        </w:trPr>
        <w:tc>
          <w:tcPr>
            <w:tcW w:w="7080" w:type="dxa"/>
            <w:vAlign w:val="bottom"/>
          </w:tcPr>
          <w:p>
            <w:pPr>
              <w:ind w:left="3200"/>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270"/>
        </w:trPr>
        <w:tc>
          <w:tcPr>
            <w:tcW w:w="70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08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54,137</w:t>
            </w:r>
          </w:p>
        </w:tc>
        <w:tc>
          <w:tcPr>
            <w:tcW w:w="2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9,777</w:t>
            </w:r>
          </w:p>
        </w:tc>
      </w:tr>
      <w:tr>
        <w:trPr>
          <w:trHeight w:val="243"/>
        </w:trPr>
        <w:tc>
          <w:tcPr>
            <w:tcW w:w="7080" w:type="dxa"/>
            <w:vAlign w:val="bottom"/>
          </w:tcPr>
          <w:p>
            <w:pPr>
              <w:ind w:left="240"/>
              <w:spacing w:after="0"/>
              <w:rPr>
                <w:sz w:val="20"/>
                <w:szCs w:val="20"/>
                <w:color w:val="auto"/>
              </w:rPr>
            </w:pPr>
            <w:r>
              <w:rPr>
                <w:rFonts w:ascii="Arial" w:cs="Arial" w:eastAsia="Arial" w:hAnsi="Arial"/>
                <w:sz w:val="18"/>
                <w:szCs w:val="18"/>
                <w:color w:val="auto"/>
              </w:rPr>
              <w:t>Restricted cash and equivalents</w:t>
            </w:r>
          </w:p>
        </w:tc>
        <w:tc>
          <w:tcPr>
            <w:tcW w:w="280" w:type="dxa"/>
            <w:vAlign w:val="bottom"/>
          </w:tcPr>
          <w:p>
            <w:pPr>
              <w:spacing w:after="0"/>
              <w:rPr>
                <w:sz w:val="21"/>
                <w:szCs w:val="21"/>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4,027</w:t>
            </w:r>
          </w:p>
        </w:tc>
        <w:tc>
          <w:tcPr>
            <w:tcW w:w="28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3,881</w:t>
            </w: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08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Accounts receivable, net</w:t>
            </w:r>
          </w:p>
        </w:tc>
        <w:tc>
          <w:tcPr>
            <w:tcW w:w="280" w:type="dxa"/>
            <w:vAlign w:val="bottom"/>
            <w:tcBorders>
              <w:bottom w:val="single" w:sz="8" w:color="CEFFE7"/>
            </w:tcBorders>
            <w:shd w:val="clear" w:color="auto" w:fill="CEFFE7"/>
          </w:tcPr>
          <w:p>
            <w:pPr>
              <w:spacing w:after="0"/>
              <w:rPr>
                <w:sz w:val="21"/>
                <w:szCs w:val="21"/>
                <w:color w:val="auto"/>
              </w:rPr>
            </w:pPr>
          </w:p>
        </w:tc>
        <w:tc>
          <w:tcPr>
            <w:tcW w:w="180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238,903</w:t>
            </w:r>
          </w:p>
        </w:tc>
        <w:tc>
          <w:tcPr>
            <w:tcW w:w="280" w:type="dxa"/>
            <w:vAlign w:val="bottom"/>
            <w:tcBorders>
              <w:bottom w:val="single" w:sz="8" w:color="CEFFE7"/>
            </w:tcBorders>
            <w:shd w:val="clear" w:color="auto" w:fill="CEFFE7"/>
          </w:tcPr>
          <w:p>
            <w:pPr>
              <w:spacing w:after="0"/>
              <w:rPr>
                <w:sz w:val="21"/>
                <w:szCs w:val="21"/>
                <w:color w:val="auto"/>
              </w:rPr>
            </w:pPr>
          </w:p>
        </w:tc>
        <w:tc>
          <w:tcPr>
            <w:tcW w:w="18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255,805</w:t>
            </w:r>
          </w:p>
        </w:tc>
      </w:tr>
      <w:tr>
        <w:trPr>
          <w:trHeight w:val="243"/>
        </w:trPr>
        <w:tc>
          <w:tcPr>
            <w:tcW w:w="7080" w:type="dxa"/>
            <w:vAlign w:val="bottom"/>
          </w:tcPr>
          <w:p>
            <w:pPr>
              <w:ind w:left="240"/>
              <w:spacing w:after="0"/>
              <w:rPr>
                <w:sz w:val="20"/>
                <w:szCs w:val="20"/>
                <w:color w:val="auto"/>
              </w:rPr>
            </w:pPr>
            <w:r>
              <w:rPr>
                <w:rFonts w:ascii="Arial" w:cs="Arial" w:eastAsia="Arial" w:hAnsi="Arial"/>
                <w:sz w:val="18"/>
                <w:szCs w:val="18"/>
                <w:color w:val="auto"/>
              </w:rPr>
              <w:t>Materials, supplies and fuel</w:t>
            </w:r>
          </w:p>
        </w:tc>
        <w:tc>
          <w:tcPr>
            <w:tcW w:w="280" w:type="dxa"/>
            <w:vAlign w:val="bottom"/>
          </w:tcPr>
          <w:p>
            <w:pPr>
              <w:spacing w:after="0"/>
              <w:rPr>
                <w:sz w:val="21"/>
                <w:szCs w:val="21"/>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92,894</w:t>
            </w:r>
          </w:p>
        </w:tc>
        <w:tc>
          <w:tcPr>
            <w:tcW w:w="28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117,172</w:t>
            </w: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08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Derivative assets, current</w:t>
            </w:r>
          </w:p>
        </w:tc>
        <w:tc>
          <w:tcPr>
            <w:tcW w:w="280" w:type="dxa"/>
            <w:vAlign w:val="bottom"/>
            <w:tcBorders>
              <w:bottom w:val="single" w:sz="8" w:color="CEFFE7"/>
            </w:tcBorders>
            <w:shd w:val="clear" w:color="auto" w:fill="CEFFE7"/>
          </w:tcPr>
          <w:p>
            <w:pPr>
              <w:spacing w:after="0"/>
              <w:rPr>
                <w:sz w:val="21"/>
                <w:szCs w:val="21"/>
                <w:color w:val="auto"/>
              </w:rPr>
            </w:pPr>
          </w:p>
        </w:tc>
        <w:tc>
          <w:tcPr>
            <w:tcW w:w="180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1,780</w:t>
            </w:r>
          </w:p>
        </w:tc>
        <w:tc>
          <w:tcPr>
            <w:tcW w:w="280" w:type="dxa"/>
            <w:vAlign w:val="bottom"/>
            <w:tcBorders>
              <w:bottom w:val="single" w:sz="8" w:color="CEFFE7"/>
            </w:tcBorders>
            <w:shd w:val="clear" w:color="auto" w:fill="CEFFE7"/>
          </w:tcPr>
          <w:p>
            <w:pPr>
              <w:spacing w:after="0"/>
              <w:rPr>
                <w:sz w:val="21"/>
                <w:szCs w:val="21"/>
                <w:color w:val="auto"/>
              </w:rPr>
            </w:pPr>
          </w:p>
        </w:tc>
        <w:tc>
          <w:tcPr>
            <w:tcW w:w="18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342</w:t>
            </w:r>
          </w:p>
        </w:tc>
      </w:tr>
      <w:tr>
        <w:trPr>
          <w:trHeight w:val="243"/>
        </w:trPr>
        <w:tc>
          <w:tcPr>
            <w:tcW w:w="7080" w:type="dxa"/>
            <w:vAlign w:val="bottom"/>
          </w:tcPr>
          <w:p>
            <w:pPr>
              <w:ind w:left="240"/>
              <w:spacing w:after="0"/>
              <w:rPr>
                <w:sz w:val="20"/>
                <w:szCs w:val="20"/>
                <w:color w:val="auto"/>
              </w:rPr>
            </w:pPr>
            <w:r>
              <w:rPr>
                <w:rFonts w:ascii="Arial" w:cs="Arial" w:eastAsia="Arial" w:hAnsi="Arial"/>
                <w:sz w:val="18"/>
                <w:szCs w:val="18"/>
                <w:color w:val="auto"/>
              </w:rPr>
              <w:t>Income tax receivable, net</w:t>
            </w:r>
          </w:p>
        </w:tc>
        <w:tc>
          <w:tcPr>
            <w:tcW w:w="280" w:type="dxa"/>
            <w:vAlign w:val="bottom"/>
          </w:tcPr>
          <w:p>
            <w:pPr>
              <w:spacing w:after="0"/>
              <w:rPr>
                <w:sz w:val="21"/>
                <w:szCs w:val="21"/>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22,319</w:t>
            </w:r>
          </w:p>
        </w:tc>
        <w:tc>
          <w:tcPr>
            <w:tcW w:w="28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16,446</w:t>
            </w: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08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Regulatory assets, current</w:t>
            </w:r>
          </w:p>
        </w:tc>
        <w:tc>
          <w:tcPr>
            <w:tcW w:w="280" w:type="dxa"/>
            <w:vAlign w:val="bottom"/>
            <w:tcBorders>
              <w:bottom w:val="single" w:sz="8" w:color="CEFFE7"/>
            </w:tcBorders>
            <w:shd w:val="clear" w:color="auto" w:fill="CEFFE7"/>
          </w:tcPr>
          <w:p>
            <w:pPr>
              <w:spacing w:after="0"/>
              <w:rPr>
                <w:sz w:val="21"/>
                <w:szCs w:val="21"/>
                <w:color w:val="auto"/>
              </w:rPr>
            </w:pPr>
          </w:p>
        </w:tc>
        <w:tc>
          <w:tcPr>
            <w:tcW w:w="180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49,415</w:t>
            </w:r>
          </w:p>
        </w:tc>
        <w:tc>
          <w:tcPr>
            <w:tcW w:w="280" w:type="dxa"/>
            <w:vAlign w:val="bottom"/>
            <w:tcBorders>
              <w:bottom w:val="single" w:sz="8" w:color="CEFFE7"/>
            </w:tcBorders>
            <w:shd w:val="clear" w:color="auto" w:fill="CEFFE7"/>
          </w:tcPr>
          <w:p>
            <w:pPr>
              <w:spacing w:after="0"/>
              <w:rPr>
                <w:sz w:val="21"/>
                <w:szCs w:val="21"/>
                <w:color w:val="auto"/>
              </w:rPr>
            </w:pPr>
          </w:p>
        </w:tc>
        <w:tc>
          <w:tcPr>
            <w:tcW w:w="18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43,282</w:t>
            </w:r>
          </w:p>
        </w:tc>
      </w:tr>
      <w:tr>
        <w:trPr>
          <w:trHeight w:val="243"/>
        </w:trPr>
        <w:tc>
          <w:tcPr>
            <w:tcW w:w="7080" w:type="dxa"/>
            <w:vAlign w:val="bottom"/>
          </w:tcPr>
          <w:p>
            <w:pPr>
              <w:ind w:left="240"/>
              <w:spacing w:after="0"/>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21"/>
                <w:szCs w:val="21"/>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26,198</w:t>
            </w:r>
          </w:p>
        </w:tc>
        <w:tc>
          <w:tcPr>
            <w:tcW w:w="28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26,479</w:t>
            </w:r>
          </w:p>
        </w:tc>
      </w:tr>
      <w:tr>
        <w:trPr>
          <w:trHeight w:val="27"/>
        </w:trPr>
        <w:tc>
          <w:tcPr>
            <w:tcW w:w="708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63"/>
        </w:trPr>
        <w:tc>
          <w:tcPr>
            <w:tcW w:w="7080" w:type="dxa"/>
            <w:vAlign w:val="bottom"/>
            <w:tcBorders>
              <w:bottom w:val="single" w:sz="8" w:color="CEFFE7"/>
            </w:tcBorders>
            <w:shd w:val="clear" w:color="auto" w:fill="CEFFE7"/>
          </w:tcPr>
          <w:p>
            <w:pPr>
              <w:ind w:left="60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CEFFE7"/>
            </w:tcBorders>
            <w:shd w:val="clear" w:color="auto" w:fill="CEFFE7"/>
          </w:tcPr>
          <w:p>
            <w:pPr>
              <w:spacing w:after="0"/>
              <w:rPr>
                <w:sz w:val="22"/>
                <w:szCs w:val="22"/>
                <w:color w:val="auto"/>
              </w:rPr>
            </w:pPr>
          </w:p>
        </w:tc>
        <w:tc>
          <w:tcPr>
            <w:tcW w:w="180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489,673</w:t>
            </w:r>
          </w:p>
        </w:tc>
        <w:tc>
          <w:tcPr>
            <w:tcW w:w="280" w:type="dxa"/>
            <w:vAlign w:val="bottom"/>
            <w:tcBorders>
              <w:bottom w:val="single" w:sz="8" w:color="CEFFE7"/>
            </w:tcBorders>
            <w:shd w:val="clear" w:color="auto" w:fill="CEFFE7"/>
          </w:tcPr>
          <w:p>
            <w:pPr>
              <w:spacing w:after="0"/>
              <w:rPr>
                <w:sz w:val="22"/>
                <w:szCs w:val="22"/>
                <w:color w:val="auto"/>
              </w:rPr>
            </w:pPr>
          </w:p>
        </w:tc>
        <w:tc>
          <w:tcPr>
            <w:tcW w:w="18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473,184</w:t>
            </w:r>
          </w:p>
        </w:tc>
      </w:tr>
      <w:tr>
        <w:trPr>
          <w:trHeight w:val="291"/>
        </w:trPr>
        <w:tc>
          <w:tcPr>
            <w:tcW w:w="70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r>
      <w:tr>
        <w:trPr>
          <w:trHeight w:val="270"/>
        </w:trPr>
        <w:tc>
          <w:tcPr>
            <w:tcW w:w="70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Investments</w:t>
            </w:r>
          </w:p>
        </w:tc>
        <w:tc>
          <w:tcPr>
            <w:tcW w:w="280" w:type="dxa"/>
            <w:vAlign w:val="bottom"/>
            <w:tcBorders>
              <w:bottom w:val="single" w:sz="8" w:color="CEFFE7"/>
            </w:tcBorders>
            <w:shd w:val="clear" w:color="auto" w:fill="CEFFE7"/>
          </w:tcPr>
          <w:p>
            <w:pPr>
              <w:spacing w:after="0"/>
              <w:rPr>
                <w:sz w:val="23"/>
                <w:szCs w:val="23"/>
                <w:color w:val="auto"/>
              </w:rPr>
            </w:pPr>
          </w:p>
        </w:tc>
        <w:tc>
          <w:tcPr>
            <w:tcW w:w="180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15,250</w:t>
            </w:r>
          </w:p>
        </w:tc>
        <w:tc>
          <w:tcPr>
            <w:tcW w:w="280" w:type="dxa"/>
            <w:vAlign w:val="bottom"/>
            <w:tcBorders>
              <w:bottom w:val="single" w:sz="8" w:color="CEFFE7"/>
            </w:tcBorders>
            <w:shd w:val="clear" w:color="auto" w:fill="CEFFE7"/>
          </w:tcPr>
          <w:p>
            <w:pPr>
              <w:spacing w:after="0"/>
              <w:rPr>
                <w:sz w:val="23"/>
                <w:szCs w:val="23"/>
                <w:color w:val="auto"/>
              </w:rPr>
            </w:pPr>
          </w:p>
        </w:tc>
        <w:tc>
          <w:tcPr>
            <w:tcW w:w="18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21,929</w:t>
            </w:r>
          </w:p>
        </w:tc>
      </w:tr>
      <w:tr>
        <w:trPr>
          <w:trHeight w:val="290"/>
        </w:trPr>
        <w:tc>
          <w:tcPr>
            <w:tcW w:w="70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r>
      <w:tr>
        <w:trPr>
          <w:trHeight w:val="250"/>
        </w:trPr>
        <w:tc>
          <w:tcPr>
            <w:tcW w:w="70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Property, plant and equipment</w:t>
            </w:r>
          </w:p>
        </w:tc>
        <w:tc>
          <w:tcPr>
            <w:tcW w:w="280" w:type="dxa"/>
            <w:vAlign w:val="bottom"/>
            <w:tcBorders>
              <w:bottom w:val="single" w:sz="8" w:color="CEFFE7"/>
            </w:tcBorders>
            <w:shd w:val="clear" w:color="auto" w:fill="CEFFE7"/>
          </w:tcPr>
          <w:p>
            <w:pPr>
              <w:spacing w:after="0"/>
              <w:rPr>
                <w:sz w:val="21"/>
                <w:szCs w:val="21"/>
                <w:color w:val="auto"/>
              </w:rPr>
            </w:pPr>
          </w:p>
        </w:tc>
        <w:tc>
          <w:tcPr>
            <w:tcW w:w="180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6,808,261</w:t>
            </w:r>
          </w:p>
        </w:tc>
        <w:tc>
          <w:tcPr>
            <w:tcW w:w="280" w:type="dxa"/>
            <w:vAlign w:val="bottom"/>
            <w:tcBorders>
              <w:bottom w:val="single" w:sz="8" w:color="CEFFE7"/>
            </w:tcBorders>
            <w:shd w:val="clear" w:color="auto" w:fill="CEFFE7"/>
          </w:tcPr>
          <w:p>
            <w:pPr>
              <w:spacing w:after="0"/>
              <w:rPr>
                <w:sz w:val="21"/>
                <w:szCs w:val="21"/>
                <w:color w:val="auto"/>
              </w:rPr>
            </w:pPr>
          </w:p>
        </w:tc>
        <w:tc>
          <w:tcPr>
            <w:tcW w:w="18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6,784,679</w:t>
            </w:r>
          </w:p>
        </w:tc>
      </w:tr>
      <w:tr>
        <w:trPr>
          <w:trHeight w:val="243"/>
        </w:trPr>
        <w:tc>
          <w:tcPr>
            <w:tcW w:w="7080" w:type="dxa"/>
            <w:vAlign w:val="bottom"/>
          </w:tcPr>
          <w:p>
            <w:pPr>
              <w:ind w:left="240"/>
              <w:spacing w:after="0"/>
              <w:rPr>
                <w:sz w:val="20"/>
                <w:szCs w:val="20"/>
                <w:color w:val="auto"/>
              </w:rPr>
            </w:pPr>
            <w:r>
              <w:rPr>
                <w:rFonts w:ascii="Arial" w:cs="Arial" w:eastAsia="Arial" w:hAnsi="Arial"/>
                <w:sz w:val="18"/>
                <w:szCs w:val="18"/>
                <w:color w:val="auto"/>
              </w:rPr>
              <w:t>Less: accumulated depreciation and depletion</w:t>
            </w:r>
          </w:p>
        </w:tc>
        <w:tc>
          <w:tcPr>
            <w:tcW w:w="28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(1,223,979)</w:t>
            </w:r>
          </w:p>
        </w:tc>
        <w:tc>
          <w:tcPr>
            <w:tcW w:w="2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(1,281,493)</w:t>
            </w:r>
          </w:p>
        </w:tc>
      </w:tr>
      <w:tr>
        <w:trPr>
          <w:trHeight w:val="27"/>
        </w:trPr>
        <w:tc>
          <w:tcPr>
            <w:tcW w:w="708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63"/>
        </w:trPr>
        <w:tc>
          <w:tcPr>
            <w:tcW w:w="7080" w:type="dxa"/>
            <w:vAlign w:val="bottom"/>
            <w:tcBorders>
              <w:bottom w:val="single" w:sz="8" w:color="CEFFE7"/>
            </w:tcBorders>
            <w:shd w:val="clear" w:color="auto" w:fill="CEFFE7"/>
          </w:tcPr>
          <w:p>
            <w:pPr>
              <w:ind w:left="600"/>
              <w:spacing w:after="0"/>
              <w:rPr>
                <w:sz w:val="20"/>
                <w:szCs w:val="20"/>
                <w:color w:val="auto"/>
              </w:rPr>
            </w:pPr>
            <w:r>
              <w:rPr>
                <w:rFonts w:ascii="Arial" w:cs="Arial" w:eastAsia="Arial" w:hAnsi="Arial"/>
                <w:sz w:val="18"/>
                <w:szCs w:val="18"/>
                <w:color w:val="auto"/>
              </w:rPr>
              <w:t>Total property, plant and equipment, net</w:t>
            </w:r>
          </w:p>
        </w:tc>
        <w:tc>
          <w:tcPr>
            <w:tcW w:w="280" w:type="dxa"/>
            <w:vAlign w:val="bottom"/>
            <w:tcBorders>
              <w:bottom w:val="single" w:sz="8" w:color="CEFFE7"/>
            </w:tcBorders>
            <w:shd w:val="clear" w:color="auto" w:fill="CEFFE7"/>
          </w:tcPr>
          <w:p>
            <w:pPr>
              <w:spacing w:after="0"/>
              <w:rPr>
                <w:sz w:val="22"/>
                <w:szCs w:val="22"/>
                <w:color w:val="auto"/>
              </w:rPr>
            </w:pPr>
          </w:p>
        </w:tc>
        <w:tc>
          <w:tcPr>
            <w:tcW w:w="180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5,584,282</w:t>
            </w:r>
          </w:p>
        </w:tc>
        <w:tc>
          <w:tcPr>
            <w:tcW w:w="280" w:type="dxa"/>
            <w:vAlign w:val="bottom"/>
            <w:tcBorders>
              <w:bottom w:val="single" w:sz="8" w:color="CEFFE7"/>
            </w:tcBorders>
            <w:shd w:val="clear" w:color="auto" w:fill="CEFFE7"/>
          </w:tcPr>
          <w:p>
            <w:pPr>
              <w:spacing w:after="0"/>
              <w:rPr>
                <w:sz w:val="22"/>
                <w:szCs w:val="22"/>
                <w:color w:val="auto"/>
              </w:rPr>
            </w:pPr>
          </w:p>
        </w:tc>
        <w:tc>
          <w:tcPr>
            <w:tcW w:w="18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5,503,186</w:t>
            </w:r>
          </w:p>
        </w:tc>
      </w:tr>
      <w:tr>
        <w:trPr>
          <w:trHeight w:val="290"/>
        </w:trPr>
        <w:tc>
          <w:tcPr>
            <w:tcW w:w="70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r>
      <w:tr>
        <w:trPr>
          <w:trHeight w:val="250"/>
        </w:trPr>
        <w:tc>
          <w:tcPr>
            <w:tcW w:w="70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CEFFE7"/>
            </w:tcBorders>
            <w:shd w:val="clear" w:color="auto" w:fill="CEFFE7"/>
          </w:tcPr>
          <w:p>
            <w:pPr>
              <w:spacing w:after="0"/>
              <w:rPr>
                <w:sz w:val="21"/>
                <w:szCs w:val="21"/>
                <w:color w:val="auto"/>
              </w:rPr>
            </w:pPr>
          </w:p>
        </w:tc>
        <w:tc>
          <w:tcPr>
            <w:tcW w:w="180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1800" w:type="dxa"/>
            <w:vAlign w:val="bottom"/>
            <w:tcBorders>
              <w:bottom w:val="single" w:sz="8" w:color="CEFFE7"/>
            </w:tcBorders>
            <w:shd w:val="clear" w:color="auto" w:fill="CEFFE7"/>
          </w:tcPr>
          <w:p>
            <w:pPr>
              <w:spacing w:after="0"/>
              <w:rPr>
                <w:sz w:val="21"/>
                <w:szCs w:val="21"/>
                <w:color w:val="auto"/>
              </w:rPr>
            </w:pPr>
          </w:p>
        </w:tc>
      </w:tr>
      <w:tr>
        <w:trPr>
          <w:trHeight w:val="243"/>
        </w:trPr>
        <w:tc>
          <w:tcPr>
            <w:tcW w:w="7080" w:type="dxa"/>
            <w:vAlign w:val="bottom"/>
          </w:tcPr>
          <w:p>
            <w:pPr>
              <w:ind w:left="24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1"/>
                <w:szCs w:val="21"/>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1,299,454</w:t>
            </w:r>
          </w:p>
        </w:tc>
        <w:tc>
          <w:tcPr>
            <w:tcW w:w="28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1,299,454</w:t>
            </w: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08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Intangible assets, net</w:t>
            </w:r>
          </w:p>
        </w:tc>
        <w:tc>
          <w:tcPr>
            <w:tcW w:w="280" w:type="dxa"/>
            <w:vAlign w:val="bottom"/>
            <w:tcBorders>
              <w:bottom w:val="single" w:sz="8" w:color="CEFFE7"/>
            </w:tcBorders>
            <w:shd w:val="clear" w:color="auto" w:fill="CEFFE7"/>
          </w:tcPr>
          <w:p>
            <w:pPr>
              <w:spacing w:after="0"/>
              <w:rPr>
                <w:sz w:val="21"/>
                <w:szCs w:val="21"/>
                <w:color w:val="auto"/>
              </w:rPr>
            </w:pPr>
          </w:p>
        </w:tc>
        <w:tc>
          <w:tcPr>
            <w:tcW w:w="180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13,083</w:t>
            </w:r>
          </w:p>
        </w:tc>
        <w:tc>
          <w:tcPr>
            <w:tcW w:w="280" w:type="dxa"/>
            <w:vAlign w:val="bottom"/>
            <w:tcBorders>
              <w:bottom w:val="single" w:sz="8" w:color="CEFFE7"/>
            </w:tcBorders>
            <w:shd w:val="clear" w:color="auto" w:fill="CEFFE7"/>
          </w:tcPr>
          <w:p>
            <w:pPr>
              <w:spacing w:after="0"/>
              <w:rPr>
                <w:sz w:val="21"/>
                <w:szCs w:val="21"/>
                <w:color w:val="auto"/>
              </w:rPr>
            </w:pPr>
          </w:p>
        </w:tc>
        <w:tc>
          <w:tcPr>
            <w:tcW w:w="18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13,266</w:t>
            </w:r>
          </w:p>
        </w:tc>
      </w:tr>
      <w:tr>
        <w:trPr>
          <w:trHeight w:val="243"/>
        </w:trPr>
        <w:tc>
          <w:tcPr>
            <w:tcW w:w="7080" w:type="dxa"/>
            <w:vAlign w:val="bottom"/>
          </w:tcPr>
          <w:p>
            <w:pPr>
              <w:ind w:left="240"/>
              <w:spacing w:after="0"/>
              <w:rPr>
                <w:sz w:val="20"/>
                <w:szCs w:val="20"/>
                <w:color w:val="auto"/>
              </w:rPr>
            </w:pPr>
            <w:r>
              <w:rPr>
                <w:rFonts w:ascii="Arial" w:cs="Arial" w:eastAsia="Arial" w:hAnsi="Arial"/>
                <w:sz w:val="18"/>
                <w:szCs w:val="18"/>
                <w:color w:val="auto"/>
              </w:rPr>
              <w:t>Regulatory assets, non-current</w:t>
            </w:r>
          </w:p>
        </w:tc>
        <w:tc>
          <w:tcPr>
            <w:tcW w:w="280" w:type="dxa"/>
            <w:vAlign w:val="bottom"/>
          </w:tcPr>
          <w:p>
            <w:pPr>
              <w:spacing w:after="0"/>
              <w:rPr>
                <w:sz w:val="21"/>
                <w:szCs w:val="21"/>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222,814</w:t>
            </w:r>
          </w:p>
        </w:tc>
        <w:tc>
          <w:tcPr>
            <w:tcW w:w="28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228,062</w:t>
            </w: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08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Other assets, non-current</w:t>
            </w:r>
          </w:p>
        </w:tc>
        <w:tc>
          <w:tcPr>
            <w:tcW w:w="280" w:type="dxa"/>
            <w:vAlign w:val="bottom"/>
            <w:tcBorders>
              <w:bottom w:val="single" w:sz="8" w:color="CEFFE7"/>
            </w:tcBorders>
            <w:shd w:val="clear" w:color="auto" w:fill="CEFFE7"/>
          </w:tcPr>
          <w:p>
            <w:pPr>
              <w:spacing w:after="0"/>
              <w:rPr>
                <w:sz w:val="23"/>
                <w:szCs w:val="23"/>
                <w:color w:val="auto"/>
              </w:rPr>
            </w:pPr>
          </w:p>
        </w:tc>
        <w:tc>
          <w:tcPr>
            <w:tcW w:w="180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24,258</w:t>
            </w:r>
          </w:p>
        </w:tc>
        <w:tc>
          <w:tcPr>
            <w:tcW w:w="280" w:type="dxa"/>
            <w:vAlign w:val="bottom"/>
            <w:tcBorders>
              <w:bottom w:val="single" w:sz="8" w:color="CEFFE7"/>
            </w:tcBorders>
            <w:shd w:val="clear" w:color="auto" w:fill="CEFFE7"/>
          </w:tcPr>
          <w:p>
            <w:pPr>
              <w:spacing w:after="0"/>
              <w:rPr>
                <w:sz w:val="23"/>
                <w:szCs w:val="23"/>
                <w:color w:val="auto"/>
              </w:rPr>
            </w:pPr>
          </w:p>
        </w:tc>
        <w:tc>
          <w:tcPr>
            <w:tcW w:w="18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19,376</w:t>
            </w:r>
          </w:p>
        </w:tc>
      </w:tr>
      <w:tr>
        <w:trPr>
          <w:trHeight w:val="237"/>
        </w:trPr>
        <w:tc>
          <w:tcPr>
            <w:tcW w:w="7080" w:type="dxa"/>
            <w:vAlign w:val="bottom"/>
          </w:tcPr>
          <w:p>
            <w:pPr>
              <w:ind w:left="600"/>
              <w:spacing w:after="0"/>
              <w:rPr>
                <w:sz w:val="20"/>
                <w:szCs w:val="20"/>
                <w:color w:val="auto"/>
              </w:rPr>
            </w:pPr>
            <w:r>
              <w:rPr>
                <w:rFonts w:ascii="Arial" w:cs="Arial" w:eastAsia="Arial" w:hAnsi="Arial"/>
                <w:sz w:val="18"/>
                <w:szCs w:val="18"/>
                <w:color w:val="auto"/>
              </w:rPr>
              <w:t>Total other assets, non-current</w:t>
            </w:r>
          </w:p>
        </w:tc>
        <w:tc>
          <w:tcPr>
            <w:tcW w:w="28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1,559,609</w:t>
            </w:r>
          </w:p>
        </w:tc>
        <w:tc>
          <w:tcPr>
            <w:tcW w:w="28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1,560,158</w:t>
            </w:r>
          </w:p>
        </w:tc>
      </w:tr>
      <w:tr>
        <w:trPr>
          <w:trHeight w:val="27"/>
        </w:trPr>
        <w:tc>
          <w:tcPr>
            <w:tcW w:w="708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90"/>
        </w:trPr>
        <w:tc>
          <w:tcPr>
            <w:tcW w:w="7080" w:type="dxa"/>
            <w:vAlign w:val="bottom"/>
            <w:shd w:val="clear" w:color="auto" w:fill="CEFFE7"/>
          </w:tcPr>
          <w:p>
            <w:pPr>
              <w:spacing w:after="0"/>
              <w:rPr>
                <w:sz w:val="24"/>
                <w:szCs w:val="24"/>
                <w:color w:val="auto"/>
              </w:rPr>
            </w:pPr>
          </w:p>
        </w:tc>
        <w:tc>
          <w:tcPr>
            <w:tcW w:w="280" w:type="dxa"/>
            <w:vAlign w:val="bottom"/>
            <w:shd w:val="clear" w:color="auto" w:fill="CEFFE7"/>
          </w:tcPr>
          <w:p>
            <w:pPr>
              <w:spacing w:after="0"/>
              <w:rPr>
                <w:sz w:val="24"/>
                <w:szCs w:val="24"/>
                <w:color w:val="auto"/>
              </w:rPr>
            </w:pPr>
          </w:p>
        </w:tc>
        <w:tc>
          <w:tcPr>
            <w:tcW w:w="1800" w:type="dxa"/>
            <w:vAlign w:val="bottom"/>
            <w:shd w:val="clear" w:color="auto" w:fill="CEFFE7"/>
          </w:tcPr>
          <w:p>
            <w:pPr>
              <w:spacing w:after="0"/>
              <w:rPr>
                <w:sz w:val="24"/>
                <w:szCs w:val="24"/>
                <w:color w:val="auto"/>
              </w:rPr>
            </w:pPr>
          </w:p>
        </w:tc>
        <w:tc>
          <w:tcPr>
            <w:tcW w:w="280" w:type="dxa"/>
            <w:vAlign w:val="bottom"/>
            <w:shd w:val="clear" w:color="auto" w:fill="CEFFE7"/>
          </w:tcPr>
          <w:p>
            <w:pPr>
              <w:spacing w:after="0"/>
              <w:rPr>
                <w:sz w:val="24"/>
                <w:szCs w:val="24"/>
                <w:color w:val="auto"/>
              </w:rPr>
            </w:pPr>
          </w:p>
        </w:tc>
        <w:tc>
          <w:tcPr>
            <w:tcW w:w="1800" w:type="dxa"/>
            <w:vAlign w:val="bottom"/>
            <w:shd w:val="clear" w:color="auto" w:fill="CEFFE7"/>
          </w:tcPr>
          <w:p>
            <w:pPr>
              <w:spacing w:after="0"/>
              <w:rPr>
                <w:sz w:val="24"/>
                <w:szCs w:val="24"/>
                <w:color w:val="auto"/>
              </w:rPr>
            </w:pPr>
          </w:p>
        </w:tc>
      </w:tr>
      <w:tr>
        <w:trPr>
          <w:trHeight w:val="264"/>
        </w:trPr>
        <w:tc>
          <w:tcPr>
            <w:tcW w:w="708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7,648,814</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7,558,457</w:t>
            </w:r>
          </w:p>
        </w:tc>
      </w:tr>
      <w:tr>
        <w:trPr>
          <w:trHeight w:val="20"/>
        </w:trPr>
        <w:tc>
          <w:tcPr>
            <w:tcW w:w="7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center"/>
        <w:spacing w:after="0"/>
        <w:rPr>
          <w:rFonts w:ascii="Arial" w:cs="Arial" w:eastAsia="Arial" w:hAnsi="Arial"/>
          <w:sz w:val="14"/>
          <w:szCs w:val="14"/>
          <w:color w:val="auto"/>
        </w:rPr>
      </w:pPr>
      <w:r>
        <w:rPr>
          <w:rFonts w:ascii="Arial" w:cs="Arial" w:eastAsia="Arial" w:hAnsi="Arial"/>
          <w:sz w:val="14"/>
          <w:szCs w:val="14"/>
          <w:color w:val="auto"/>
        </w:rPr>
        <w:t xml:space="preserve">The accompanying </w:t>
      </w:r>
      <w:hyperlink w:anchor="page13">
        <w:r>
          <w:rPr>
            <w:rFonts w:ascii="Arial" w:cs="Arial" w:eastAsia="Arial" w:hAnsi="Arial"/>
            <w:sz w:val="14"/>
            <w:szCs w:val="14"/>
            <w:u w:val="single" w:color="auto"/>
            <w:color w:val="0000EE"/>
          </w:rPr>
          <w:t>Notes to Condensed Consolidated Financial Statements</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are an integral part of these Condensed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6"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0"/>
        </w:trPr>
        <w:tc>
          <w:tcPr>
            <w:tcW w:w="3240" w:type="dxa"/>
            <w:vAlign w:val="bottom"/>
          </w:tcPr>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tc>
        <w:tc>
          <w:tcPr>
            <w:tcW w:w="3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622"/>
        </w:trPr>
        <w:tc>
          <w:tcPr>
            <w:tcW w:w="3240" w:type="dxa"/>
            <w:vAlign w:val="bottom"/>
          </w:tcPr>
          <w:p>
            <w:pPr>
              <w:spacing w:after="0"/>
              <w:rPr>
                <w:sz w:val="24"/>
                <w:szCs w:val="24"/>
                <w:color w:val="auto"/>
              </w:rPr>
            </w:pPr>
          </w:p>
        </w:tc>
        <w:tc>
          <w:tcPr>
            <w:tcW w:w="4120" w:type="dxa"/>
            <w:vAlign w:val="bottom"/>
            <w:gridSpan w:val="2"/>
          </w:tcPr>
          <w:p>
            <w:pPr>
              <w:jc w:val="center"/>
              <w:ind w:left="550"/>
              <w:spacing w:after="0"/>
              <w:rPr>
                <w:sz w:val="20"/>
                <w:szCs w:val="20"/>
                <w:color w:val="auto"/>
              </w:rPr>
            </w:pPr>
            <w:r>
              <w:rPr>
                <w:rFonts w:ascii="Arial" w:cs="Arial" w:eastAsia="Arial" w:hAnsi="Arial"/>
                <w:sz w:val="18"/>
                <w:szCs w:val="18"/>
                <w:b w:val="1"/>
                <w:bCs w:val="1"/>
                <w:color w:val="auto"/>
              </w:rPr>
              <w:t>BLACK HILLS CORPORATION</w:t>
            </w:r>
          </w:p>
        </w:tc>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16"/>
        </w:trPr>
        <w:tc>
          <w:tcPr>
            <w:tcW w:w="3240" w:type="dxa"/>
            <w:vAlign w:val="bottom"/>
          </w:tcPr>
          <w:p>
            <w:pPr>
              <w:spacing w:after="0"/>
              <w:rPr>
                <w:sz w:val="18"/>
                <w:szCs w:val="18"/>
                <w:color w:val="auto"/>
              </w:rPr>
            </w:pPr>
          </w:p>
        </w:tc>
        <w:tc>
          <w:tcPr>
            <w:tcW w:w="5880" w:type="dxa"/>
            <w:vAlign w:val="bottom"/>
            <w:gridSpan w:val="3"/>
          </w:tcPr>
          <w:p>
            <w:pPr>
              <w:jc w:val="center"/>
              <w:ind w:right="103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3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34"/>
        </w:trPr>
        <w:tc>
          <w:tcPr>
            <w:tcW w:w="3240" w:type="dxa"/>
            <w:vAlign w:val="bottom"/>
          </w:tcPr>
          <w:p>
            <w:pPr>
              <w:spacing w:after="0"/>
              <w:rPr>
                <w:sz w:val="20"/>
                <w:szCs w:val="20"/>
                <w:color w:val="auto"/>
              </w:rPr>
            </w:pPr>
          </w:p>
        </w:tc>
        <w:tc>
          <w:tcPr>
            <w:tcW w:w="4120" w:type="dxa"/>
            <w:vAlign w:val="bottom"/>
            <w:gridSpan w:val="2"/>
          </w:tcPr>
          <w:p>
            <w:pPr>
              <w:jc w:val="center"/>
              <w:ind w:left="550"/>
              <w:spacing w:after="0"/>
              <w:rPr>
                <w:sz w:val="20"/>
                <w:szCs w:val="20"/>
                <w:color w:val="auto"/>
              </w:rPr>
            </w:pPr>
            <w:r>
              <w:rPr>
                <w:rFonts w:ascii="Arial" w:cs="Arial" w:eastAsia="Arial" w:hAnsi="Arial"/>
                <w:sz w:val="18"/>
                <w:szCs w:val="18"/>
                <w:b w:val="1"/>
                <w:bCs w:val="1"/>
                <w:color w:val="auto"/>
                <w:w w:val="91"/>
              </w:rPr>
              <w:t>(Continued)</w:t>
            </w: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378"/>
        </w:trPr>
        <w:tc>
          <w:tcPr>
            <w:tcW w:w="3240" w:type="dxa"/>
            <w:vAlign w:val="bottom"/>
          </w:tcPr>
          <w:p>
            <w:pPr>
              <w:ind w:left="40"/>
              <w:spacing w:after="0"/>
              <w:rPr>
                <w:sz w:val="20"/>
                <w:szCs w:val="20"/>
                <w:color w:val="auto"/>
              </w:rPr>
            </w:pPr>
            <w:r>
              <w:rPr>
                <w:rFonts w:ascii="Arial" w:cs="Arial" w:eastAsia="Arial" w:hAnsi="Arial"/>
                <w:sz w:val="18"/>
                <w:szCs w:val="18"/>
                <w:color w:val="auto"/>
              </w:rPr>
              <w:t>(unaudited)</w:t>
            </w:r>
          </w:p>
        </w:tc>
        <w:tc>
          <w:tcPr>
            <w:tcW w:w="3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As of</w:t>
            </w:r>
          </w:p>
        </w:tc>
        <w:tc>
          <w:tcPr>
            <w:tcW w:w="1800" w:type="dxa"/>
            <w:vAlign w:val="bottom"/>
          </w:tcPr>
          <w:p>
            <w:pPr>
              <w:spacing w:after="0"/>
              <w:rPr>
                <w:sz w:val="24"/>
                <w:szCs w:val="24"/>
                <w:color w:val="auto"/>
              </w:rPr>
            </w:pPr>
          </w:p>
        </w:tc>
      </w:tr>
      <w:tr>
        <w:trPr>
          <w:trHeight w:val="270"/>
        </w:trPr>
        <w:tc>
          <w:tcPr>
            <w:tcW w:w="3240" w:type="dxa"/>
            <w:vAlign w:val="bottom"/>
          </w:tcPr>
          <w:p>
            <w:pPr>
              <w:spacing w:after="0"/>
              <w:rPr>
                <w:sz w:val="23"/>
                <w:szCs w:val="23"/>
                <w:color w:val="auto"/>
              </w:rPr>
            </w:pPr>
          </w:p>
        </w:tc>
        <w:tc>
          <w:tcPr>
            <w:tcW w:w="38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March 31, 2020</w:t>
            </w:r>
          </w:p>
        </w:tc>
        <w:tc>
          <w:tcPr>
            <w:tcW w:w="320" w:type="dxa"/>
            <w:vAlign w:val="bottom"/>
          </w:tcPr>
          <w:p>
            <w:pPr>
              <w:spacing w:after="0"/>
              <w:rPr>
                <w:sz w:val="23"/>
                <w:szCs w:val="23"/>
                <w:color w:val="auto"/>
              </w:rPr>
            </w:pPr>
          </w:p>
        </w:tc>
        <w:tc>
          <w:tcPr>
            <w:tcW w:w="1800" w:type="dxa"/>
            <w:vAlign w:val="bottom"/>
          </w:tcPr>
          <w:p>
            <w:pPr>
              <w:jc w:val="right"/>
              <w:ind w:right="210"/>
              <w:spacing w:after="0"/>
              <w:rPr>
                <w:sz w:val="20"/>
                <w:szCs w:val="20"/>
                <w:color w:val="auto"/>
              </w:rPr>
            </w:pPr>
            <w:r>
              <w:rPr>
                <w:rFonts w:ascii="Arial" w:cs="Arial" w:eastAsia="Arial" w:hAnsi="Arial"/>
                <w:sz w:val="18"/>
                <w:szCs w:val="18"/>
                <w:color w:val="auto"/>
                <w:w w:val="93"/>
              </w:rPr>
              <w:t>December 31, 2019</w:t>
            </w:r>
          </w:p>
        </w:tc>
      </w:tr>
      <w:tr>
        <w:trPr>
          <w:trHeight w:val="27"/>
        </w:trPr>
        <w:tc>
          <w:tcPr>
            <w:tcW w:w="32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gridSpan w:val="3"/>
          </w:tcPr>
          <w:p>
            <w:pPr>
              <w:spacing w:after="0"/>
              <w:rPr>
                <w:sz w:val="2"/>
                <w:szCs w:val="2"/>
                <w:color w:val="auto"/>
              </w:rPr>
            </w:pPr>
          </w:p>
        </w:tc>
      </w:tr>
      <w:tr>
        <w:trPr>
          <w:trHeight w:val="237"/>
        </w:trPr>
        <w:tc>
          <w:tcPr>
            <w:tcW w:w="32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80" w:type="dxa"/>
            <w:vAlign w:val="bottom"/>
            <w:gridSpan w:val="3"/>
          </w:tcPr>
          <w:p>
            <w:pPr>
              <w:jc w:val="right"/>
              <w:ind w:right="650"/>
              <w:spacing w:after="0"/>
              <w:rPr>
                <w:sz w:val="20"/>
                <w:szCs w:val="20"/>
                <w:color w:val="auto"/>
              </w:rPr>
            </w:pPr>
            <w:r>
              <w:rPr>
                <w:rFonts w:ascii="Arial" w:cs="Arial" w:eastAsia="Arial" w:hAnsi="Arial"/>
                <w:sz w:val="18"/>
                <w:szCs w:val="18"/>
                <w:color w:val="auto"/>
              </w:rPr>
              <w:t>(in thousands, except share amounts)</w:t>
            </w:r>
          </w:p>
        </w:tc>
      </w:tr>
      <w:tr>
        <w:trPr>
          <w:trHeight w:val="270"/>
        </w:trPr>
        <w:tc>
          <w:tcPr>
            <w:tcW w:w="7360" w:type="dxa"/>
            <w:vAlign w:val="bottom"/>
            <w:gridSpan w:val="3"/>
          </w:tcPr>
          <w:p>
            <w:pPr>
              <w:ind w:left="2400"/>
              <w:spacing w:after="0"/>
              <w:rPr>
                <w:sz w:val="20"/>
                <w:szCs w:val="20"/>
                <w:color w:val="auto"/>
              </w:rPr>
            </w:pPr>
            <w:r>
              <w:rPr>
                <w:rFonts w:ascii="Arial" w:cs="Arial" w:eastAsia="Arial" w:hAnsi="Arial"/>
                <w:sz w:val="18"/>
                <w:szCs w:val="18"/>
                <w:b w:val="1"/>
                <w:bCs w:val="1"/>
                <w:color w:val="auto"/>
              </w:rPr>
              <w:t>LIABILITIES AND EQUITY</w:t>
            </w:r>
          </w:p>
        </w:tc>
        <w:tc>
          <w:tcPr>
            <w:tcW w:w="1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270"/>
        </w:trPr>
        <w:tc>
          <w:tcPr>
            <w:tcW w:w="32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8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27"/>
        </w:trPr>
        <w:tc>
          <w:tcPr>
            <w:tcW w:w="32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324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Accounts payable</w:t>
            </w:r>
          </w:p>
        </w:tc>
        <w:tc>
          <w:tcPr>
            <w:tcW w:w="4120" w:type="dxa"/>
            <w:vAlign w:val="bottom"/>
            <w:tcBorders>
              <w:bottom w:val="single" w:sz="8" w:color="CEFFE7"/>
            </w:tcBorders>
            <w:gridSpan w:val="2"/>
            <w:shd w:val="clear" w:color="auto" w:fill="CEFFE7"/>
          </w:tcPr>
          <w:p>
            <w:pPr>
              <w:jc w:val="right"/>
              <w:ind w:right="16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136,344</w:t>
            </w:r>
          </w:p>
        </w:tc>
        <w:tc>
          <w:tcPr>
            <w:tcW w:w="3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193,523</w:t>
            </w:r>
          </w:p>
        </w:tc>
      </w:tr>
      <w:tr>
        <w:trPr>
          <w:trHeight w:val="243"/>
        </w:trPr>
        <w:tc>
          <w:tcPr>
            <w:tcW w:w="3240" w:type="dxa"/>
            <w:vAlign w:val="bottom"/>
          </w:tcPr>
          <w:p>
            <w:pPr>
              <w:ind w:left="240"/>
              <w:spacing w:after="0"/>
              <w:rPr>
                <w:sz w:val="20"/>
                <w:szCs w:val="20"/>
                <w:color w:val="auto"/>
              </w:rPr>
            </w:pPr>
            <w:r>
              <w:rPr>
                <w:rFonts w:ascii="Arial" w:cs="Arial" w:eastAsia="Arial" w:hAnsi="Arial"/>
                <w:sz w:val="18"/>
                <w:szCs w:val="18"/>
                <w:color w:val="auto"/>
              </w:rPr>
              <w:t>Accrued liabilities</w:t>
            </w:r>
          </w:p>
        </w:tc>
        <w:tc>
          <w:tcPr>
            <w:tcW w:w="3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203,445</w:t>
            </w:r>
          </w:p>
        </w:tc>
        <w:tc>
          <w:tcPr>
            <w:tcW w:w="32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226,767</w:t>
            </w:r>
          </w:p>
        </w:tc>
      </w:tr>
      <w:tr>
        <w:trPr>
          <w:trHeight w:val="27"/>
        </w:trPr>
        <w:tc>
          <w:tcPr>
            <w:tcW w:w="32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324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Derivative liabilities, current</w:t>
            </w:r>
          </w:p>
        </w:tc>
        <w:tc>
          <w:tcPr>
            <w:tcW w:w="384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17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852</w:t>
            </w:r>
          </w:p>
        </w:tc>
        <w:tc>
          <w:tcPr>
            <w:tcW w:w="320" w:type="dxa"/>
            <w:vAlign w:val="bottom"/>
            <w:tcBorders>
              <w:bottom w:val="single" w:sz="8" w:color="CEFFE7"/>
            </w:tcBorders>
            <w:shd w:val="clear" w:color="auto" w:fill="CEFFE7"/>
          </w:tcPr>
          <w:p>
            <w:pPr>
              <w:spacing w:after="0"/>
              <w:rPr>
                <w:sz w:val="21"/>
                <w:szCs w:val="21"/>
                <w:color w:val="auto"/>
              </w:rPr>
            </w:pPr>
          </w:p>
        </w:tc>
        <w:tc>
          <w:tcPr>
            <w:tcW w:w="18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2,254</w:t>
            </w:r>
          </w:p>
        </w:tc>
      </w:tr>
      <w:tr>
        <w:trPr>
          <w:trHeight w:val="243"/>
        </w:trPr>
        <w:tc>
          <w:tcPr>
            <w:tcW w:w="3240" w:type="dxa"/>
            <w:vAlign w:val="bottom"/>
          </w:tcPr>
          <w:p>
            <w:pPr>
              <w:ind w:left="240"/>
              <w:spacing w:after="0"/>
              <w:rPr>
                <w:sz w:val="20"/>
                <w:szCs w:val="20"/>
                <w:color w:val="auto"/>
              </w:rPr>
            </w:pPr>
            <w:r>
              <w:rPr>
                <w:rFonts w:ascii="Arial" w:cs="Arial" w:eastAsia="Arial" w:hAnsi="Arial"/>
                <w:sz w:val="18"/>
                <w:szCs w:val="18"/>
                <w:color w:val="auto"/>
              </w:rPr>
              <w:t>Regulatory liabilities, current</w:t>
            </w:r>
          </w:p>
        </w:tc>
        <w:tc>
          <w:tcPr>
            <w:tcW w:w="3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54,345</w:t>
            </w:r>
          </w:p>
        </w:tc>
        <w:tc>
          <w:tcPr>
            <w:tcW w:w="32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33,507</w:t>
            </w:r>
          </w:p>
        </w:tc>
      </w:tr>
      <w:tr>
        <w:trPr>
          <w:trHeight w:val="27"/>
        </w:trPr>
        <w:tc>
          <w:tcPr>
            <w:tcW w:w="32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324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Notes payable</w:t>
            </w:r>
          </w:p>
        </w:tc>
        <w:tc>
          <w:tcPr>
            <w:tcW w:w="384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17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319,125</w:t>
            </w:r>
          </w:p>
        </w:tc>
        <w:tc>
          <w:tcPr>
            <w:tcW w:w="320" w:type="dxa"/>
            <w:vAlign w:val="bottom"/>
            <w:tcBorders>
              <w:bottom w:val="single" w:sz="8" w:color="CEFFE7"/>
            </w:tcBorders>
            <w:shd w:val="clear" w:color="auto" w:fill="CEFFE7"/>
          </w:tcPr>
          <w:p>
            <w:pPr>
              <w:spacing w:after="0"/>
              <w:rPr>
                <w:sz w:val="21"/>
                <w:szCs w:val="21"/>
                <w:color w:val="auto"/>
              </w:rPr>
            </w:pPr>
          </w:p>
        </w:tc>
        <w:tc>
          <w:tcPr>
            <w:tcW w:w="18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349,500</w:t>
            </w:r>
          </w:p>
        </w:tc>
      </w:tr>
      <w:tr>
        <w:trPr>
          <w:trHeight w:val="243"/>
        </w:trPr>
        <w:tc>
          <w:tcPr>
            <w:tcW w:w="3240" w:type="dxa"/>
            <w:vAlign w:val="bottom"/>
          </w:tcPr>
          <w:p>
            <w:pPr>
              <w:ind w:left="240"/>
              <w:spacing w:after="0"/>
              <w:rPr>
                <w:sz w:val="20"/>
                <w:szCs w:val="20"/>
                <w:color w:val="auto"/>
              </w:rPr>
            </w:pPr>
            <w:r>
              <w:rPr>
                <w:rFonts w:ascii="Arial" w:cs="Arial" w:eastAsia="Arial" w:hAnsi="Arial"/>
                <w:sz w:val="18"/>
                <w:szCs w:val="18"/>
                <w:color w:val="auto"/>
              </w:rPr>
              <w:t>Current maturities of long-term debt</w:t>
            </w:r>
          </w:p>
        </w:tc>
        <w:tc>
          <w:tcPr>
            <w:tcW w:w="3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5,743</w:t>
            </w:r>
          </w:p>
        </w:tc>
        <w:tc>
          <w:tcPr>
            <w:tcW w:w="32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5,743</w:t>
            </w:r>
          </w:p>
        </w:tc>
      </w:tr>
      <w:tr>
        <w:trPr>
          <w:trHeight w:val="27"/>
        </w:trPr>
        <w:tc>
          <w:tcPr>
            <w:tcW w:w="3240" w:type="dxa"/>
            <w:vAlign w:val="bottom"/>
            <w:tcBorders>
              <w:bottom w:val="single" w:sz="8" w:color="CEFFE7"/>
            </w:tcBorders>
          </w:tcPr>
          <w:p>
            <w:pPr>
              <w:spacing w:after="0"/>
              <w:rPr>
                <w:sz w:val="2"/>
                <w:szCs w:val="2"/>
                <w:color w:val="auto"/>
              </w:rPr>
            </w:pPr>
          </w:p>
        </w:tc>
        <w:tc>
          <w:tcPr>
            <w:tcW w:w="384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63"/>
        </w:trPr>
        <w:tc>
          <w:tcPr>
            <w:tcW w:w="3240" w:type="dxa"/>
            <w:vAlign w:val="bottom"/>
            <w:tcBorders>
              <w:bottom w:val="single" w:sz="8" w:color="CEFFE7"/>
            </w:tcBorders>
            <w:shd w:val="clear" w:color="auto" w:fill="CEFFE7"/>
          </w:tcPr>
          <w:p>
            <w:pPr>
              <w:ind w:left="600"/>
              <w:spacing w:after="0"/>
              <w:rPr>
                <w:sz w:val="20"/>
                <w:szCs w:val="20"/>
                <w:color w:val="auto"/>
              </w:rPr>
            </w:pPr>
            <w:r>
              <w:rPr>
                <w:rFonts w:ascii="Arial" w:cs="Arial" w:eastAsia="Arial" w:hAnsi="Arial"/>
                <w:sz w:val="18"/>
                <w:szCs w:val="18"/>
                <w:color w:val="auto"/>
              </w:rPr>
              <w:t>Total current liabilities</w:t>
            </w:r>
          </w:p>
        </w:tc>
        <w:tc>
          <w:tcPr>
            <w:tcW w:w="3840" w:type="dxa"/>
            <w:vAlign w:val="bottom"/>
            <w:tcBorders>
              <w:bottom w:val="single" w:sz="8" w:color="CEFFE7"/>
            </w:tcBorders>
            <w:shd w:val="clear" w:color="auto" w:fill="CEFFE7"/>
          </w:tcPr>
          <w:p>
            <w:pPr>
              <w:spacing w:after="0"/>
              <w:rPr>
                <w:sz w:val="22"/>
                <w:szCs w:val="22"/>
                <w:color w:val="auto"/>
              </w:rPr>
            </w:pPr>
          </w:p>
        </w:tc>
        <w:tc>
          <w:tcPr>
            <w:tcW w:w="280" w:type="dxa"/>
            <w:vAlign w:val="bottom"/>
            <w:tcBorders>
              <w:bottom w:val="single" w:sz="8" w:color="CEFFE7"/>
            </w:tcBorders>
            <w:shd w:val="clear" w:color="auto" w:fill="CEFFE7"/>
          </w:tcPr>
          <w:p>
            <w:pPr>
              <w:spacing w:after="0"/>
              <w:rPr>
                <w:sz w:val="22"/>
                <w:szCs w:val="22"/>
                <w:color w:val="auto"/>
              </w:rPr>
            </w:pPr>
          </w:p>
        </w:tc>
        <w:tc>
          <w:tcPr>
            <w:tcW w:w="17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719,854</w:t>
            </w:r>
          </w:p>
        </w:tc>
        <w:tc>
          <w:tcPr>
            <w:tcW w:w="320" w:type="dxa"/>
            <w:vAlign w:val="bottom"/>
            <w:tcBorders>
              <w:bottom w:val="single" w:sz="8" w:color="CEFFE7"/>
            </w:tcBorders>
            <w:shd w:val="clear" w:color="auto" w:fill="CEFFE7"/>
          </w:tcPr>
          <w:p>
            <w:pPr>
              <w:spacing w:after="0"/>
              <w:rPr>
                <w:sz w:val="22"/>
                <w:szCs w:val="22"/>
                <w:color w:val="auto"/>
              </w:rPr>
            </w:pPr>
          </w:p>
        </w:tc>
        <w:tc>
          <w:tcPr>
            <w:tcW w:w="18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811,294</w:t>
            </w:r>
          </w:p>
        </w:tc>
      </w:tr>
      <w:tr>
        <w:trPr>
          <w:trHeight w:val="291"/>
        </w:trPr>
        <w:tc>
          <w:tcPr>
            <w:tcW w:w="32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7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r>
      <w:tr>
        <w:trPr>
          <w:trHeight w:val="250"/>
        </w:trPr>
        <w:tc>
          <w:tcPr>
            <w:tcW w:w="32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w w:val="99"/>
              </w:rPr>
              <w:t>Long-term debt, net of current maturities</w:t>
            </w:r>
          </w:p>
        </w:tc>
        <w:tc>
          <w:tcPr>
            <w:tcW w:w="384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17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3,136,887</w:t>
            </w:r>
          </w:p>
        </w:tc>
        <w:tc>
          <w:tcPr>
            <w:tcW w:w="320" w:type="dxa"/>
            <w:vAlign w:val="bottom"/>
            <w:tcBorders>
              <w:bottom w:val="single" w:sz="8" w:color="CEFFE7"/>
            </w:tcBorders>
            <w:shd w:val="clear" w:color="auto" w:fill="CEFFE7"/>
          </w:tcPr>
          <w:p>
            <w:pPr>
              <w:spacing w:after="0"/>
              <w:rPr>
                <w:sz w:val="21"/>
                <w:szCs w:val="21"/>
                <w:color w:val="auto"/>
              </w:rPr>
            </w:pPr>
          </w:p>
        </w:tc>
        <w:tc>
          <w:tcPr>
            <w:tcW w:w="18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3,140,096</w:t>
            </w:r>
          </w:p>
        </w:tc>
      </w:tr>
      <w:tr>
        <w:trPr>
          <w:trHeight w:val="20"/>
        </w:trPr>
        <w:tc>
          <w:tcPr>
            <w:tcW w:w="32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p>
      <w:pPr>
        <w:spacing w:after="0" w:line="3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Deferred credits and other liabilities:</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Deferred income tax liabilities, net</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Regulatory liabilities, non-current</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Benefit plan liabilities</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Other deferred credits and other liabilities</w:t>
      </w:r>
    </w:p>
    <w:p>
      <w:pPr>
        <w:spacing w:after="0" w:line="7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Total deferred credits and other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620" w:type="dxa"/>
            <w:vAlign w:val="bottom"/>
          </w:tcPr>
          <w:p>
            <w:pPr>
              <w:jc w:val="right"/>
              <w:ind w:right="610"/>
              <w:spacing w:after="0"/>
              <w:rPr>
                <w:sz w:val="20"/>
                <w:szCs w:val="20"/>
                <w:color w:val="auto"/>
              </w:rPr>
            </w:pPr>
            <w:r>
              <w:rPr>
                <w:rFonts w:ascii="Arial" w:cs="Arial" w:eastAsia="Arial" w:hAnsi="Arial"/>
                <w:sz w:val="18"/>
                <w:szCs w:val="18"/>
                <w:color w:val="auto"/>
              </w:rPr>
              <w:t>387,939</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360,719</w:t>
            </w:r>
          </w:p>
        </w:tc>
      </w:tr>
      <w:tr>
        <w:trPr>
          <w:trHeight w:val="270"/>
        </w:trPr>
        <w:tc>
          <w:tcPr>
            <w:tcW w:w="2620" w:type="dxa"/>
            <w:vAlign w:val="bottom"/>
          </w:tcPr>
          <w:p>
            <w:pPr>
              <w:jc w:val="right"/>
              <w:ind w:right="610"/>
              <w:spacing w:after="0"/>
              <w:rPr>
                <w:sz w:val="20"/>
                <w:szCs w:val="20"/>
                <w:color w:val="auto"/>
              </w:rPr>
            </w:pPr>
            <w:r>
              <w:rPr>
                <w:rFonts w:ascii="Arial" w:cs="Arial" w:eastAsia="Arial" w:hAnsi="Arial"/>
                <w:sz w:val="18"/>
                <w:szCs w:val="18"/>
                <w:color w:val="auto"/>
              </w:rPr>
              <w:t>504,149</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503,145</w:t>
            </w:r>
          </w:p>
        </w:tc>
      </w:tr>
      <w:tr>
        <w:trPr>
          <w:trHeight w:val="270"/>
        </w:trPr>
        <w:tc>
          <w:tcPr>
            <w:tcW w:w="2620" w:type="dxa"/>
            <w:vAlign w:val="bottom"/>
          </w:tcPr>
          <w:p>
            <w:pPr>
              <w:jc w:val="right"/>
              <w:ind w:right="610"/>
              <w:spacing w:after="0"/>
              <w:rPr>
                <w:sz w:val="20"/>
                <w:szCs w:val="20"/>
                <w:color w:val="auto"/>
              </w:rPr>
            </w:pPr>
            <w:r>
              <w:rPr>
                <w:rFonts w:ascii="Arial" w:cs="Arial" w:eastAsia="Arial" w:hAnsi="Arial"/>
                <w:sz w:val="18"/>
                <w:szCs w:val="18"/>
                <w:color w:val="auto"/>
              </w:rPr>
              <w:t>152,693</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154,472</w:t>
            </w:r>
          </w:p>
        </w:tc>
      </w:tr>
      <w:tr>
        <w:trPr>
          <w:trHeight w:val="270"/>
        </w:trPr>
        <w:tc>
          <w:tcPr>
            <w:tcW w:w="2620" w:type="dxa"/>
            <w:vAlign w:val="bottom"/>
          </w:tcPr>
          <w:p>
            <w:pPr>
              <w:jc w:val="right"/>
              <w:ind w:right="610"/>
              <w:spacing w:after="0"/>
              <w:rPr>
                <w:sz w:val="20"/>
                <w:szCs w:val="20"/>
                <w:color w:val="auto"/>
              </w:rPr>
            </w:pPr>
            <w:r>
              <w:rPr>
                <w:rFonts w:ascii="Arial" w:cs="Arial" w:eastAsia="Arial" w:hAnsi="Arial"/>
                <w:sz w:val="18"/>
                <w:szCs w:val="18"/>
                <w:color w:val="auto"/>
              </w:rPr>
              <w:t>122,869</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124,662</w:t>
            </w:r>
          </w:p>
        </w:tc>
      </w:tr>
      <w:tr>
        <w:trPr>
          <w:trHeight w:val="27"/>
        </w:trPr>
        <w:tc>
          <w:tcPr>
            <w:tcW w:w="26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jc w:val="right"/>
              <w:ind w:right="610"/>
              <w:spacing w:after="0"/>
              <w:rPr>
                <w:sz w:val="20"/>
                <w:szCs w:val="20"/>
                <w:color w:val="auto"/>
              </w:rPr>
            </w:pPr>
            <w:r>
              <w:rPr>
                <w:rFonts w:ascii="Arial" w:cs="Arial" w:eastAsia="Arial" w:hAnsi="Arial"/>
                <w:sz w:val="18"/>
                <w:szCs w:val="18"/>
                <w:color w:val="auto"/>
              </w:rPr>
              <w:t>1,167,650</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1,142,998</w:t>
            </w:r>
          </w:p>
        </w:tc>
      </w:tr>
      <w:tr>
        <w:trPr>
          <w:trHeight w:val="27"/>
        </w:trPr>
        <w:tc>
          <w:tcPr>
            <w:tcW w:w="26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-702310</wp:posOffset>
            </wp:positionV>
            <wp:extent cx="71323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-359410</wp:posOffset>
            </wp:positionV>
            <wp:extent cx="71323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-7620</wp:posOffset>
            </wp:positionV>
            <wp:extent cx="7132320" cy="196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60" w:space="720"/>
            <w:col w:w="4160"/>
          </w:cols>
          <w:pgMar w:left="320" w:top="126" w:right="339" w:bottom="1440" w:gutter="0" w:footer="0" w:header="0"/>
          <w:type w:val="continuous"/>
        </w:sectPr>
      </w:pP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Commitments and contingencies (See Notes 7, 9, 12,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885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3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Stockholders’ equity —</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80" w:type="dxa"/>
            <w:vAlign w:val="bottom"/>
          </w:tcPr>
          <w:p>
            <w:pPr>
              <w:ind w:left="280"/>
              <w:spacing w:after="0"/>
              <w:rPr>
                <w:sz w:val="20"/>
                <w:szCs w:val="20"/>
                <w:color w:val="auto"/>
              </w:rPr>
            </w:pPr>
            <w:r>
              <w:rPr>
                <w:rFonts w:ascii="Arial" w:cs="Arial" w:eastAsia="Arial" w:hAnsi="Arial"/>
                <w:sz w:val="18"/>
                <w:szCs w:val="18"/>
                <w:color w:val="auto"/>
              </w:rPr>
              <w:t>Common stock $1 par value; 100,000,000 shares authorized; issued 62,772,978 and</w:t>
            </w:r>
          </w:p>
        </w:tc>
        <w:tc>
          <w:tcPr>
            <w:tcW w:w="6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7080" w:type="dxa"/>
            <w:vAlign w:val="bottom"/>
          </w:tcPr>
          <w:p>
            <w:pPr>
              <w:ind w:left="280"/>
              <w:spacing w:after="0"/>
              <w:rPr>
                <w:sz w:val="20"/>
                <w:szCs w:val="20"/>
                <w:color w:val="auto"/>
              </w:rPr>
            </w:pPr>
            <w:r>
              <w:rPr>
                <w:rFonts w:ascii="Arial" w:cs="Arial" w:eastAsia="Arial" w:hAnsi="Arial"/>
                <w:sz w:val="18"/>
                <w:szCs w:val="18"/>
                <w:color w:val="auto"/>
              </w:rPr>
              <w:t>61,480,658 shares, respectively</w:t>
            </w:r>
          </w:p>
        </w:tc>
        <w:tc>
          <w:tcPr>
            <w:tcW w:w="660" w:type="dxa"/>
            <w:vAlign w:val="bottom"/>
          </w:tcPr>
          <w:p>
            <w:pPr>
              <w:spacing w:after="0"/>
              <w:rPr>
                <w:sz w:val="20"/>
                <w:szCs w:val="20"/>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62,773</w:t>
            </w:r>
          </w:p>
        </w:tc>
        <w:tc>
          <w:tcPr>
            <w:tcW w:w="10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61,481</w:t>
            </w:r>
          </w:p>
        </w:tc>
      </w:tr>
      <w:tr>
        <w:trPr>
          <w:trHeight w:val="27"/>
        </w:trPr>
        <w:tc>
          <w:tcPr>
            <w:tcW w:w="7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Additional paid-in capital</w:t>
            </w:r>
          </w:p>
        </w:tc>
        <w:tc>
          <w:tcPr>
            <w:tcW w:w="660" w:type="dxa"/>
            <w:vAlign w:val="bottom"/>
            <w:tcBorders>
              <w:bottom w:val="single" w:sz="8" w:color="CEFFE7"/>
            </w:tcBorders>
            <w:shd w:val="clear" w:color="auto" w:fill="CEFFE7"/>
          </w:tcPr>
          <w:p>
            <w:pPr>
              <w:spacing w:after="0"/>
              <w:rPr>
                <w:sz w:val="21"/>
                <w:szCs w:val="21"/>
                <w:color w:val="auto"/>
              </w:rPr>
            </w:pPr>
          </w:p>
        </w:tc>
        <w:tc>
          <w:tcPr>
            <w:tcW w:w="142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1,652,861</w:t>
            </w:r>
          </w:p>
        </w:tc>
        <w:tc>
          <w:tcPr>
            <w:tcW w:w="102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1,552,788</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660" w:type="dxa"/>
            <w:vAlign w:val="bottom"/>
          </w:tcPr>
          <w:p>
            <w:pPr>
              <w:spacing w:after="0"/>
              <w:rPr>
                <w:sz w:val="21"/>
                <w:szCs w:val="21"/>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838,841</w:t>
            </w:r>
          </w:p>
        </w:tc>
        <w:tc>
          <w:tcPr>
            <w:tcW w:w="10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778,776</w:t>
            </w:r>
          </w:p>
        </w:tc>
      </w:tr>
      <w:tr>
        <w:trPr>
          <w:trHeight w:val="27"/>
        </w:trPr>
        <w:tc>
          <w:tcPr>
            <w:tcW w:w="7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Treasury stock, at cost – 24,656 and 3,956 shares, respectively</w:t>
            </w:r>
          </w:p>
        </w:tc>
        <w:tc>
          <w:tcPr>
            <w:tcW w:w="660" w:type="dxa"/>
            <w:vAlign w:val="bottom"/>
            <w:tcBorders>
              <w:bottom w:val="single" w:sz="8" w:color="CEFFE7"/>
            </w:tcBorders>
            <w:shd w:val="clear" w:color="auto" w:fill="CEFFE7"/>
          </w:tcPr>
          <w:p>
            <w:pPr>
              <w:spacing w:after="0"/>
              <w:rPr>
                <w:sz w:val="21"/>
                <w:szCs w:val="21"/>
                <w:color w:val="auto"/>
              </w:rPr>
            </w:pPr>
          </w:p>
        </w:tc>
        <w:tc>
          <w:tcPr>
            <w:tcW w:w="14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(1,925)</w:t>
            </w:r>
          </w:p>
        </w:tc>
        <w:tc>
          <w:tcPr>
            <w:tcW w:w="102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(267)</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Accumulated other comprehensive income (loss)</w:t>
            </w:r>
          </w:p>
        </w:tc>
        <w:tc>
          <w:tcPr>
            <w:tcW w:w="6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(29,382)</w:t>
            </w:r>
          </w:p>
        </w:tc>
        <w:tc>
          <w:tcPr>
            <w:tcW w:w="10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(30,655)</w:t>
            </w:r>
          </w:p>
        </w:tc>
      </w:tr>
      <w:tr>
        <w:trPr>
          <w:trHeight w:val="27"/>
        </w:trPr>
        <w:tc>
          <w:tcPr>
            <w:tcW w:w="7080" w:type="dxa"/>
            <w:vAlign w:val="bottom"/>
            <w:tcBorders>
              <w:bottom w:val="single" w:sz="8" w:color="CEFFE7"/>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7080" w:type="dxa"/>
            <w:vAlign w:val="bottom"/>
            <w:tcBorders>
              <w:bottom w:val="single" w:sz="8" w:color="CEFFE7"/>
            </w:tcBorders>
            <w:shd w:val="clear" w:color="auto" w:fill="CEFFE7"/>
          </w:tcPr>
          <w:p>
            <w:pPr>
              <w:ind w:left="620"/>
              <w:spacing w:after="0"/>
              <w:rPr>
                <w:sz w:val="20"/>
                <w:szCs w:val="20"/>
                <w:color w:val="auto"/>
              </w:rPr>
            </w:pPr>
            <w:r>
              <w:rPr>
                <w:rFonts w:ascii="Arial" w:cs="Arial" w:eastAsia="Arial" w:hAnsi="Arial"/>
                <w:sz w:val="18"/>
                <w:szCs w:val="18"/>
                <w:color w:val="auto"/>
              </w:rPr>
              <w:t>Total stockholders’ equity</w:t>
            </w:r>
          </w:p>
        </w:tc>
        <w:tc>
          <w:tcPr>
            <w:tcW w:w="660" w:type="dxa"/>
            <w:vAlign w:val="bottom"/>
            <w:tcBorders>
              <w:bottom w:val="single" w:sz="8" w:color="CEFFE7"/>
            </w:tcBorders>
            <w:shd w:val="clear" w:color="auto" w:fill="CEFFE7"/>
          </w:tcPr>
          <w:p>
            <w:pPr>
              <w:spacing w:after="0"/>
              <w:rPr>
                <w:sz w:val="21"/>
                <w:szCs w:val="21"/>
                <w:color w:val="auto"/>
              </w:rPr>
            </w:pPr>
          </w:p>
        </w:tc>
        <w:tc>
          <w:tcPr>
            <w:tcW w:w="142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2,523,168</w:t>
            </w:r>
          </w:p>
        </w:tc>
        <w:tc>
          <w:tcPr>
            <w:tcW w:w="102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2,362,123</w:t>
            </w:r>
          </w:p>
        </w:tc>
      </w:tr>
      <w:tr>
        <w:trPr>
          <w:trHeight w:val="243"/>
        </w:trPr>
        <w:tc>
          <w:tcPr>
            <w:tcW w:w="7080" w:type="dxa"/>
            <w:vAlign w:val="bottom"/>
          </w:tcPr>
          <w:p>
            <w:pPr>
              <w:ind w:left="240"/>
              <w:spacing w:after="0"/>
              <w:rPr>
                <w:sz w:val="20"/>
                <w:szCs w:val="20"/>
                <w:color w:val="auto"/>
              </w:rPr>
            </w:pPr>
            <w:r>
              <w:rPr>
                <w:rFonts w:ascii="Arial" w:cs="Arial" w:eastAsia="Arial" w:hAnsi="Arial"/>
                <w:sz w:val="18"/>
                <w:szCs w:val="18"/>
                <w:color w:val="auto"/>
              </w:rPr>
              <w:t>Noncontrolling interest</w:t>
            </w:r>
          </w:p>
        </w:tc>
        <w:tc>
          <w:tcPr>
            <w:tcW w:w="660" w:type="dxa"/>
            <w:vAlign w:val="bottom"/>
          </w:tcPr>
          <w:p>
            <w:pPr>
              <w:spacing w:after="0"/>
              <w:rPr>
                <w:sz w:val="21"/>
                <w:szCs w:val="21"/>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101,255</w:t>
            </w:r>
          </w:p>
        </w:tc>
        <w:tc>
          <w:tcPr>
            <w:tcW w:w="10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101,946</w:t>
            </w:r>
          </w:p>
        </w:tc>
      </w:tr>
      <w:tr>
        <w:trPr>
          <w:trHeight w:val="27"/>
        </w:trPr>
        <w:tc>
          <w:tcPr>
            <w:tcW w:w="7080" w:type="dxa"/>
            <w:vAlign w:val="bottom"/>
            <w:tcBorders>
              <w:bottom w:val="single" w:sz="8" w:color="CEFFE7"/>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EFFE7"/>
            </w:tcBorders>
            <w:shd w:val="clear" w:color="auto" w:fill="CEFFE7"/>
          </w:tcPr>
          <w:p>
            <w:pPr>
              <w:ind w:left="620"/>
              <w:spacing w:after="0"/>
              <w:rPr>
                <w:sz w:val="20"/>
                <w:szCs w:val="20"/>
                <w:color w:val="auto"/>
              </w:rPr>
            </w:pPr>
            <w:r>
              <w:rPr>
                <w:rFonts w:ascii="Arial" w:cs="Arial" w:eastAsia="Arial" w:hAnsi="Arial"/>
                <w:sz w:val="18"/>
                <w:szCs w:val="18"/>
                <w:color w:val="auto"/>
              </w:rPr>
              <w:t>Total equity</w:t>
            </w:r>
          </w:p>
        </w:tc>
        <w:tc>
          <w:tcPr>
            <w:tcW w:w="660" w:type="dxa"/>
            <w:vAlign w:val="bottom"/>
            <w:tcBorders>
              <w:bottom w:val="single" w:sz="8" w:color="CEFFE7"/>
            </w:tcBorders>
            <w:shd w:val="clear" w:color="auto" w:fill="CEFFE7"/>
          </w:tcPr>
          <w:p>
            <w:pPr>
              <w:spacing w:after="0"/>
              <w:rPr>
                <w:sz w:val="22"/>
                <w:szCs w:val="22"/>
                <w:color w:val="auto"/>
              </w:rPr>
            </w:pPr>
          </w:p>
        </w:tc>
        <w:tc>
          <w:tcPr>
            <w:tcW w:w="142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2,624,423</w:t>
            </w:r>
          </w:p>
        </w:tc>
        <w:tc>
          <w:tcPr>
            <w:tcW w:w="1020" w:type="dxa"/>
            <w:vAlign w:val="bottom"/>
            <w:tcBorders>
              <w:bottom w:val="single" w:sz="8" w:color="CEFFE7"/>
            </w:tcBorders>
            <w:shd w:val="clear" w:color="auto" w:fill="CEFFE7"/>
          </w:tcPr>
          <w:p>
            <w:pPr>
              <w:spacing w:after="0"/>
              <w:rPr>
                <w:sz w:val="22"/>
                <w:szCs w:val="22"/>
                <w:color w:val="auto"/>
              </w:rPr>
            </w:pPr>
          </w:p>
        </w:tc>
        <w:tc>
          <w:tcPr>
            <w:tcW w:w="10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2,464,069</w:t>
            </w:r>
          </w:p>
        </w:tc>
      </w:tr>
      <w:tr>
        <w:trPr>
          <w:trHeight w:val="290"/>
        </w:trPr>
        <w:tc>
          <w:tcPr>
            <w:tcW w:w="708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263"/>
        </w:trPr>
        <w:tc>
          <w:tcPr>
            <w:tcW w:w="70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TOTAL LIABILITIES AND TOTAL EQUITY</w:t>
            </w:r>
          </w:p>
        </w:tc>
        <w:tc>
          <w:tcPr>
            <w:tcW w:w="660" w:type="dxa"/>
            <w:vAlign w:val="bottom"/>
            <w:tcBorders>
              <w:bottom w:val="single" w:sz="8" w:color="auto"/>
            </w:tcBorders>
            <w:shd w:val="clear" w:color="auto" w:fill="CEFFE7"/>
          </w:tcPr>
          <w:p>
            <w:pPr>
              <w:jc w:val="right"/>
              <w:ind w:right="4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rPr>
              <w:t>7,648,814</w:t>
            </w:r>
          </w:p>
        </w:tc>
        <w:tc>
          <w:tcPr>
            <w:tcW w:w="1020" w:type="dxa"/>
            <w:vAlign w:val="bottom"/>
            <w:tcBorders>
              <w:bottom w:val="single" w:sz="8" w:color="auto"/>
            </w:tcBorders>
            <w:shd w:val="clear" w:color="auto" w:fill="CEFFE7"/>
          </w:tcPr>
          <w:p>
            <w:pPr>
              <w:jc w:val="right"/>
              <w:ind w:right="7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7,558,457</w:t>
            </w:r>
          </w:p>
        </w:tc>
      </w:tr>
      <w:tr>
        <w:trPr>
          <w:trHeight w:val="20"/>
        </w:trPr>
        <w:tc>
          <w:tcPr>
            <w:tcW w:w="7080" w:type="dxa"/>
            <w:vAlign w:val="bottom"/>
          </w:tcPr>
          <w:p>
            <w:pPr>
              <w:spacing w:after="0" w:line="20" w:lineRule="exact"/>
              <w:rPr>
                <w:sz w:val="1"/>
                <w:szCs w:val="1"/>
                <w:color w:val="auto"/>
              </w:rPr>
            </w:pPr>
          </w:p>
        </w:tc>
        <w:tc>
          <w:tcPr>
            <w:tcW w:w="3100" w:type="dxa"/>
            <w:vAlign w:val="bottom"/>
            <w:tcBorders>
              <w:bottom w:val="single" w:sz="8" w:color="auto"/>
            </w:tcBorders>
            <w:gridSpan w:val="3"/>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367"/>
        </w:trPr>
        <w:tc>
          <w:tcPr>
            <w:tcW w:w="10180" w:type="dxa"/>
            <w:vAlign w:val="bottom"/>
            <w:gridSpan w:val="4"/>
          </w:tcPr>
          <w:p>
            <w:pPr>
              <w:ind w:left="1280"/>
              <w:spacing w:after="0"/>
              <w:rPr>
                <w:rFonts w:ascii="Arial" w:cs="Arial" w:eastAsia="Arial" w:hAnsi="Arial"/>
                <w:sz w:val="14"/>
                <w:szCs w:val="14"/>
                <w:color w:val="auto"/>
                <w:w w:val="93"/>
              </w:rPr>
            </w:pPr>
            <w:r>
              <w:rPr>
                <w:rFonts w:ascii="Arial" w:cs="Arial" w:eastAsia="Arial" w:hAnsi="Arial"/>
                <w:sz w:val="14"/>
                <w:szCs w:val="14"/>
                <w:color w:val="auto"/>
                <w:w w:val="93"/>
              </w:rPr>
              <w:t xml:space="preserve">The accompanying </w:t>
            </w:r>
            <w:hyperlink w:anchor="page13">
              <w:r>
                <w:rPr>
                  <w:rFonts w:ascii="Arial" w:cs="Arial" w:eastAsia="Arial" w:hAnsi="Arial"/>
                  <w:sz w:val="14"/>
                  <w:szCs w:val="14"/>
                  <w:u w:val="single" w:color="auto"/>
                  <w:color w:val="0000EE"/>
                  <w:w w:val="93"/>
                </w:rPr>
                <w:t>Notes to Condensed Consolidated Financial Statements</w:t>
              </w:r>
              <w:r>
                <w:rPr>
                  <w:rFonts w:ascii="Arial" w:cs="Arial" w:eastAsia="Arial" w:hAnsi="Arial"/>
                  <w:sz w:val="14"/>
                  <w:szCs w:val="14"/>
                  <w:u w:val="single" w:color="auto"/>
                  <w:color w:val="auto"/>
                  <w:w w:val="93"/>
                </w:rPr>
                <w:t xml:space="preserve"> </w:t>
              </w:r>
            </w:hyperlink>
            <w:r>
              <w:rPr>
                <w:rFonts w:ascii="Arial" w:cs="Arial" w:eastAsia="Arial" w:hAnsi="Arial"/>
                <w:sz w:val="14"/>
                <w:szCs w:val="14"/>
                <w:color w:val="auto"/>
                <w:w w:val="93"/>
              </w:rPr>
              <w:t>are an integral part of these Condensed Consolidated Financial Statements.</w:t>
            </w:r>
          </w:p>
        </w:tc>
        <w:tc>
          <w:tcPr>
            <w:tcW w:w="1060" w:type="dxa"/>
            <w:vAlign w:val="bottom"/>
          </w:tcPr>
          <w:p>
            <w:pPr>
              <w:spacing w:after="0"/>
              <w:rPr>
                <w:sz w:val="24"/>
                <w:szCs w:val="24"/>
                <w:color w:val="auto"/>
              </w:rPr>
            </w:pPr>
          </w:p>
        </w:tc>
      </w:tr>
      <w:tr>
        <w:trPr>
          <w:trHeight w:val="430"/>
        </w:trPr>
        <w:tc>
          <w:tcPr>
            <w:tcW w:w="7080" w:type="dxa"/>
            <w:vAlign w:val="bottom"/>
          </w:tcPr>
          <w:p>
            <w:pPr>
              <w:ind w:left="5540"/>
              <w:spacing w:after="0"/>
              <w:rPr>
                <w:sz w:val="20"/>
                <w:szCs w:val="20"/>
                <w:color w:val="auto"/>
              </w:rPr>
            </w:pPr>
            <w:r>
              <w:rPr>
                <w:rFonts w:ascii="Arial" w:cs="Arial" w:eastAsia="Arial" w:hAnsi="Arial"/>
                <w:sz w:val="18"/>
                <w:szCs w:val="18"/>
                <w:color w:val="auto"/>
              </w:rPr>
              <w:t>10</w:t>
            </w:r>
          </w:p>
        </w:tc>
        <w:tc>
          <w:tcPr>
            <w:tcW w:w="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240"/>
          </w:cols>
          <w:pgMar w:left="320" w:top="126" w:right="339" w:bottom="1440" w:gutter="0" w:footer="0" w:header="0"/>
          <w:type w:val="continuous"/>
        </w:sectPr>
      </w:pPr>
    </w:p>
    <w:bookmarkStart w:id="10" w:name="page11"/>
    <w:bookmarkEnd w:id="1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 HILLS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368" w:lineRule="exact"/>
        <w:rPr>
          <w:sz w:val="20"/>
          <w:szCs w:val="20"/>
          <w:color w:val="auto"/>
        </w:rPr>
      </w:pPr>
    </w:p>
    <w:p>
      <w:pPr>
        <w:ind w:left="40"/>
        <w:spacing w:after="0"/>
        <w:tabs>
          <w:tab w:leader="none" w:pos="8640" w:val="left"/>
        </w:tabs>
        <w:rPr>
          <w:sz w:val="20"/>
          <w:szCs w:val="20"/>
          <w:color w:val="auto"/>
        </w:rPr>
      </w:pPr>
      <w:r>
        <w:rPr>
          <w:rFonts w:ascii="Arial" w:cs="Arial" w:eastAsia="Arial" w:hAnsi="Arial"/>
          <w:sz w:val="13"/>
          <w:szCs w:val="13"/>
          <w:color w:val="auto"/>
        </w:rPr>
        <w:t>(unaudited)</w:t>
      </w:r>
      <w:r>
        <w:rPr>
          <w:sz w:val="20"/>
          <w:szCs w:val="20"/>
          <w:color w:val="auto"/>
        </w:rPr>
        <w:tab/>
      </w:r>
      <w:r>
        <w:rPr>
          <w:rFonts w:ascii="Arial" w:cs="Arial" w:eastAsia="Arial" w:hAnsi="Arial"/>
          <w:sz w:val="13"/>
          <w:szCs w:val="13"/>
          <w:color w:val="auto"/>
        </w:rPr>
        <w:t>Three Months Ended March 31,</w:t>
      </w:r>
    </w:p>
    <w:p>
      <w:pPr>
        <w:spacing w:after="0" w:line="121" w:lineRule="exact"/>
        <w:rPr>
          <w:sz w:val="20"/>
          <w:szCs w:val="20"/>
          <w:color w:val="auto"/>
        </w:rPr>
      </w:pPr>
    </w:p>
    <w:p>
      <w:pPr>
        <w:jc w:val="both"/>
        <w:ind w:left="8580"/>
        <w:spacing w:after="0"/>
        <w:tabs>
          <w:tab w:leader="none" w:pos="10240" w:val="left"/>
        </w:tabs>
        <w:rPr>
          <w:sz w:val="20"/>
          <w:szCs w:val="20"/>
          <w:color w:val="auto"/>
        </w:rPr>
      </w:pPr>
      <w:r>
        <w:rPr>
          <w:rFonts w:ascii="Arial" w:cs="Arial" w:eastAsia="Arial" w:hAnsi="Arial"/>
          <w:sz w:val="14"/>
          <w:szCs w:val="14"/>
          <w:color w:val="auto"/>
        </w:rPr>
        <w:t>2020</w:t>
      </w:r>
      <w:r>
        <w:rPr>
          <w:sz w:val="20"/>
          <w:szCs w:val="20"/>
          <w:color w:val="auto"/>
        </w:rPr>
        <w:tab/>
      </w:r>
      <w:r>
        <w:rPr>
          <w:rFonts w:ascii="Arial" w:cs="Arial" w:eastAsia="Arial" w:hAnsi="Arial"/>
          <w:sz w:val="14"/>
          <w:szCs w:val="14"/>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20955</wp:posOffset>
            </wp:positionV>
            <wp:extent cx="21342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p>
      <w:pPr>
        <w:spacing w:after="0" w:line="55" w:lineRule="exact"/>
        <w:rPr>
          <w:sz w:val="20"/>
          <w:szCs w:val="20"/>
          <w:color w:val="auto"/>
        </w:rPr>
      </w:pPr>
    </w:p>
    <w:p>
      <w:pPr>
        <w:ind w:left="40"/>
        <w:spacing w:after="0"/>
        <w:rPr>
          <w:sz w:val="20"/>
          <w:szCs w:val="20"/>
          <w:color w:val="auto"/>
        </w:rPr>
      </w:pPr>
      <w:r>
        <w:rPr>
          <w:rFonts w:ascii="Arial" w:cs="Arial" w:eastAsia="Arial" w:hAnsi="Arial"/>
          <w:sz w:val="14"/>
          <w:szCs w:val="14"/>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13"/>
          <w:szCs w:val="13"/>
          <w:color w:val="auto"/>
        </w:rPr>
        <w:t>Adjustments to reconcile net income to 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4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Depreciation, depletion and amortization</w:t>
      </w:r>
    </w:p>
    <w:p>
      <w:pPr>
        <w:spacing w:after="0" w:line="5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Deferred financing cost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Impairment of investment</w:t>
      </w:r>
    </w:p>
    <w:p>
      <w:pPr>
        <w:spacing w:after="0" w:line="5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Stock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Deferred income taxes</w:t>
      </w:r>
    </w:p>
    <w:p>
      <w:pPr>
        <w:spacing w:after="0" w:line="5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Employee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Other adjustments, net</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Changes in certain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Materials, supplies and fuel</w:t>
      </w:r>
    </w:p>
    <w:p>
      <w:pPr>
        <w:spacing w:after="0" w:line="5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Accounts receivable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Accounts payable and other current liabilities</w:t>
      </w:r>
    </w:p>
    <w:p>
      <w:pPr>
        <w:spacing w:after="0" w:line="5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Regulatory assets -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Regulatory liabilities - current</w:t>
      </w:r>
    </w:p>
    <w:p>
      <w:pPr>
        <w:spacing w:after="0" w:line="5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Other operating activities,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4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73"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Investing activities:</w:t>
      </w:r>
    </w:p>
    <w:p>
      <w:pPr>
        <w:spacing w:after="0" w:line="4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Property, plant and equipment 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Other investing activities</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373" w:lineRule="exact"/>
        <w:rPr>
          <w:sz w:val="20"/>
          <w:szCs w:val="20"/>
          <w:color w:val="auto"/>
        </w:rPr>
      </w:pPr>
    </w:p>
    <w:p>
      <w:pPr>
        <w:ind w:left="40"/>
        <w:spacing w:after="0"/>
        <w:rPr>
          <w:sz w:val="20"/>
          <w:szCs w:val="20"/>
          <w:color w:val="auto"/>
        </w:rPr>
      </w:pPr>
      <w:r>
        <w:rPr>
          <w:rFonts w:ascii="Arial" w:cs="Arial" w:eastAsia="Arial" w:hAnsi="Arial"/>
          <w:sz w:val="14"/>
          <w:szCs w:val="14"/>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28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spacing w:after="0" w:line="2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Dividends paid on common stock</w:t>
      </w:r>
    </w:p>
    <w:p>
      <w:pPr>
        <w:spacing w:after="0" w:line="5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Common stock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Net (payments) borrowings of short-term debt</w:t>
      </w:r>
    </w:p>
    <w:p>
      <w:pPr>
        <w:spacing w:after="0" w:line="4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Long-term debt - repayments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Distributions to noncontrolling interest</w:t>
      </w:r>
    </w:p>
    <w:p>
      <w:pPr>
        <w:spacing w:after="0" w:line="4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Other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4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cash provided by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1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Net change in cash, restricted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05"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restricted cash and cash equivalents at beginning of period</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restricted cash and cash equivalents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3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Supplemental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Cash (paid) refunded during the period:</w:t>
      </w:r>
    </w:p>
    <w:p>
      <w:pPr>
        <w:spacing w:after="0" w:line="4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Interest (net of amounts capitalized)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Income taxes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Non-cash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Accrued property, plant and equipment purchases at March 31</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580" w:type="dxa"/>
            <w:vAlign w:val="bottom"/>
          </w:tcPr>
          <w:p>
            <w:pPr>
              <w:spacing w:after="0"/>
              <w:rPr>
                <w:sz w:val="15"/>
                <w:szCs w:val="15"/>
                <w:color w:val="auto"/>
              </w:rPr>
            </w:pPr>
          </w:p>
        </w:tc>
        <w:tc>
          <w:tcPr>
            <w:tcW w:w="1840" w:type="dxa"/>
            <w:vAlign w:val="bottom"/>
            <w:gridSpan w:val="2"/>
          </w:tcPr>
          <w:p>
            <w:pPr>
              <w:jc w:val="right"/>
              <w:ind w:right="248"/>
              <w:spacing w:after="0"/>
              <w:rPr>
                <w:sz w:val="20"/>
                <w:szCs w:val="20"/>
                <w:color w:val="auto"/>
              </w:rPr>
            </w:pPr>
            <w:r>
              <w:rPr>
                <w:rFonts w:ascii="Arial" w:cs="Arial" w:eastAsia="Arial" w:hAnsi="Arial"/>
                <w:sz w:val="14"/>
                <w:szCs w:val="14"/>
                <w:color w:val="auto"/>
              </w:rPr>
              <w:t>(in thousands)</w:t>
            </w:r>
          </w:p>
        </w:tc>
        <w:tc>
          <w:tcPr>
            <w:tcW w:w="940" w:type="dxa"/>
            <w:vAlign w:val="bottom"/>
          </w:tcPr>
          <w:p>
            <w:pPr>
              <w:spacing w:after="0"/>
              <w:rPr>
                <w:sz w:val="15"/>
                <w:szCs w:val="15"/>
                <w:color w:val="auto"/>
              </w:rPr>
            </w:pPr>
          </w:p>
        </w:tc>
      </w:tr>
      <w:tr>
        <w:trPr>
          <w:trHeight w:val="216"/>
        </w:trPr>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97,224</w:t>
            </w:r>
          </w:p>
        </w:tc>
        <w:tc>
          <w:tcPr>
            <w:tcW w:w="76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107,362</w:t>
            </w:r>
          </w:p>
        </w:tc>
      </w:tr>
      <w:tr>
        <w:trPr>
          <w:trHeight w:val="486"/>
        </w:trPr>
        <w:tc>
          <w:tcPr>
            <w:tcW w:w="580" w:type="dxa"/>
            <w:vAlign w:val="bottom"/>
          </w:tcPr>
          <w:p>
            <w:pPr>
              <w:spacing w:after="0"/>
              <w:rPr>
                <w:sz w:val="24"/>
                <w:szCs w:val="24"/>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56,402</w:t>
            </w:r>
          </w:p>
        </w:tc>
        <w:tc>
          <w:tcPr>
            <w:tcW w:w="760" w:type="dxa"/>
            <w:vAlign w:val="bottom"/>
          </w:tcPr>
          <w:p>
            <w:pPr>
              <w:spacing w:after="0"/>
              <w:rPr>
                <w:sz w:val="24"/>
                <w:szCs w:val="24"/>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51,028</w:t>
            </w:r>
          </w:p>
        </w:tc>
      </w:tr>
      <w:tr>
        <w:trPr>
          <w:trHeight w:val="216"/>
        </w:trPr>
        <w:tc>
          <w:tcPr>
            <w:tcW w:w="580" w:type="dxa"/>
            <w:vAlign w:val="bottom"/>
          </w:tcPr>
          <w:p>
            <w:pPr>
              <w:spacing w:after="0"/>
              <w:rPr>
                <w:sz w:val="18"/>
                <w:szCs w:val="18"/>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2,237</w:t>
            </w:r>
          </w:p>
        </w:tc>
        <w:tc>
          <w:tcPr>
            <w:tcW w:w="76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2,007</w:t>
            </w:r>
          </w:p>
        </w:tc>
      </w:tr>
      <w:tr>
        <w:trPr>
          <w:trHeight w:val="216"/>
        </w:trPr>
        <w:tc>
          <w:tcPr>
            <w:tcW w:w="580" w:type="dxa"/>
            <w:vAlign w:val="bottom"/>
          </w:tcPr>
          <w:p>
            <w:pPr>
              <w:spacing w:after="0"/>
              <w:rPr>
                <w:sz w:val="18"/>
                <w:szCs w:val="18"/>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6,859</w:t>
            </w:r>
          </w:p>
        </w:tc>
        <w:tc>
          <w:tcPr>
            <w:tcW w:w="76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16"/>
        </w:trPr>
        <w:tc>
          <w:tcPr>
            <w:tcW w:w="580" w:type="dxa"/>
            <w:vAlign w:val="bottom"/>
          </w:tcPr>
          <w:p>
            <w:pPr>
              <w:spacing w:after="0"/>
              <w:rPr>
                <w:sz w:val="18"/>
                <w:szCs w:val="18"/>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291</w:t>
            </w:r>
          </w:p>
        </w:tc>
        <w:tc>
          <w:tcPr>
            <w:tcW w:w="76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3,296</w:t>
            </w:r>
          </w:p>
        </w:tc>
      </w:tr>
      <w:tr>
        <w:trPr>
          <w:trHeight w:val="216"/>
        </w:trPr>
        <w:tc>
          <w:tcPr>
            <w:tcW w:w="580" w:type="dxa"/>
            <w:vAlign w:val="bottom"/>
          </w:tcPr>
          <w:p>
            <w:pPr>
              <w:spacing w:after="0"/>
              <w:rPr>
                <w:sz w:val="18"/>
                <w:szCs w:val="18"/>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21,876</w:t>
            </w:r>
          </w:p>
        </w:tc>
        <w:tc>
          <w:tcPr>
            <w:tcW w:w="76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19,602</w:t>
            </w:r>
          </w:p>
        </w:tc>
      </w:tr>
      <w:tr>
        <w:trPr>
          <w:trHeight w:val="216"/>
        </w:trPr>
        <w:tc>
          <w:tcPr>
            <w:tcW w:w="580" w:type="dxa"/>
            <w:vAlign w:val="bottom"/>
          </w:tcPr>
          <w:p>
            <w:pPr>
              <w:spacing w:after="0"/>
              <w:rPr>
                <w:sz w:val="18"/>
                <w:szCs w:val="18"/>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1,235</w:t>
            </w:r>
          </w:p>
        </w:tc>
        <w:tc>
          <w:tcPr>
            <w:tcW w:w="76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3,137</w:t>
            </w:r>
          </w:p>
        </w:tc>
      </w:tr>
      <w:tr>
        <w:trPr>
          <w:trHeight w:val="216"/>
        </w:trPr>
        <w:tc>
          <w:tcPr>
            <w:tcW w:w="580" w:type="dxa"/>
            <w:vAlign w:val="bottom"/>
          </w:tcPr>
          <w:p>
            <w:pPr>
              <w:spacing w:after="0"/>
              <w:rPr>
                <w:sz w:val="18"/>
                <w:szCs w:val="18"/>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892</w:t>
            </w:r>
          </w:p>
        </w:tc>
        <w:tc>
          <w:tcPr>
            <w:tcW w:w="76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4,428</w:t>
            </w:r>
          </w:p>
        </w:tc>
      </w:tr>
      <w:tr>
        <w:trPr>
          <w:trHeight w:val="486"/>
        </w:trPr>
        <w:tc>
          <w:tcPr>
            <w:tcW w:w="580" w:type="dxa"/>
            <w:vAlign w:val="bottom"/>
          </w:tcPr>
          <w:p>
            <w:pPr>
              <w:spacing w:after="0"/>
              <w:rPr>
                <w:sz w:val="24"/>
                <w:szCs w:val="24"/>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19,222</w:t>
            </w:r>
          </w:p>
        </w:tc>
        <w:tc>
          <w:tcPr>
            <w:tcW w:w="760" w:type="dxa"/>
            <w:vAlign w:val="bottom"/>
          </w:tcPr>
          <w:p>
            <w:pPr>
              <w:spacing w:after="0"/>
              <w:rPr>
                <w:sz w:val="24"/>
                <w:szCs w:val="24"/>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29,387</w:t>
            </w:r>
          </w:p>
        </w:tc>
      </w:tr>
      <w:tr>
        <w:trPr>
          <w:trHeight w:val="216"/>
        </w:trPr>
        <w:tc>
          <w:tcPr>
            <w:tcW w:w="580" w:type="dxa"/>
            <w:vAlign w:val="bottom"/>
          </w:tcPr>
          <w:p>
            <w:pPr>
              <w:spacing w:after="0"/>
              <w:rPr>
                <w:sz w:val="18"/>
                <w:szCs w:val="18"/>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8,171</w:t>
            </w:r>
          </w:p>
        </w:tc>
        <w:tc>
          <w:tcPr>
            <w:tcW w:w="7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(15,857)</w:t>
            </w:r>
          </w:p>
        </w:tc>
      </w:tr>
      <w:tr>
        <w:trPr>
          <w:trHeight w:val="203"/>
        </w:trPr>
        <w:tc>
          <w:tcPr>
            <w:tcW w:w="5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(43,297)</w:t>
            </w:r>
          </w:p>
        </w:tc>
        <w:tc>
          <w:tcPr>
            <w:tcW w:w="7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(41,689)</w:t>
            </w:r>
          </w:p>
        </w:tc>
      </w:tr>
      <w:tr>
        <w:trPr>
          <w:trHeight w:val="216"/>
        </w:trPr>
        <w:tc>
          <w:tcPr>
            <w:tcW w:w="580" w:type="dxa"/>
            <w:vAlign w:val="bottom"/>
          </w:tcPr>
          <w:p>
            <w:pPr>
              <w:spacing w:after="0"/>
              <w:rPr>
                <w:sz w:val="18"/>
                <w:szCs w:val="18"/>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20,679</w:t>
            </w:r>
          </w:p>
        </w:tc>
        <w:tc>
          <w:tcPr>
            <w:tcW w:w="76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13,031</w:t>
            </w:r>
          </w:p>
        </w:tc>
      </w:tr>
      <w:tr>
        <w:trPr>
          <w:trHeight w:val="216"/>
        </w:trPr>
        <w:tc>
          <w:tcPr>
            <w:tcW w:w="580" w:type="dxa"/>
            <w:vAlign w:val="bottom"/>
          </w:tcPr>
          <w:p>
            <w:pPr>
              <w:spacing w:after="0"/>
              <w:rPr>
                <w:sz w:val="18"/>
                <w:szCs w:val="18"/>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1,316</w:t>
            </w:r>
          </w:p>
        </w:tc>
        <w:tc>
          <w:tcPr>
            <w:tcW w:w="7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(1,635)</w:t>
            </w:r>
          </w:p>
        </w:tc>
      </w:tr>
      <w:tr>
        <w:trPr>
          <w:trHeight w:val="222"/>
        </w:trPr>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(1,138)</w:t>
            </w:r>
          </w:p>
        </w:tc>
        <w:tc>
          <w:tcPr>
            <w:tcW w:w="7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1,796</w:t>
            </w:r>
          </w:p>
        </w:tc>
      </w:tr>
      <w:tr>
        <w:trPr>
          <w:trHeight w:val="209"/>
        </w:trPr>
        <w:tc>
          <w:tcPr>
            <w:tcW w:w="5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191,969</w:t>
            </w:r>
          </w:p>
        </w:tc>
        <w:tc>
          <w:tcPr>
            <w:tcW w:w="7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175,893</w:t>
            </w:r>
          </w:p>
        </w:tc>
      </w:tr>
      <w:tr>
        <w:trPr>
          <w:trHeight w:val="730"/>
        </w:trPr>
        <w:tc>
          <w:tcPr>
            <w:tcW w:w="5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(171,882)</w:t>
            </w:r>
          </w:p>
        </w:tc>
        <w:tc>
          <w:tcPr>
            <w:tcW w:w="7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(144,126)</w:t>
            </w:r>
          </w:p>
        </w:tc>
      </w:tr>
      <w:tr>
        <w:trPr>
          <w:trHeight w:val="209"/>
        </w:trPr>
        <w:tc>
          <w:tcPr>
            <w:tcW w:w="5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(1,202)</w:t>
            </w:r>
          </w:p>
        </w:tc>
        <w:tc>
          <w:tcPr>
            <w:tcW w:w="7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(901)</w:t>
            </w:r>
          </w:p>
        </w:tc>
      </w:tr>
      <w:tr>
        <w:trPr>
          <w:trHeight w:val="196"/>
        </w:trPr>
        <w:tc>
          <w:tcPr>
            <w:tcW w:w="5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(173,084)</w:t>
            </w:r>
          </w:p>
        </w:tc>
        <w:tc>
          <w:tcPr>
            <w:tcW w:w="7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(145,027)</w:t>
            </w:r>
          </w:p>
        </w:tc>
      </w:tr>
      <w:tr>
        <w:trPr>
          <w:trHeight w:val="730"/>
        </w:trPr>
        <w:tc>
          <w:tcPr>
            <w:tcW w:w="5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(32,902)</w:t>
            </w:r>
          </w:p>
        </w:tc>
        <w:tc>
          <w:tcPr>
            <w:tcW w:w="7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(30,332)</w:t>
            </w:r>
          </w:p>
        </w:tc>
      </w:tr>
      <w:tr>
        <w:trPr>
          <w:trHeight w:val="216"/>
        </w:trPr>
        <w:tc>
          <w:tcPr>
            <w:tcW w:w="580" w:type="dxa"/>
            <w:vAlign w:val="bottom"/>
          </w:tcPr>
          <w:p>
            <w:pPr>
              <w:spacing w:after="0"/>
              <w:rPr>
                <w:sz w:val="18"/>
                <w:szCs w:val="18"/>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99,321</w:t>
            </w:r>
          </w:p>
        </w:tc>
        <w:tc>
          <w:tcPr>
            <w:tcW w:w="76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19,949</w:t>
            </w:r>
          </w:p>
        </w:tc>
      </w:tr>
      <w:tr>
        <w:trPr>
          <w:trHeight w:val="203"/>
        </w:trPr>
        <w:tc>
          <w:tcPr>
            <w:tcW w:w="5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(30,375)</w:t>
            </w:r>
          </w:p>
        </w:tc>
        <w:tc>
          <w:tcPr>
            <w:tcW w:w="7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(20,970)</w:t>
            </w:r>
          </w:p>
        </w:tc>
      </w:tr>
      <w:tr>
        <w:trPr>
          <w:trHeight w:val="203"/>
        </w:trPr>
        <w:tc>
          <w:tcPr>
            <w:tcW w:w="5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(4,291)</w:t>
            </w:r>
          </w:p>
        </w:tc>
        <w:tc>
          <w:tcPr>
            <w:tcW w:w="7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(1,436)</w:t>
            </w:r>
          </w:p>
        </w:tc>
      </w:tr>
      <w:tr>
        <w:trPr>
          <w:trHeight w:val="203"/>
        </w:trPr>
        <w:tc>
          <w:tcPr>
            <w:tcW w:w="5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(4,741)</w:t>
            </w:r>
          </w:p>
        </w:tc>
        <w:tc>
          <w:tcPr>
            <w:tcW w:w="7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(4,846)</w:t>
            </w:r>
          </w:p>
        </w:tc>
      </w:tr>
      <w:tr>
        <w:trPr>
          <w:trHeight w:val="208"/>
        </w:trPr>
        <w:tc>
          <w:tcPr>
            <w:tcW w:w="5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(1,391)</w:t>
            </w:r>
          </w:p>
        </w:tc>
        <w:tc>
          <w:tcPr>
            <w:tcW w:w="7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(1,657)</w:t>
            </w:r>
          </w:p>
        </w:tc>
      </w:tr>
      <w:tr>
        <w:trPr>
          <w:trHeight w:val="210"/>
        </w:trPr>
        <w:tc>
          <w:tcPr>
            <w:tcW w:w="5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25,621</w:t>
            </w:r>
          </w:p>
        </w:tc>
        <w:tc>
          <w:tcPr>
            <w:tcW w:w="7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(39,292)</w:t>
            </w:r>
          </w:p>
        </w:tc>
      </w:tr>
      <w:tr>
        <w:trPr>
          <w:trHeight w:val="474"/>
        </w:trPr>
        <w:tc>
          <w:tcPr>
            <w:tcW w:w="580" w:type="dxa"/>
            <w:vAlign w:val="bottom"/>
          </w:tcPr>
          <w:p>
            <w:pPr>
              <w:spacing w:after="0"/>
              <w:rPr>
                <w:sz w:val="24"/>
                <w:szCs w:val="24"/>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44,506</w:t>
            </w:r>
          </w:p>
        </w:tc>
        <w:tc>
          <w:tcPr>
            <w:tcW w:w="7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(8,426)</w:t>
            </w:r>
          </w:p>
        </w:tc>
      </w:tr>
      <w:tr>
        <w:trPr>
          <w:trHeight w:val="492"/>
        </w:trPr>
        <w:tc>
          <w:tcPr>
            <w:tcW w:w="5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13,658</w:t>
            </w:r>
          </w:p>
        </w:tc>
        <w:tc>
          <w:tcPr>
            <w:tcW w:w="7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24,145</w:t>
            </w:r>
          </w:p>
        </w:tc>
      </w:tr>
      <w:tr>
        <w:trPr>
          <w:trHeight w:val="210"/>
        </w:trPr>
        <w:tc>
          <w:tcPr>
            <w:tcW w:w="5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58,164</w:t>
            </w:r>
          </w:p>
        </w:tc>
        <w:tc>
          <w:tcPr>
            <w:tcW w:w="7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15,719</w:t>
            </w: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987"/>
        </w:trPr>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(21,776)</w:t>
            </w:r>
          </w:p>
        </w:tc>
        <w:tc>
          <w:tcPr>
            <w:tcW w:w="76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(30,672)</w:t>
            </w:r>
          </w:p>
        </w:tc>
      </w:tr>
      <w:tr>
        <w:trPr>
          <w:trHeight w:val="216"/>
        </w:trPr>
        <w:tc>
          <w:tcPr>
            <w:tcW w:w="580" w:type="dxa"/>
            <w:vAlign w:val="bottom"/>
          </w:tcPr>
          <w:p>
            <w:pPr>
              <w:spacing w:after="0"/>
              <w:rPr>
                <w:sz w:val="18"/>
                <w:szCs w:val="18"/>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w:t>
            </w:r>
          </w:p>
        </w:tc>
      </w:tr>
      <w:tr>
        <w:trPr>
          <w:trHeight w:val="486"/>
        </w:trPr>
        <w:tc>
          <w:tcPr>
            <w:tcW w:w="580" w:type="dxa"/>
            <w:vAlign w:val="bottom"/>
          </w:tcPr>
          <w:p>
            <w:pPr>
              <w:spacing w:after="0"/>
              <w:rPr>
                <w:sz w:val="24"/>
                <w:szCs w:val="24"/>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53,011</w:t>
            </w:r>
          </w:p>
        </w:tc>
        <w:tc>
          <w:tcPr>
            <w:tcW w:w="760" w:type="dxa"/>
            <w:vAlign w:val="bottom"/>
          </w:tcPr>
          <w:p>
            <w:pPr>
              <w:spacing w:after="0"/>
              <w:rPr>
                <w:sz w:val="24"/>
                <w:szCs w:val="24"/>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56,571</w:t>
            </w:r>
          </w:p>
        </w:tc>
      </w:tr>
    </w:tbl>
    <w:p>
      <w:pPr>
        <w:spacing w:after="0" w:line="200" w:lineRule="exact"/>
        <w:rPr>
          <w:sz w:val="20"/>
          <w:szCs w:val="20"/>
          <w:color w:val="auto"/>
        </w:rPr>
      </w:pPr>
    </w:p>
    <w:p>
      <w:pPr>
        <w:sectPr>
          <w:pgSz w:w="11900" w:h="16838" w:orient="portrait"/>
          <w:cols w:equalWidth="0" w:num="2">
            <w:col w:w="7160" w:space="720"/>
            <w:col w:w="3360"/>
          </w:cols>
          <w:pgMar w:left="320" w:top="126" w:right="339" w:bottom="1440"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jc w:val="center"/>
        <w:spacing w:after="0"/>
        <w:rPr>
          <w:rFonts w:ascii="Arial" w:cs="Arial" w:eastAsia="Arial" w:hAnsi="Arial"/>
          <w:sz w:val="12"/>
          <w:szCs w:val="12"/>
          <w:color w:val="auto"/>
        </w:rPr>
      </w:pPr>
      <w:r>
        <w:rPr>
          <w:rFonts w:ascii="Arial" w:cs="Arial" w:eastAsia="Arial" w:hAnsi="Arial"/>
          <w:sz w:val="12"/>
          <w:szCs w:val="12"/>
          <w:color w:val="auto"/>
        </w:rPr>
        <w:t xml:space="preserve">The accompanying </w:t>
      </w:r>
      <w:hyperlink w:anchor="page13">
        <w:r>
          <w:rPr>
            <w:rFonts w:ascii="Arial" w:cs="Arial" w:eastAsia="Arial" w:hAnsi="Arial"/>
            <w:sz w:val="12"/>
            <w:szCs w:val="12"/>
            <w:u w:val="single" w:color="auto"/>
            <w:color w:val="0000EE"/>
          </w:rPr>
          <w:t>Notes to Condensed Consolidated Financial Statements</w:t>
        </w:r>
        <w:r>
          <w:rPr>
            <w:rFonts w:ascii="Arial" w:cs="Arial" w:eastAsia="Arial" w:hAnsi="Arial"/>
            <w:sz w:val="12"/>
            <w:szCs w:val="12"/>
            <w:u w:val="single" w:color="auto"/>
            <w:color w:val="auto"/>
          </w:rPr>
          <w:t xml:space="preserve"> </w:t>
        </w:r>
      </w:hyperlink>
      <w:r>
        <w:rPr>
          <w:rFonts w:ascii="Arial" w:cs="Arial" w:eastAsia="Arial" w:hAnsi="Arial"/>
          <w:sz w:val="12"/>
          <w:szCs w:val="12"/>
          <w:color w:val="auto"/>
        </w:rPr>
        <w:t>are an integral part of these Condensed Consolidated Financial Statements.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26" w:right="339" w:bottom="1440" w:gutter="0" w:footer="0" w:header="0"/>
          <w:type w:val="continuous"/>
        </w:sectPr>
      </w:pPr>
    </w:p>
    <w:bookmarkStart w:id="11" w:name="page12"/>
    <w:bookmarkEnd w:id="1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 HILLS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380" w:type="dxa"/>
            <w:vAlign w:val="bottom"/>
          </w:tcPr>
          <w:p>
            <w:pPr>
              <w:ind w:left="40"/>
              <w:spacing w:after="0"/>
              <w:rPr>
                <w:sz w:val="20"/>
                <w:szCs w:val="20"/>
                <w:color w:val="auto"/>
              </w:rPr>
            </w:pPr>
            <w:r>
              <w:rPr>
                <w:rFonts w:ascii="Arial" w:cs="Arial" w:eastAsia="Arial" w:hAnsi="Arial"/>
                <w:sz w:val="14"/>
                <w:szCs w:val="14"/>
                <w:color w:val="auto"/>
              </w:rPr>
              <w:t>(unaudited)</w:t>
            </w:r>
          </w:p>
        </w:tc>
        <w:tc>
          <w:tcPr>
            <w:tcW w:w="1880" w:type="dxa"/>
            <w:vAlign w:val="bottom"/>
            <w:tcBorders>
              <w:bottom w:val="single" w:sz="8" w:color="auto"/>
            </w:tcBorders>
            <w:gridSpan w:val="3"/>
          </w:tcPr>
          <w:p>
            <w:pPr>
              <w:jc w:val="right"/>
              <w:ind w:right="428"/>
              <w:spacing w:after="0"/>
              <w:rPr>
                <w:sz w:val="20"/>
                <w:szCs w:val="20"/>
                <w:color w:val="auto"/>
              </w:rPr>
            </w:pPr>
            <w:r>
              <w:rPr>
                <w:rFonts w:ascii="Arial" w:cs="Arial" w:eastAsia="Arial" w:hAnsi="Arial"/>
                <w:sz w:val="14"/>
                <w:szCs w:val="14"/>
                <w:color w:val="auto"/>
              </w:rPr>
              <w:t>Common Stock</w:t>
            </w:r>
          </w:p>
        </w:tc>
        <w:tc>
          <w:tcPr>
            <w:tcW w:w="156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4"/>
                <w:szCs w:val="14"/>
                <w:color w:val="auto"/>
              </w:rPr>
              <w:t>Treasury Stock</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43"/>
        </w:trPr>
        <w:tc>
          <w:tcPr>
            <w:tcW w:w="3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28"/>
              <w:spacing w:after="0" w:line="143" w:lineRule="exact"/>
              <w:rPr>
                <w:sz w:val="20"/>
                <w:szCs w:val="20"/>
                <w:color w:val="auto"/>
              </w:rPr>
            </w:pPr>
            <w:r>
              <w:rPr>
                <w:rFonts w:ascii="Arial" w:cs="Arial" w:eastAsia="Arial" w:hAnsi="Arial"/>
                <w:sz w:val="14"/>
                <w:szCs w:val="14"/>
                <w:color w:val="auto"/>
              </w:rPr>
              <w:t>Additional</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28"/>
              <w:spacing w:after="0" w:line="143" w:lineRule="exact"/>
              <w:rPr>
                <w:sz w:val="20"/>
                <w:szCs w:val="20"/>
                <w:color w:val="auto"/>
              </w:rPr>
            </w:pPr>
            <w:r>
              <w:rPr>
                <w:rFonts w:ascii="Arial" w:cs="Arial" w:eastAsia="Arial" w:hAnsi="Arial"/>
                <w:sz w:val="14"/>
                <w:szCs w:val="14"/>
                <w:color w:val="auto"/>
                <w:w w:val="93"/>
              </w:rPr>
              <w:t>Non</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8"/>
        </w:trPr>
        <w:tc>
          <w:tcPr>
            <w:tcW w:w="3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8"/>
              </w:rPr>
              <w:t>Paid in</w:t>
            </w:r>
          </w:p>
        </w:tc>
        <w:tc>
          <w:tcPr>
            <w:tcW w:w="160" w:type="dxa"/>
            <w:vAlign w:val="bottom"/>
          </w:tcPr>
          <w:p>
            <w:pPr>
              <w:spacing w:after="0"/>
              <w:rPr>
                <w:sz w:val="12"/>
                <w:szCs w:val="12"/>
                <w:color w:val="auto"/>
              </w:rPr>
            </w:pPr>
          </w:p>
        </w:tc>
        <w:tc>
          <w:tcPr>
            <w:tcW w:w="720" w:type="dxa"/>
            <w:vAlign w:val="bottom"/>
          </w:tcPr>
          <w:p>
            <w:pPr>
              <w:jc w:val="right"/>
              <w:ind w:right="88"/>
              <w:spacing w:after="0" w:line="149" w:lineRule="exact"/>
              <w:rPr>
                <w:sz w:val="20"/>
                <w:szCs w:val="20"/>
                <w:color w:val="auto"/>
              </w:rPr>
            </w:pPr>
            <w:r>
              <w:rPr>
                <w:rFonts w:ascii="Arial" w:cs="Arial" w:eastAsia="Arial" w:hAnsi="Arial"/>
                <w:sz w:val="14"/>
                <w:szCs w:val="14"/>
                <w:color w:val="auto"/>
                <w:w w:val="96"/>
              </w:rPr>
              <w:t>Retained</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28"/>
              <w:spacing w:after="0" w:line="149" w:lineRule="exact"/>
              <w:rPr>
                <w:sz w:val="20"/>
                <w:szCs w:val="20"/>
                <w:color w:val="auto"/>
              </w:rPr>
            </w:pPr>
            <w:r>
              <w:rPr>
                <w:rFonts w:ascii="Arial" w:cs="Arial" w:eastAsia="Arial" w:hAnsi="Arial"/>
                <w:sz w:val="14"/>
                <w:szCs w:val="14"/>
                <w:color w:val="auto"/>
              </w:rPr>
              <w:t>controlling</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88"/>
        </w:trPr>
        <w:tc>
          <w:tcPr>
            <w:tcW w:w="3380" w:type="dxa"/>
            <w:vAlign w:val="bottom"/>
            <w:tcBorders>
              <w:bottom w:val="single" w:sz="8" w:color="CEFFE7"/>
            </w:tcBorders>
          </w:tcPr>
          <w:p>
            <w:pPr>
              <w:ind w:left="40"/>
              <w:spacing w:after="0"/>
              <w:rPr>
                <w:sz w:val="20"/>
                <w:szCs w:val="20"/>
                <w:color w:val="auto"/>
              </w:rPr>
            </w:pPr>
            <w:r>
              <w:rPr>
                <w:rFonts w:ascii="Arial" w:cs="Arial" w:eastAsia="Arial" w:hAnsi="Arial"/>
                <w:sz w:val="14"/>
                <w:szCs w:val="14"/>
                <w:color w:val="auto"/>
              </w:rPr>
              <w:t>(in thousands except share amounts)</w:t>
            </w:r>
          </w:p>
        </w:tc>
        <w:tc>
          <w:tcPr>
            <w:tcW w:w="9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Shares</w:t>
            </w: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Value</w:t>
            </w: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Shares</w:t>
            </w: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Value</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w w:val="96"/>
              </w:rPr>
              <w:t>Capital</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97"/>
              </w:rPr>
              <w:t>Earnings</w:t>
            </w: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AOCI</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w w:val="94"/>
              </w:rPr>
              <w:t>Interest</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Total</w:t>
            </w:r>
          </w:p>
        </w:tc>
      </w:tr>
      <w:tr>
        <w:trPr>
          <w:trHeight w:val="216"/>
        </w:trPr>
        <w:tc>
          <w:tcPr>
            <w:tcW w:w="3380" w:type="dxa"/>
            <w:vAlign w:val="bottom"/>
            <w:shd w:val="clear" w:color="auto" w:fill="CEFFE7"/>
          </w:tcPr>
          <w:p>
            <w:pPr>
              <w:ind w:left="40"/>
              <w:spacing w:after="0"/>
              <w:rPr>
                <w:sz w:val="20"/>
                <w:szCs w:val="20"/>
                <w:color w:val="auto"/>
              </w:rPr>
            </w:pPr>
            <w:r>
              <w:rPr>
                <w:rFonts w:ascii="Arial" w:cs="Arial" w:eastAsia="Arial" w:hAnsi="Arial"/>
                <w:sz w:val="14"/>
                <w:szCs w:val="14"/>
                <w:b w:val="1"/>
                <w:bCs w:val="1"/>
                <w:color w:val="auto"/>
              </w:rPr>
              <w:t>December 31, 2019</w:t>
            </w:r>
          </w:p>
        </w:tc>
        <w:tc>
          <w:tcPr>
            <w:tcW w:w="98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61,480,658</w:t>
            </w:r>
          </w:p>
        </w:tc>
        <w:tc>
          <w:tcPr>
            <w:tcW w:w="22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61,481</w:t>
            </w:r>
          </w:p>
        </w:tc>
        <w:tc>
          <w:tcPr>
            <w:tcW w:w="74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3,956</w:t>
            </w:r>
          </w:p>
        </w:tc>
        <w:tc>
          <w:tcPr>
            <w:tcW w:w="1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(267)</w:t>
            </w:r>
          </w:p>
        </w:tc>
        <w:tc>
          <w:tcPr>
            <w:tcW w:w="1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1,552,788</w:t>
            </w:r>
          </w:p>
        </w:tc>
        <w:tc>
          <w:tcPr>
            <w:tcW w:w="1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778,776</w:t>
            </w:r>
          </w:p>
        </w:tc>
        <w:tc>
          <w:tcPr>
            <w:tcW w:w="1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(30,655)</w:t>
            </w:r>
          </w:p>
        </w:tc>
        <w:tc>
          <w:tcPr>
            <w:tcW w:w="1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101,946</w:t>
            </w:r>
          </w:p>
        </w:tc>
        <w:tc>
          <w:tcPr>
            <w:tcW w:w="2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2,464,069</w:t>
            </w:r>
          </w:p>
        </w:tc>
      </w:tr>
      <w:tr>
        <w:trPr>
          <w:trHeight w:val="210"/>
        </w:trPr>
        <w:tc>
          <w:tcPr>
            <w:tcW w:w="3380" w:type="dxa"/>
            <w:vAlign w:val="bottom"/>
          </w:tcPr>
          <w:p>
            <w:pPr>
              <w:ind w:left="40"/>
              <w:spacing w:after="0"/>
              <w:rPr>
                <w:sz w:val="20"/>
                <w:szCs w:val="20"/>
                <w:color w:val="auto"/>
              </w:rPr>
            </w:pPr>
            <w:r>
              <w:rPr>
                <w:rFonts w:ascii="Arial" w:cs="Arial" w:eastAsia="Arial" w:hAnsi="Arial"/>
                <w:sz w:val="14"/>
                <w:szCs w:val="14"/>
                <w:color w:val="auto"/>
              </w:rPr>
              <w:t>Net income available for common stock</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93,174</w:t>
            </w:r>
          </w:p>
        </w:tc>
        <w:tc>
          <w:tcPr>
            <w:tcW w:w="160" w:type="dxa"/>
            <w:vAlign w:val="bottom"/>
          </w:tcPr>
          <w:p>
            <w:pPr>
              <w:spacing w:after="0"/>
              <w:rPr>
                <w:sz w:val="18"/>
                <w:szCs w:val="18"/>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4,050</w:t>
            </w:r>
          </w:p>
        </w:tc>
        <w:tc>
          <w:tcPr>
            <w:tcW w:w="22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97,224</w:t>
            </w:r>
          </w:p>
        </w:tc>
      </w:tr>
      <w:tr>
        <w:trPr>
          <w:trHeight w:val="222"/>
        </w:trPr>
        <w:tc>
          <w:tcPr>
            <w:tcW w:w="3380" w:type="dxa"/>
            <w:vAlign w:val="bottom"/>
            <w:shd w:val="clear" w:color="auto" w:fill="CEFFE7"/>
          </w:tcPr>
          <w:p>
            <w:pPr>
              <w:ind w:left="40"/>
              <w:spacing w:after="0"/>
              <w:rPr>
                <w:sz w:val="20"/>
                <w:szCs w:val="20"/>
                <w:color w:val="auto"/>
              </w:rPr>
            </w:pPr>
            <w:r>
              <w:rPr>
                <w:rFonts w:ascii="Arial" w:cs="Arial" w:eastAsia="Arial" w:hAnsi="Arial"/>
                <w:sz w:val="14"/>
                <w:szCs w:val="14"/>
                <w:color w:val="auto"/>
              </w:rPr>
              <w:t>Other comprehensive income, net of tax</w:t>
            </w:r>
          </w:p>
        </w:tc>
        <w:tc>
          <w:tcPr>
            <w:tcW w:w="98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68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EFFE7"/>
          </w:tcPr>
          <w:p>
            <w:pPr>
              <w:spacing w:after="0"/>
              <w:rPr>
                <w:sz w:val="19"/>
                <w:szCs w:val="19"/>
                <w:color w:val="auto"/>
              </w:rPr>
            </w:pPr>
          </w:p>
        </w:tc>
        <w:tc>
          <w:tcPr>
            <w:tcW w:w="64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9"/>
                <w:szCs w:val="19"/>
                <w:color w:val="auto"/>
              </w:rPr>
            </w:pPr>
          </w:p>
        </w:tc>
        <w:tc>
          <w:tcPr>
            <w:tcW w:w="7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9"/>
                <w:szCs w:val="19"/>
                <w:color w:val="auto"/>
              </w:rPr>
            </w:pPr>
          </w:p>
        </w:tc>
        <w:tc>
          <w:tcPr>
            <w:tcW w:w="6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1,273</w:t>
            </w:r>
          </w:p>
        </w:tc>
        <w:tc>
          <w:tcPr>
            <w:tcW w:w="140" w:type="dxa"/>
            <w:vAlign w:val="bottom"/>
            <w:shd w:val="clear" w:color="auto" w:fill="CEFFE7"/>
          </w:tcPr>
          <w:p>
            <w:pPr>
              <w:spacing w:after="0"/>
              <w:rPr>
                <w:sz w:val="19"/>
                <w:szCs w:val="19"/>
                <w:color w:val="auto"/>
              </w:rPr>
            </w:pPr>
          </w:p>
        </w:tc>
        <w:tc>
          <w:tcPr>
            <w:tcW w:w="74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8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1,273</w:t>
            </w:r>
          </w:p>
        </w:tc>
      </w:tr>
      <w:tr>
        <w:trPr>
          <w:trHeight w:val="210"/>
        </w:trPr>
        <w:tc>
          <w:tcPr>
            <w:tcW w:w="3380" w:type="dxa"/>
            <w:vAlign w:val="bottom"/>
          </w:tcPr>
          <w:p>
            <w:pPr>
              <w:ind w:left="40"/>
              <w:spacing w:after="0"/>
              <w:rPr>
                <w:sz w:val="20"/>
                <w:szCs w:val="20"/>
                <w:color w:val="auto"/>
              </w:rPr>
            </w:pPr>
            <w:r>
              <w:rPr>
                <w:rFonts w:ascii="Arial" w:cs="Arial" w:eastAsia="Arial" w:hAnsi="Arial"/>
                <w:sz w:val="14"/>
                <w:szCs w:val="14"/>
                <w:color w:val="auto"/>
              </w:rPr>
              <w:t>Dividends on common stock ($0.535 per share)</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(32,902)</w:t>
            </w:r>
          </w:p>
        </w:tc>
        <w:tc>
          <w:tcPr>
            <w:tcW w:w="160" w:type="dxa"/>
            <w:vAlign w:val="bottom"/>
          </w:tcPr>
          <w:p>
            <w:pPr>
              <w:spacing w:after="0"/>
              <w:rPr>
                <w:sz w:val="18"/>
                <w:szCs w:val="18"/>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(32,902)</w:t>
            </w:r>
          </w:p>
        </w:tc>
      </w:tr>
      <w:tr>
        <w:trPr>
          <w:trHeight w:val="222"/>
        </w:trPr>
        <w:tc>
          <w:tcPr>
            <w:tcW w:w="3380" w:type="dxa"/>
            <w:vAlign w:val="bottom"/>
            <w:shd w:val="clear" w:color="auto" w:fill="CEFFE7"/>
          </w:tcPr>
          <w:p>
            <w:pPr>
              <w:ind w:left="40"/>
              <w:spacing w:after="0"/>
              <w:rPr>
                <w:sz w:val="20"/>
                <w:szCs w:val="20"/>
                <w:color w:val="auto"/>
              </w:rPr>
            </w:pPr>
            <w:r>
              <w:rPr>
                <w:rFonts w:ascii="Arial" w:cs="Arial" w:eastAsia="Arial" w:hAnsi="Arial"/>
                <w:sz w:val="14"/>
                <w:szCs w:val="14"/>
                <w:color w:val="auto"/>
              </w:rPr>
              <w:t>Share-based compensation</w:t>
            </w:r>
          </w:p>
        </w:tc>
        <w:tc>
          <w:tcPr>
            <w:tcW w:w="98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69,378</w:t>
            </w:r>
          </w:p>
        </w:tc>
        <w:tc>
          <w:tcPr>
            <w:tcW w:w="220" w:type="dxa"/>
            <w:vAlign w:val="bottom"/>
            <w:shd w:val="clear" w:color="auto" w:fill="CEFFE7"/>
          </w:tcPr>
          <w:p>
            <w:pPr>
              <w:spacing w:after="0"/>
              <w:rPr>
                <w:sz w:val="19"/>
                <w:szCs w:val="19"/>
                <w:color w:val="auto"/>
              </w:rPr>
            </w:pPr>
          </w:p>
        </w:tc>
        <w:tc>
          <w:tcPr>
            <w:tcW w:w="68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69</w:t>
            </w:r>
          </w:p>
        </w:tc>
        <w:tc>
          <w:tcPr>
            <w:tcW w:w="74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20,700</w:t>
            </w:r>
          </w:p>
        </w:tc>
        <w:tc>
          <w:tcPr>
            <w:tcW w:w="180" w:type="dxa"/>
            <w:vAlign w:val="bottom"/>
            <w:shd w:val="clear" w:color="auto" w:fill="CEFFE7"/>
          </w:tcPr>
          <w:p>
            <w:pPr>
              <w:spacing w:after="0"/>
              <w:rPr>
                <w:sz w:val="19"/>
                <w:szCs w:val="19"/>
                <w:color w:val="auto"/>
              </w:rPr>
            </w:pPr>
          </w:p>
        </w:tc>
        <w:tc>
          <w:tcPr>
            <w:tcW w:w="6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(1,658)</w:t>
            </w:r>
          </w:p>
        </w:tc>
        <w:tc>
          <w:tcPr>
            <w:tcW w:w="12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2,263</w:t>
            </w:r>
          </w:p>
        </w:tc>
        <w:tc>
          <w:tcPr>
            <w:tcW w:w="160" w:type="dxa"/>
            <w:vAlign w:val="bottom"/>
            <w:shd w:val="clear" w:color="auto" w:fill="CEFFE7"/>
          </w:tcPr>
          <w:p>
            <w:pPr>
              <w:spacing w:after="0"/>
              <w:rPr>
                <w:sz w:val="19"/>
                <w:szCs w:val="19"/>
                <w:color w:val="auto"/>
              </w:rPr>
            </w:pPr>
          </w:p>
        </w:tc>
        <w:tc>
          <w:tcPr>
            <w:tcW w:w="7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9"/>
                <w:szCs w:val="19"/>
                <w:color w:val="auto"/>
              </w:rPr>
            </w:pPr>
          </w:p>
        </w:tc>
        <w:tc>
          <w:tcPr>
            <w:tcW w:w="6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EFFE7"/>
          </w:tcPr>
          <w:p>
            <w:pPr>
              <w:spacing w:after="0"/>
              <w:rPr>
                <w:sz w:val="19"/>
                <w:szCs w:val="19"/>
                <w:color w:val="auto"/>
              </w:rPr>
            </w:pPr>
          </w:p>
        </w:tc>
        <w:tc>
          <w:tcPr>
            <w:tcW w:w="74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8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674</w:t>
            </w:r>
          </w:p>
        </w:tc>
      </w:tr>
      <w:tr>
        <w:trPr>
          <w:trHeight w:val="210"/>
        </w:trPr>
        <w:tc>
          <w:tcPr>
            <w:tcW w:w="3380" w:type="dxa"/>
            <w:vAlign w:val="bottom"/>
          </w:tcPr>
          <w:p>
            <w:pPr>
              <w:ind w:left="40"/>
              <w:spacing w:after="0"/>
              <w:rPr>
                <w:sz w:val="20"/>
                <w:szCs w:val="20"/>
                <w:color w:val="auto"/>
              </w:rPr>
            </w:pPr>
            <w:r>
              <w:rPr>
                <w:rFonts w:ascii="Arial" w:cs="Arial" w:eastAsia="Arial" w:hAnsi="Arial"/>
                <w:sz w:val="14"/>
                <w:szCs w:val="14"/>
                <w:color w:val="auto"/>
              </w:rPr>
              <w:t>Issuance of common stock</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1,222,942</w:t>
            </w:r>
          </w:p>
        </w:tc>
        <w:tc>
          <w:tcPr>
            <w:tcW w:w="22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1,223</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98,777</w:t>
            </w:r>
          </w:p>
        </w:tc>
        <w:tc>
          <w:tcPr>
            <w:tcW w:w="160" w:type="dxa"/>
            <w:vAlign w:val="bottom"/>
          </w:tcPr>
          <w:p>
            <w:pPr>
              <w:spacing w:after="0"/>
              <w:rPr>
                <w:sz w:val="18"/>
                <w:szCs w:val="18"/>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100,000</w:t>
            </w:r>
          </w:p>
        </w:tc>
      </w:tr>
      <w:tr>
        <w:trPr>
          <w:trHeight w:val="222"/>
        </w:trPr>
        <w:tc>
          <w:tcPr>
            <w:tcW w:w="3380" w:type="dxa"/>
            <w:vAlign w:val="bottom"/>
            <w:shd w:val="clear" w:color="auto" w:fill="CEFFE7"/>
          </w:tcPr>
          <w:p>
            <w:pPr>
              <w:ind w:left="40"/>
              <w:spacing w:after="0"/>
              <w:rPr>
                <w:sz w:val="20"/>
                <w:szCs w:val="20"/>
                <w:color w:val="auto"/>
              </w:rPr>
            </w:pPr>
            <w:r>
              <w:rPr>
                <w:rFonts w:ascii="Arial" w:cs="Arial" w:eastAsia="Arial" w:hAnsi="Arial"/>
                <w:sz w:val="14"/>
                <w:szCs w:val="14"/>
                <w:color w:val="auto"/>
              </w:rPr>
              <w:t>Issuance costs</w:t>
            </w:r>
          </w:p>
        </w:tc>
        <w:tc>
          <w:tcPr>
            <w:tcW w:w="98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68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EFFE7"/>
          </w:tcPr>
          <w:p>
            <w:pPr>
              <w:spacing w:after="0"/>
              <w:rPr>
                <w:sz w:val="19"/>
                <w:szCs w:val="19"/>
                <w:color w:val="auto"/>
              </w:rPr>
            </w:pPr>
          </w:p>
        </w:tc>
        <w:tc>
          <w:tcPr>
            <w:tcW w:w="64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EFFE7"/>
          </w:tcPr>
          <w:p>
            <w:pPr>
              <w:spacing w:after="0"/>
              <w:rPr>
                <w:sz w:val="19"/>
                <w:szCs w:val="19"/>
                <w:color w:val="auto"/>
              </w:rPr>
            </w:pPr>
          </w:p>
        </w:tc>
        <w:tc>
          <w:tcPr>
            <w:tcW w:w="7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(967)</w:t>
            </w:r>
          </w:p>
        </w:tc>
        <w:tc>
          <w:tcPr>
            <w:tcW w:w="160" w:type="dxa"/>
            <w:vAlign w:val="bottom"/>
            <w:shd w:val="clear" w:color="auto" w:fill="CEFFE7"/>
          </w:tcPr>
          <w:p>
            <w:pPr>
              <w:spacing w:after="0"/>
              <w:rPr>
                <w:sz w:val="19"/>
                <w:szCs w:val="19"/>
                <w:color w:val="auto"/>
              </w:rPr>
            </w:pPr>
          </w:p>
        </w:tc>
        <w:tc>
          <w:tcPr>
            <w:tcW w:w="7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9"/>
                <w:szCs w:val="19"/>
                <w:color w:val="auto"/>
              </w:rPr>
            </w:pPr>
          </w:p>
        </w:tc>
        <w:tc>
          <w:tcPr>
            <w:tcW w:w="6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EFFE7"/>
          </w:tcPr>
          <w:p>
            <w:pPr>
              <w:spacing w:after="0"/>
              <w:rPr>
                <w:sz w:val="19"/>
                <w:szCs w:val="19"/>
                <w:color w:val="auto"/>
              </w:rPr>
            </w:pPr>
          </w:p>
        </w:tc>
        <w:tc>
          <w:tcPr>
            <w:tcW w:w="74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8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(967)</w:t>
            </w:r>
          </w:p>
        </w:tc>
      </w:tr>
      <w:tr>
        <w:trPr>
          <w:trHeight w:val="157"/>
        </w:trPr>
        <w:tc>
          <w:tcPr>
            <w:tcW w:w="3380" w:type="dxa"/>
            <w:vAlign w:val="bottom"/>
          </w:tcPr>
          <w:p>
            <w:pPr>
              <w:ind w:left="40"/>
              <w:spacing w:after="0" w:line="157" w:lineRule="exact"/>
              <w:rPr>
                <w:sz w:val="20"/>
                <w:szCs w:val="20"/>
                <w:color w:val="auto"/>
              </w:rPr>
            </w:pPr>
            <w:r>
              <w:rPr>
                <w:rFonts w:ascii="Arial" w:cs="Arial" w:eastAsia="Arial" w:hAnsi="Arial"/>
                <w:sz w:val="14"/>
                <w:szCs w:val="14"/>
                <w:color w:val="auto"/>
                <w:w w:val="96"/>
              </w:rPr>
              <w:t>Implementation of ASU 2016-13 Financial Instruments -</w:t>
            </w: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88"/>
        </w:trPr>
        <w:tc>
          <w:tcPr>
            <w:tcW w:w="3380" w:type="dxa"/>
            <w:vAlign w:val="bottom"/>
          </w:tcPr>
          <w:p>
            <w:pPr>
              <w:ind w:left="40"/>
              <w:spacing w:after="0"/>
              <w:rPr>
                <w:sz w:val="20"/>
                <w:szCs w:val="20"/>
                <w:color w:val="auto"/>
              </w:rPr>
            </w:pPr>
            <w:r>
              <w:rPr>
                <w:rFonts w:ascii="Arial" w:cs="Arial" w:eastAsia="Arial" w:hAnsi="Arial"/>
                <w:sz w:val="14"/>
                <w:szCs w:val="14"/>
                <w:color w:val="auto"/>
              </w:rPr>
              <w:t>- Credit Losses</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(207)</w:t>
            </w:r>
          </w:p>
        </w:tc>
        <w:tc>
          <w:tcPr>
            <w:tcW w:w="16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(207)</w:t>
            </w:r>
          </w:p>
        </w:tc>
      </w:tr>
      <w:tr>
        <w:trPr>
          <w:trHeight w:val="216"/>
        </w:trPr>
        <w:tc>
          <w:tcPr>
            <w:tcW w:w="3380" w:type="dxa"/>
            <w:vAlign w:val="bottom"/>
            <w:shd w:val="clear" w:color="auto" w:fill="CEFFE7"/>
          </w:tcPr>
          <w:p>
            <w:pPr>
              <w:ind w:left="40"/>
              <w:spacing w:after="0"/>
              <w:rPr>
                <w:sz w:val="20"/>
                <w:szCs w:val="20"/>
                <w:color w:val="auto"/>
              </w:rPr>
            </w:pPr>
            <w:r>
              <w:rPr>
                <w:rFonts w:ascii="Arial" w:cs="Arial" w:eastAsia="Arial" w:hAnsi="Arial"/>
                <w:sz w:val="14"/>
                <w:szCs w:val="14"/>
                <w:color w:val="auto"/>
              </w:rPr>
              <w:t>Distributions to noncontrolling interest</w:t>
            </w:r>
          </w:p>
        </w:tc>
        <w:tc>
          <w:tcPr>
            <w:tcW w:w="980" w:type="dxa"/>
            <w:vAlign w:val="bottom"/>
            <w:tcBorders>
              <w:bottom w:val="single" w:sz="8" w:color="auto"/>
            </w:tcBorders>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EFFE7"/>
          </w:tcPr>
          <w:p>
            <w:pPr>
              <w:spacing w:after="0"/>
              <w:rPr>
                <w:sz w:val="18"/>
                <w:szCs w:val="18"/>
                <w:color w:val="auto"/>
              </w:rPr>
            </w:pPr>
          </w:p>
        </w:tc>
        <w:tc>
          <w:tcPr>
            <w:tcW w:w="680" w:type="dxa"/>
            <w:vAlign w:val="bottom"/>
            <w:tcBorders>
              <w:bottom w:val="single" w:sz="8" w:color="auto"/>
            </w:tcBorders>
            <w:shd w:val="clear" w:color="auto" w:fill="CEFFE7"/>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EFFE7"/>
          </w:tcPr>
          <w:p>
            <w:pPr>
              <w:spacing w:after="0"/>
              <w:rPr>
                <w:sz w:val="18"/>
                <w:szCs w:val="18"/>
                <w:color w:val="auto"/>
              </w:rPr>
            </w:pPr>
          </w:p>
        </w:tc>
        <w:tc>
          <w:tcPr>
            <w:tcW w:w="640" w:type="dxa"/>
            <w:vAlign w:val="bottom"/>
            <w:tcBorders>
              <w:bottom w:val="single" w:sz="8" w:color="auto"/>
            </w:tcBorders>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EFFE7"/>
          </w:tcPr>
          <w:p>
            <w:pPr>
              <w:spacing w:after="0"/>
              <w:rPr>
                <w:sz w:val="18"/>
                <w:szCs w:val="18"/>
                <w:color w:val="auto"/>
              </w:rPr>
            </w:pPr>
          </w:p>
        </w:tc>
        <w:tc>
          <w:tcPr>
            <w:tcW w:w="76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EFFE7"/>
          </w:tcPr>
          <w:p>
            <w:pPr>
              <w:spacing w:after="0"/>
              <w:rPr>
                <w:sz w:val="18"/>
                <w:szCs w:val="18"/>
                <w:color w:val="auto"/>
              </w:rPr>
            </w:pPr>
          </w:p>
        </w:tc>
        <w:tc>
          <w:tcPr>
            <w:tcW w:w="72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EFFE7"/>
          </w:tcPr>
          <w:p>
            <w:pPr>
              <w:spacing w:after="0"/>
              <w:rPr>
                <w:sz w:val="18"/>
                <w:szCs w:val="18"/>
                <w:color w:val="auto"/>
              </w:rPr>
            </w:pPr>
          </w:p>
        </w:tc>
        <w:tc>
          <w:tcPr>
            <w:tcW w:w="600" w:type="dxa"/>
            <w:vAlign w:val="bottom"/>
            <w:tcBorders>
              <w:bottom w:val="single" w:sz="8" w:color="auto"/>
            </w:tcBorders>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EFFE7"/>
          </w:tcPr>
          <w:p>
            <w:pPr>
              <w:spacing w:after="0"/>
              <w:rPr>
                <w:sz w:val="18"/>
                <w:szCs w:val="18"/>
                <w:color w:val="auto"/>
              </w:rPr>
            </w:pPr>
          </w:p>
        </w:tc>
        <w:tc>
          <w:tcPr>
            <w:tcW w:w="7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(4,741)</w:t>
            </w:r>
          </w:p>
        </w:tc>
        <w:tc>
          <w:tcPr>
            <w:tcW w:w="220" w:type="dxa"/>
            <w:vAlign w:val="bottom"/>
            <w:tcBorders>
              <w:bottom w:val="single" w:sz="8" w:color="auto"/>
            </w:tcBorders>
            <w:shd w:val="clear" w:color="auto" w:fill="CEFFE7"/>
          </w:tcPr>
          <w:p>
            <w:pPr>
              <w:spacing w:after="0"/>
              <w:rPr>
                <w:sz w:val="18"/>
                <w:szCs w:val="18"/>
                <w:color w:val="auto"/>
              </w:rPr>
            </w:pP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(4,741)</w:t>
            </w:r>
          </w:p>
        </w:tc>
      </w:tr>
      <w:tr>
        <w:trPr>
          <w:trHeight w:val="216"/>
        </w:trPr>
        <w:tc>
          <w:tcPr>
            <w:tcW w:w="3380" w:type="dxa"/>
            <w:vAlign w:val="bottom"/>
          </w:tcPr>
          <w:p>
            <w:pPr>
              <w:ind w:left="40"/>
              <w:spacing w:after="0"/>
              <w:rPr>
                <w:sz w:val="20"/>
                <w:szCs w:val="20"/>
                <w:color w:val="auto"/>
              </w:rPr>
            </w:pPr>
            <w:r>
              <w:rPr>
                <w:rFonts w:ascii="Arial" w:cs="Arial" w:eastAsia="Arial" w:hAnsi="Arial"/>
                <w:sz w:val="14"/>
                <w:szCs w:val="14"/>
                <w:b w:val="1"/>
                <w:bCs w:val="1"/>
                <w:color w:val="auto"/>
              </w:rPr>
              <w:t>March 31, 2020</w:t>
            </w: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62,772,978</w:t>
            </w:r>
          </w:p>
        </w:tc>
        <w:tc>
          <w:tcPr>
            <w:tcW w:w="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62,773</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24,656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1,652,861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838,841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(29,382)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101,255</w:t>
            </w: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2,624,423</w:t>
            </w:r>
          </w:p>
        </w:tc>
      </w:tr>
      <w:tr>
        <w:trPr>
          <w:trHeight w:val="20"/>
        </w:trPr>
        <w:tc>
          <w:tcPr>
            <w:tcW w:w="3380" w:type="dxa"/>
            <w:vAlign w:val="bottom"/>
          </w:tcPr>
          <w:p>
            <w:pPr>
              <w:spacing w:after="0" w:line="20" w:lineRule="exact"/>
              <w:rPr>
                <w:sz w:val="1"/>
                <w:szCs w:val="1"/>
                <w:color w:val="auto"/>
              </w:rPr>
            </w:pPr>
          </w:p>
        </w:tc>
        <w:tc>
          <w:tcPr>
            <w:tcW w:w="1880" w:type="dxa"/>
            <w:vAlign w:val="bottom"/>
            <w:tcBorders>
              <w:bottom w:val="single" w:sz="8" w:color="auto"/>
            </w:tcBorders>
            <w:gridSpan w:val="3"/>
          </w:tcPr>
          <w:p>
            <w:pPr>
              <w:spacing w:after="0" w:line="20" w:lineRule="exact"/>
              <w:rPr>
                <w:sz w:val="1"/>
                <w:szCs w:val="1"/>
                <w:color w:val="auto"/>
              </w:rPr>
            </w:pPr>
          </w:p>
        </w:tc>
        <w:tc>
          <w:tcPr>
            <w:tcW w:w="156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690"/>
        </w:trPr>
        <w:tc>
          <w:tcPr>
            <w:tcW w:w="3380" w:type="dxa"/>
            <w:vAlign w:val="bottom"/>
          </w:tcPr>
          <w:p>
            <w:pPr>
              <w:spacing w:after="0"/>
              <w:rPr>
                <w:sz w:val="24"/>
                <w:szCs w:val="24"/>
                <w:color w:val="auto"/>
              </w:rPr>
            </w:pPr>
          </w:p>
        </w:tc>
        <w:tc>
          <w:tcPr>
            <w:tcW w:w="1880" w:type="dxa"/>
            <w:vAlign w:val="bottom"/>
            <w:tcBorders>
              <w:bottom w:val="single" w:sz="8" w:color="auto"/>
            </w:tcBorders>
            <w:gridSpan w:val="3"/>
          </w:tcPr>
          <w:p>
            <w:pPr>
              <w:jc w:val="right"/>
              <w:ind w:right="428"/>
              <w:spacing w:after="0"/>
              <w:rPr>
                <w:sz w:val="20"/>
                <w:szCs w:val="20"/>
                <w:color w:val="auto"/>
              </w:rPr>
            </w:pPr>
            <w:r>
              <w:rPr>
                <w:rFonts w:ascii="Arial" w:cs="Arial" w:eastAsia="Arial" w:hAnsi="Arial"/>
                <w:sz w:val="14"/>
                <w:szCs w:val="14"/>
                <w:color w:val="auto"/>
              </w:rPr>
              <w:t>Common Stock</w:t>
            </w:r>
          </w:p>
        </w:tc>
        <w:tc>
          <w:tcPr>
            <w:tcW w:w="156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4"/>
                <w:szCs w:val="14"/>
                <w:color w:val="auto"/>
              </w:rPr>
              <w:t>Treasury Stock</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43"/>
        </w:trPr>
        <w:tc>
          <w:tcPr>
            <w:tcW w:w="3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28"/>
              <w:spacing w:after="0" w:line="143" w:lineRule="exact"/>
              <w:rPr>
                <w:sz w:val="20"/>
                <w:szCs w:val="20"/>
                <w:color w:val="auto"/>
              </w:rPr>
            </w:pPr>
            <w:r>
              <w:rPr>
                <w:rFonts w:ascii="Arial" w:cs="Arial" w:eastAsia="Arial" w:hAnsi="Arial"/>
                <w:sz w:val="14"/>
                <w:szCs w:val="14"/>
                <w:color w:val="auto"/>
              </w:rPr>
              <w:t>Additional</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28"/>
              <w:spacing w:after="0" w:line="143" w:lineRule="exact"/>
              <w:rPr>
                <w:sz w:val="20"/>
                <w:szCs w:val="20"/>
                <w:color w:val="auto"/>
              </w:rPr>
            </w:pPr>
            <w:r>
              <w:rPr>
                <w:rFonts w:ascii="Arial" w:cs="Arial" w:eastAsia="Arial" w:hAnsi="Arial"/>
                <w:sz w:val="14"/>
                <w:szCs w:val="14"/>
                <w:color w:val="auto"/>
                <w:w w:val="93"/>
              </w:rPr>
              <w:t>Non</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8"/>
        </w:trPr>
        <w:tc>
          <w:tcPr>
            <w:tcW w:w="3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8"/>
              </w:rPr>
              <w:t>Paid in</w:t>
            </w:r>
          </w:p>
        </w:tc>
        <w:tc>
          <w:tcPr>
            <w:tcW w:w="160" w:type="dxa"/>
            <w:vAlign w:val="bottom"/>
          </w:tcPr>
          <w:p>
            <w:pPr>
              <w:spacing w:after="0"/>
              <w:rPr>
                <w:sz w:val="12"/>
                <w:szCs w:val="12"/>
                <w:color w:val="auto"/>
              </w:rPr>
            </w:pPr>
          </w:p>
        </w:tc>
        <w:tc>
          <w:tcPr>
            <w:tcW w:w="720" w:type="dxa"/>
            <w:vAlign w:val="bottom"/>
          </w:tcPr>
          <w:p>
            <w:pPr>
              <w:jc w:val="right"/>
              <w:ind w:right="88"/>
              <w:spacing w:after="0" w:line="149" w:lineRule="exact"/>
              <w:rPr>
                <w:sz w:val="20"/>
                <w:szCs w:val="20"/>
                <w:color w:val="auto"/>
              </w:rPr>
            </w:pPr>
            <w:r>
              <w:rPr>
                <w:rFonts w:ascii="Arial" w:cs="Arial" w:eastAsia="Arial" w:hAnsi="Arial"/>
                <w:sz w:val="14"/>
                <w:szCs w:val="14"/>
                <w:color w:val="auto"/>
                <w:w w:val="96"/>
              </w:rPr>
              <w:t>Retained</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28"/>
              <w:spacing w:after="0" w:line="149" w:lineRule="exact"/>
              <w:rPr>
                <w:sz w:val="20"/>
                <w:szCs w:val="20"/>
                <w:color w:val="auto"/>
              </w:rPr>
            </w:pPr>
            <w:r>
              <w:rPr>
                <w:rFonts w:ascii="Arial" w:cs="Arial" w:eastAsia="Arial" w:hAnsi="Arial"/>
                <w:sz w:val="14"/>
                <w:szCs w:val="14"/>
                <w:color w:val="auto"/>
              </w:rPr>
              <w:t>controlling</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88"/>
        </w:trPr>
        <w:tc>
          <w:tcPr>
            <w:tcW w:w="3380" w:type="dxa"/>
            <w:vAlign w:val="bottom"/>
            <w:tcBorders>
              <w:bottom w:val="single" w:sz="8" w:color="CEFFE7"/>
            </w:tcBorders>
          </w:tcPr>
          <w:p>
            <w:pPr>
              <w:ind w:left="40"/>
              <w:spacing w:after="0"/>
              <w:rPr>
                <w:sz w:val="20"/>
                <w:szCs w:val="20"/>
                <w:color w:val="auto"/>
              </w:rPr>
            </w:pPr>
            <w:r>
              <w:rPr>
                <w:rFonts w:ascii="Arial" w:cs="Arial" w:eastAsia="Arial" w:hAnsi="Arial"/>
                <w:sz w:val="14"/>
                <w:szCs w:val="14"/>
                <w:color w:val="auto"/>
              </w:rPr>
              <w:t>(in thousands except share amounts)</w:t>
            </w:r>
          </w:p>
        </w:tc>
        <w:tc>
          <w:tcPr>
            <w:tcW w:w="9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Shares</w:t>
            </w: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Value</w:t>
            </w: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Shares</w:t>
            </w: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Value</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w w:val="96"/>
              </w:rPr>
              <w:t>Capital</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97"/>
              </w:rPr>
              <w:t>Earnings</w:t>
            </w: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AOCI</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w w:val="94"/>
              </w:rPr>
              <w:t>Interest</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Total</w:t>
            </w:r>
          </w:p>
        </w:tc>
      </w:tr>
      <w:tr>
        <w:trPr>
          <w:trHeight w:val="216"/>
        </w:trPr>
        <w:tc>
          <w:tcPr>
            <w:tcW w:w="3380" w:type="dxa"/>
            <w:vAlign w:val="bottom"/>
            <w:shd w:val="clear" w:color="auto" w:fill="CEFFE7"/>
          </w:tcPr>
          <w:p>
            <w:pPr>
              <w:ind w:left="40"/>
              <w:spacing w:after="0"/>
              <w:rPr>
                <w:sz w:val="20"/>
                <w:szCs w:val="20"/>
                <w:color w:val="auto"/>
              </w:rPr>
            </w:pPr>
            <w:r>
              <w:rPr>
                <w:rFonts w:ascii="Arial" w:cs="Arial" w:eastAsia="Arial" w:hAnsi="Arial"/>
                <w:sz w:val="14"/>
                <w:szCs w:val="14"/>
                <w:b w:val="1"/>
                <w:bCs w:val="1"/>
                <w:color w:val="auto"/>
              </w:rPr>
              <w:t>December 31, 2018</w:t>
            </w:r>
          </w:p>
        </w:tc>
        <w:tc>
          <w:tcPr>
            <w:tcW w:w="98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60,048,567</w:t>
            </w:r>
          </w:p>
        </w:tc>
        <w:tc>
          <w:tcPr>
            <w:tcW w:w="22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60,049</w:t>
            </w:r>
          </w:p>
        </w:tc>
        <w:tc>
          <w:tcPr>
            <w:tcW w:w="74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44,253</w:t>
            </w:r>
          </w:p>
        </w:tc>
        <w:tc>
          <w:tcPr>
            <w:tcW w:w="1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(2,510)</w:t>
            </w:r>
          </w:p>
        </w:tc>
        <w:tc>
          <w:tcPr>
            <w:tcW w:w="1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1,450,569</w:t>
            </w:r>
          </w:p>
        </w:tc>
        <w:tc>
          <w:tcPr>
            <w:tcW w:w="1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700,396</w:t>
            </w:r>
          </w:p>
        </w:tc>
        <w:tc>
          <w:tcPr>
            <w:tcW w:w="1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(26,916)</w:t>
            </w:r>
          </w:p>
        </w:tc>
        <w:tc>
          <w:tcPr>
            <w:tcW w:w="1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105,835</w:t>
            </w:r>
          </w:p>
        </w:tc>
        <w:tc>
          <w:tcPr>
            <w:tcW w:w="2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2,287,423</w:t>
            </w:r>
          </w:p>
        </w:tc>
      </w:tr>
      <w:tr>
        <w:trPr>
          <w:trHeight w:val="210"/>
        </w:trPr>
        <w:tc>
          <w:tcPr>
            <w:tcW w:w="3380" w:type="dxa"/>
            <w:vAlign w:val="bottom"/>
          </w:tcPr>
          <w:p>
            <w:pPr>
              <w:ind w:left="40"/>
              <w:spacing w:after="0"/>
              <w:rPr>
                <w:sz w:val="20"/>
                <w:szCs w:val="20"/>
                <w:color w:val="auto"/>
              </w:rPr>
            </w:pPr>
            <w:r>
              <w:rPr>
                <w:rFonts w:ascii="Arial" w:cs="Arial" w:eastAsia="Arial" w:hAnsi="Arial"/>
                <w:sz w:val="14"/>
                <w:szCs w:val="14"/>
                <w:color w:val="auto"/>
              </w:rPr>
              <w:t>Net income (loss) available for common stock</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103,808</w:t>
            </w:r>
          </w:p>
        </w:tc>
        <w:tc>
          <w:tcPr>
            <w:tcW w:w="160" w:type="dxa"/>
            <w:vAlign w:val="bottom"/>
          </w:tcPr>
          <w:p>
            <w:pPr>
              <w:spacing w:after="0"/>
              <w:rPr>
                <w:sz w:val="18"/>
                <w:szCs w:val="18"/>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3,554</w:t>
            </w:r>
          </w:p>
        </w:tc>
        <w:tc>
          <w:tcPr>
            <w:tcW w:w="22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107,362</w:t>
            </w:r>
          </w:p>
        </w:tc>
      </w:tr>
      <w:tr>
        <w:trPr>
          <w:trHeight w:val="222"/>
        </w:trPr>
        <w:tc>
          <w:tcPr>
            <w:tcW w:w="3380" w:type="dxa"/>
            <w:vAlign w:val="bottom"/>
            <w:shd w:val="clear" w:color="auto" w:fill="CEFFE7"/>
          </w:tcPr>
          <w:p>
            <w:pPr>
              <w:ind w:left="40"/>
              <w:spacing w:after="0"/>
              <w:rPr>
                <w:sz w:val="20"/>
                <w:szCs w:val="20"/>
                <w:color w:val="auto"/>
              </w:rPr>
            </w:pPr>
            <w:r>
              <w:rPr>
                <w:rFonts w:ascii="Arial" w:cs="Arial" w:eastAsia="Arial" w:hAnsi="Arial"/>
                <w:sz w:val="14"/>
                <w:szCs w:val="14"/>
                <w:color w:val="auto"/>
              </w:rPr>
              <w:t>Other comprehensive income, net of tax</w:t>
            </w:r>
          </w:p>
        </w:tc>
        <w:tc>
          <w:tcPr>
            <w:tcW w:w="98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68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EFFE7"/>
          </w:tcPr>
          <w:p>
            <w:pPr>
              <w:spacing w:after="0"/>
              <w:rPr>
                <w:sz w:val="19"/>
                <w:szCs w:val="19"/>
                <w:color w:val="auto"/>
              </w:rPr>
            </w:pPr>
          </w:p>
        </w:tc>
        <w:tc>
          <w:tcPr>
            <w:tcW w:w="64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9"/>
                <w:szCs w:val="19"/>
                <w:color w:val="auto"/>
              </w:rPr>
            </w:pPr>
          </w:p>
        </w:tc>
        <w:tc>
          <w:tcPr>
            <w:tcW w:w="7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9"/>
                <w:szCs w:val="19"/>
                <w:color w:val="auto"/>
              </w:rPr>
            </w:pPr>
          </w:p>
        </w:tc>
        <w:tc>
          <w:tcPr>
            <w:tcW w:w="6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457</w:t>
            </w:r>
          </w:p>
        </w:tc>
        <w:tc>
          <w:tcPr>
            <w:tcW w:w="140" w:type="dxa"/>
            <w:vAlign w:val="bottom"/>
            <w:shd w:val="clear" w:color="auto" w:fill="CEFFE7"/>
          </w:tcPr>
          <w:p>
            <w:pPr>
              <w:spacing w:after="0"/>
              <w:rPr>
                <w:sz w:val="19"/>
                <w:szCs w:val="19"/>
                <w:color w:val="auto"/>
              </w:rPr>
            </w:pPr>
          </w:p>
        </w:tc>
        <w:tc>
          <w:tcPr>
            <w:tcW w:w="74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8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457</w:t>
            </w:r>
          </w:p>
        </w:tc>
      </w:tr>
      <w:tr>
        <w:trPr>
          <w:trHeight w:val="210"/>
        </w:trPr>
        <w:tc>
          <w:tcPr>
            <w:tcW w:w="3380" w:type="dxa"/>
            <w:vAlign w:val="bottom"/>
          </w:tcPr>
          <w:p>
            <w:pPr>
              <w:ind w:left="40"/>
              <w:spacing w:after="0"/>
              <w:rPr>
                <w:sz w:val="20"/>
                <w:szCs w:val="20"/>
                <w:color w:val="auto"/>
              </w:rPr>
            </w:pPr>
            <w:r>
              <w:rPr>
                <w:rFonts w:ascii="Arial" w:cs="Arial" w:eastAsia="Arial" w:hAnsi="Arial"/>
                <w:sz w:val="14"/>
                <w:szCs w:val="14"/>
                <w:color w:val="auto"/>
              </w:rPr>
              <w:t>Dividends on common stock ($0.505 per share)</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(30,332)</w:t>
            </w:r>
          </w:p>
        </w:tc>
        <w:tc>
          <w:tcPr>
            <w:tcW w:w="160" w:type="dxa"/>
            <w:vAlign w:val="bottom"/>
          </w:tcPr>
          <w:p>
            <w:pPr>
              <w:spacing w:after="0"/>
              <w:rPr>
                <w:sz w:val="18"/>
                <w:szCs w:val="18"/>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(30,332)</w:t>
            </w:r>
          </w:p>
        </w:tc>
      </w:tr>
      <w:tr>
        <w:trPr>
          <w:trHeight w:val="222"/>
        </w:trPr>
        <w:tc>
          <w:tcPr>
            <w:tcW w:w="3380" w:type="dxa"/>
            <w:vAlign w:val="bottom"/>
            <w:shd w:val="clear" w:color="auto" w:fill="CEFFE7"/>
          </w:tcPr>
          <w:p>
            <w:pPr>
              <w:ind w:left="40"/>
              <w:spacing w:after="0"/>
              <w:rPr>
                <w:sz w:val="20"/>
                <w:szCs w:val="20"/>
                <w:color w:val="auto"/>
              </w:rPr>
            </w:pPr>
            <w:r>
              <w:rPr>
                <w:rFonts w:ascii="Arial" w:cs="Arial" w:eastAsia="Arial" w:hAnsi="Arial"/>
                <w:sz w:val="14"/>
                <w:szCs w:val="14"/>
                <w:color w:val="auto"/>
              </w:rPr>
              <w:t>Share-based compensation</w:t>
            </w:r>
          </w:p>
        </w:tc>
        <w:tc>
          <w:tcPr>
            <w:tcW w:w="98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48,956</w:t>
            </w:r>
          </w:p>
        </w:tc>
        <w:tc>
          <w:tcPr>
            <w:tcW w:w="220" w:type="dxa"/>
            <w:vAlign w:val="bottom"/>
            <w:shd w:val="clear" w:color="auto" w:fill="CEFFE7"/>
          </w:tcPr>
          <w:p>
            <w:pPr>
              <w:spacing w:after="0"/>
              <w:rPr>
                <w:sz w:val="19"/>
                <w:szCs w:val="19"/>
                <w:color w:val="auto"/>
              </w:rPr>
            </w:pPr>
          </w:p>
        </w:tc>
        <w:tc>
          <w:tcPr>
            <w:tcW w:w="68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49</w:t>
            </w:r>
          </w:p>
        </w:tc>
        <w:tc>
          <w:tcPr>
            <w:tcW w:w="7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(20,497)</w:t>
            </w:r>
          </w:p>
        </w:tc>
        <w:tc>
          <w:tcPr>
            <w:tcW w:w="180" w:type="dxa"/>
            <w:vAlign w:val="bottom"/>
            <w:shd w:val="clear" w:color="auto" w:fill="CEFFE7"/>
          </w:tcPr>
          <w:p>
            <w:pPr>
              <w:spacing w:after="0"/>
              <w:rPr>
                <w:sz w:val="19"/>
                <w:szCs w:val="19"/>
                <w:color w:val="auto"/>
              </w:rPr>
            </w:pPr>
          </w:p>
        </w:tc>
        <w:tc>
          <w:tcPr>
            <w:tcW w:w="64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1,078</w:t>
            </w:r>
          </w:p>
        </w:tc>
        <w:tc>
          <w:tcPr>
            <w:tcW w:w="120" w:type="dxa"/>
            <w:vAlign w:val="bottom"/>
            <w:shd w:val="clear" w:color="auto" w:fill="CEFFE7"/>
          </w:tcPr>
          <w:p>
            <w:pPr>
              <w:spacing w:after="0"/>
              <w:rPr>
                <w:sz w:val="19"/>
                <w:szCs w:val="19"/>
                <w:color w:val="auto"/>
              </w:rPr>
            </w:pPr>
          </w:p>
        </w:tc>
        <w:tc>
          <w:tcPr>
            <w:tcW w:w="7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(589)</w:t>
            </w:r>
          </w:p>
        </w:tc>
        <w:tc>
          <w:tcPr>
            <w:tcW w:w="160" w:type="dxa"/>
            <w:vAlign w:val="bottom"/>
            <w:shd w:val="clear" w:color="auto" w:fill="CEFFE7"/>
          </w:tcPr>
          <w:p>
            <w:pPr>
              <w:spacing w:after="0"/>
              <w:rPr>
                <w:sz w:val="19"/>
                <w:szCs w:val="19"/>
                <w:color w:val="auto"/>
              </w:rPr>
            </w:pPr>
          </w:p>
        </w:tc>
        <w:tc>
          <w:tcPr>
            <w:tcW w:w="7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9"/>
                <w:szCs w:val="19"/>
                <w:color w:val="auto"/>
              </w:rPr>
            </w:pPr>
          </w:p>
        </w:tc>
        <w:tc>
          <w:tcPr>
            <w:tcW w:w="6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EFFE7"/>
          </w:tcPr>
          <w:p>
            <w:pPr>
              <w:spacing w:after="0"/>
              <w:rPr>
                <w:sz w:val="19"/>
                <w:szCs w:val="19"/>
                <w:color w:val="auto"/>
              </w:rPr>
            </w:pPr>
          </w:p>
        </w:tc>
        <w:tc>
          <w:tcPr>
            <w:tcW w:w="74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8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538</w:t>
            </w:r>
          </w:p>
        </w:tc>
      </w:tr>
      <w:tr>
        <w:trPr>
          <w:trHeight w:val="210"/>
        </w:trPr>
        <w:tc>
          <w:tcPr>
            <w:tcW w:w="3380" w:type="dxa"/>
            <w:vAlign w:val="bottom"/>
          </w:tcPr>
          <w:p>
            <w:pPr>
              <w:ind w:left="40"/>
              <w:spacing w:after="0"/>
              <w:rPr>
                <w:sz w:val="20"/>
                <w:szCs w:val="20"/>
                <w:color w:val="auto"/>
              </w:rPr>
            </w:pPr>
            <w:r>
              <w:rPr>
                <w:rFonts w:ascii="Arial" w:cs="Arial" w:eastAsia="Arial" w:hAnsi="Arial"/>
                <w:sz w:val="14"/>
                <w:szCs w:val="14"/>
                <w:color w:val="auto"/>
              </w:rPr>
              <w:t>Issuance of common stock</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280,497</w:t>
            </w:r>
          </w:p>
        </w:tc>
        <w:tc>
          <w:tcPr>
            <w:tcW w:w="22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280</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19,719</w:t>
            </w:r>
          </w:p>
        </w:tc>
        <w:tc>
          <w:tcPr>
            <w:tcW w:w="160" w:type="dxa"/>
            <w:vAlign w:val="bottom"/>
          </w:tcPr>
          <w:p>
            <w:pPr>
              <w:spacing w:after="0"/>
              <w:rPr>
                <w:sz w:val="18"/>
                <w:szCs w:val="18"/>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19,999</w:t>
            </w:r>
          </w:p>
        </w:tc>
      </w:tr>
      <w:tr>
        <w:trPr>
          <w:trHeight w:val="222"/>
        </w:trPr>
        <w:tc>
          <w:tcPr>
            <w:tcW w:w="3380" w:type="dxa"/>
            <w:vAlign w:val="bottom"/>
            <w:shd w:val="clear" w:color="auto" w:fill="CEFFE7"/>
          </w:tcPr>
          <w:p>
            <w:pPr>
              <w:ind w:left="40"/>
              <w:spacing w:after="0"/>
              <w:rPr>
                <w:sz w:val="20"/>
                <w:szCs w:val="20"/>
                <w:color w:val="auto"/>
              </w:rPr>
            </w:pPr>
            <w:r>
              <w:rPr>
                <w:rFonts w:ascii="Arial" w:cs="Arial" w:eastAsia="Arial" w:hAnsi="Arial"/>
                <w:sz w:val="14"/>
                <w:szCs w:val="14"/>
                <w:color w:val="auto"/>
              </w:rPr>
              <w:t>Issuance costs</w:t>
            </w:r>
          </w:p>
        </w:tc>
        <w:tc>
          <w:tcPr>
            <w:tcW w:w="98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68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EFFE7"/>
          </w:tcPr>
          <w:p>
            <w:pPr>
              <w:spacing w:after="0"/>
              <w:rPr>
                <w:sz w:val="19"/>
                <w:szCs w:val="19"/>
                <w:color w:val="auto"/>
              </w:rPr>
            </w:pPr>
          </w:p>
        </w:tc>
        <w:tc>
          <w:tcPr>
            <w:tcW w:w="64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EFFE7"/>
          </w:tcPr>
          <w:p>
            <w:pPr>
              <w:spacing w:after="0"/>
              <w:rPr>
                <w:sz w:val="19"/>
                <w:szCs w:val="19"/>
                <w:color w:val="auto"/>
              </w:rPr>
            </w:pPr>
          </w:p>
        </w:tc>
        <w:tc>
          <w:tcPr>
            <w:tcW w:w="7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(289)</w:t>
            </w:r>
          </w:p>
        </w:tc>
        <w:tc>
          <w:tcPr>
            <w:tcW w:w="160" w:type="dxa"/>
            <w:vAlign w:val="bottom"/>
            <w:shd w:val="clear" w:color="auto" w:fill="CEFFE7"/>
          </w:tcPr>
          <w:p>
            <w:pPr>
              <w:spacing w:after="0"/>
              <w:rPr>
                <w:sz w:val="19"/>
                <w:szCs w:val="19"/>
                <w:color w:val="auto"/>
              </w:rPr>
            </w:pPr>
          </w:p>
        </w:tc>
        <w:tc>
          <w:tcPr>
            <w:tcW w:w="7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9"/>
                <w:szCs w:val="19"/>
                <w:color w:val="auto"/>
              </w:rPr>
            </w:pPr>
          </w:p>
        </w:tc>
        <w:tc>
          <w:tcPr>
            <w:tcW w:w="6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EFFE7"/>
          </w:tcPr>
          <w:p>
            <w:pPr>
              <w:spacing w:after="0"/>
              <w:rPr>
                <w:sz w:val="19"/>
                <w:szCs w:val="19"/>
                <w:color w:val="auto"/>
              </w:rPr>
            </w:pPr>
          </w:p>
        </w:tc>
        <w:tc>
          <w:tcPr>
            <w:tcW w:w="74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8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(289)</w:t>
            </w:r>
          </w:p>
        </w:tc>
      </w:tr>
      <w:tr>
        <w:trPr>
          <w:trHeight w:val="210"/>
        </w:trPr>
        <w:tc>
          <w:tcPr>
            <w:tcW w:w="3380" w:type="dxa"/>
            <w:vAlign w:val="bottom"/>
          </w:tcPr>
          <w:p>
            <w:pPr>
              <w:ind w:left="40"/>
              <w:spacing w:after="0"/>
              <w:rPr>
                <w:sz w:val="20"/>
                <w:szCs w:val="20"/>
                <w:color w:val="auto"/>
              </w:rPr>
            </w:pPr>
            <w:r>
              <w:rPr>
                <w:rFonts w:ascii="Arial" w:cs="Arial" w:eastAsia="Arial" w:hAnsi="Arial"/>
                <w:sz w:val="14"/>
                <w:szCs w:val="14"/>
                <w:color w:val="auto"/>
              </w:rPr>
              <w:t>Implementation of ASU 2016-02 Leases</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3,390</w:t>
            </w:r>
          </w:p>
        </w:tc>
        <w:tc>
          <w:tcPr>
            <w:tcW w:w="160" w:type="dxa"/>
            <w:vAlign w:val="bottom"/>
          </w:tcPr>
          <w:p>
            <w:pPr>
              <w:spacing w:after="0"/>
              <w:rPr>
                <w:sz w:val="18"/>
                <w:szCs w:val="18"/>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3,390</w:t>
            </w:r>
          </w:p>
        </w:tc>
      </w:tr>
      <w:tr>
        <w:trPr>
          <w:trHeight w:val="216"/>
        </w:trPr>
        <w:tc>
          <w:tcPr>
            <w:tcW w:w="3380" w:type="dxa"/>
            <w:vAlign w:val="bottom"/>
            <w:shd w:val="clear" w:color="auto" w:fill="CEFFE7"/>
          </w:tcPr>
          <w:p>
            <w:pPr>
              <w:ind w:left="40"/>
              <w:spacing w:after="0"/>
              <w:rPr>
                <w:sz w:val="20"/>
                <w:szCs w:val="20"/>
                <w:color w:val="auto"/>
              </w:rPr>
            </w:pPr>
            <w:r>
              <w:rPr>
                <w:rFonts w:ascii="Arial" w:cs="Arial" w:eastAsia="Arial" w:hAnsi="Arial"/>
                <w:sz w:val="14"/>
                <w:szCs w:val="14"/>
                <w:color w:val="auto"/>
              </w:rPr>
              <w:t>Distributions to noncontrolling interest</w:t>
            </w:r>
          </w:p>
        </w:tc>
        <w:tc>
          <w:tcPr>
            <w:tcW w:w="980" w:type="dxa"/>
            <w:vAlign w:val="bottom"/>
            <w:tcBorders>
              <w:bottom w:val="single" w:sz="8" w:color="auto"/>
            </w:tcBorders>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EFFE7"/>
          </w:tcPr>
          <w:p>
            <w:pPr>
              <w:spacing w:after="0"/>
              <w:rPr>
                <w:sz w:val="18"/>
                <w:szCs w:val="18"/>
                <w:color w:val="auto"/>
              </w:rPr>
            </w:pPr>
          </w:p>
        </w:tc>
        <w:tc>
          <w:tcPr>
            <w:tcW w:w="680" w:type="dxa"/>
            <w:vAlign w:val="bottom"/>
            <w:tcBorders>
              <w:bottom w:val="single" w:sz="8" w:color="auto"/>
            </w:tcBorders>
            <w:shd w:val="clear" w:color="auto" w:fill="CEFFE7"/>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EFFE7"/>
          </w:tcPr>
          <w:p>
            <w:pPr>
              <w:spacing w:after="0"/>
              <w:rPr>
                <w:sz w:val="18"/>
                <w:szCs w:val="18"/>
                <w:color w:val="auto"/>
              </w:rPr>
            </w:pPr>
          </w:p>
        </w:tc>
        <w:tc>
          <w:tcPr>
            <w:tcW w:w="640" w:type="dxa"/>
            <w:vAlign w:val="bottom"/>
            <w:tcBorders>
              <w:bottom w:val="single" w:sz="8" w:color="auto"/>
            </w:tcBorders>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EFFE7"/>
          </w:tcPr>
          <w:p>
            <w:pPr>
              <w:spacing w:after="0"/>
              <w:rPr>
                <w:sz w:val="18"/>
                <w:szCs w:val="18"/>
                <w:color w:val="auto"/>
              </w:rPr>
            </w:pPr>
          </w:p>
        </w:tc>
        <w:tc>
          <w:tcPr>
            <w:tcW w:w="76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EFFE7"/>
          </w:tcPr>
          <w:p>
            <w:pPr>
              <w:spacing w:after="0"/>
              <w:rPr>
                <w:sz w:val="18"/>
                <w:szCs w:val="18"/>
                <w:color w:val="auto"/>
              </w:rPr>
            </w:pPr>
          </w:p>
        </w:tc>
        <w:tc>
          <w:tcPr>
            <w:tcW w:w="72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EFFE7"/>
          </w:tcPr>
          <w:p>
            <w:pPr>
              <w:spacing w:after="0"/>
              <w:rPr>
                <w:sz w:val="18"/>
                <w:szCs w:val="18"/>
                <w:color w:val="auto"/>
              </w:rPr>
            </w:pPr>
          </w:p>
        </w:tc>
        <w:tc>
          <w:tcPr>
            <w:tcW w:w="600" w:type="dxa"/>
            <w:vAlign w:val="bottom"/>
            <w:tcBorders>
              <w:bottom w:val="single" w:sz="8" w:color="auto"/>
            </w:tcBorders>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EFFE7"/>
          </w:tcPr>
          <w:p>
            <w:pPr>
              <w:spacing w:after="0"/>
              <w:rPr>
                <w:sz w:val="18"/>
                <w:szCs w:val="18"/>
                <w:color w:val="auto"/>
              </w:rPr>
            </w:pPr>
          </w:p>
        </w:tc>
        <w:tc>
          <w:tcPr>
            <w:tcW w:w="7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(4,846)</w:t>
            </w:r>
          </w:p>
        </w:tc>
        <w:tc>
          <w:tcPr>
            <w:tcW w:w="220" w:type="dxa"/>
            <w:vAlign w:val="bottom"/>
            <w:tcBorders>
              <w:bottom w:val="single" w:sz="8" w:color="auto"/>
            </w:tcBorders>
            <w:shd w:val="clear" w:color="auto" w:fill="CEFFE7"/>
          </w:tcPr>
          <w:p>
            <w:pPr>
              <w:spacing w:after="0"/>
              <w:rPr>
                <w:sz w:val="18"/>
                <w:szCs w:val="18"/>
                <w:color w:val="auto"/>
              </w:rPr>
            </w:pP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(4,846)</w:t>
            </w:r>
          </w:p>
        </w:tc>
      </w:tr>
      <w:tr>
        <w:trPr>
          <w:trHeight w:val="216"/>
        </w:trPr>
        <w:tc>
          <w:tcPr>
            <w:tcW w:w="3380" w:type="dxa"/>
            <w:vAlign w:val="bottom"/>
          </w:tcPr>
          <w:p>
            <w:pPr>
              <w:ind w:left="40"/>
              <w:spacing w:after="0"/>
              <w:rPr>
                <w:sz w:val="20"/>
                <w:szCs w:val="20"/>
                <w:color w:val="auto"/>
              </w:rPr>
            </w:pPr>
            <w:r>
              <w:rPr>
                <w:rFonts w:ascii="Arial" w:cs="Arial" w:eastAsia="Arial" w:hAnsi="Arial"/>
                <w:sz w:val="14"/>
                <w:szCs w:val="14"/>
                <w:b w:val="1"/>
                <w:bCs w:val="1"/>
                <w:color w:val="auto"/>
              </w:rPr>
              <w:t>March 31, 2019</w:t>
            </w: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60,378,020</w:t>
            </w:r>
          </w:p>
        </w:tc>
        <w:tc>
          <w:tcPr>
            <w:tcW w:w="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60,378</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23,756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1,469,410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777,262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(26,459)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104,543</w:t>
            </w: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2,383,702</w:t>
            </w:r>
          </w:p>
        </w:tc>
      </w:tr>
      <w:tr>
        <w:trPr>
          <w:trHeight w:val="20"/>
        </w:trPr>
        <w:tc>
          <w:tcPr>
            <w:tcW w:w="3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26" w:right="339" w:bottom="1440" w:gutter="0" w:footer="0" w:header="0"/>
        </w:sectPr>
      </w:pPr>
    </w:p>
    <w:bookmarkStart w:id="12" w:name="page13"/>
    <w:bookmarkEnd w:id="1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 HILLS CORPORATION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is made to 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included in the Company’s 2019 Annual Report on Form 10-K)</w:t>
      </w:r>
    </w:p>
    <w:p>
      <w:pPr>
        <w:spacing w:after="0" w:line="207" w:lineRule="exact"/>
        <w:rPr>
          <w:sz w:val="20"/>
          <w:szCs w:val="20"/>
          <w:color w:val="auto"/>
        </w:rPr>
      </w:pPr>
    </w:p>
    <w:p>
      <w:pPr>
        <w:ind w:left="400" w:hanging="392"/>
        <w:spacing w:after="0"/>
        <w:tabs>
          <w:tab w:leader="none" w:pos="4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Management’s Statement</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unaudited Condensed Consolidated Financial Statements included herein have been prepared by Black Hills Corporation (together with our subsidiaries the “Company”, “us”, “we” or “our”), pursuant to the rules and regulations of the SEC. Certain information and footnote disclosures normally included in financial statements prepared in accordance with accounting principles generally accepted in the United States of America have been condensed or omitted pursuant to such rules and regulations; however, we believe that the footnotes adequately disclose the information presented. These Condensed Consolidated Financial Statements should be read in conjunction with the consolidated financial statements and the notes included in our 2019 Annual Report on Form 10-K filed with the SEC.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jc w:val="both"/>
        <w:ind w:right="500"/>
        <w:spacing w:after="0" w:line="263" w:lineRule="auto"/>
        <w:rPr>
          <w:sz w:val="20"/>
          <w:szCs w:val="20"/>
          <w:color w:val="auto"/>
        </w:rPr>
      </w:pPr>
      <w:r>
        <w:rPr>
          <w:rFonts w:ascii="Arial" w:cs="Arial" w:eastAsia="Arial" w:hAnsi="Arial"/>
          <w:sz w:val="18"/>
          <w:szCs w:val="18"/>
          <w:color w:val="auto"/>
        </w:rPr>
        <w:t>We conduct our operations through the following reportable segments: Electric Utilities, Gas Utilities, Power Generation and Mining. Our reportable segments are based on our method of internal reporting, which is generally segregated by differences in products, services and regulation. All of our operations and assets are located within the United States.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and Basis of Presentation</w:t>
      </w: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information furnished in the accompanying Condensed Consolidated Financial Statements reflects certain estimates required and all adjustments, including accruals, which are, in the opinion of management, necessary for a fair presentation of the March 31, 2020, December 31, 2019 and March 31, 2019 financial information. Certain industries in which we operate are highly seasonal, and revenue from, and certain expenses for, such operations may fluctuate significantly among quarterly periods. Demand for electricity and natural gas is sensitive to seasonal cooling, heating and industrial load requirements. In particular, the normal peak usage season for electric utilities is June through August while the normal peak usage season for gas utilities is November through March. Significant earnings variances can be expected between the Gas Utilities segment’s peak and off-peak seasons. Due to this seasonal nature, our results of operations for the three months ended March 31, 2020 and March 31, 2019, and our financial condition as of March 31, 2020 and December 31, 2019 are not necessarily indicative of the results of operations and financial condition to be expected for any other period. All earnings per share amounts discussed refer to diluted earnings per share unless otherwise noted.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changed certain classifications of operating expenses on the Consolidated Statements of Income for the three months ended March 31, 2019. Amounts previously reported as Operations and maintenance, Taxes - property and production, and Other operating expenses of ($0.3) million, ($0.3) million, and ($0.4) million, respectively, have been reclassified to Fuel, purchased power and cost of natural gas sold to conform with current year presentation. The prior year reclassifications did not impact previously reported operating income or net income.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229" w:lineRule="exact"/>
        <w:rPr>
          <w:sz w:val="20"/>
          <w:szCs w:val="20"/>
          <w:color w:val="auto"/>
        </w:rPr>
      </w:pPr>
    </w:p>
    <w:p>
      <w:pPr>
        <w:ind w:right="400"/>
        <w:spacing w:after="0" w:line="301" w:lineRule="auto"/>
        <w:rPr>
          <w:sz w:val="20"/>
          <w:szCs w:val="20"/>
          <w:color w:val="auto"/>
        </w:rPr>
      </w:pPr>
      <w:r>
        <w:rPr>
          <w:rFonts w:ascii="Arial" w:cs="Arial" w:eastAsia="Arial" w:hAnsi="Arial"/>
          <w:sz w:val="16"/>
          <w:szCs w:val="16"/>
          <w:color w:val="auto"/>
        </w:rPr>
        <w:t>In March 2020, the World Health Organization categorized COVID-19 as a pandemic and the President of the United States declared the outbreak a national emergency. The U.S. government has deemed the electric and natural gas utilities as “critical” in providing essential services during this emergency. As a provider of critical services, the Company has an obligation to provide services to our customers. The Company remains focused on protecting the health of its employees and the communities in which it operates while assuring the continuity of its business operations.</w:t>
      </w:r>
    </w:p>
    <w:p>
      <w:pPr>
        <w:spacing w:after="0" w:line="15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Company’s Condensed Consolidated Financial Statements reflect estimates and assumptions made by management that affect the reported amounts of assets and liabilities and disclosure of contingent assets and liabilities at the date of the Condensed Consolidated Financial Statements and reported amounts of revenue and expenses during the reporting periods presented. The Company considered the impacts of COVID-19 on the assumptions and estimates used and determined that for the three months ended March 31, 2020, there were no material adverse impacts on the Company’s results of operations.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26" w:right="339" w:bottom="1440" w:gutter="0" w:footer="0" w:header="0"/>
        </w:sectPr>
      </w:pPr>
    </w:p>
    <w:bookmarkStart w:id="13" w:name="page14"/>
    <w:bookmarkEnd w:id="1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 - Pension Accounting Asset Method</w:t>
      </w:r>
    </w:p>
    <w:p>
      <w:pPr>
        <w:spacing w:after="0" w:line="229" w:lineRule="exact"/>
        <w:rPr>
          <w:sz w:val="20"/>
          <w:szCs w:val="20"/>
          <w:color w:val="auto"/>
        </w:rPr>
      </w:pPr>
    </w:p>
    <w:p>
      <w:pPr>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Effective January 1, 2020, we changed our method of accounting for net periodic benefit cost. Prior to the change, the Company used a calculated value for determining market-related value of plan assets which amortized the effects of gains and losses over a five-year period. Effective with the accounting change, the Company will continue to use a calculated value for the return-seeking assets (equities) in the portfolio and change to fair value for the liability-hedging assets (fixed income). See </w:t>
      </w:r>
      <w:hyperlink w:anchor="page28">
        <w:r>
          <w:rPr>
            <w:rFonts w:ascii="Arial" w:cs="Arial" w:eastAsia="Arial" w:hAnsi="Arial"/>
            <w:sz w:val="18"/>
            <w:szCs w:val="18"/>
            <w:u w:val="single" w:color="auto"/>
            <w:color w:val="0000EE"/>
          </w:rPr>
          <w:t>Note 12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additional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Simplifying the Accounting for Income Taxes, ASU 2019-12</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xml:space="preserve"> as part of its overall simplification initiative to reduce costs and complexity in applying accounting standards while maintaining or improving the usefulness of the information provided to users of the financial statements. Amendments include removal of certain exceptions to the general principles of ASC 740, Income Taxes, and simplification in several other areas such as accounting for a franchise tax (or similar tax) that is partially based on income. The new guidance is effective for interim and annual periods beginning after December 15, 2020 with early adoption permitted. We are currently reviewing this standard to assess the impact on our financial position, results of operations and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Instruments -- Credit Losses: Measurement of Credit Losses on Financial Instruments, ASU 2016-13</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Measurement of Credit Losses on Financial Instruments,</w:t>
      </w:r>
      <w:r>
        <w:rPr>
          <w:rFonts w:ascii="Arial" w:cs="Arial" w:eastAsia="Arial" w:hAnsi="Arial"/>
          <w:sz w:val="18"/>
          <w:szCs w:val="18"/>
          <w:color w:val="auto"/>
        </w:rPr>
        <w:t xml:space="preserve"> which was subsequently amended by ASU 2018-19, ASU 2019-04, 2019-05, 2019-10, and 2019-11. The standard introduces new accounting guidance for credit losses on financial instruments within its scope, including trade receivables. This new guidance adds an impairment model that is based on expected losses rather than incurred losses.</w:t>
      </w:r>
    </w:p>
    <w:p>
      <w:pPr>
        <w:spacing w:after="0" w:line="187"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We adopted this standard on January 1, 2020 with prior year comparative financial information remaining as previously reported when transitioning to the new standard. On January 1, 2020, we recorded an increase to our allowance for credit losses, primarily associated with the inclusion of expected losses on unbilled revenue. The cumulative effect of the adoption, net of tax impact, was $0.2 million, which was recorded as an adjustment to retained earnings.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Simplifying the Test for Goodwill Impairment, ASU 2017-04</w:t>
      </w:r>
    </w:p>
    <w:p>
      <w:pPr>
        <w:spacing w:after="0" w:line="22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Simplifying the Test for Goodwill Impairment</w:t>
      </w:r>
      <w:r>
        <w:rPr>
          <w:rFonts w:ascii="Arial" w:cs="Arial" w:eastAsia="Arial" w:hAnsi="Arial"/>
          <w:sz w:val="17"/>
          <w:szCs w:val="17"/>
          <w:color w:val="auto"/>
        </w:rPr>
        <w:t xml:space="preserve"> by eliminating step 2 from the goodwill impairment test. Under the new guidance, if the carrying amount of a reporting unit exceeds its fair value, an impairment loss will be recognized in an amount equal to that excess, limited to the amount of goodwill allocated to that reporting unit. We adopted this standard prospectively on January 1, 2020. Adoption of this guidance is not expected to have an impact on our financial position, results of operations or cash flows.</w:t>
      </w:r>
    </w:p>
    <w:p>
      <w:pPr>
        <w:spacing w:after="0" w:line="17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u w:val="single" w:color="auto"/>
          <w:color w:val="auto"/>
        </w:rPr>
        <w:t>Internal-Use Software: Customer’s Accounting for Implementation Costs Incurred in a Cloud Computing Arrangement That Is a Service Contract, ASU 2018-15</w:t>
      </w:r>
    </w:p>
    <w:p>
      <w:pPr>
        <w:spacing w:after="0" w:line="1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Customer's Accounting for Implementation Costs Incurred in a Cloud Computing Arrangement That Is a</w:t>
      </w:r>
      <w:r>
        <w:rPr>
          <w:rFonts w:ascii="Arial" w:cs="Arial" w:eastAsia="Arial" w:hAnsi="Arial"/>
          <w:sz w:val="18"/>
          <w:szCs w:val="18"/>
          <w:color w:val="auto"/>
        </w:rPr>
        <w:t xml:space="preserve"> </w:t>
      </w:r>
      <w:r>
        <w:rPr>
          <w:rFonts w:ascii="Arial" w:cs="Arial" w:eastAsia="Arial" w:hAnsi="Arial"/>
          <w:sz w:val="18"/>
          <w:szCs w:val="18"/>
          <w:i w:val="1"/>
          <w:iCs w:val="1"/>
          <w:color w:val="auto"/>
        </w:rPr>
        <w:t>Service Contract</w:t>
      </w:r>
      <w:r>
        <w:rPr>
          <w:rFonts w:ascii="Arial" w:cs="Arial" w:eastAsia="Arial" w:hAnsi="Arial"/>
          <w:sz w:val="18"/>
          <w:szCs w:val="18"/>
          <w:color w:val="auto"/>
        </w:rPr>
        <w:t>, which aligns the requirements for recording implementation costs incurred in a hosting arrangement that is a service contract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for capitalizing implementation costs incurred to develop or obtain internal-use software. As a result, certain categories of implementation costs that previously would have been charged to expense as incurred are now capitalized as prepayments and amortized over the term of the arrangement. We adopted this standard prospectively on January 1, 2020. Adoption of this guidance did not have a material impact on our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26" w:right="339" w:bottom="1440" w:gutter="0" w:footer="0" w:header="0"/>
        </w:sectPr>
      </w:pPr>
    </w:p>
    <w:bookmarkStart w:id="14" w:name="page15"/>
    <w:bookmarkEnd w:id="1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7" w:lineRule="exact"/>
        <w:rPr>
          <w:sz w:val="20"/>
          <w:szCs w:val="20"/>
          <w:color w:val="auto"/>
        </w:rPr>
      </w:pPr>
    </w:p>
    <w:p>
      <w:pPr>
        <w:ind w:left="400" w:hanging="392"/>
        <w:spacing w:after="0"/>
        <w:tabs>
          <w:tab w:leader="none" w:pos="4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revenue contracts generally provide for performance obligations that are: fulfilled and transfer control to customers over time; represent a series of distinct services that are substantially the same; involve the same pattern of transfer to the customer; and provide a right to consideration from our customers in an amount that corresponds directly with the value to the customer for the performance completed to date. Therefore, we recognize revenue in the amount to which we have a right to invoice. The following tables depict the disaggregation of revenue, including intercompany revenue, from contracts with customers by customer type and timing of revenue recognition for each of the reporting segments for the three months ended March 31, 2020 and 2019. Sales tax and other similar taxes are excluded from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center"/>
              <w:ind w:right="39"/>
              <w:spacing w:after="0"/>
              <w:rPr>
                <w:sz w:val="20"/>
                <w:szCs w:val="20"/>
                <w:color w:val="auto"/>
              </w:rPr>
            </w:pPr>
            <w:r>
              <w:rPr>
                <w:rFonts w:ascii="Arial" w:cs="Arial" w:eastAsia="Arial" w:hAnsi="Arial"/>
                <w:sz w:val="16"/>
                <w:szCs w:val="16"/>
                <w:color w:val="auto"/>
                <w:w w:val="96"/>
              </w:rPr>
              <w:t>Inter-</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Electric</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Power</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center"/>
              <w:ind w:right="39"/>
              <w:spacing w:after="0"/>
              <w:rPr>
                <w:sz w:val="20"/>
                <w:szCs w:val="20"/>
                <w:color w:val="auto"/>
              </w:rPr>
            </w:pPr>
            <w:r>
              <w:rPr>
                <w:rFonts w:ascii="Arial" w:cs="Arial" w:eastAsia="Arial" w:hAnsi="Arial"/>
                <w:sz w:val="16"/>
                <w:szCs w:val="16"/>
                <w:color w:val="auto"/>
                <w:w w:val="92"/>
              </w:rPr>
              <w:t>company</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6"/>
        </w:trPr>
        <w:tc>
          <w:tcPr>
            <w:tcW w:w="40" w:type="dxa"/>
            <w:vAlign w:val="bottom"/>
          </w:tcPr>
          <w:p>
            <w:pPr>
              <w:spacing w:after="0"/>
              <w:rPr>
                <w:sz w:val="17"/>
                <w:szCs w:val="17"/>
                <w:color w:val="auto"/>
              </w:rPr>
            </w:pPr>
          </w:p>
        </w:tc>
        <w:tc>
          <w:tcPr>
            <w:tcW w:w="5140" w:type="dxa"/>
            <w:vAlign w:val="bottom"/>
            <w:gridSpan w:val="2"/>
          </w:tcPr>
          <w:p>
            <w:pPr>
              <w:spacing w:after="0"/>
              <w:rPr>
                <w:sz w:val="20"/>
                <w:szCs w:val="20"/>
                <w:color w:val="auto"/>
              </w:rPr>
            </w:pPr>
            <w:r>
              <w:rPr>
                <w:rFonts w:ascii="Arial" w:cs="Arial" w:eastAsia="Arial" w:hAnsi="Arial"/>
                <w:sz w:val="16"/>
                <w:szCs w:val="16"/>
                <w:color w:val="auto"/>
              </w:rPr>
              <w:t>Three Months Ended March 31, 2020</w:t>
            </w:r>
          </w:p>
        </w:tc>
        <w:tc>
          <w:tcPr>
            <w:tcW w:w="180" w:type="dxa"/>
            <w:vAlign w:val="bottom"/>
          </w:tcPr>
          <w:p>
            <w:pPr>
              <w:spacing w:after="0"/>
              <w:rPr>
                <w:sz w:val="17"/>
                <w:szCs w:val="17"/>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Utilities</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w w:val="93"/>
              </w:rPr>
              <w:t>Gas Utilities</w:t>
            </w:r>
          </w:p>
        </w:tc>
        <w:tc>
          <w:tcPr>
            <w:tcW w:w="14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w w:val="90"/>
              </w:rPr>
              <w:t>Generation</w:t>
            </w:r>
          </w:p>
        </w:tc>
        <w:tc>
          <w:tcPr>
            <w:tcW w:w="240" w:type="dxa"/>
            <w:vAlign w:val="bottom"/>
          </w:tcPr>
          <w:p>
            <w:pPr>
              <w:spacing w:after="0"/>
              <w:rPr>
                <w:sz w:val="17"/>
                <w:szCs w:val="17"/>
                <w:color w:val="auto"/>
              </w:rPr>
            </w:pP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Mining</w:t>
            </w:r>
          </w:p>
        </w:tc>
        <w:tc>
          <w:tcPr>
            <w:tcW w:w="180" w:type="dxa"/>
            <w:vAlign w:val="bottom"/>
          </w:tcPr>
          <w:p>
            <w:pPr>
              <w:spacing w:after="0"/>
              <w:rPr>
                <w:sz w:val="17"/>
                <w:szCs w:val="17"/>
                <w:color w:val="auto"/>
              </w:rPr>
            </w:pPr>
          </w:p>
        </w:tc>
        <w:tc>
          <w:tcPr>
            <w:tcW w:w="840" w:type="dxa"/>
            <w:vAlign w:val="bottom"/>
          </w:tcPr>
          <w:p>
            <w:pPr>
              <w:jc w:val="center"/>
              <w:ind w:right="39"/>
              <w:spacing w:after="0"/>
              <w:rPr>
                <w:sz w:val="20"/>
                <w:szCs w:val="20"/>
                <w:color w:val="auto"/>
              </w:rPr>
            </w:pPr>
            <w:r>
              <w:rPr>
                <w:rFonts w:ascii="Arial" w:cs="Arial" w:eastAsia="Arial" w:hAnsi="Arial"/>
                <w:sz w:val="16"/>
                <w:szCs w:val="16"/>
                <w:color w:val="auto"/>
                <w:w w:val="88"/>
              </w:rPr>
              <w:t>Revenues</w:t>
            </w:r>
          </w:p>
        </w:tc>
        <w:tc>
          <w:tcPr>
            <w:tcW w:w="240" w:type="dxa"/>
            <w:vAlign w:val="bottom"/>
          </w:tcPr>
          <w:p>
            <w:pPr>
              <w:spacing w:after="0"/>
              <w:rPr>
                <w:sz w:val="17"/>
                <w:szCs w:val="17"/>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color w:val="auto"/>
              </w:rPr>
              <w:t>Total</w:t>
            </w:r>
          </w:p>
        </w:tc>
      </w:tr>
      <w:tr>
        <w:trPr>
          <w:trHeight w:val="33"/>
        </w:trPr>
        <w:tc>
          <w:tcPr>
            <w:tcW w:w="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83"/>
        </w:trPr>
        <w:tc>
          <w:tcPr>
            <w:tcW w:w="40" w:type="dxa"/>
            <w:vAlign w:val="bottom"/>
          </w:tcPr>
          <w:p>
            <w:pPr>
              <w:spacing w:after="0"/>
              <w:rPr>
                <w:sz w:val="15"/>
                <w:szCs w:val="15"/>
                <w:color w:val="auto"/>
              </w:rPr>
            </w:pPr>
          </w:p>
        </w:tc>
        <w:tc>
          <w:tcPr>
            <w:tcW w:w="5140" w:type="dxa"/>
            <w:vAlign w:val="bottom"/>
            <w:gridSpan w:val="2"/>
          </w:tcPr>
          <w:p>
            <w:pPr>
              <w:spacing w:after="0" w:line="183" w:lineRule="exact"/>
              <w:rPr>
                <w:sz w:val="20"/>
                <w:szCs w:val="20"/>
                <w:color w:val="auto"/>
              </w:rPr>
            </w:pPr>
            <w:r>
              <w:rPr>
                <w:rFonts w:ascii="Arial" w:cs="Arial" w:eastAsia="Arial" w:hAnsi="Arial"/>
                <w:sz w:val="16"/>
                <w:szCs w:val="16"/>
                <w:color w:val="auto"/>
              </w:rPr>
              <w:t>Customer types:</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40" w:type="dxa"/>
            <w:vAlign w:val="bottom"/>
            <w:gridSpan w:val="3"/>
          </w:tcPr>
          <w:p>
            <w:pPr>
              <w:jc w:val="right"/>
              <w:ind w:right="439"/>
              <w:spacing w:after="0" w:line="183" w:lineRule="exact"/>
              <w:rPr>
                <w:sz w:val="20"/>
                <w:szCs w:val="20"/>
                <w:color w:val="auto"/>
              </w:rPr>
            </w:pPr>
            <w:r>
              <w:rPr>
                <w:rFonts w:ascii="Arial" w:cs="Arial" w:eastAsia="Arial" w:hAnsi="Arial"/>
                <w:sz w:val="16"/>
                <w:szCs w:val="16"/>
                <w:color w:val="auto"/>
              </w:rPr>
              <w:t>(in thousands)</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48"/>
        </w:trPr>
        <w:tc>
          <w:tcPr>
            <w:tcW w:w="40" w:type="dxa"/>
            <w:vAlign w:val="bottom"/>
          </w:tcPr>
          <w:p>
            <w:pPr>
              <w:spacing w:after="0"/>
              <w:rPr>
                <w:sz w:val="4"/>
                <w:szCs w:val="4"/>
                <w:color w:val="auto"/>
              </w:rPr>
            </w:pPr>
          </w:p>
        </w:tc>
        <w:tc>
          <w:tcPr>
            <w:tcW w:w="1060" w:type="dxa"/>
            <w:vAlign w:val="bottom"/>
            <w:tcBorders>
              <w:top w:val="single" w:sz="8" w:color="auto"/>
            </w:tcBorders>
          </w:tcPr>
          <w:p>
            <w:pPr>
              <w:spacing w:after="0"/>
              <w:rPr>
                <w:sz w:val="4"/>
                <w:szCs w:val="4"/>
                <w:color w:val="auto"/>
              </w:rPr>
            </w:pPr>
          </w:p>
        </w:tc>
        <w:tc>
          <w:tcPr>
            <w:tcW w:w="40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237"/>
        </w:trPr>
        <w:tc>
          <w:tcPr>
            <w:tcW w:w="40" w:type="dxa"/>
            <w:vAlign w:val="bottom"/>
            <w:tcBorders>
              <w:bottom w:val="single" w:sz="8" w:color="CEFFE7"/>
            </w:tcBorders>
            <w:shd w:val="clear" w:color="auto" w:fill="CEFFE7"/>
          </w:tcPr>
          <w:p>
            <w:pPr>
              <w:spacing w:after="0"/>
              <w:rPr>
                <w:sz w:val="20"/>
                <w:szCs w:val="20"/>
                <w:color w:val="auto"/>
              </w:rPr>
            </w:pPr>
          </w:p>
        </w:tc>
        <w:tc>
          <w:tcPr>
            <w:tcW w:w="5140" w:type="dxa"/>
            <w:vAlign w:val="bottom"/>
            <w:tcBorders>
              <w:bottom w:val="single" w:sz="8" w:color="CEFFE7"/>
            </w:tcBorders>
            <w:gridSpan w:val="2"/>
            <w:shd w:val="clear" w:color="auto" w:fill="CEFFE7"/>
          </w:tcPr>
          <w:p>
            <w:pPr>
              <w:ind w:left="140"/>
              <w:spacing w:after="0"/>
              <w:rPr>
                <w:sz w:val="20"/>
                <w:szCs w:val="20"/>
                <w:color w:val="auto"/>
              </w:rPr>
            </w:pPr>
            <w:r>
              <w:rPr>
                <w:rFonts w:ascii="Arial" w:cs="Arial" w:eastAsia="Arial" w:hAnsi="Arial"/>
                <w:sz w:val="16"/>
                <w:szCs w:val="16"/>
                <w:color w:val="auto"/>
              </w:rPr>
              <w:t>Retail</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148,640</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298,247</w:t>
            </w: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14,403</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(7,839)</w:t>
            </w:r>
          </w:p>
        </w:tc>
        <w:tc>
          <w:tcPr>
            <w:tcW w:w="2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453,451</w:t>
            </w:r>
          </w:p>
        </w:tc>
      </w:tr>
      <w:tr>
        <w:trPr>
          <w:trHeight w:val="224"/>
        </w:trPr>
        <w:tc>
          <w:tcPr>
            <w:tcW w:w="40" w:type="dxa"/>
            <w:vAlign w:val="bottom"/>
          </w:tcPr>
          <w:p>
            <w:pPr>
              <w:spacing w:after="0"/>
              <w:rPr>
                <w:sz w:val="19"/>
                <w:szCs w:val="19"/>
                <w:color w:val="auto"/>
              </w:rPr>
            </w:pPr>
          </w:p>
        </w:tc>
        <w:tc>
          <w:tcPr>
            <w:tcW w:w="5140" w:type="dxa"/>
            <w:vAlign w:val="bottom"/>
            <w:gridSpan w:val="2"/>
          </w:tcPr>
          <w:p>
            <w:pPr>
              <w:ind w:left="140"/>
              <w:spacing w:after="0"/>
              <w:rPr>
                <w:sz w:val="20"/>
                <w:szCs w:val="20"/>
                <w:color w:val="auto"/>
              </w:rPr>
            </w:pPr>
            <w:r>
              <w:rPr>
                <w:rFonts w:ascii="Arial" w:cs="Arial" w:eastAsia="Arial" w:hAnsi="Arial"/>
                <w:sz w:val="16"/>
                <w:szCs w:val="16"/>
                <w:color w:val="auto"/>
              </w:rPr>
              <w:t>Transportation</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44,108</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(139)</w:t>
            </w:r>
          </w:p>
        </w:tc>
        <w:tc>
          <w:tcPr>
            <w:tcW w:w="24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43,969</w:t>
            </w:r>
          </w:p>
        </w:tc>
      </w:tr>
      <w:tr>
        <w:trPr>
          <w:trHeight w:val="33"/>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40" w:type="dxa"/>
            <w:vAlign w:val="bottom"/>
            <w:tcBorders>
              <w:bottom w:val="single" w:sz="8" w:color="CEFFE7"/>
            </w:tcBorders>
            <w:shd w:val="clear" w:color="auto" w:fill="CEFFE7"/>
          </w:tcPr>
          <w:p>
            <w:pPr>
              <w:spacing w:after="0"/>
              <w:rPr>
                <w:sz w:val="20"/>
                <w:szCs w:val="20"/>
                <w:color w:val="auto"/>
              </w:rPr>
            </w:pPr>
          </w:p>
        </w:tc>
        <w:tc>
          <w:tcPr>
            <w:tcW w:w="5140" w:type="dxa"/>
            <w:vAlign w:val="bottom"/>
            <w:tcBorders>
              <w:bottom w:val="single" w:sz="8" w:color="CEFFE7"/>
            </w:tcBorders>
            <w:gridSpan w:val="2"/>
            <w:shd w:val="clear" w:color="auto" w:fill="CEFFE7"/>
          </w:tcPr>
          <w:p>
            <w:pPr>
              <w:ind w:left="140"/>
              <w:spacing w:after="0"/>
              <w:rPr>
                <w:sz w:val="20"/>
                <w:szCs w:val="20"/>
                <w:color w:val="auto"/>
              </w:rPr>
            </w:pPr>
            <w:r>
              <w:rPr>
                <w:rFonts w:ascii="Arial" w:cs="Arial" w:eastAsia="Arial" w:hAnsi="Arial"/>
                <w:sz w:val="16"/>
                <w:szCs w:val="16"/>
                <w:color w:val="auto"/>
              </w:rPr>
              <w:t>Wholesale</w:t>
            </w:r>
          </w:p>
        </w:tc>
        <w:tc>
          <w:tcPr>
            <w:tcW w:w="180" w:type="dxa"/>
            <w:vAlign w:val="bottom"/>
            <w:tcBorders>
              <w:bottom w:val="single" w:sz="8" w:color="CEFFE7"/>
            </w:tcBorders>
            <w:shd w:val="clear" w:color="auto" w:fill="CEFFE7"/>
          </w:tcPr>
          <w:p>
            <w:pPr>
              <w:spacing w:after="0"/>
              <w:rPr>
                <w:sz w:val="20"/>
                <w:szCs w:val="20"/>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5,552</w:t>
            </w:r>
          </w:p>
        </w:tc>
        <w:tc>
          <w:tcPr>
            <w:tcW w:w="160" w:type="dxa"/>
            <w:vAlign w:val="bottom"/>
            <w:tcBorders>
              <w:bottom w:val="single" w:sz="8" w:color="CEFFE7"/>
            </w:tcBorders>
            <w:shd w:val="clear" w:color="auto" w:fill="CEFFE7"/>
          </w:tcPr>
          <w:p>
            <w:pPr>
              <w:spacing w:after="0"/>
              <w:rPr>
                <w:sz w:val="20"/>
                <w:szCs w:val="20"/>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EFFE7"/>
            </w:tcBorders>
            <w:shd w:val="clear" w:color="auto" w:fill="CEFFE7"/>
          </w:tcPr>
          <w:p>
            <w:pPr>
              <w:spacing w:after="0"/>
              <w:rPr>
                <w:sz w:val="20"/>
                <w:szCs w:val="20"/>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25,467</w:t>
            </w:r>
          </w:p>
        </w:tc>
        <w:tc>
          <w:tcPr>
            <w:tcW w:w="240" w:type="dxa"/>
            <w:vAlign w:val="bottom"/>
            <w:tcBorders>
              <w:bottom w:val="single" w:sz="8" w:color="CEFFE7"/>
            </w:tcBorders>
            <w:shd w:val="clear" w:color="auto" w:fill="CEFFE7"/>
          </w:tcPr>
          <w:p>
            <w:pPr>
              <w:spacing w:after="0"/>
              <w:rPr>
                <w:sz w:val="20"/>
                <w:szCs w:val="20"/>
                <w:color w:val="auto"/>
              </w:rPr>
            </w:pPr>
          </w:p>
        </w:tc>
        <w:tc>
          <w:tcPr>
            <w:tcW w:w="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EFFE7"/>
            </w:tcBorders>
            <w:shd w:val="clear" w:color="auto" w:fill="CEFFE7"/>
          </w:tcPr>
          <w:p>
            <w:pPr>
              <w:spacing w:after="0"/>
              <w:rPr>
                <w:sz w:val="20"/>
                <w:szCs w:val="20"/>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(23,612)</w:t>
            </w:r>
          </w:p>
        </w:tc>
        <w:tc>
          <w:tcPr>
            <w:tcW w:w="240" w:type="dxa"/>
            <w:vAlign w:val="bottom"/>
            <w:tcBorders>
              <w:bottom w:val="single" w:sz="8" w:color="CEFFE7"/>
            </w:tcBorders>
            <w:shd w:val="clear" w:color="auto" w:fill="CEFFE7"/>
          </w:tcPr>
          <w:p>
            <w:pPr>
              <w:spacing w:after="0"/>
              <w:rPr>
                <w:sz w:val="20"/>
                <w:szCs w:val="20"/>
                <w:color w:val="auto"/>
              </w:rPr>
            </w:pPr>
          </w:p>
        </w:tc>
        <w:tc>
          <w:tcPr>
            <w:tcW w:w="7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7,407</w:t>
            </w:r>
          </w:p>
        </w:tc>
      </w:tr>
      <w:tr>
        <w:trPr>
          <w:trHeight w:val="223"/>
        </w:trPr>
        <w:tc>
          <w:tcPr>
            <w:tcW w:w="40" w:type="dxa"/>
            <w:vAlign w:val="bottom"/>
          </w:tcPr>
          <w:p>
            <w:pPr>
              <w:spacing w:after="0"/>
              <w:rPr>
                <w:sz w:val="19"/>
                <w:szCs w:val="19"/>
                <w:color w:val="auto"/>
              </w:rPr>
            </w:pPr>
          </w:p>
        </w:tc>
        <w:tc>
          <w:tcPr>
            <w:tcW w:w="5140" w:type="dxa"/>
            <w:vAlign w:val="bottom"/>
            <w:gridSpan w:val="2"/>
          </w:tcPr>
          <w:p>
            <w:pPr>
              <w:ind w:left="140"/>
              <w:spacing w:after="0"/>
              <w:rPr>
                <w:sz w:val="20"/>
                <w:szCs w:val="20"/>
                <w:color w:val="auto"/>
              </w:rPr>
            </w:pPr>
            <w:r>
              <w:rPr>
                <w:rFonts w:ascii="Arial" w:cs="Arial" w:eastAsia="Arial" w:hAnsi="Arial"/>
                <w:sz w:val="16"/>
                <w:szCs w:val="16"/>
                <w:color w:val="auto"/>
              </w:rPr>
              <w:t>Market - off-system sales</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4,867</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138</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(2,639)</w:t>
            </w:r>
          </w:p>
        </w:tc>
        <w:tc>
          <w:tcPr>
            <w:tcW w:w="24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2,366</w:t>
            </w:r>
          </w:p>
        </w:tc>
      </w:tr>
      <w:tr>
        <w:trPr>
          <w:trHeight w:val="33"/>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7"/>
        </w:trPr>
        <w:tc>
          <w:tcPr>
            <w:tcW w:w="40" w:type="dxa"/>
            <w:vAlign w:val="bottom"/>
            <w:tcBorders>
              <w:bottom w:val="single" w:sz="8" w:color="CEFFE7"/>
            </w:tcBorders>
            <w:shd w:val="clear" w:color="auto" w:fill="CEFFE7"/>
          </w:tcPr>
          <w:p>
            <w:pPr>
              <w:spacing w:after="0"/>
              <w:rPr>
                <w:sz w:val="22"/>
                <w:szCs w:val="22"/>
                <w:color w:val="auto"/>
              </w:rPr>
            </w:pPr>
          </w:p>
        </w:tc>
        <w:tc>
          <w:tcPr>
            <w:tcW w:w="5140" w:type="dxa"/>
            <w:vAlign w:val="bottom"/>
            <w:tcBorders>
              <w:bottom w:val="single" w:sz="8" w:color="CEFFE7"/>
            </w:tcBorders>
            <w:gridSpan w:val="2"/>
            <w:shd w:val="clear" w:color="auto" w:fill="CEFFE7"/>
          </w:tcPr>
          <w:p>
            <w:pPr>
              <w:ind w:left="140"/>
              <w:spacing w:after="0"/>
              <w:rPr>
                <w:sz w:val="20"/>
                <w:szCs w:val="20"/>
                <w:color w:val="auto"/>
              </w:rPr>
            </w:pPr>
            <w:r>
              <w:rPr>
                <w:rFonts w:ascii="Arial" w:cs="Arial" w:eastAsia="Arial" w:hAnsi="Arial"/>
                <w:sz w:val="16"/>
                <w:szCs w:val="16"/>
                <w:color w:val="auto"/>
              </w:rPr>
              <w:t>Transmission/Other</w:t>
            </w:r>
          </w:p>
        </w:tc>
        <w:tc>
          <w:tcPr>
            <w:tcW w:w="180" w:type="dxa"/>
            <w:vAlign w:val="bottom"/>
            <w:tcBorders>
              <w:bottom w:val="single" w:sz="8" w:color="CEFFE7"/>
            </w:tcBorders>
            <w:shd w:val="clear" w:color="auto" w:fill="CEFFE7"/>
          </w:tcPr>
          <w:p>
            <w:pPr>
              <w:spacing w:after="0"/>
              <w:rPr>
                <w:sz w:val="22"/>
                <w:szCs w:val="22"/>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14,857</w:t>
            </w:r>
          </w:p>
        </w:tc>
        <w:tc>
          <w:tcPr>
            <w:tcW w:w="160" w:type="dxa"/>
            <w:vAlign w:val="bottom"/>
            <w:tcBorders>
              <w:bottom w:val="single" w:sz="8" w:color="CEFFE7"/>
            </w:tcBorders>
            <w:shd w:val="clear" w:color="auto" w:fill="CEFFE7"/>
          </w:tcPr>
          <w:p>
            <w:pPr>
              <w:spacing w:after="0"/>
              <w:rPr>
                <w:sz w:val="22"/>
                <w:szCs w:val="22"/>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12,572</w:t>
            </w:r>
          </w:p>
        </w:tc>
        <w:tc>
          <w:tcPr>
            <w:tcW w:w="140" w:type="dxa"/>
            <w:vAlign w:val="bottom"/>
            <w:tcBorders>
              <w:bottom w:val="single" w:sz="8" w:color="CEFFE7"/>
            </w:tcBorders>
            <w:shd w:val="clear" w:color="auto" w:fill="CEFFE7"/>
          </w:tcPr>
          <w:p>
            <w:pPr>
              <w:spacing w:after="0"/>
              <w:rPr>
                <w:sz w:val="22"/>
                <w:szCs w:val="22"/>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EFFE7"/>
            </w:tcBorders>
            <w:shd w:val="clear" w:color="auto" w:fill="CEFFE7"/>
          </w:tcPr>
          <w:p>
            <w:pPr>
              <w:spacing w:after="0"/>
              <w:rPr>
                <w:sz w:val="22"/>
                <w:szCs w:val="22"/>
                <w:color w:val="auto"/>
              </w:rPr>
            </w:pPr>
          </w:p>
        </w:tc>
        <w:tc>
          <w:tcPr>
            <w:tcW w:w="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EFFE7"/>
            </w:tcBorders>
            <w:shd w:val="clear" w:color="auto" w:fill="CEFFE7"/>
          </w:tcPr>
          <w:p>
            <w:pPr>
              <w:spacing w:after="0"/>
              <w:rPr>
                <w:sz w:val="22"/>
                <w:szCs w:val="22"/>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(4,413)</w:t>
            </w:r>
          </w:p>
        </w:tc>
        <w:tc>
          <w:tcPr>
            <w:tcW w:w="240" w:type="dxa"/>
            <w:vAlign w:val="bottom"/>
            <w:tcBorders>
              <w:bottom w:val="single" w:sz="8" w:color="CEFFE7"/>
            </w:tcBorders>
            <w:shd w:val="clear" w:color="auto" w:fill="CEFFE7"/>
          </w:tcPr>
          <w:p>
            <w:pPr>
              <w:spacing w:after="0"/>
              <w:rPr>
                <w:sz w:val="22"/>
                <w:szCs w:val="22"/>
                <w:color w:val="auto"/>
              </w:rPr>
            </w:pPr>
          </w:p>
        </w:tc>
        <w:tc>
          <w:tcPr>
            <w:tcW w:w="7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23,016</w:t>
            </w:r>
          </w:p>
        </w:tc>
      </w:tr>
      <w:tr>
        <w:trPr>
          <w:trHeight w:val="217"/>
        </w:trPr>
        <w:tc>
          <w:tcPr>
            <w:tcW w:w="40" w:type="dxa"/>
            <w:vAlign w:val="bottom"/>
          </w:tcPr>
          <w:p>
            <w:pPr>
              <w:spacing w:after="0"/>
              <w:rPr>
                <w:sz w:val="18"/>
                <w:szCs w:val="18"/>
                <w:color w:val="auto"/>
              </w:rPr>
            </w:pPr>
          </w:p>
        </w:tc>
        <w:tc>
          <w:tcPr>
            <w:tcW w:w="5140" w:type="dxa"/>
            <w:vAlign w:val="bottom"/>
            <w:gridSpan w:val="2"/>
          </w:tcPr>
          <w:p>
            <w:pPr>
              <w:ind w:left="140"/>
              <w:spacing w:after="0"/>
              <w:rPr>
                <w:sz w:val="20"/>
                <w:szCs w:val="20"/>
                <w:color w:val="auto"/>
              </w:rPr>
            </w:pPr>
            <w:r>
              <w:rPr>
                <w:rFonts w:ascii="Arial" w:cs="Arial" w:eastAsia="Arial" w:hAnsi="Arial"/>
                <w:sz w:val="16"/>
                <w:szCs w:val="16"/>
                <w:color w:val="auto"/>
              </w:rPr>
              <w:t>Revenue from contracts with customers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173,916</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355,065</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25,467</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14,403</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(38,642)</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530,209</w:t>
            </w:r>
          </w:p>
        </w:tc>
      </w:tr>
      <w:tr>
        <w:trPr>
          <w:trHeight w:val="33"/>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7"/>
        </w:trPr>
        <w:tc>
          <w:tcPr>
            <w:tcW w:w="40" w:type="dxa"/>
            <w:vAlign w:val="bottom"/>
            <w:tcBorders>
              <w:bottom w:val="single" w:sz="8" w:color="CEFFE7"/>
            </w:tcBorders>
            <w:shd w:val="clear" w:color="auto" w:fill="CEFFE7"/>
          </w:tcPr>
          <w:p>
            <w:pPr>
              <w:spacing w:after="0"/>
              <w:rPr>
                <w:sz w:val="22"/>
                <w:szCs w:val="22"/>
                <w:color w:val="auto"/>
              </w:rPr>
            </w:pPr>
          </w:p>
        </w:tc>
        <w:tc>
          <w:tcPr>
            <w:tcW w:w="5140" w:type="dxa"/>
            <w:vAlign w:val="bottom"/>
            <w:tcBorders>
              <w:bottom w:val="single" w:sz="8" w:color="CEFFE7"/>
            </w:tcBorders>
            <w:gridSpan w:val="2"/>
            <w:shd w:val="clear" w:color="auto" w:fill="CEFFE7"/>
          </w:tcPr>
          <w:p>
            <w:pPr>
              <w:ind w:left="140"/>
              <w:spacing w:after="0"/>
              <w:rPr>
                <w:sz w:val="20"/>
                <w:szCs w:val="20"/>
                <w:color w:val="auto"/>
              </w:rPr>
            </w:pPr>
            <w:r>
              <w:rPr>
                <w:rFonts w:ascii="Arial" w:cs="Arial" w:eastAsia="Arial" w:hAnsi="Arial"/>
                <w:sz w:val="16"/>
                <w:szCs w:val="16"/>
                <w:color w:val="auto"/>
              </w:rPr>
              <w:t>Other revenues</w:t>
            </w:r>
          </w:p>
        </w:tc>
        <w:tc>
          <w:tcPr>
            <w:tcW w:w="180" w:type="dxa"/>
            <w:vAlign w:val="bottom"/>
            <w:tcBorders>
              <w:bottom w:val="single" w:sz="8" w:color="CEFFE7"/>
            </w:tcBorders>
            <w:shd w:val="clear" w:color="auto" w:fill="CEFFE7"/>
          </w:tcPr>
          <w:p>
            <w:pPr>
              <w:spacing w:after="0"/>
              <w:rPr>
                <w:sz w:val="22"/>
                <w:szCs w:val="22"/>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223</w:t>
            </w:r>
          </w:p>
        </w:tc>
        <w:tc>
          <w:tcPr>
            <w:tcW w:w="160" w:type="dxa"/>
            <w:vAlign w:val="bottom"/>
            <w:tcBorders>
              <w:bottom w:val="single" w:sz="8" w:color="CEFFE7"/>
            </w:tcBorders>
            <w:shd w:val="clear" w:color="auto" w:fill="CEFFE7"/>
          </w:tcPr>
          <w:p>
            <w:pPr>
              <w:spacing w:after="0"/>
              <w:rPr>
                <w:sz w:val="22"/>
                <w:szCs w:val="22"/>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5,708</w:t>
            </w:r>
          </w:p>
        </w:tc>
        <w:tc>
          <w:tcPr>
            <w:tcW w:w="140" w:type="dxa"/>
            <w:vAlign w:val="bottom"/>
            <w:tcBorders>
              <w:bottom w:val="single" w:sz="8" w:color="CEFFE7"/>
            </w:tcBorders>
            <w:shd w:val="clear" w:color="auto" w:fill="CEFFE7"/>
          </w:tcPr>
          <w:p>
            <w:pPr>
              <w:spacing w:after="0"/>
              <w:rPr>
                <w:sz w:val="22"/>
                <w:szCs w:val="22"/>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499</w:t>
            </w:r>
          </w:p>
        </w:tc>
        <w:tc>
          <w:tcPr>
            <w:tcW w:w="240" w:type="dxa"/>
            <w:vAlign w:val="bottom"/>
            <w:tcBorders>
              <w:bottom w:val="single" w:sz="8" w:color="CEFFE7"/>
            </w:tcBorders>
            <w:shd w:val="clear" w:color="auto" w:fill="CEFFE7"/>
          </w:tcPr>
          <w:p>
            <w:pPr>
              <w:spacing w:after="0"/>
              <w:rPr>
                <w:sz w:val="22"/>
                <w:szCs w:val="22"/>
                <w:color w:val="auto"/>
              </w:rPr>
            </w:pPr>
          </w:p>
        </w:tc>
        <w:tc>
          <w:tcPr>
            <w:tcW w:w="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802</w:t>
            </w:r>
          </w:p>
        </w:tc>
        <w:tc>
          <w:tcPr>
            <w:tcW w:w="180" w:type="dxa"/>
            <w:vAlign w:val="bottom"/>
            <w:tcBorders>
              <w:bottom w:val="single" w:sz="8" w:color="CEFFE7"/>
            </w:tcBorders>
            <w:shd w:val="clear" w:color="auto" w:fill="CEFFE7"/>
          </w:tcPr>
          <w:p>
            <w:pPr>
              <w:spacing w:after="0"/>
              <w:rPr>
                <w:sz w:val="22"/>
                <w:szCs w:val="22"/>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(391)</w:t>
            </w:r>
          </w:p>
        </w:tc>
        <w:tc>
          <w:tcPr>
            <w:tcW w:w="240" w:type="dxa"/>
            <w:vAlign w:val="bottom"/>
            <w:tcBorders>
              <w:bottom w:val="single" w:sz="8" w:color="CEFFE7"/>
            </w:tcBorders>
            <w:shd w:val="clear" w:color="auto" w:fill="CEFFE7"/>
          </w:tcPr>
          <w:p>
            <w:pPr>
              <w:spacing w:after="0"/>
              <w:rPr>
                <w:sz w:val="22"/>
                <w:szCs w:val="22"/>
                <w:color w:val="auto"/>
              </w:rPr>
            </w:pPr>
          </w:p>
        </w:tc>
        <w:tc>
          <w:tcPr>
            <w:tcW w:w="7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6,841</w:t>
            </w:r>
          </w:p>
        </w:tc>
      </w:tr>
      <w:tr>
        <w:trPr>
          <w:trHeight w:val="283"/>
        </w:trPr>
        <w:tc>
          <w:tcPr>
            <w:tcW w:w="40" w:type="dxa"/>
            <w:vAlign w:val="bottom"/>
            <w:tcBorders>
              <w:bottom w:val="single" w:sz="8" w:color="CEFFE7"/>
            </w:tcBorders>
          </w:tcPr>
          <w:p>
            <w:pPr>
              <w:spacing w:after="0"/>
              <w:rPr>
                <w:sz w:val="24"/>
                <w:szCs w:val="24"/>
                <w:color w:val="auto"/>
              </w:rPr>
            </w:pPr>
          </w:p>
        </w:tc>
        <w:tc>
          <w:tcPr>
            <w:tcW w:w="5140" w:type="dxa"/>
            <w:vAlign w:val="bottom"/>
            <w:tcBorders>
              <w:bottom w:val="single" w:sz="8" w:color="CEFFE7"/>
            </w:tcBorders>
            <w:gridSpan w:val="2"/>
          </w:tcPr>
          <w:p>
            <w:pPr>
              <w:spacing w:after="0"/>
              <w:rPr>
                <w:sz w:val="20"/>
                <w:szCs w:val="20"/>
                <w:color w:val="auto"/>
              </w:rPr>
            </w:pPr>
            <w:r>
              <w:rPr>
                <w:rFonts w:ascii="Arial" w:cs="Arial" w:eastAsia="Arial" w:hAnsi="Arial"/>
                <w:sz w:val="16"/>
                <w:szCs w:val="16"/>
                <w:color w:val="auto"/>
              </w:rPr>
              <w:t>Total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174,139</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360,773</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25,966</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15,205</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(39,033)</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537,050</w:t>
            </w:r>
          </w:p>
        </w:tc>
      </w:tr>
      <w:tr>
        <w:trPr>
          <w:trHeight w:val="176"/>
        </w:trPr>
        <w:tc>
          <w:tcPr>
            <w:tcW w:w="40" w:type="dxa"/>
            <w:vAlign w:val="bottom"/>
            <w:shd w:val="clear" w:color="auto" w:fill="CEFFE7"/>
          </w:tcPr>
          <w:p>
            <w:pPr>
              <w:spacing w:after="0"/>
              <w:rPr>
                <w:sz w:val="15"/>
                <w:szCs w:val="15"/>
                <w:color w:val="auto"/>
              </w:rPr>
            </w:pPr>
          </w:p>
        </w:tc>
        <w:tc>
          <w:tcPr>
            <w:tcW w:w="1060" w:type="dxa"/>
            <w:vAlign w:val="bottom"/>
            <w:shd w:val="clear" w:color="auto" w:fill="CEFFE7"/>
          </w:tcPr>
          <w:p>
            <w:pPr>
              <w:spacing w:after="0"/>
              <w:rPr>
                <w:sz w:val="15"/>
                <w:szCs w:val="15"/>
                <w:color w:val="auto"/>
              </w:rPr>
            </w:pPr>
          </w:p>
        </w:tc>
        <w:tc>
          <w:tcPr>
            <w:tcW w:w="4080" w:type="dxa"/>
            <w:vAlign w:val="bottom"/>
            <w:shd w:val="clear" w:color="auto" w:fill="CEFFE7"/>
          </w:tcPr>
          <w:p>
            <w:pPr>
              <w:spacing w:after="0"/>
              <w:rPr>
                <w:sz w:val="15"/>
                <w:szCs w:val="15"/>
                <w:color w:val="auto"/>
              </w:rPr>
            </w:pPr>
          </w:p>
        </w:tc>
        <w:tc>
          <w:tcPr>
            <w:tcW w:w="180" w:type="dxa"/>
            <w:vAlign w:val="bottom"/>
            <w:shd w:val="clear" w:color="auto" w:fill="CEFFE7"/>
          </w:tcPr>
          <w:p>
            <w:pPr>
              <w:spacing w:after="0"/>
              <w:rPr>
                <w:sz w:val="15"/>
                <w:szCs w:val="15"/>
                <w:color w:val="auto"/>
              </w:rPr>
            </w:pPr>
          </w:p>
        </w:tc>
        <w:tc>
          <w:tcPr>
            <w:tcW w:w="820" w:type="dxa"/>
            <w:vAlign w:val="bottom"/>
            <w:shd w:val="clear" w:color="auto" w:fill="CEFFE7"/>
          </w:tcPr>
          <w:p>
            <w:pPr>
              <w:spacing w:after="0"/>
              <w:rPr>
                <w:sz w:val="15"/>
                <w:szCs w:val="15"/>
                <w:color w:val="auto"/>
              </w:rPr>
            </w:pPr>
          </w:p>
        </w:tc>
        <w:tc>
          <w:tcPr>
            <w:tcW w:w="160" w:type="dxa"/>
            <w:vAlign w:val="bottom"/>
            <w:shd w:val="clear" w:color="auto" w:fill="CEFFE7"/>
          </w:tcPr>
          <w:p>
            <w:pPr>
              <w:spacing w:after="0"/>
              <w:rPr>
                <w:sz w:val="15"/>
                <w:szCs w:val="15"/>
                <w:color w:val="auto"/>
              </w:rPr>
            </w:pPr>
          </w:p>
        </w:tc>
        <w:tc>
          <w:tcPr>
            <w:tcW w:w="880" w:type="dxa"/>
            <w:vAlign w:val="bottom"/>
            <w:shd w:val="clear" w:color="auto" w:fill="CEFFE7"/>
          </w:tcPr>
          <w:p>
            <w:pPr>
              <w:spacing w:after="0"/>
              <w:rPr>
                <w:sz w:val="15"/>
                <w:szCs w:val="15"/>
                <w:color w:val="auto"/>
              </w:rPr>
            </w:pPr>
          </w:p>
        </w:tc>
        <w:tc>
          <w:tcPr>
            <w:tcW w:w="140" w:type="dxa"/>
            <w:vAlign w:val="bottom"/>
            <w:shd w:val="clear" w:color="auto" w:fill="CEFFE7"/>
          </w:tcPr>
          <w:p>
            <w:pPr>
              <w:spacing w:after="0"/>
              <w:rPr>
                <w:sz w:val="15"/>
                <w:szCs w:val="15"/>
                <w:color w:val="auto"/>
              </w:rPr>
            </w:pPr>
          </w:p>
        </w:tc>
        <w:tc>
          <w:tcPr>
            <w:tcW w:w="840" w:type="dxa"/>
            <w:vAlign w:val="bottom"/>
            <w:shd w:val="clear" w:color="auto" w:fill="CEFFE7"/>
          </w:tcPr>
          <w:p>
            <w:pPr>
              <w:spacing w:after="0"/>
              <w:rPr>
                <w:sz w:val="15"/>
                <w:szCs w:val="15"/>
                <w:color w:val="auto"/>
              </w:rPr>
            </w:pPr>
          </w:p>
        </w:tc>
        <w:tc>
          <w:tcPr>
            <w:tcW w:w="240" w:type="dxa"/>
            <w:vAlign w:val="bottom"/>
            <w:shd w:val="clear" w:color="auto" w:fill="CEFFE7"/>
          </w:tcPr>
          <w:p>
            <w:pPr>
              <w:spacing w:after="0"/>
              <w:rPr>
                <w:sz w:val="15"/>
                <w:szCs w:val="15"/>
                <w:color w:val="auto"/>
              </w:rPr>
            </w:pPr>
          </w:p>
        </w:tc>
        <w:tc>
          <w:tcPr>
            <w:tcW w:w="760" w:type="dxa"/>
            <w:vAlign w:val="bottom"/>
            <w:shd w:val="clear" w:color="auto" w:fill="CEFFE7"/>
          </w:tcPr>
          <w:p>
            <w:pPr>
              <w:spacing w:after="0"/>
              <w:rPr>
                <w:sz w:val="15"/>
                <w:szCs w:val="15"/>
                <w:color w:val="auto"/>
              </w:rPr>
            </w:pPr>
          </w:p>
        </w:tc>
        <w:tc>
          <w:tcPr>
            <w:tcW w:w="180" w:type="dxa"/>
            <w:vAlign w:val="bottom"/>
            <w:shd w:val="clear" w:color="auto" w:fill="CEFFE7"/>
          </w:tcPr>
          <w:p>
            <w:pPr>
              <w:spacing w:after="0"/>
              <w:rPr>
                <w:sz w:val="15"/>
                <w:szCs w:val="15"/>
                <w:color w:val="auto"/>
              </w:rPr>
            </w:pPr>
          </w:p>
        </w:tc>
        <w:tc>
          <w:tcPr>
            <w:tcW w:w="840" w:type="dxa"/>
            <w:vAlign w:val="bottom"/>
            <w:shd w:val="clear" w:color="auto" w:fill="CEFFE7"/>
          </w:tcPr>
          <w:p>
            <w:pPr>
              <w:spacing w:after="0"/>
              <w:rPr>
                <w:sz w:val="15"/>
                <w:szCs w:val="15"/>
                <w:color w:val="auto"/>
              </w:rPr>
            </w:pPr>
          </w:p>
        </w:tc>
        <w:tc>
          <w:tcPr>
            <w:tcW w:w="240" w:type="dxa"/>
            <w:vAlign w:val="bottom"/>
            <w:shd w:val="clear" w:color="auto" w:fill="CEFFE7"/>
          </w:tcPr>
          <w:p>
            <w:pPr>
              <w:spacing w:after="0"/>
              <w:rPr>
                <w:sz w:val="15"/>
                <w:szCs w:val="15"/>
                <w:color w:val="auto"/>
              </w:rPr>
            </w:pPr>
          </w:p>
        </w:tc>
        <w:tc>
          <w:tcPr>
            <w:tcW w:w="780" w:type="dxa"/>
            <w:vAlign w:val="bottom"/>
            <w:shd w:val="clear" w:color="auto" w:fill="CEFFE7"/>
          </w:tcPr>
          <w:p>
            <w:pPr>
              <w:spacing w:after="0"/>
              <w:rPr>
                <w:sz w:val="15"/>
                <w:szCs w:val="15"/>
                <w:color w:val="auto"/>
              </w:rPr>
            </w:pPr>
          </w:p>
        </w:tc>
      </w:tr>
    </w:tbl>
    <w:p>
      <w:pPr>
        <w:spacing w:after="0" w:line="31" w:lineRule="exact"/>
        <w:rPr>
          <w:sz w:val="20"/>
          <w:szCs w:val="20"/>
          <w:color w:val="auto"/>
        </w:rPr>
      </w:pPr>
    </w:p>
    <w:p>
      <w:pPr>
        <w:sectPr>
          <w:pgSz w:w="11900" w:h="16838" w:orient="portrait"/>
          <w:cols w:equalWidth="0" w:num="1">
            <w:col w:w="11240"/>
          </w:cols>
          <w:pgMar w:left="320" w:top="126" w:right="339" w:bottom="1440" w:gutter="0" w:footer="0" w:header="0"/>
        </w:sectPr>
      </w:pPr>
    </w:p>
    <w:p>
      <w:pPr>
        <w:ind w:left="40"/>
        <w:spacing w:after="0"/>
        <w:rPr>
          <w:sz w:val="20"/>
          <w:szCs w:val="20"/>
          <w:color w:val="auto"/>
        </w:rPr>
      </w:pPr>
      <w:r>
        <w:rPr>
          <w:rFonts w:ascii="Arial" w:cs="Arial" w:eastAsia="Arial" w:hAnsi="Arial"/>
          <w:sz w:val="16"/>
          <w:szCs w:val="16"/>
          <w:u w:val="single" w:color="auto"/>
          <w:color w:val="auto"/>
        </w:rPr>
        <w:t>Timing of revenue recognition:</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5"/>
          <w:szCs w:val="15"/>
          <w:color w:val="auto"/>
        </w:rPr>
        <w:t>Services transferred at a point in time</w:t>
      </w:r>
    </w:p>
    <w:p>
      <w:pPr>
        <w:spacing w:after="0" w:line="8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Services transferred over time</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4"/>
          <w:szCs w:val="14"/>
          <w:color w:val="auto"/>
        </w:rPr>
        <w:t>Revenue from contracts with customers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14,403</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(7,839)</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6,564</w:t>
            </w:r>
          </w:p>
        </w:tc>
      </w:tr>
      <w:tr>
        <w:trPr>
          <w:trHeight w:val="256"/>
        </w:trPr>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173,916</w:t>
            </w:r>
          </w:p>
        </w:tc>
        <w:tc>
          <w:tcPr>
            <w:tcW w:w="2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355,065</w:t>
            </w:r>
          </w:p>
        </w:tc>
        <w:tc>
          <w:tcPr>
            <w:tcW w:w="3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25,467</w:t>
            </w:r>
          </w:p>
        </w:tc>
        <w:tc>
          <w:tcPr>
            <w:tcW w:w="3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(30,803)</w:t>
            </w:r>
          </w:p>
        </w:tc>
        <w:tc>
          <w:tcPr>
            <w:tcW w:w="26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523,645</w:t>
            </w:r>
          </w:p>
        </w:tc>
      </w:tr>
      <w:tr>
        <w:trPr>
          <w:trHeight w:val="33"/>
        </w:trPr>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7"/>
        </w:trPr>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173,916</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355,065</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25,467</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14,403</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(38,642)</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530,209</w:t>
            </w:r>
          </w:p>
        </w:tc>
      </w:tr>
      <w:tr>
        <w:trPr>
          <w:trHeight w:val="33"/>
        </w:trPr>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-3283585</wp:posOffset>
            </wp:positionH>
            <wp:positionV relativeFrom="paragraph">
              <wp:posOffset>-521970</wp:posOffset>
            </wp:positionV>
            <wp:extent cx="7132320" cy="162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-196215</wp:posOffset>
            </wp:positionV>
            <wp:extent cx="7132320" cy="1797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60" w:space="720"/>
            <w:col w:w="6060"/>
          </w:cols>
          <w:pgMar w:left="320" w:top="126" w:right="339" w:bottom="1440" w:gutter="0" w:footer="0" w:header="0"/>
          <w:type w:val="continuous"/>
        </w:sect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center"/>
              <w:ind w:right="39"/>
              <w:spacing w:after="0"/>
              <w:rPr>
                <w:sz w:val="20"/>
                <w:szCs w:val="20"/>
                <w:color w:val="auto"/>
              </w:rPr>
            </w:pPr>
            <w:r>
              <w:rPr>
                <w:rFonts w:ascii="Arial" w:cs="Arial" w:eastAsia="Arial" w:hAnsi="Arial"/>
                <w:sz w:val="16"/>
                <w:szCs w:val="16"/>
                <w:color w:val="auto"/>
                <w:w w:val="96"/>
              </w:rPr>
              <w:t>Inter-</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2"/>
        </w:trPr>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Electric</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Power</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center"/>
              <w:ind w:right="39"/>
              <w:spacing w:after="0"/>
              <w:rPr>
                <w:sz w:val="20"/>
                <w:szCs w:val="20"/>
                <w:color w:val="auto"/>
              </w:rPr>
            </w:pPr>
            <w:r>
              <w:rPr>
                <w:rFonts w:ascii="Arial" w:cs="Arial" w:eastAsia="Arial" w:hAnsi="Arial"/>
                <w:sz w:val="16"/>
                <w:szCs w:val="16"/>
                <w:color w:val="auto"/>
                <w:w w:val="92"/>
              </w:rPr>
              <w:t>company</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6"/>
        </w:trPr>
        <w:tc>
          <w:tcPr>
            <w:tcW w:w="40" w:type="dxa"/>
            <w:vAlign w:val="bottom"/>
          </w:tcPr>
          <w:p>
            <w:pPr>
              <w:spacing w:after="0"/>
              <w:rPr>
                <w:sz w:val="17"/>
                <w:szCs w:val="17"/>
                <w:color w:val="auto"/>
              </w:rPr>
            </w:pPr>
          </w:p>
        </w:tc>
        <w:tc>
          <w:tcPr>
            <w:tcW w:w="5140" w:type="dxa"/>
            <w:vAlign w:val="bottom"/>
            <w:gridSpan w:val="2"/>
          </w:tcPr>
          <w:p>
            <w:pPr>
              <w:spacing w:after="0"/>
              <w:rPr>
                <w:sz w:val="20"/>
                <w:szCs w:val="20"/>
                <w:color w:val="auto"/>
              </w:rPr>
            </w:pPr>
            <w:r>
              <w:rPr>
                <w:rFonts w:ascii="Arial" w:cs="Arial" w:eastAsia="Arial" w:hAnsi="Arial"/>
                <w:sz w:val="16"/>
                <w:szCs w:val="16"/>
                <w:color w:val="auto"/>
              </w:rPr>
              <w:t>Three Months Ended March 31, 2019</w:t>
            </w:r>
          </w:p>
        </w:tc>
        <w:tc>
          <w:tcPr>
            <w:tcW w:w="180" w:type="dxa"/>
            <w:vAlign w:val="bottom"/>
          </w:tcPr>
          <w:p>
            <w:pPr>
              <w:spacing w:after="0"/>
              <w:rPr>
                <w:sz w:val="17"/>
                <w:szCs w:val="17"/>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Utilities</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w w:val="93"/>
              </w:rPr>
              <w:t>Gas Utilities</w:t>
            </w:r>
          </w:p>
        </w:tc>
        <w:tc>
          <w:tcPr>
            <w:tcW w:w="12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w w:val="90"/>
              </w:rPr>
              <w:t>Generation</w:t>
            </w:r>
          </w:p>
        </w:tc>
        <w:tc>
          <w:tcPr>
            <w:tcW w:w="240" w:type="dxa"/>
            <w:vAlign w:val="bottom"/>
          </w:tcPr>
          <w:p>
            <w:pPr>
              <w:spacing w:after="0"/>
              <w:rPr>
                <w:sz w:val="17"/>
                <w:szCs w:val="17"/>
                <w:color w:val="auto"/>
              </w:rPr>
            </w:pP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Mining</w:t>
            </w:r>
          </w:p>
        </w:tc>
        <w:tc>
          <w:tcPr>
            <w:tcW w:w="180" w:type="dxa"/>
            <w:vAlign w:val="bottom"/>
          </w:tcPr>
          <w:p>
            <w:pPr>
              <w:spacing w:after="0"/>
              <w:rPr>
                <w:sz w:val="17"/>
                <w:szCs w:val="17"/>
                <w:color w:val="auto"/>
              </w:rPr>
            </w:pPr>
          </w:p>
        </w:tc>
        <w:tc>
          <w:tcPr>
            <w:tcW w:w="840" w:type="dxa"/>
            <w:vAlign w:val="bottom"/>
          </w:tcPr>
          <w:p>
            <w:pPr>
              <w:jc w:val="center"/>
              <w:ind w:right="39"/>
              <w:spacing w:after="0"/>
              <w:rPr>
                <w:sz w:val="20"/>
                <w:szCs w:val="20"/>
                <w:color w:val="auto"/>
              </w:rPr>
            </w:pPr>
            <w:r>
              <w:rPr>
                <w:rFonts w:ascii="Arial" w:cs="Arial" w:eastAsia="Arial" w:hAnsi="Arial"/>
                <w:sz w:val="16"/>
                <w:szCs w:val="16"/>
                <w:color w:val="auto"/>
                <w:w w:val="88"/>
              </w:rPr>
              <w:t>Revenues</w:t>
            </w:r>
          </w:p>
        </w:tc>
        <w:tc>
          <w:tcPr>
            <w:tcW w:w="240" w:type="dxa"/>
            <w:vAlign w:val="bottom"/>
          </w:tcPr>
          <w:p>
            <w:pPr>
              <w:spacing w:after="0"/>
              <w:rPr>
                <w:sz w:val="17"/>
                <w:szCs w:val="17"/>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color w:val="auto"/>
              </w:rPr>
              <w:t>Total</w:t>
            </w:r>
          </w:p>
        </w:tc>
      </w:tr>
      <w:tr>
        <w:trPr>
          <w:trHeight w:val="33"/>
        </w:trPr>
        <w:tc>
          <w:tcPr>
            <w:tcW w:w="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96"/>
        </w:trPr>
        <w:tc>
          <w:tcPr>
            <w:tcW w:w="40" w:type="dxa"/>
            <w:vAlign w:val="bottom"/>
          </w:tcPr>
          <w:p>
            <w:pPr>
              <w:spacing w:after="0"/>
              <w:rPr>
                <w:sz w:val="17"/>
                <w:szCs w:val="17"/>
                <w:color w:val="auto"/>
              </w:rPr>
            </w:pPr>
          </w:p>
        </w:tc>
        <w:tc>
          <w:tcPr>
            <w:tcW w:w="5140" w:type="dxa"/>
            <w:vAlign w:val="bottom"/>
            <w:gridSpan w:val="2"/>
          </w:tcPr>
          <w:p>
            <w:pPr>
              <w:spacing w:after="0"/>
              <w:rPr>
                <w:sz w:val="20"/>
                <w:szCs w:val="20"/>
                <w:color w:val="auto"/>
              </w:rPr>
            </w:pPr>
            <w:r>
              <w:rPr>
                <w:rFonts w:ascii="Arial" w:cs="Arial" w:eastAsia="Arial" w:hAnsi="Arial"/>
                <w:sz w:val="16"/>
                <w:szCs w:val="16"/>
                <w:color w:val="auto"/>
              </w:rPr>
              <w:t>Customer Types:</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100" w:type="dxa"/>
            <w:vAlign w:val="bottom"/>
            <w:tcBorders>
              <w:top w:val="single" w:sz="8" w:color="auto"/>
            </w:tcBorders>
          </w:tcPr>
          <w:p>
            <w:pPr>
              <w:spacing w:after="0"/>
              <w:rPr>
                <w:sz w:val="4"/>
                <w:szCs w:val="4"/>
                <w:color w:val="auto"/>
              </w:rPr>
            </w:pPr>
          </w:p>
        </w:tc>
        <w:tc>
          <w:tcPr>
            <w:tcW w:w="4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237"/>
        </w:trPr>
        <w:tc>
          <w:tcPr>
            <w:tcW w:w="40" w:type="dxa"/>
            <w:vAlign w:val="bottom"/>
            <w:tcBorders>
              <w:bottom w:val="single" w:sz="8" w:color="CEFFE7"/>
            </w:tcBorders>
            <w:shd w:val="clear" w:color="auto" w:fill="CEFFE7"/>
          </w:tcPr>
          <w:p>
            <w:pPr>
              <w:spacing w:after="0"/>
              <w:rPr>
                <w:sz w:val="20"/>
                <w:szCs w:val="20"/>
                <w:color w:val="auto"/>
              </w:rPr>
            </w:pPr>
          </w:p>
        </w:tc>
        <w:tc>
          <w:tcPr>
            <w:tcW w:w="5140" w:type="dxa"/>
            <w:vAlign w:val="bottom"/>
            <w:tcBorders>
              <w:bottom w:val="single" w:sz="8" w:color="CEFFE7"/>
            </w:tcBorders>
            <w:gridSpan w:val="2"/>
            <w:shd w:val="clear" w:color="auto" w:fill="CEFFE7"/>
          </w:tcPr>
          <w:p>
            <w:pPr>
              <w:ind w:left="140"/>
              <w:spacing w:after="0"/>
              <w:rPr>
                <w:sz w:val="20"/>
                <w:szCs w:val="20"/>
                <w:color w:val="auto"/>
              </w:rPr>
            </w:pPr>
            <w:r>
              <w:rPr>
                <w:rFonts w:ascii="Arial" w:cs="Arial" w:eastAsia="Arial" w:hAnsi="Arial"/>
                <w:sz w:val="16"/>
                <w:szCs w:val="16"/>
                <w:color w:val="auto"/>
              </w:rPr>
              <w:t>Retail</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153,463</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354,275</w:t>
            </w:r>
          </w:p>
        </w:tc>
        <w:tc>
          <w:tcPr>
            <w:tcW w:w="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15,829</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(8,128)</w:t>
            </w:r>
          </w:p>
        </w:tc>
        <w:tc>
          <w:tcPr>
            <w:tcW w:w="2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515,439</w:t>
            </w:r>
          </w:p>
        </w:tc>
      </w:tr>
      <w:tr>
        <w:trPr>
          <w:trHeight w:val="223"/>
        </w:trPr>
        <w:tc>
          <w:tcPr>
            <w:tcW w:w="40" w:type="dxa"/>
            <w:vAlign w:val="bottom"/>
          </w:tcPr>
          <w:p>
            <w:pPr>
              <w:spacing w:after="0"/>
              <w:rPr>
                <w:sz w:val="19"/>
                <w:szCs w:val="19"/>
                <w:color w:val="auto"/>
              </w:rPr>
            </w:pPr>
          </w:p>
        </w:tc>
        <w:tc>
          <w:tcPr>
            <w:tcW w:w="5140" w:type="dxa"/>
            <w:vAlign w:val="bottom"/>
            <w:gridSpan w:val="2"/>
          </w:tcPr>
          <w:p>
            <w:pPr>
              <w:ind w:left="140"/>
              <w:spacing w:after="0"/>
              <w:rPr>
                <w:sz w:val="20"/>
                <w:szCs w:val="20"/>
                <w:color w:val="auto"/>
              </w:rPr>
            </w:pPr>
            <w:r>
              <w:rPr>
                <w:rFonts w:ascii="Arial" w:cs="Arial" w:eastAsia="Arial" w:hAnsi="Arial"/>
                <w:sz w:val="16"/>
                <w:szCs w:val="16"/>
                <w:color w:val="auto"/>
              </w:rPr>
              <w:t>Transportation</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44,517</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(432)</w:t>
            </w:r>
          </w:p>
        </w:tc>
        <w:tc>
          <w:tcPr>
            <w:tcW w:w="24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44,085</w:t>
            </w:r>
          </w:p>
        </w:tc>
      </w:tr>
      <w:tr>
        <w:trPr>
          <w:trHeight w:val="33"/>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40" w:type="dxa"/>
            <w:vAlign w:val="bottom"/>
            <w:tcBorders>
              <w:bottom w:val="single" w:sz="8" w:color="CEFFE7"/>
            </w:tcBorders>
            <w:shd w:val="clear" w:color="auto" w:fill="CEFFE7"/>
          </w:tcPr>
          <w:p>
            <w:pPr>
              <w:spacing w:after="0"/>
              <w:rPr>
                <w:sz w:val="20"/>
                <w:szCs w:val="20"/>
                <w:color w:val="auto"/>
              </w:rPr>
            </w:pPr>
          </w:p>
        </w:tc>
        <w:tc>
          <w:tcPr>
            <w:tcW w:w="5140" w:type="dxa"/>
            <w:vAlign w:val="bottom"/>
            <w:tcBorders>
              <w:bottom w:val="single" w:sz="8" w:color="CEFFE7"/>
            </w:tcBorders>
            <w:gridSpan w:val="2"/>
            <w:shd w:val="clear" w:color="auto" w:fill="CEFFE7"/>
          </w:tcPr>
          <w:p>
            <w:pPr>
              <w:ind w:left="140"/>
              <w:spacing w:after="0"/>
              <w:rPr>
                <w:sz w:val="20"/>
                <w:szCs w:val="20"/>
                <w:color w:val="auto"/>
              </w:rPr>
            </w:pPr>
            <w:r>
              <w:rPr>
                <w:rFonts w:ascii="Arial" w:cs="Arial" w:eastAsia="Arial" w:hAnsi="Arial"/>
                <w:sz w:val="16"/>
                <w:szCs w:val="16"/>
                <w:color w:val="auto"/>
              </w:rPr>
              <w:t>Wholesale</w:t>
            </w:r>
          </w:p>
        </w:tc>
        <w:tc>
          <w:tcPr>
            <w:tcW w:w="180" w:type="dxa"/>
            <w:vAlign w:val="bottom"/>
            <w:tcBorders>
              <w:bottom w:val="single" w:sz="8" w:color="CEFFE7"/>
            </w:tcBorders>
            <w:shd w:val="clear" w:color="auto" w:fill="CEFFE7"/>
          </w:tcPr>
          <w:p>
            <w:pPr>
              <w:spacing w:after="0"/>
              <w:rPr>
                <w:sz w:val="20"/>
                <w:szCs w:val="20"/>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8,343</w:t>
            </w:r>
          </w:p>
        </w:tc>
        <w:tc>
          <w:tcPr>
            <w:tcW w:w="160" w:type="dxa"/>
            <w:vAlign w:val="bottom"/>
            <w:tcBorders>
              <w:bottom w:val="single" w:sz="8" w:color="CEFFE7"/>
            </w:tcBorders>
            <w:shd w:val="clear" w:color="auto" w:fill="CEFFE7"/>
          </w:tcPr>
          <w:p>
            <w:pPr>
              <w:spacing w:after="0"/>
              <w:rPr>
                <w:sz w:val="20"/>
                <w:szCs w:val="20"/>
                <w:color w:val="auto"/>
              </w:rPr>
            </w:pPr>
          </w:p>
        </w:tc>
        <w:tc>
          <w:tcPr>
            <w:tcW w:w="9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EFFE7"/>
            </w:tcBorders>
            <w:shd w:val="clear" w:color="auto" w:fill="CEFFE7"/>
          </w:tcPr>
          <w:p>
            <w:pPr>
              <w:spacing w:after="0"/>
              <w:rPr>
                <w:sz w:val="20"/>
                <w:szCs w:val="20"/>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24,147</w:t>
            </w:r>
          </w:p>
        </w:tc>
        <w:tc>
          <w:tcPr>
            <w:tcW w:w="240" w:type="dxa"/>
            <w:vAlign w:val="bottom"/>
            <w:tcBorders>
              <w:bottom w:val="single" w:sz="8" w:color="CEFFE7"/>
            </w:tcBorders>
            <w:shd w:val="clear" w:color="auto" w:fill="CEFFE7"/>
          </w:tcPr>
          <w:p>
            <w:pPr>
              <w:spacing w:after="0"/>
              <w:rPr>
                <w:sz w:val="20"/>
                <w:szCs w:val="20"/>
                <w:color w:val="auto"/>
              </w:rPr>
            </w:pPr>
          </w:p>
        </w:tc>
        <w:tc>
          <w:tcPr>
            <w:tcW w:w="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EFFE7"/>
            </w:tcBorders>
            <w:shd w:val="clear" w:color="auto" w:fill="CEFFE7"/>
          </w:tcPr>
          <w:p>
            <w:pPr>
              <w:spacing w:after="0"/>
              <w:rPr>
                <w:sz w:val="20"/>
                <w:szCs w:val="20"/>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(21,891)</w:t>
            </w:r>
          </w:p>
        </w:tc>
        <w:tc>
          <w:tcPr>
            <w:tcW w:w="240" w:type="dxa"/>
            <w:vAlign w:val="bottom"/>
            <w:tcBorders>
              <w:bottom w:val="single" w:sz="8" w:color="CEFFE7"/>
            </w:tcBorders>
            <w:shd w:val="clear" w:color="auto" w:fill="CEFFE7"/>
          </w:tcPr>
          <w:p>
            <w:pPr>
              <w:spacing w:after="0"/>
              <w:rPr>
                <w:sz w:val="20"/>
                <w:szCs w:val="20"/>
                <w:color w:val="auto"/>
              </w:rPr>
            </w:pPr>
          </w:p>
        </w:tc>
        <w:tc>
          <w:tcPr>
            <w:tcW w:w="7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10,599</w:t>
            </w:r>
          </w:p>
        </w:tc>
      </w:tr>
      <w:tr>
        <w:trPr>
          <w:trHeight w:val="223"/>
        </w:trPr>
        <w:tc>
          <w:tcPr>
            <w:tcW w:w="40" w:type="dxa"/>
            <w:vAlign w:val="bottom"/>
          </w:tcPr>
          <w:p>
            <w:pPr>
              <w:spacing w:after="0"/>
              <w:rPr>
                <w:sz w:val="19"/>
                <w:szCs w:val="19"/>
                <w:color w:val="auto"/>
              </w:rPr>
            </w:pPr>
          </w:p>
        </w:tc>
        <w:tc>
          <w:tcPr>
            <w:tcW w:w="5140" w:type="dxa"/>
            <w:vAlign w:val="bottom"/>
            <w:gridSpan w:val="2"/>
          </w:tcPr>
          <w:p>
            <w:pPr>
              <w:ind w:left="140"/>
              <w:spacing w:after="0"/>
              <w:rPr>
                <w:sz w:val="20"/>
                <w:szCs w:val="20"/>
                <w:color w:val="auto"/>
              </w:rPr>
            </w:pPr>
            <w:r>
              <w:rPr>
                <w:rFonts w:ascii="Arial" w:cs="Arial" w:eastAsia="Arial" w:hAnsi="Arial"/>
                <w:sz w:val="16"/>
                <w:szCs w:val="16"/>
                <w:color w:val="auto"/>
              </w:rPr>
              <w:t>Market - off-system sales</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6,692</w:t>
            </w:r>
          </w:p>
        </w:tc>
        <w:tc>
          <w:tcPr>
            <w:tcW w:w="16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217</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(2,224)</w:t>
            </w:r>
          </w:p>
        </w:tc>
        <w:tc>
          <w:tcPr>
            <w:tcW w:w="24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4,685</w:t>
            </w:r>
          </w:p>
        </w:tc>
      </w:tr>
      <w:tr>
        <w:trPr>
          <w:trHeight w:val="33"/>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7"/>
        </w:trPr>
        <w:tc>
          <w:tcPr>
            <w:tcW w:w="40" w:type="dxa"/>
            <w:vAlign w:val="bottom"/>
            <w:tcBorders>
              <w:bottom w:val="single" w:sz="8" w:color="CEFFE7"/>
            </w:tcBorders>
            <w:shd w:val="clear" w:color="auto" w:fill="CEFFE7"/>
          </w:tcPr>
          <w:p>
            <w:pPr>
              <w:spacing w:after="0"/>
              <w:rPr>
                <w:sz w:val="22"/>
                <w:szCs w:val="22"/>
                <w:color w:val="auto"/>
              </w:rPr>
            </w:pPr>
          </w:p>
        </w:tc>
        <w:tc>
          <w:tcPr>
            <w:tcW w:w="5140" w:type="dxa"/>
            <w:vAlign w:val="bottom"/>
            <w:tcBorders>
              <w:bottom w:val="single" w:sz="8" w:color="CEFFE7"/>
            </w:tcBorders>
            <w:gridSpan w:val="2"/>
            <w:shd w:val="clear" w:color="auto" w:fill="CEFFE7"/>
          </w:tcPr>
          <w:p>
            <w:pPr>
              <w:ind w:left="140"/>
              <w:spacing w:after="0"/>
              <w:rPr>
                <w:sz w:val="20"/>
                <w:szCs w:val="20"/>
                <w:color w:val="auto"/>
              </w:rPr>
            </w:pPr>
            <w:r>
              <w:rPr>
                <w:rFonts w:ascii="Arial" w:cs="Arial" w:eastAsia="Arial" w:hAnsi="Arial"/>
                <w:sz w:val="16"/>
                <w:szCs w:val="16"/>
                <w:color w:val="auto"/>
              </w:rPr>
              <w:t>Transmission/Other</w:t>
            </w:r>
          </w:p>
        </w:tc>
        <w:tc>
          <w:tcPr>
            <w:tcW w:w="180" w:type="dxa"/>
            <w:vAlign w:val="bottom"/>
            <w:tcBorders>
              <w:bottom w:val="single" w:sz="8" w:color="CEFFE7"/>
            </w:tcBorders>
            <w:shd w:val="clear" w:color="auto" w:fill="CEFFE7"/>
          </w:tcPr>
          <w:p>
            <w:pPr>
              <w:spacing w:after="0"/>
              <w:rPr>
                <w:sz w:val="22"/>
                <w:szCs w:val="22"/>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14,175</w:t>
            </w:r>
          </w:p>
        </w:tc>
        <w:tc>
          <w:tcPr>
            <w:tcW w:w="160" w:type="dxa"/>
            <w:vAlign w:val="bottom"/>
            <w:tcBorders>
              <w:bottom w:val="single" w:sz="8" w:color="CEFFE7"/>
            </w:tcBorders>
            <w:shd w:val="clear" w:color="auto" w:fill="CEFFE7"/>
          </w:tcPr>
          <w:p>
            <w:pPr>
              <w:spacing w:after="0"/>
              <w:rPr>
                <w:sz w:val="22"/>
                <w:szCs w:val="22"/>
                <w:color w:val="auto"/>
              </w:rPr>
            </w:pPr>
          </w:p>
        </w:tc>
        <w:tc>
          <w:tcPr>
            <w:tcW w:w="9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13,190</w:t>
            </w:r>
          </w:p>
        </w:tc>
        <w:tc>
          <w:tcPr>
            <w:tcW w:w="120" w:type="dxa"/>
            <w:vAlign w:val="bottom"/>
            <w:tcBorders>
              <w:bottom w:val="single" w:sz="8" w:color="CEFFE7"/>
            </w:tcBorders>
            <w:shd w:val="clear" w:color="auto" w:fill="CEFFE7"/>
          </w:tcPr>
          <w:p>
            <w:pPr>
              <w:spacing w:after="0"/>
              <w:rPr>
                <w:sz w:val="22"/>
                <w:szCs w:val="22"/>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EFFE7"/>
            </w:tcBorders>
            <w:shd w:val="clear" w:color="auto" w:fill="CEFFE7"/>
          </w:tcPr>
          <w:p>
            <w:pPr>
              <w:spacing w:after="0"/>
              <w:rPr>
                <w:sz w:val="22"/>
                <w:szCs w:val="22"/>
                <w:color w:val="auto"/>
              </w:rPr>
            </w:pPr>
          </w:p>
        </w:tc>
        <w:tc>
          <w:tcPr>
            <w:tcW w:w="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EFFE7"/>
            </w:tcBorders>
            <w:shd w:val="clear" w:color="auto" w:fill="CEFFE7"/>
          </w:tcPr>
          <w:p>
            <w:pPr>
              <w:spacing w:after="0"/>
              <w:rPr>
                <w:sz w:val="22"/>
                <w:szCs w:val="22"/>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(4,203)</w:t>
            </w:r>
          </w:p>
        </w:tc>
        <w:tc>
          <w:tcPr>
            <w:tcW w:w="240" w:type="dxa"/>
            <w:vAlign w:val="bottom"/>
            <w:tcBorders>
              <w:bottom w:val="single" w:sz="8" w:color="CEFFE7"/>
            </w:tcBorders>
            <w:shd w:val="clear" w:color="auto" w:fill="CEFFE7"/>
          </w:tcPr>
          <w:p>
            <w:pPr>
              <w:spacing w:after="0"/>
              <w:rPr>
                <w:sz w:val="22"/>
                <w:szCs w:val="22"/>
                <w:color w:val="auto"/>
              </w:rPr>
            </w:pPr>
          </w:p>
        </w:tc>
        <w:tc>
          <w:tcPr>
            <w:tcW w:w="7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23,162</w:t>
            </w:r>
          </w:p>
        </w:tc>
      </w:tr>
      <w:tr>
        <w:trPr>
          <w:trHeight w:val="217"/>
        </w:trPr>
        <w:tc>
          <w:tcPr>
            <w:tcW w:w="40" w:type="dxa"/>
            <w:vAlign w:val="bottom"/>
          </w:tcPr>
          <w:p>
            <w:pPr>
              <w:spacing w:after="0"/>
              <w:rPr>
                <w:sz w:val="18"/>
                <w:szCs w:val="18"/>
                <w:color w:val="auto"/>
              </w:rPr>
            </w:pPr>
          </w:p>
        </w:tc>
        <w:tc>
          <w:tcPr>
            <w:tcW w:w="5140" w:type="dxa"/>
            <w:vAlign w:val="bottom"/>
            <w:gridSpan w:val="2"/>
          </w:tcPr>
          <w:p>
            <w:pPr>
              <w:ind w:left="140"/>
              <w:spacing w:after="0"/>
              <w:rPr>
                <w:sz w:val="20"/>
                <w:szCs w:val="20"/>
                <w:color w:val="auto"/>
              </w:rPr>
            </w:pPr>
            <w:r>
              <w:rPr>
                <w:rFonts w:ascii="Arial" w:cs="Arial" w:eastAsia="Arial" w:hAnsi="Arial"/>
                <w:sz w:val="16"/>
                <w:szCs w:val="16"/>
                <w:color w:val="auto"/>
              </w:rPr>
              <w:t>Revenue from contracts with customers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182,673</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412,199</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24,147</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15,829</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(36,878)</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597,970</w:t>
            </w:r>
          </w:p>
        </w:tc>
      </w:tr>
      <w:tr>
        <w:trPr>
          <w:trHeight w:val="33"/>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6"/>
        </w:trPr>
        <w:tc>
          <w:tcPr>
            <w:tcW w:w="40" w:type="dxa"/>
            <w:vAlign w:val="bottom"/>
            <w:tcBorders>
              <w:bottom w:val="single" w:sz="8" w:color="CEFFE7"/>
            </w:tcBorders>
            <w:shd w:val="clear" w:color="auto" w:fill="CEFFE7"/>
          </w:tcPr>
          <w:p>
            <w:pPr>
              <w:spacing w:after="0"/>
              <w:rPr>
                <w:sz w:val="22"/>
                <w:szCs w:val="22"/>
                <w:color w:val="auto"/>
              </w:rPr>
            </w:pPr>
          </w:p>
        </w:tc>
        <w:tc>
          <w:tcPr>
            <w:tcW w:w="5140" w:type="dxa"/>
            <w:vAlign w:val="bottom"/>
            <w:tcBorders>
              <w:bottom w:val="single" w:sz="8" w:color="CEFFE7"/>
            </w:tcBorders>
            <w:gridSpan w:val="2"/>
            <w:shd w:val="clear" w:color="auto" w:fill="CEFFE7"/>
          </w:tcPr>
          <w:p>
            <w:pPr>
              <w:ind w:left="140"/>
              <w:spacing w:after="0"/>
              <w:rPr>
                <w:sz w:val="20"/>
                <w:szCs w:val="20"/>
                <w:color w:val="auto"/>
              </w:rPr>
            </w:pPr>
            <w:r>
              <w:rPr>
                <w:rFonts w:ascii="Arial" w:cs="Arial" w:eastAsia="Arial" w:hAnsi="Arial"/>
                <w:sz w:val="16"/>
                <w:szCs w:val="16"/>
                <w:color w:val="auto"/>
              </w:rPr>
              <w:t>Other revenues</w:t>
            </w:r>
          </w:p>
        </w:tc>
        <w:tc>
          <w:tcPr>
            <w:tcW w:w="180" w:type="dxa"/>
            <w:vAlign w:val="bottom"/>
            <w:tcBorders>
              <w:bottom w:val="single" w:sz="8" w:color="CEFFE7"/>
            </w:tcBorders>
            <w:shd w:val="clear" w:color="auto" w:fill="CEFFE7"/>
          </w:tcPr>
          <w:p>
            <w:pPr>
              <w:spacing w:after="0"/>
              <w:rPr>
                <w:sz w:val="22"/>
                <w:szCs w:val="22"/>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254</w:t>
            </w:r>
          </w:p>
        </w:tc>
        <w:tc>
          <w:tcPr>
            <w:tcW w:w="160" w:type="dxa"/>
            <w:vAlign w:val="bottom"/>
            <w:tcBorders>
              <w:bottom w:val="single" w:sz="8" w:color="CEFFE7"/>
            </w:tcBorders>
            <w:shd w:val="clear" w:color="auto" w:fill="CEFFE7"/>
          </w:tcPr>
          <w:p>
            <w:pPr>
              <w:spacing w:after="0"/>
              <w:rPr>
                <w:sz w:val="22"/>
                <w:szCs w:val="22"/>
                <w:color w:val="auto"/>
              </w:rPr>
            </w:pPr>
          </w:p>
        </w:tc>
        <w:tc>
          <w:tcPr>
            <w:tcW w:w="9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(1,119)</w:t>
            </w:r>
          </w:p>
        </w:tc>
        <w:tc>
          <w:tcPr>
            <w:tcW w:w="120" w:type="dxa"/>
            <w:vAlign w:val="bottom"/>
            <w:tcBorders>
              <w:bottom w:val="single" w:sz="8" w:color="CEFFE7"/>
            </w:tcBorders>
            <w:shd w:val="clear" w:color="auto" w:fill="CEFFE7"/>
          </w:tcPr>
          <w:p>
            <w:pPr>
              <w:spacing w:after="0"/>
              <w:rPr>
                <w:sz w:val="22"/>
                <w:szCs w:val="22"/>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1,098</w:t>
            </w:r>
          </w:p>
        </w:tc>
        <w:tc>
          <w:tcPr>
            <w:tcW w:w="240" w:type="dxa"/>
            <w:vAlign w:val="bottom"/>
            <w:tcBorders>
              <w:bottom w:val="single" w:sz="8" w:color="CEFFE7"/>
            </w:tcBorders>
            <w:shd w:val="clear" w:color="auto" w:fill="CEFFE7"/>
          </w:tcPr>
          <w:p>
            <w:pPr>
              <w:spacing w:after="0"/>
              <w:rPr>
                <w:sz w:val="22"/>
                <w:szCs w:val="22"/>
                <w:color w:val="auto"/>
              </w:rPr>
            </w:pPr>
          </w:p>
        </w:tc>
        <w:tc>
          <w:tcPr>
            <w:tcW w:w="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600</w:t>
            </w:r>
          </w:p>
        </w:tc>
        <w:tc>
          <w:tcPr>
            <w:tcW w:w="180" w:type="dxa"/>
            <w:vAlign w:val="bottom"/>
            <w:tcBorders>
              <w:bottom w:val="single" w:sz="8" w:color="CEFFE7"/>
            </w:tcBorders>
            <w:shd w:val="clear" w:color="auto" w:fill="CEFFE7"/>
          </w:tcPr>
          <w:p>
            <w:pPr>
              <w:spacing w:after="0"/>
              <w:rPr>
                <w:sz w:val="22"/>
                <w:szCs w:val="22"/>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(993)</w:t>
            </w:r>
          </w:p>
        </w:tc>
        <w:tc>
          <w:tcPr>
            <w:tcW w:w="240" w:type="dxa"/>
            <w:vAlign w:val="bottom"/>
            <w:tcBorders>
              <w:bottom w:val="single" w:sz="8" w:color="CEFFE7"/>
            </w:tcBorders>
            <w:shd w:val="clear" w:color="auto" w:fill="CEFFE7"/>
          </w:tcPr>
          <w:p>
            <w:pPr>
              <w:spacing w:after="0"/>
              <w:rPr>
                <w:sz w:val="22"/>
                <w:szCs w:val="22"/>
                <w:color w:val="auto"/>
              </w:rPr>
            </w:pPr>
          </w:p>
        </w:tc>
        <w:tc>
          <w:tcPr>
            <w:tcW w:w="7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(160)</w:t>
            </w:r>
          </w:p>
        </w:tc>
      </w:tr>
      <w:tr>
        <w:trPr>
          <w:trHeight w:val="284"/>
        </w:trPr>
        <w:tc>
          <w:tcPr>
            <w:tcW w:w="40" w:type="dxa"/>
            <w:vAlign w:val="bottom"/>
            <w:tcBorders>
              <w:bottom w:val="single" w:sz="8" w:color="CEFFE7"/>
            </w:tcBorders>
          </w:tcPr>
          <w:p>
            <w:pPr>
              <w:spacing w:after="0"/>
              <w:rPr>
                <w:sz w:val="24"/>
                <w:szCs w:val="24"/>
                <w:color w:val="auto"/>
              </w:rPr>
            </w:pPr>
          </w:p>
        </w:tc>
        <w:tc>
          <w:tcPr>
            <w:tcW w:w="5140" w:type="dxa"/>
            <w:vAlign w:val="bottom"/>
            <w:tcBorders>
              <w:bottom w:val="single" w:sz="8" w:color="CEFFE7"/>
            </w:tcBorders>
            <w:gridSpan w:val="2"/>
          </w:tcPr>
          <w:p>
            <w:pPr>
              <w:spacing w:after="0"/>
              <w:rPr>
                <w:sz w:val="20"/>
                <w:szCs w:val="20"/>
                <w:color w:val="auto"/>
              </w:rPr>
            </w:pPr>
            <w:r>
              <w:rPr>
                <w:rFonts w:ascii="Arial" w:cs="Arial" w:eastAsia="Arial" w:hAnsi="Arial"/>
                <w:sz w:val="16"/>
                <w:szCs w:val="16"/>
                <w:color w:val="auto"/>
              </w:rPr>
              <w:t>Total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182,927</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411,080</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25,245</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16,429</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(37,871)</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597,810</w:t>
            </w:r>
          </w:p>
        </w:tc>
      </w:tr>
      <w:tr>
        <w:trPr>
          <w:trHeight w:val="176"/>
        </w:trPr>
        <w:tc>
          <w:tcPr>
            <w:tcW w:w="40" w:type="dxa"/>
            <w:vAlign w:val="bottom"/>
            <w:shd w:val="clear" w:color="auto" w:fill="CEFFE7"/>
          </w:tcPr>
          <w:p>
            <w:pPr>
              <w:spacing w:after="0"/>
              <w:rPr>
                <w:sz w:val="15"/>
                <w:szCs w:val="15"/>
                <w:color w:val="auto"/>
              </w:rPr>
            </w:pPr>
          </w:p>
        </w:tc>
        <w:tc>
          <w:tcPr>
            <w:tcW w:w="1100" w:type="dxa"/>
            <w:vAlign w:val="bottom"/>
            <w:shd w:val="clear" w:color="auto" w:fill="CEFFE7"/>
          </w:tcPr>
          <w:p>
            <w:pPr>
              <w:spacing w:after="0"/>
              <w:rPr>
                <w:sz w:val="15"/>
                <w:szCs w:val="15"/>
                <w:color w:val="auto"/>
              </w:rPr>
            </w:pPr>
          </w:p>
        </w:tc>
        <w:tc>
          <w:tcPr>
            <w:tcW w:w="4040" w:type="dxa"/>
            <w:vAlign w:val="bottom"/>
            <w:shd w:val="clear" w:color="auto" w:fill="CEFFE7"/>
          </w:tcPr>
          <w:p>
            <w:pPr>
              <w:spacing w:after="0"/>
              <w:rPr>
                <w:sz w:val="15"/>
                <w:szCs w:val="15"/>
                <w:color w:val="auto"/>
              </w:rPr>
            </w:pPr>
          </w:p>
        </w:tc>
        <w:tc>
          <w:tcPr>
            <w:tcW w:w="180" w:type="dxa"/>
            <w:vAlign w:val="bottom"/>
            <w:shd w:val="clear" w:color="auto" w:fill="CEFFE7"/>
          </w:tcPr>
          <w:p>
            <w:pPr>
              <w:spacing w:after="0"/>
              <w:rPr>
                <w:sz w:val="15"/>
                <w:szCs w:val="15"/>
                <w:color w:val="auto"/>
              </w:rPr>
            </w:pPr>
          </w:p>
        </w:tc>
        <w:tc>
          <w:tcPr>
            <w:tcW w:w="820" w:type="dxa"/>
            <w:vAlign w:val="bottom"/>
            <w:shd w:val="clear" w:color="auto" w:fill="CEFFE7"/>
          </w:tcPr>
          <w:p>
            <w:pPr>
              <w:spacing w:after="0"/>
              <w:rPr>
                <w:sz w:val="15"/>
                <w:szCs w:val="15"/>
                <w:color w:val="auto"/>
              </w:rPr>
            </w:pPr>
          </w:p>
        </w:tc>
        <w:tc>
          <w:tcPr>
            <w:tcW w:w="160" w:type="dxa"/>
            <w:vAlign w:val="bottom"/>
            <w:shd w:val="clear" w:color="auto" w:fill="CEFFE7"/>
          </w:tcPr>
          <w:p>
            <w:pPr>
              <w:spacing w:after="0"/>
              <w:rPr>
                <w:sz w:val="15"/>
                <w:szCs w:val="15"/>
                <w:color w:val="auto"/>
              </w:rPr>
            </w:pPr>
          </w:p>
        </w:tc>
        <w:tc>
          <w:tcPr>
            <w:tcW w:w="9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840" w:type="dxa"/>
            <w:vAlign w:val="bottom"/>
            <w:shd w:val="clear" w:color="auto" w:fill="CEFFE7"/>
          </w:tcPr>
          <w:p>
            <w:pPr>
              <w:spacing w:after="0"/>
              <w:rPr>
                <w:sz w:val="15"/>
                <w:szCs w:val="15"/>
                <w:color w:val="auto"/>
              </w:rPr>
            </w:pPr>
          </w:p>
        </w:tc>
        <w:tc>
          <w:tcPr>
            <w:tcW w:w="240" w:type="dxa"/>
            <w:vAlign w:val="bottom"/>
            <w:shd w:val="clear" w:color="auto" w:fill="CEFFE7"/>
          </w:tcPr>
          <w:p>
            <w:pPr>
              <w:spacing w:after="0"/>
              <w:rPr>
                <w:sz w:val="15"/>
                <w:szCs w:val="15"/>
                <w:color w:val="auto"/>
              </w:rPr>
            </w:pPr>
          </w:p>
        </w:tc>
        <w:tc>
          <w:tcPr>
            <w:tcW w:w="760" w:type="dxa"/>
            <w:vAlign w:val="bottom"/>
            <w:shd w:val="clear" w:color="auto" w:fill="CEFFE7"/>
          </w:tcPr>
          <w:p>
            <w:pPr>
              <w:spacing w:after="0"/>
              <w:rPr>
                <w:sz w:val="15"/>
                <w:szCs w:val="15"/>
                <w:color w:val="auto"/>
              </w:rPr>
            </w:pPr>
          </w:p>
        </w:tc>
        <w:tc>
          <w:tcPr>
            <w:tcW w:w="180" w:type="dxa"/>
            <w:vAlign w:val="bottom"/>
            <w:shd w:val="clear" w:color="auto" w:fill="CEFFE7"/>
          </w:tcPr>
          <w:p>
            <w:pPr>
              <w:spacing w:after="0"/>
              <w:rPr>
                <w:sz w:val="15"/>
                <w:szCs w:val="15"/>
                <w:color w:val="auto"/>
              </w:rPr>
            </w:pPr>
          </w:p>
        </w:tc>
        <w:tc>
          <w:tcPr>
            <w:tcW w:w="840" w:type="dxa"/>
            <w:vAlign w:val="bottom"/>
            <w:shd w:val="clear" w:color="auto" w:fill="CEFFE7"/>
          </w:tcPr>
          <w:p>
            <w:pPr>
              <w:spacing w:after="0"/>
              <w:rPr>
                <w:sz w:val="15"/>
                <w:szCs w:val="15"/>
                <w:color w:val="auto"/>
              </w:rPr>
            </w:pPr>
          </w:p>
        </w:tc>
        <w:tc>
          <w:tcPr>
            <w:tcW w:w="240" w:type="dxa"/>
            <w:vAlign w:val="bottom"/>
            <w:shd w:val="clear" w:color="auto" w:fill="CEFFE7"/>
          </w:tcPr>
          <w:p>
            <w:pPr>
              <w:spacing w:after="0"/>
              <w:rPr>
                <w:sz w:val="15"/>
                <w:szCs w:val="15"/>
                <w:color w:val="auto"/>
              </w:rPr>
            </w:pPr>
          </w:p>
        </w:tc>
        <w:tc>
          <w:tcPr>
            <w:tcW w:w="780" w:type="dxa"/>
            <w:vAlign w:val="bottom"/>
            <w:shd w:val="clear" w:color="auto" w:fill="CEFFE7"/>
          </w:tcPr>
          <w:p>
            <w:pPr>
              <w:spacing w:after="0"/>
              <w:rPr>
                <w:sz w:val="15"/>
                <w:szCs w:val="15"/>
                <w:color w:val="auto"/>
              </w:rPr>
            </w:pPr>
          </w:p>
        </w:tc>
      </w:tr>
    </w:tbl>
    <w:p>
      <w:pPr>
        <w:spacing w:after="0" w:line="31" w:lineRule="exact"/>
        <w:rPr>
          <w:sz w:val="20"/>
          <w:szCs w:val="20"/>
          <w:color w:val="auto"/>
        </w:rPr>
      </w:pPr>
    </w:p>
    <w:p>
      <w:pPr>
        <w:sectPr>
          <w:pgSz w:w="11900" w:h="16838" w:orient="portrait"/>
          <w:cols w:equalWidth="0" w:num="1">
            <w:col w:w="11240"/>
          </w:cols>
          <w:pgMar w:left="320" w:top="126" w:right="339" w:bottom="1440" w:gutter="0" w:footer="0" w:header="0"/>
          <w:type w:val="continuous"/>
        </w:sectPr>
      </w:pPr>
    </w:p>
    <w:p>
      <w:pPr>
        <w:ind w:left="180" w:right="1720" w:hanging="134"/>
        <w:spacing w:after="0" w:line="418" w:lineRule="auto"/>
        <w:rPr>
          <w:sz w:val="20"/>
          <w:szCs w:val="20"/>
          <w:color w:val="auto"/>
        </w:rPr>
      </w:pPr>
      <w:r>
        <w:rPr>
          <w:rFonts w:ascii="Arial" w:cs="Arial" w:eastAsia="Arial" w:hAnsi="Arial"/>
          <w:sz w:val="14"/>
          <w:szCs w:val="14"/>
          <w:u w:val="single" w:color="auto"/>
          <w:color w:val="auto"/>
        </w:rPr>
        <w:t xml:space="preserve">Timing of Revenue Recognition: </w:t>
      </w:r>
      <w:r>
        <w:rPr>
          <w:rFonts w:ascii="Arial" w:cs="Arial" w:eastAsia="Arial" w:hAnsi="Arial"/>
          <w:sz w:val="14"/>
          <w:szCs w:val="14"/>
          <w:color w:val="auto"/>
        </w:rPr>
        <w:t>Services transferred at a point in time Services transferred over time Revenue from contracts with customers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15,829</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(8,128)</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7,701</w:t>
            </w:r>
          </w:p>
        </w:tc>
      </w:tr>
      <w:tr>
        <w:trPr>
          <w:trHeight w:val="257"/>
        </w:trPr>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182,673</w:t>
            </w:r>
          </w:p>
        </w:tc>
        <w:tc>
          <w:tcPr>
            <w:tcW w:w="2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412,199</w:t>
            </w:r>
          </w:p>
        </w:tc>
        <w:tc>
          <w:tcPr>
            <w:tcW w:w="3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24,147</w:t>
            </w:r>
          </w:p>
        </w:tc>
        <w:tc>
          <w:tcPr>
            <w:tcW w:w="3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(28,750)</w:t>
            </w:r>
          </w:p>
        </w:tc>
        <w:tc>
          <w:tcPr>
            <w:tcW w:w="26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590,269</w:t>
            </w:r>
          </w:p>
        </w:tc>
      </w:tr>
      <w:tr>
        <w:trPr>
          <w:trHeight w:val="33"/>
        </w:trPr>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7"/>
        </w:trPr>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182,673</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412,199</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24,147</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15,829</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(36,878)</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597,970</w:t>
            </w:r>
          </w:p>
        </w:tc>
      </w:tr>
      <w:tr>
        <w:trPr>
          <w:trHeight w:val="33"/>
        </w:trPr>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-3283585</wp:posOffset>
            </wp:positionH>
            <wp:positionV relativeFrom="paragraph">
              <wp:posOffset>-522605</wp:posOffset>
            </wp:positionV>
            <wp:extent cx="7132320" cy="1625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-196850</wp:posOffset>
            </wp:positionV>
            <wp:extent cx="7132320" cy="1803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58" w:lineRule="exact"/>
        <w:rPr>
          <w:sz w:val="20"/>
          <w:szCs w:val="20"/>
          <w:color w:val="auto"/>
        </w:rPr>
      </w:pPr>
    </w:p>
    <w:p>
      <w:pPr>
        <w:sectPr>
          <w:pgSz w:w="11900" w:h="16838" w:orient="portrait"/>
          <w:cols w:equalWidth="0" w:num="2">
            <w:col w:w="4460" w:space="720"/>
            <w:col w:w="6060"/>
          </w:cols>
          <w:pgMar w:left="320" w:top="126" w:right="339" w:bottom="1440" w:gutter="0" w:footer="0" w:header="0"/>
          <w:type w:val="continuous"/>
        </w:sect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126" w:right="339" w:bottom="1440" w:gutter="0" w:footer="0" w:header="0"/>
          <w:type w:val="continuous"/>
        </w:sectPr>
      </w:pPr>
    </w:p>
    <w:bookmarkStart w:id="15" w:name="page16"/>
    <w:bookmarkEnd w:id="1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66" w:lineRule="exact"/>
        <w:rPr>
          <w:sz w:val="20"/>
          <w:szCs w:val="20"/>
          <w:color w:val="auto"/>
        </w:rPr>
      </w:pPr>
    </w:p>
    <w:p>
      <w:pPr>
        <w:ind w:right="2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The nature of our primary revenue contracts provides an unconditional right to consideration upon service delivery; therefore, no customer contract assets or liabilities exist. The unconditional right to consideration is represented by the balance in our Accounts Receivable further discussed in </w:t>
      </w:r>
      <w:hyperlink w:anchor="page17">
        <w:r>
          <w:rPr>
            <w:rFonts w:ascii="Arial" w:cs="Arial" w:eastAsia="Arial" w:hAnsi="Arial"/>
            <w:sz w:val="18"/>
            <w:szCs w:val="18"/>
            <w:u w:val="single" w:color="auto"/>
            <w:color w:val="0000EE"/>
          </w:rPr>
          <w:t>Note 4</w:t>
        </w:r>
      </w:hyperlink>
      <w:r>
        <w:rPr>
          <w:rFonts w:ascii="Arial" w:cs="Arial" w:eastAsia="Arial" w:hAnsi="Arial"/>
          <w:sz w:val="18"/>
          <w:szCs w:val="18"/>
          <w:color w:val="auto"/>
        </w:rPr>
        <w:t>. We do not typically incur costs that would be capitalized to obtain or fulfill a revenue contract.</w:t>
      </w:r>
    </w:p>
    <w:p>
      <w:pPr>
        <w:spacing w:after="0" w:line="396" w:lineRule="exact"/>
        <w:rPr>
          <w:sz w:val="20"/>
          <w:szCs w:val="20"/>
          <w:color w:val="auto"/>
        </w:rPr>
      </w:pPr>
    </w:p>
    <w:p>
      <w:pPr>
        <w:ind w:left="400" w:hanging="392"/>
        <w:spacing w:after="0"/>
        <w:tabs>
          <w:tab w:leader="none" w:pos="4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Our reportable segments are based on our method of internal reporting, which is generally segregated by differences in products, services and regulation.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of our operations and assets are located within the United States.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252525"/>
        </w:rPr>
        <w:t>Segment and Corporate and Other information is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4"/>
          </w:tcPr>
          <w:p>
            <w:pPr>
              <w:jc w:val="center"/>
              <w:spacing w:after="0"/>
              <w:rPr>
                <w:sz w:val="20"/>
                <w:szCs w:val="20"/>
                <w:color w:val="auto"/>
              </w:rPr>
            </w:pPr>
            <w:r>
              <w:rPr>
                <w:rFonts w:ascii="Arial" w:cs="Arial" w:eastAsia="Arial" w:hAnsi="Arial"/>
                <w:sz w:val="18"/>
                <w:szCs w:val="18"/>
                <w:color w:val="auto"/>
                <w:w w:val="91"/>
              </w:rPr>
              <w:t>External Operating</w:t>
            </w:r>
          </w:p>
        </w:tc>
        <w:tc>
          <w:tcPr>
            <w:tcW w:w="140" w:type="dxa"/>
            <w:vAlign w:val="bottom"/>
          </w:tcPr>
          <w:p>
            <w:pPr>
              <w:spacing w:after="0"/>
              <w:rPr>
                <w:sz w:val="18"/>
                <w:szCs w:val="18"/>
                <w:color w:val="auto"/>
              </w:rPr>
            </w:pPr>
          </w:p>
        </w:tc>
        <w:tc>
          <w:tcPr>
            <w:tcW w:w="2200" w:type="dxa"/>
            <w:vAlign w:val="bottom"/>
            <w:gridSpan w:val="4"/>
          </w:tcPr>
          <w:p>
            <w:pPr>
              <w:jc w:val="center"/>
              <w:ind w:right="220"/>
              <w:spacing w:after="0"/>
              <w:rPr>
                <w:sz w:val="20"/>
                <w:szCs w:val="20"/>
                <w:color w:val="auto"/>
              </w:rPr>
            </w:pPr>
            <w:r>
              <w:rPr>
                <w:rFonts w:ascii="Arial" w:cs="Arial" w:eastAsia="Arial" w:hAnsi="Arial"/>
                <w:sz w:val="18"/>
                <w:szCs w:val="18"/>
                <w:color w:val="auto"/>
                <w:w w:val="91"/>
              </w:rPr>
              <w:t>Inter-company Operating</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gridSpan w:val="4"/>
          </w:tcPr>
          <w:p>
            <w:pPr>
              <w:jc w:val="center"/>
              <w:spacing w:after="0"/>
              <w:rPr>
                <w:sz w:val="20"/>
                <w:szCs w:val="20"/>
                <w:color w:val="auto"/>
              </w:rPr>
            </w:pPr>
            <w:r>
              <w:rPr>
                <w:rFonts w:ascii="Arial" w:cs="Arial" w:eastAsia="Arial" w:hAnsi="Arial"/>
                <w:sz w:val="18"/>
                <w:szCs w:val="18"/>
                <w:color w:val="auto"/>
                <w:w w:val="85"/>
              </w:rPr>
              <w:t>Revenue</w:t>
            </w:r>
          </w:p>
        </w:tc>
        <w:tc>
          <w:tcPr>
            <w:tcW w:w="140" w:type="dxa"/>
            <w:vAlign w:val="bottom"/>
          </w:tcPr>
          <w:p>
            <w:pPr>
              <w:spacing w:after="0"/>
              <w:rPr>
                <w:sz w:val="20"/>
                <w:szCs w:val="20"/>
                <w:color w:val="auto"/>
              </w:rPr>
            </w:pPr>
          </w:p>
        </w:tc>
        <w:tc>
          <w:tcPr>
            <w:tcW w:w="2200" w:type="dxa"/>
            <w:vAlign w:val="bottom"/>
            <w:gridSpan w:val="4"/>
          </w:tcPr>
          <w:p>
            <w:pPr>
              <w:jc w:val="center"/>
              <w:ind w:right="240"/>
              <w:spacing w:after="0"/>
              <w:rPr>
                <w:sz w:val="20"/>
                <w:szCs w:val="20"/>
                <w:color w:val="auto"/>
              </w:rPr>
            </w:pPr>
            <w:r>
              <w:rPr>
                <w:rFonts w:ascii="Arial" w:cs="Arial" w:eastAsia="Arial" w:hAnsi="Arial"/>
                <w:sz w:val="18"/>
                <w:szCs w:val="18"/>
                <w:color w:val="auto"/>
                <w:w w:val="88"/>
              </w:rPr>
              <w:t>Revenue</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56"/>
        </w:trPr>
        <w:tc>
          <w:tcPr>
            <w:tcW w:w="5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Contract</w:t>
            </w:r>
          </w:p>
        </w:tc>
        <w:tc>
          <w:tcPr>
            <w:tcW w:w="200" w:type="dxa"/>
            <w:vAlign w:val="bottom"/>
          </w:tcPr>
          <w:p>
            <w:pPr>
              <w:spacing w:after="0"/>
              <w:rPr>
                <w:sz w:val="22"/>
                <w:szCs w:val="22"/>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Other</w:t>
            </w:r>
          </w:p>
        </w:tc>
        <w:tc>
          <w:tcPr>
            <w:tcW w:w="140" w:type="dxa"/>
            <w:vAlign w:val="bottom"/>
          </w:tcPr>
          <w:p>
            <w:pPr>
              <w:spacing w:after="0"/>
              <w:rPr>
                <w:sz w:val="22"/>
                <w:szCs w:val="22"/>
                <w:color w:val="auto"/>
              </w:rPr>
            </w:pPr>
          </w:p>
        </w:tc>
        <w:tc>
          <w:tcPr>
            <w:tcW w:w="960" w:type="dxa"/>
            <w:vAlign w:val="bottom"/>
          </w:tcPr>
          <w:p>
            <w:pPr>
              <w:jc w:val="center"/>
              <w:ind w:right="10"/>
              <w:spacing w:after="0"/>
              <w:rPr>
                <w:sz w:val="20"/>
                <w:szCs w:val="20"/>
                <w:color w:val="auto"/>
              </w:rPr>
            </w:pPr>
            <w:r>
              <w:rPr>
                <w:rFonts w:ascii="Arial" w:cs="Arial" w:eastAsia="Arial" w:hAnsi="Arial"/>
                <w:sz w:val="18"/>
                <w:szCs w:val="18"/>
                <w:color w:val="auto"/>
                <w:w w:val="91"/>
              </w:rPr>
              <w:t>Contract</w:t>
            </w:r>
          </w:p>
        </w:tc>
        <w:tc>
          <w:tcPr>
            <w:tcW w:w="180" w:type="dxa"/>
            <w:vAlign w:val="bottom"/>
          </w:tcPr>
          <w:p>
            <w:pPr>
              <w:spacing w:after="0"/>
              <w:rPr>
                <w:sz w:val="22"/>
                <w:szCs w:val="22"/>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Other</w:t>
            </w:r>
          </w:p>
        </w:tc>
        <w:tc>
          <w:tcPr>
            <w:tcW w:w="160" w:type="dxa"/>
            <w:vAlign w:val="bottom"/>
          </w:tcPr>
          <w:p>
            <w:pPr>
              <w:spacing w:after="0"/>
              <w:rPr>
                <w:sz w:val="22"/>
                <w:szCs w:val="22"/>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color w:val="auto"/>
                <w:w w:val="89"/>
              </w:rPr>
              <w:t>Total</w:t>
            </w:r>
          </w:p>
        </w:tc>
      </w:tr>
      <w:tr>
        <w:trPr>
          <w:trHeight w:val="230"/>
        </w:trPr>
        <w:tc>
          <w:tcPr>
            <w:tcW w:w="5400" w:type="dxa"/>
            <w:vAlign w:val="bottom"/>
          </w:tcPr>
          <w:p>
            <w:pPr>
              <w:ind w:left="40"/>
              <w:spacing w:after="0"/>
              <w:rPr>
                <w:sz w:val="20"/>
                <w:szCs w:val="20"/>
                <w:color w:val="auto"/>
              </w:rPr>
            </w:pPr>
            <w:r>
              <w:rPr>
                <w:rFonts w:ascii="Arial" w:cs="Arial" w:eastAsia="Arial" w:hAnsi="Arial"/>
                <w:sz w:val="18"/>
                <w:szCs w:val="18"/>
                <w:color w:val="auto"/>
              </w:rPr>
              <w:t>Three Months Ended March 31, 2020</w:t>
            </w:r>
          </w:p>
        </w:tc>
        <w:tc>
          <w:tcPr>
            <w:tcW w:w="12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Customers</w:t>
            </w:r>
          </w:p>
        </w:tc>
        <w:tc>
          <w:tcPr>
            <w:tcW w:w="20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Revenues</w:t>
            </w:r>
          </w:p>
        </w:tc>
        <w:tc>
          <w:tcPr>
            <w:tcW w:w="140" w:type="dxa"/>
            <w:vAlign w:val="bottom"/>
          </w:tcPr>
          <w:p>
            <w:pPr>
              <w:spacing w:after="0"/>
              <w:rPr>
                <w:sz w:val="20"/>
                <w:szCs w:val="20"/>
                <w:color w:val="auto"/>
              </w:rPr>
            </w:pPr>
          </w:p>
        </w:tc>
        <w:tc>
          <w:tcPr>
            <w:tcW w:w="960" w:type="dxa"/>
            <w:vAlign w:val="bottom"/>
          </w:tcPr>
          <w:p>
            <w:pPr>
              <w:jc w:val="center"/>
              <w:ind w:right="50"/>
              <w:spacing w:after="0"/>
              <w:rPr>
                <w:sz w:val="20"/>
                <w:szCs w:val="20"/>
                <w:color w:val="auto"/>
              </w:rPr>
            </w:pPr>
            <w:r>
              <w:rPr>
                <w:rFonts w:ascii="Arial" w:cs="Arial" w:eastAsia="Arial" w:hAnsi="Arial"/>
                <w:sz w:val="18"/>
                <w:szCs w:val="18"/>
                <w:color w:val="auto"/>
                <w:w w:val="89"/>
              </w:rPr>
              <w:t>Customers</w:t>
            </w:r>
          </w:p>
        </w:tc>
        <w:tc>
          <w:tcPr>
            <w:tcW w:w="1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Revenues</w:t>
            </w:r>
          </w:p>
        </w:tc>
        <w:tc>
          <w:tcPr>
            <w:tcW w:w="160" w:type="dxa"/>
            <w:vAlign w:val="bottom"/>
          </w:tcPr>
          <w:p>
            <w:pPr>
              <w:spacing w:after="0"/>
              <w:rPr>
                <w:sz w:val="20"/>
                <w:szCs w:val="20"/>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color w:val="auto"/>
                <w:w w:val="83"/>
              </w:rPr>
              <w:t>Revenues</w:t>
            </w:r>
          </w:p>
        </w:tc>
      </w:tr>
      <w:tr>
        <w:trPr>
          <w:trHeight w:val="27"/>
        </w:trPr>
        <w:tc>
          <w:tcPr>
            <w:tcW w:w="5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400" w:type="dxa"/>
            <w:vAlign w:val="bottom"/>
          </w:tcPr>
          <w:p>
            <w:pPr>
              <w:ind w:left="40"/>
              <w:spacing w:after="0"/>
              <w:rPr>
                <w:sz w:val="20"/>
                <w:szCs w:val="20"/>
                <w:color w:val="auto"/>
              </w:rPr>
            </w:pPr>
            <w:r>
              <w:rPr>
                <w:rFonts w:ascii="Arial" w:cs="Arial" w:eastAsia="Arial" w:hAnsi="Arial"/>
                <w:sz w:val="18"/>
                <w:szCs w:val="18"/>
                <w:color w:val="auto"/>
              </w:rPr>
              <w:t>Segment:</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4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Electric Utilities</w:t>
            </w:r>
          </w:p>
        </w:tc>
        <w:tc>
          <w:tcPr>
            <w:tcW w:w="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167,503</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6,413</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EFFE7"/>
            </w:tcBorders>
            <w:gridSpan w:val="2"/>
            <w:shd w:val="clear" w:color="auto" w:fill="CEFFE7"/>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174,139</w:t>
            </w:r>
          </w:p>
        </w:tc>
      </w:tr>
      <w:tr>
        <w:trPr>
          <w:trHeight w:val="243"/>
        </w:trPr>
        <w:tc>
          <w:tcPr>
            <w:tcW w:w="5400" w:type="dxa"/>
            <w:vAlign w:val="bottom"/>
          </w:tcPr>
          <w:p>
            <w:pPr>
              <w:ind w:left="180"/>
              <w:spacing w:after="0"/>
              <w:rPr>
                <w:sz w:val="20"/>
                <w:szCs w:val="20"/>
                <w:color w:val="auto"/>
              </w:rPr>
            </w:pPr>
            <w:r>
              <w:rPr>
                <w:rFonts w:ascii="Arial" w:cs="Arial" w:eastAsia="Arial" w:hAnsi="Arial"/>
                <w:sz w:val="18"/>
                <w:szCs w:val="18"/>
                <w:color w:val="auto"/>
              </w:rPr>
              <w:t>Gas Utilities</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354,287</w:t>
            </w:r>
          </w:p>
        </w:tc>
        <w:tc>
          <w:tcPr>
            <w:tcW w:w="2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5,708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778</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360,773</w:t>
            </w:r>
          </w:p>
        </w:tc>
      </w:tr>
      <w:tr>
        <w:trPr>
          <w:trHeight w:val="27"/>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4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Power Generation</w:t>
            </w:r>
          </w:p>
        </w:tc>
        <w:tc>
          <w:tcPr>
            <w:tcW w:w="12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1,855</w:t>
            </w:r>
          </w:p>
        </w:tc>
        <w:tc>
          <w:tcPr>
            <w:tcW w:w="2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443</w:t>
            </w:r>
          </w:p>
        </w:tc>
        <w:tc>
          <w:tcPr>
            <w:tcW w:w="12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23,612</w:t>
            </w:r>
          </w:p>
        </w:tc>
        <w:tc>
          <w:tcPr>
            <w:tcW w:w="18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25,966</w:t>
            </w:r>
          </w:p>
        </w:tc>
      </w:tr>
      <w:tr>
        <w:trPr>
          <w:trHeight w:val="243"/>
        </w:trPr>
        <w:tc>
          <w:tcPr>
            <w:tcW w:w="5400" w:type="dxa"/>
            <w:vAlign w:val="bottom"/>
          </w:tcPr>
          <w:p>
            <w:pPr>
              <w:ind w:left="180"/>
              <w:spacing w:after="0"/>
              <w:rPr>
                <w:sz w:val="20"/>
                <w:szCs w:val="20"/>
                <w:color w:val="auto"/>
              </w:rPr>
            </w:pPr>
            <w:r>
              <w:rPr>
                <w:rFonts w:ascii="Arial" w:cs="Arial" w:eastAsia="Arial" w:hAnsi="Arial"/>
                <w:sz w:val="18"/>
                <w:szCs w:val="18"/>
                <w:color w:val="auto"/>
              </w:rPr>
              <w:t>Mining</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6,564</w:t>
            </w:r>
          </w:p>
        </w:tc>
        <w:tc>
          <w:tcPr>
            <w:tcW w:w="2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467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7,839</w:t>
            </w: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15,205</w:t>
            </w:r>
          </w:p>
        </w:tc>
      </w:tr>
      <w:tr>
        <w:trPr>
          <w:trHeight w:val="27"/>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4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Inter-company eliminations</w:t>
            </w:r>
          </w:p>
        </w:tc>
        <w:tc>
          <w:tcPr>
            <w:tcW w:w="12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EFFE7"/>
            </w:tcBorders>
            <w:shd w:val="clear" w:color="auto" w:fill="CEFFE7"/>
          </w:tcPr>
          <w:p>
            <w:pPr>
              <w:spacing w:after="0"/>
              <w:rPr>
                <w:sz w:val="23"/>
                <w:szCs w:val="23"/>
                <w:color w:val="auto"/>
              </w:rPr>
            </w:pPr>
          </w:p>
        </w:tc>
        <w:tc>
          <w:tcPr>
            <w:tcW w:w="1080" w:type="dxa"/>
            <w:vAlign w:val="bottom"/>
            <w:tcBorders>
              <w:bottom w:val="single" w:sz="8" w:color="CEFFE7"/>
            </w:tcBorders>
            <w:gridSpan w:val="2"/>
            <w:shd w:val="clear" w:color="auto" w:fill="CEFFE7"/>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(38,642)</w:t>
            </w:r>
          </w:p>
        </w:tc>
        <w:tc>
          <w:tcPr>
            <w:tcW w:w="18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EFFE7"/>
            </w:tcBorders>
            <w:shd w:val="clear" w:color="auto" w:fill="CEFFE7"/>
          </w:tcPr>
          <w:p>
            <w:pPr>
              <w:spacing w:after="0"/>
              <w:rPr>
                <w:sz w:val="23"/>
                <w:szCs w:val="23"/>
                <w:color w:val="auto"/>
              </w:rPr>
            </w:pPr>
          </w:p>
        </w:tc>
        <w:tc>
          <w:tcPr>
            <w:tcW w:w="16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(39,033)</w:t>
            </w:r>
          </w:p>
        </w:tc>
      </w:tr>
      <w:tr>
        <w:trPr>
          <w:trHeight w:val="257"/>
        </w:trPr>
        <w:tc>
          <w:tcPr>
            <w:tcW w:w="5400" w:type="dxa"/>
            <w:vAlign w:val="bottom"/>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530,209</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6,841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537,050</w:t>
            </w:r>
          </w:p>
        </w:tc>
      </w:tr>
      <w:tr>
        <w:trPr>
          <w:trHeight w:val="20"/>
        </w:trPr>
        <w:tc>
          <w:tcPr>
            <w:tcW w:w="5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472"/>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0" w:type="dxa"/>
            <w:vAlign w:val="bottom"/>
            <w:gridSpan w:val="4"/>
          </w:tcPr>
          <w:p>
            <w:pPr>
              <w:jc w:val="center"/>
              <w:ind w:right="220"/>
              <w:spacing w:after="0"/>
              <w:rPr>
                <w:sz w:val="20"/>
                <w:szCs w:val="20"/>
                <w:color w:val="auto"/>
              </w:rPr>
            </w:pPr>
            <w:r>
              <w:rPr>
                <w:rFonts w:ascii="Arial" w:cs="Arial" w:eastAsia="Arial" w:hAnsi="Arial"/>
                <w:sz w:val="18"/>
                <w:szCs w:val="18"/>
                <w:color w:val="auto"/>
                <w:w w:val="91"/>
              </w:rPr>
              <w:t>Inter-company Operating</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0"/>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gridSpan w:val="4"/>
          </w:tcPr>
          <w:p>
            <w:pPr>
              <w:spacing w:after="0"/>
              <w:rPr>
                <w:sz w:val="20"/>
                <w:szCs w:val="20"/>
                <w:color w:val="auto"/>
              </w:rPr>
            </w:pPr>
            <w:r>
              <w:rPr>
                <w:rFonts w:ascii="Arial" w:cs="Arial" w:eastAsia="Arial" w:hAnsi="Arial"/>
                <w:sz w:val="18"/>
                <w:szCs w:val="18"/>
                <w:color w:val="auto"/>
                <w:w w:val="98"/>
              </w:rPr>
              <w:t>External Operating Revenue</w:t>
            </w:r>
          </w:p>
        </w:tc>
        <w:tc>
          <w:tcPr>
            <w:tcW w:w="140" w:type="dxa"/>
            <w:vAlign w:val="bottom"/>
          </w:tcPr>
          <w:p>
            <w:pPr>
              <w:spacing w:after="0"/>
              <w:rPr>
                <w:sz w:val="20"/>
                <w:szCs w:val="20"/>
                <w:color w:val="auto"/>
              </w:rPr>
            </w:pPr>
          </w:p>
        </w:tc>
        <w:tc>
          <w:tcPr>
            <w:tcW w:w="2200" w:type="dxa"/>
            <w:vAlign w:val="bottom"/>
            <w:gridSpan w:val="4"/>
          </w:tcPr>
          <w:p>
            <w:pPr>
              <w:jc w:val="center"/>
              <w:ind w:right="240"/>
              <w:spacing w:after="0"/>
              <w:rPr>
                <w:sz w:val="20"/>
                <w:szCs w:val="20"/>
                <w:color w:val="auto"/>
              </w:rPr>
            </w:pPr>
            <w:r>
              <w:rPr>
                <w:rFonts w:ascii="Arial" w:cs="Arial" w:eastAsia="Arial" w:hAnsi="Arial"/>
                <w:sz w:val="18"/>
                <w:szCs w:val="18"/>
                <w:color w:val="auto"/>
                <w:w w:val="88"/>
              </w:rPr>
              <w:t>Revenue</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56"/>
        </w:trPr>
        <w:tc>
          <w:tcPr>
            <w:tcW w:w="5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Contract</w:t>
            </w:r>
          </w:p>
        </w:tc>
        <w:tc>
          <w:tcPr>
            <w:tcW w:w="200" w:type="dxa"/>
            <w:vAlign w:val="bottom"/>
          </w:tcPr>
          <w:p>
            <w:pPr>
              <w:spacing w:after="0"/>
              <w:rPr>
                <w:sz w:val="22"/>
                <w:szCs w:val="22"/>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Other</w:t>
            </w:r>
          </w:p>
        </w:tc>
        <w:tc>
          <w:tcPr>
            <w:tcW w:w="140" w:type="dxa"/>
            <w:vAlign w:val="bottom"/>
          </w:tcPr>
          <w:p>
            <w:pPr>
              <w:spacing w:after="0"/>
              <w:rPr>
                <w:sz w:val="22"/>
                <w:szCs w:val="22"/>
                <w:color w:val="auto"/>
              </w:rPr>
            </w:pPr>
          </w:p>
        </w:tc>
        <w:tc>
          <w:tcPr>
            <w:tcW w:w="960" w:type="dxa"/>
            <w:vAlign w:val="bottom"/>
          </w:tcPr>
          <w:p>
            <w:pPr>
              <w:jc w:val="center"/>
              <w:ind w:right="10"/>
              <w:spacing w:after="0"/>
              <w:rPr>
                <w:sz w:val="20"/>
                <w:szCs w:val="20"/>
                <w:color w:val="auto"/>
              </w:rPr>
            </w:pPr>
            <w:r>
              <w:rPr>
                <w:rFonts w:ascii="Arial" w:cs="Arial" w:eastAsia="Arial" w:hAnsi="Arial"/>
                <w:sz w:val="18"/>
                <w:szCs w:val="18"/>
                <w:color w:val="auto"/>
                <w:w w:val="91"/>
              </w:rPr>
              <w:t>Contract</w:t>
            </w:r>
          </w:p>
        </w:tc>
        <w:tc>
          <w:tcPr>
            <w:tcW w:w="180" w:type="dxa"/>
            <w:vAlign w:val="bottom"/>
          </w:tcPr>
          <w:p>
            <w:pPr>
              <w:spacing w:after="0"/>
              <w:rPr>
                <w:sz w:val="22"/>
                <w:szCs w:val="22"/>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Other</w:t>
            </w:r>
          </w:p>
        </w:tc>
        <w:tc>
          <w:tcPr>
            <w:tcW w:w="160" w:type="dxa"/>
            <w:vAlign w:val="bottom"/>
          </w:tcPr>
          <w:p>
            <w:pPr>
              <w:spacing w:after="0"/>
              <w:rPr>
                <w:sz w:val="22"/>
                <w:szCs w:val="22"/>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89"/>
              </w:rPr>
              <w:t>Total</w:t>
            </w:r>
          </w:p>
        </w:tc>
      </w:tr>
      <w:tr>
        <w:trPr>
          <w:trHeight w:val="230"/>
        </w:trPr>
        <w:tc>
          <w:tcPr>
            <w:tcW w:w="5400" w:type="dxa"/>
            <w:vAlign w:val="bottom"/>
          </w:tcPr>
          <w:p>
            <w:pPr>
              <w:ind w:left="40"/>
              <w:spacing w:after="0"/>
              <w:rPr>
                <w:sz w:val="20"/>
                <w:szCs w:val="20"/>
                <w:color w:val="auto"/>
              </w:rPr>
            </w:pPr>
            <w:r>
              <w:rPr>
                <w:rFonts w:ascii="Arial" w:cs="Arial" w:eastAsia="Arial" w:hAnsi="Arial"/>
                <w:sz w:val="18"/>
                <w:szCs w:val="18"/>
                <w:color w:val="2C2C2C"/>
              </w:rPr>
              <w:t>Three Months Ended March 31, 2019</w:t>
            </w:r>
          </w:p>
        </w:tc>
        <w:tc>
          <w:tcPr>
            <w:tcW w:w="12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Customers</w:t>
            </w:r>
          </w:p>
        </w:tc>
        <w:tc>
          <w:tcPr>
            <w:tcW w:w="20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Revenues</w:t>
            </w:r>
          </w:p>
        </w:tc>
        <w:tc>
          <w:tcPr>
            <w:tcW w:w="140" w:type="dxa"/>
            <w:vAlign w:val="bottom"/>
          </w:tcPr>
          <w:p>
            <w:pPr>
              <w:spacing w:after="0"/>
              <w:rPr>
                <w:sz w:val="20"/>
                <w:szCs w:val="20"/>
                <w:color w:val="auto"/>
              </w:rPr>
            </w:pPr>
          </w:p>
        </w:tc>
        <w:tc>
          <w:tcPr>
            <w:tcW w:w="960" w:type="dxa"/>
            <w:vAlign w:val="bottom"/>
          </w:tcPr>
          <w:p>
            <w:pPr>
              <w:jc w:val="center"/>
              <w:ind w:right="50"/>
              <w:spacing w:after="0"/>
              <w:rPr>
                <w:sz w:val="20"/>
                <w:szCs w:val="20"/>
                <w:color w:val="auto"/>
              </w:rPr>
            </w:pPr>
            <w:r>
              <w:rPr>
                <w:rFonts w:ascii="Arial" w:cs="Arial" w:eastAsia="Arial" w:hAnsi="Arial"/>
                <w:sz w:val="18"/>
                <w:szCs w:val="18"/>
                <w:color w:val="auto"/>
                <w:w w:val="89"/>
              </w:rPr>
              <w:t>Customers</w:t>
            </w:r>
          </w:p>
        </w:tc>
        <w:tc>
          <w:tcPr>
            <w:tcW w:w="1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Revenues</w:t>
            </w:r>
          </w:p>
        </w:tc>
        <w:tc>
          <w:tcPr>
            <w:tcW w:w="160" w:type="dxa"/>
            <w:vAlign w:val="bottom"/>
          </w:tcPr>
          <w:p>
            <w:pPr>
              <w:spacing w:after="0"/>
              <w:rPr>
                <w:sz w:val="20"/>
                <w:szCs w:val="20"/>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color w:val="auto"/>
                <w:w w:val="83"/>
              </w:rPr>
              <w:t>Revenues</w:t>
            </w:r>
          </w:p>
        </w:tc>
      </w:tr>
      <w:tr>
        <w:trPr>
          <w:trHeight w:val="27"/>
        </w:trPr>
        <w:tc>
          <w:tcPr>
            <w:tcW w:w="5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54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Segment:</w:t>
            </w:r>
          </w:p>
        </w:tc>
        <w:tc>
          <w:tcPr>
            <w:tcW w:w="12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spacing w:after="0"/>
              <w:rPr>
                <w:sz w:val="21"/>
                <w:szCs w:val="21"/>
                <w:color w:val="auto"/>
              </w:rPr>
            </w:pPr>
          </w:p>
        </w:tc>
        <w:tc>
          <w:tcPr>
            <w:tcW w:w="10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spacing w:after="0"/>
              <w:rPr>
                <w:sz w:val="21"/>
                <w:szCs w:val="21"/>
                <w:color w:val="auto"/>
              </w:rPr>
            </w:pPr>
          </w:p>
        </w:tc>
      </w:tr>
      <w:tr>
        <w:trPr>
          <w:trHeight w:val="243"/>
        </w:trPr>
        <w:tc>
          <w:tcPr>
            <w:tcW w:w="5400" w:type="dxa"/>
            <w:vAlign w:val="bottom"/>
          </w:tcPr>
          <w:p>
            <w:pPr>
              <w:ind w:left="180"/>
              <w:spacing w:after="0"/>
              <w:rPr>
                <w:sz w:val="20"/>
                <w:szCs w:val="20"/>
                <w:color w:val="auto"/>
              </w:rPr>
            </w:pPr>
            <w:r>
              <w:rPr>
                <w:rFonts w:ascii="Arial" w:cs="Arial" w:eastAsia="Arial" w:hAnsi="Arial"/>
                <w:sz w:val="18"/>
                <w:szCs w:val="18"/>
                <w:color w:val="auto"/>
              </w:rPr>
              <w:t>Electric Utilities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176,663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6,010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182,927</w:t>
            </w:r>
          </w:p>
        </w:tc>
      </w:tr>
      <w:tr>
        <w:trPr>
          <w:trHeight w:val="27"/>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4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Gas Utilities</w:t>
            </w:r>
          </w:p>
        </w:tc>
        <w:tc>
          <w:tcPr>
            <w:tcW w:w="12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411,500</w:t>
            </w:r>
          </w:p>
        </w:tc>
        <w:tc>
          <w:tcPr>
            <w:tcW w:w="2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(1,119)</w:t>
            </w:r>
          </w:p>
        </w:tc>
        <w:tc>
          <w:tcPr>
            <w:tcW w:w="12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699</w:t>
            </w:r>
          </w:p>
        </w:tc>
        <w:tc>
          <w:tcPr>
            <w:tcW w:w="18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gridSpan w:val="2"/>
            <w:shd w:val="clear" w:color="auto" w:fill="CEFFE7"/>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411,080</w:t>
            </w:r>
          </w:p>
        </w:tc>
      </w:tr>
      <w:tr>
        <w:trPr>
          <w:trHeight w:val="243"/>
        </w:trPr>
        <w:tc>
          <w:tcPr>
            <w:tcW w:w="5400" w:type="dxa"/>
            <w:vAlign w:val="bottom"/>
          </w:tcPr>
          <w:p>
            <w:pPr>
              <w:ind w:left="180"/>
              <w:spacing w:after="0"/>
              <w:rPr>
                <w:sz w:val="20"/>
                <w:szCs w:val="20"/>
                <w:color w:val="auto"/>
              </w:rPr>
            </w:pPr>
            <w:r>
              <w:rPr>
                <w:rFonts w:ascii="Arial" w:cs="Arial" w:eastAsia="Arial" w:hAnsi="Arial"/>
                <w:sz w:val="18"/>
                <w:szCs w:val="18"/>
                <w:color w:val="auto"/>
              </w:rPr>
              <w:t>Power Generation</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2,257</w:t>
            </w:r>
          </w:p>
        </w:tc>
        <w:tc>
          <w:tcPr>
            <w:tcW w:w="2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21,890</w:t>
            </w: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25,245</w:t>
            </w:r>
          </w:p>
        </w:tc>
      </w:tr>
      <w:tr>
        <w:trPr>
          <w:trHeight w:val="27"/>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4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Mining</w:t>
            </w:r>
          </w:p>
        </w:tc>
        <w:tc>
          <w:tcPr>
            <w:tcW w:w="12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7,550</w:t>
            </w:r>
          </w:p>
        </w:tc>
        <w:tc>
          <w:tcPr>
            <w:tcW w:w="2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269</w:t>
            </w:r>
          </w:p>
        </w:tc>
        <w:tc>
          <w:tcPr>
            <w:tcW w:w="12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8,279</w:t>
            </w:r>
          </w:p>
        </w:tc>
        <w:tc>
          <w:tcPr>
            <w:tcW w:w="18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16,429</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Inter-company eliminations</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(36,878)</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(37,871)</w:t>
            </w:r>
          </w:p>
        </w:tc>
      </w:tr>
      <w:tr>
        <w:trPr>
          <w:trHeight w:val="27"/>
        </w:trPr>
        <w:tc>
          <w:tcPr>
            <w:tcW w:w="5400" w:type="dxa"/>
            <w:vAlign w:val="bottom"/>
            <w:tcBorders>
              <w:bottom w:val="single" w:sz="8" w:color="CEFFE7"/>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EFFE7"/>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5400" w:type="dxa"/>
            <w:vAlign w:val="bottom"/>
            <w:shd w:val="clear" w:color="auto" w:fill="CEFFE7"/>
          </w:tcPr>
          <w:p>
            <w:pPr>
              <w:ind w:left="4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597,970</w:t>
            </w:r>
          </w:p>
        </w:tc>
        <w:tc>
          <w:tcPr>
            <w:tcW w:w="2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EFFE7"/>
          </w:tcPr>
          <w:p>
            <w:pPr>
              <w:spacing w:after="0"/>
              <w:rPr>
                <w:sz w:val="22"/>
                <w:szCs w:val="22"/>
                <w:color w:val="auto"/>
              </w:rPr>
            </w:pPr>
          </w:p>
        </w:tc>
        <w:tc>
          <w:tcPr>
            <w:tcW w:w="140" w:type="dxa"/>
            <w:vAlign w:val="bottom"/>
            <w:shd w:val="clear" w:color="auto" w:fill="CEFFE7"/>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EFFE7"/>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597,810</w:t>
            </w:r>
          </w:p>
        </w:tc>
      </w:tr>
      <w:tr>
        <w:trPr>
          <w:trHeight w:val="20"/>
        </w:trPr>
        <w:tc>
          <w:tcPr>
            <w:tcW w:w="5400" w:type="dxa"/>
            <w:vAlign w:val="bottom"/>
            <w:tcBorders>
              <w:top w:val="single" w:sz="8" w:color="CEFFE7"/>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EFFE7"/>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EFFE7"/>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26" w:right="339" w:bottom="1440" w:gutter="0" w:footer="0" w:header="0"/>
        </w:sectPr>
      </w:pPr>
    </w:p>
    <w:bookmarkStart w:id="16" w:name="page17"/>
    <w:bookmarkEnd w:id="1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304"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960" w:type="dxa"/>
            <w:vAlign w:val="bottom"/>
          </w:tcPr>
          <w:p>
            <w:pPr>
              <w:spacing w:after="0"/>
              <w:rPr>
                <w:sz w:val="20"/>
                <w:szCs w:val="20"/>
                <w:color w:val="auto"/>
              </w:rPr>
            </w:pPr>
          </w:p>
        </w:tc>
        <w:tc>
          <w:tcPr>
            <w:tcW w:w="3200" w:type="dxa"/>
            <w:vAlign w:val="bottom"/>
            <w:gridSpan w:val="3"/>
          </w:tcPr>
          <w:p>
            <w:pPr>
              <w:jc w:val="right"/>
              <w:spacing w:after="0"/>
              <w:rPr>
                <w:sz w:val="20"/>
                <w:szCs w:val="20"/>
                <w:color w:val="auto"/>
              </w:rPr>
            </w:pPr>
            <w:r>
              <w:rPr>
                <w:rFonts w:ascii="Arial" w:cs="Arial" w:eastAsia="Arial" w:hAnsi="Arial"/>
                <w:sz w:val="18"/>
                <w:szCs w:val="18"/>
                <w:color w:val="auto"/>
              </w:rPr>
              <w:t>Three Months Ended March 31,</w:t>
            </w:r>
          </w:p>
        </w:tc>
        <w:tc>
          <w:tcPr>
            <w:tcW w:w="740" w:type="dxa"/>
            <w:vAlign w:val="bottom"/>
          </w:tcPr>
          <w:p>
            <w:pPr>
              <w:spacing w:after="0"/>
              <w:rPr>
                <w:sz w:val="20"/>
                <w:szCs w:val="20"/>
                <w:color w:val="auto"/>
              </w:rPr>
            </w:pPr>
          </w:p>
        </w:tc>
      </w:tr>
      <w:tr>
        <w:trPr>
          <w:trHeight w:val="270"/>
        </w:trPr>
        <w:tc>
          <w:tcPr>
            <w:tcW w:w="69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2020</w:t>
            </w:r>
          </w:p>
        </w:tc>
        <w:tc>
          <w:tcPr>
            <w:tcW w:w="7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2019</w:t>
            </w:r>
          </w:p>
        </w:tc>
        <w:tc>
          <w:tcPr>
            <w:tcW w:w="740" w:type="dxa"/>
            <w:vAlign w:val="bottom"/>
          </w:tcPr>
          <w:p>
            <w:pPr>
              <w:spacing w:after="0"/>
              <w:rPr>
                <w:sz w:val="23"/>
                <w:szCs w:val="23"/>
                <w:color w:val="auto"/>
              </w:rPr>
            </w:pPr>
          </w:p>
        </w:tc>
      </w:tr>
      <w:tr>
        <w:trPr>
          <w:trHeight w:val="27"/>
        </w:trPr>
        <w:tc>
          <w:tcPr>
            <w:tcW w:w="69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3"/>
        </w:trPr>
        <w:tc>
          <w:tcPr>
            <w:tcW w:w="6960" w:type="dxa"/>
            <w:vAlign w:val="bottom"/>
            <w:shd w:val="clear" w:color="auto" w:fill="CEFFE7"/>
          </w:tcPr>
          <w:p>
            <w:pPr>
              <w:ind w:left="20"/>
              <w:spacing w:after="0" w:line="263" w:lineRule="exact"/>
              <w:rPr>
                <w:sz w:val="20"/>
                <w:szCs w:val="20"/>
                <w:color w:val="auto"/>
              </w:rPr>
            </w:pPr>
            <w:r>
              <w:rPr>
                <w:rFonts w:ascii="Arial" w:cs="Arial" w:eastAsia="Arial" w:hAnsi="Arial"/>
                <w:sz w:val="18"/>
                <w:szCs w:val="18"/>
                <w:color w:val="auto"/>
              </w:rPr>
              <w:t xml:space="preserve">Adjusted operating income </w:t>
            </w:r>
            <w:r>
              <w:rPr>
                <w:rFonts w:ascii="Arial" w:cs="Arial" w:eastAsia="Arial" w:hAnsi="Arial"/>
                <w:sz w:val="25"/>
                <w:szCs w:val="25"/>
                <w:color w:val="auto"/>
                <w:vertAlign w:val="superscript"/>
              </w:rPr>
              <w:t>(a)</w:t>
            </w:r>
            <w:r>
              <w:rPr>
                <w:rFonts w:ascii="Arial" w:cs="Arial" w:eastAsia="Arial" w:hAnsi="Arial"/>
                <w:sz w:val="18"/>
                <w:szCs w:val="18"/>
                <w:color w:val="auto"/>
              </w:rPr>
              <w:t>:</w:t>
            </w:r>
          </w:p>
        </w:tc>
        <w:tc>
          <w:tcPr>
            <w:tcW w:w="1220" w:type="dxa"/>
            <w:vAlign w:val="bottom"/>
            <w:shd w:val="clear" w:color="auto" w:fill="CEFFE7"/>
          </w:tcPr>
          <w:p>
            <w:pPr>
              <w:spacing w:after="0"/>
              <w:rPr>
                <w:sz w:val="22"/>
                <w:szCs w:val="22"/>
                <w:color w:val="auto"/>
              </w:rPr>
            </w:pPr>
          </w:p>
        </w:tc>
        <w:tc>
          <w:tcPr>
            <w:tcW w:w="740" w:type="dxa"/>
            <w:vAlign w:val="bottom"/>
            <w:shd w:val="clear" w:color="auto" w:fill="CEFFE7"/>
          </w:tcPr>
          <w:p>
            <w:pPr>
              <w:spacing w:after="0"/>
              <w:rPr>
                <w:sz w:val="22"/>
                <w:szCs w:val="22"/>
                <w:color w:val="auto"/>
              </w:rPr>
            </w:pPr>
          </w:p>
        </w:tc>
        <w:tc>
          <w:tcPr>
            <w:tcW w:w="1240" w:type="dxa"/>
            <w:vAlign w:val="bottom"/>
            <w:shd w:val="clear" w:color="auto" w:fill="CEFFE7"/>
          </w:tcPr>
          <w:p>
            <w:pPr>
              <w:spacing w:after="0"/>
              <w:rPr>
                <w:sz w:val="22"/>
                <w:szCs w:val="22"/>
                <w:color w:val="auto"/>
              </w:rPr>
            </w:pPr>
          </w:p>
        </w:tc>
        <w:tc>
          <w:tcPr>
            <w:tcW w:w="740" w:type="dxa"/>
            <w:vAlign w:val="bottom"/>
            <w:shd w:val="clear" w:color="auto" w:fill="CEFFE7"/>
          </w:tcPr>
          <w:p>
            <w:pPr>
              <w:spacing w:after="0"/>
              <w:rPr>
                <w:sz w:val="22"/>
                <w:szCs w:val="22"/>
                <w:color w:val="auto"/>
              </w:rPr>
            </w:pPr>
          </w:p>
        </w:tc>
      </w:tr>
      <w:tr>
        <w:trPr>
          <w:trHeight w:val="243"/>
        </w:trPr>
        <w:tc>
          <w:tcPr>
            <w:tcW w:w="6960" w:type="dxa"/>
            <w:vAlign w:val="bottom"/>
          </w:tcPr>
          <w:p>
            <w:pPr>
              <w:ind w:left="160"/>
              <w:spacing w:after="0"/>
              <w:rPr>
                <w:sz w:val="20"/>
                <w:szCs w:val="20"/>
                <w:color w:val="auto"/>
              </w:rPr>
            </w:pPr>
            <w:r>
              <w:rPr>
                <w:rFonts w:ascii="Arial" w:cs="Arial" w:eastAsia="Arial" w:hAnsi="Arial"/>
                <w:sz w:val="18"/>
                <w:szCs w:val="18"/>
                <w:color w:val="auto"/>
              </w:rPr>
              <w:t>Electric Utilities</w:t>
            </w:r>
          </w:p>
        </w:tc>
        <w:tc>
          <w:tcPr>
            <w:tcW w:w="1220" w:type="dxa"/>
            <w:vAlign w:val="bottom"/>
          </w:tcPr>
          <w:p>
            <w:pPr>
              <w:jc w:val="right"/>
              <w:ind w:right="10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35,650</w:t>
            </w:r>
          </w:p>
        </w:tc>
        <w:tc>
          <w:tcPr>
            <w:tcW w:w="1240" w:type="dxa"/>
            <w:vAlign w:val="bottom"/>
          </w:tcPr>
          <w:p>
            <w:pPr>
              <w:jc w:val="right"/>
              <w:ind w:right="10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41,020</w:t>
            </w:r>
          </w:p>
        </w:tc>
      </w:tr>
      <w:tr>
        <w:trPr>
          <w:trHeight w:val="27"/>
        </w:trPr>
        <w:tc>
          <w:tcPr>
            <w:tcW w:w="69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96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Gas Utilities</w:t>
            </w:r>
          </w:p>
        </w:tc>
        <w:tc>
          <w:tcPr>
            <w:tcW w:w="122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95"/>
              </w:rPr>
              <w:t>102,897</w:t>
            </w:r>
          </w:p>
        </w:tc>
        <w:tc>
          <w:tcPr>
            <w:tcW w:w="124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95"/>
              </w:rPr>
              <w:t>103,314</w:t>
            </w:r>
          </w:p>
        </w:tc>
      </w:tr>
      <w:tr>
        <w:trPr>
          <w:trHeight w:val="243"/>
        </w:trPr>
        <w:tc>
          <w:tcPr>
            <w:tcW w:w="6960" w:type="dxa"/>
            <w:vAlign w:val="bottom"/>
          </w:tcPr>
          <w:p>
            <w:pPr>
              <w:ind w:left="160"/>
              <w:spacing w:after="0"/>
              <w:rPr>
                <w:sz w:val="20"/>
                <w:szCs w:val="20"/>
                <w:color w:val="auto"/>
              </w:rPr>
            </w:pPr>
            <w:r>
              <w:rPr>
                <w:rFonts w:ascii="Arial" w:cs="Arial" w:eastAsia="Arial" w:hAnsi="Arial"/>
                <w:sz w:val="18"/>
                <w:szCs w:val="18"/>
                <w:color w:val="auto"/>
              </w:rPr>
              <w:t>Power Generation</w:t>
            </w:r>
          </w:p>
        </w:tc>
        <w:tc>
          <w:tcPr>
            <w:tcW w:w="12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11,349</w:t>
            </w:r>
          </w:p>
        </w:tc>
        <w:tc>
          <w:tcPr>
            <w:tcW w:w="12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11,967</w:t>
            </w:r>
          </w:p>
        </w:tc>
      </w:tr>
      <w:tr>
        <w:trPr>
          <w:trHeight w:val="27"/>
        </w:trPr>
        <w:tc>
          <w:tcPr>
            <w:tcW w:w="69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96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Mining</w:t>
            </w:r>
          </w:p>
        </w:tc>
        <w:tc>
          <w:tcPr>
            <w:tcW w:w="122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3,129</w:t>
            </w:r>
          </w:p>
        </w:tc>
        <w:tc>
          <w:tcPr>
            <w:tcW w:w="124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4,337</w:t>
            </w:r>
          </w:p>
        </w:tc>
      </w:tr>
      <w:tr>
        <w:trPr>
          <w:trHeight w:val="243"/>
        </w:trPr>
        <w:tc>
          <w:tcPr>
            <w:tcW w:w="6960" w:type="dxa"/>
            <w:vAlign w:val="bottom"/>
          </w:tcPr>
          <w:p>
            <w:pPr>
              <w:ind w:left="160"/>
              <w:spacing w:after="0"/>
              <w:rPr>
                <w:sz w:val="20"/>
                <w:szCs w:val="20"/>
                <w:color w:val="auto"/>
              </w:rPr>
            </w:pPr>
            <w:r>
              <w:rPr>
                <w:rFonts w:ascii="Arial" w:cs="Arial" w:eastAsia="Arial" w:hAnsi="Arial"/>
                <w:sz w:val="18"/>
                <w:szCs w:val="18"/>
                <w:color w:val="auto"/>
              </w:rPr>
              <w:t>Corporate and Other</w:t>
            </w:r>
          </w:p>
        </w:tc>
        <w:tc>
          <w:tcPr>
            <w:tcW w:w="12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160</w:t>
            </w:r>
          </w:p>
        </w:tc>
        <w:tc>
          <w:tcPr>
            <w:tcW w:w="1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(507)</w:t>
            </w:r>
          </w:p>
        </w:tc>
      </w:tr>
      <w:tr>
        <w:trPr>
          <w:trHeight w:val="27"/>
        </w:trPr>
        <w:tc>
          <w:tcPr>
            <w:tcW w:w="6960" w:type="dxa"/>
            <w:vAlign w:val="bottom"/>
            <w:tcBorders>
              <w:bottom w:val="single" w:sz="8" w:color="CEFFE7"/>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3"/>
        </w:trPr>
        <w:tc>
          <w:tcPr>
            <w:tcW w:w="69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Operating income</w:t>
            </w:r>
          </w:p>
        </w:tc>
        <w:tc>
          <w:tcPr>
            <w:tcW w:w="1220" w:type="dxa"/>
            <w:vAlign w:val="bottom"/>
            <w:tcBorders>
              <w:bottom w:val="single" w:sz="8" w:color="CEFFE7"/>
            </w:tcBorders>
            <w:shd w:val="clear" w:color="auto" w:fill="CEFFE7"/>
          </w:tcPr>
          <w:p>
            <w:pPr>
              <w:spacing w:after="0"/>
              <w:rPr>
                <w:sz w:val="22"/>
                <w:szCs w:val="22"/>
                <w:color w:val="auto"/>
              </w:rPr>
            </w:pPr>
          </w:p>
        </w:tc>
        <w:tc>
          <w:tcPr>
            <w:tcW w:w="7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95"/>
              </w:rPr>
              <w:t>153,185</w:t>
            </w:r>
          </w:p>
        </w:tc>
        <w:tc>
          <w:tcPr>
            <w:tcW w:w="1240" w:type="dxa"/>
            <w:vAlign w:val="bottom"/>
            <w:tcBorders>
              <w:bottom w:val="single" w:sz="8" w:color="CEFFE7"/>
            </w:tcBorders>
            <w:shd w:val="clear" w:color="auto" w:fill="CEFFE7"/>
          </w:tcPr>
          <w:p>
            <w:pPr>
              <w:spacing w:after="0"/>
              <w:rPr>
                <w:sz w:val="22"/>
                <w:szCs w:val="22"/>
                <w:color w:val="auto"/>
              </w:rPr>
            </w:pPr>
          </w:p>
        </w:tc>
        <w:tc>
          <w:tcPr>
            <w:tcW w:w="7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95"/>
              </w:rPr>
              <w:t>160,131</w:t>
            </w:r>
          </w:p>
        </w:tc>
      </w:tr>
      <w:tr>
        <w:trPr>
          <w:trHeight w:val="318"/>
        </w:trPr>
        <w:tc>
          <w:tcPr>
            <w:tcW w:w="696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r>
      <w:tr>
        <w:trPr>
          <w:trHeight w:val="250"/>
        </w:trPr>
        <w:tc>
          <w:tcPr>
            <w:tcW w:w="69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Interest expense, net</w:t>
            </w:r>
          </w:p>
        </w:tc>
        <w:tc>
          <w:tcPr>
            <w:tcW w:w="122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(35,453)</w:t>
            </w:r>
          </w:p>
        </w:tc>
        <w:tc>
          <w:tcPr>
            <w:tcW w:w="124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(34,717)</w:t>
            </w: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color w:val="auto"/>
              </w:rPr>
              <w:t>Impairment of investment</w:t>
            </w:r>
          </w:p>
        </w:tc>
        <w:tc>
          <w:tcPr>
            <w:tcW w:w="1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(6,859)</w:t>
            </w:r>
          </w:p>
        </w:tc>
        <w:tc>
          <w:tcPr>
            <w:tcW w:w="12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9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9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Other income (expense), net</w:t>
            </w:r>
          </w:p>
        </w:tc>
        <w:tc>
          <w:tcPr>
            <w:tcW w:w="122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2,353</w:t>
            </w:r>
          </w:p>
        </w:tc>
        <w:tc>
          <w:tcPr>
            <w:tcW w:w="124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(789)</w:t>
            </w: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(16,002)</w:t>
            </w:r>
          </w:p>
        </w:tc>
        <w:tc>
          <w:tcPr>
            <w:tcW w:w="1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(17,263)</w:t>
            </w:r>
          </w:p>
        </w:tc>
      </w:tr>
      <w:tr>
        <w:trPr>
          <w:trHeight w:val="27"/>
        </w:trPr>
        <w:tc>
          <w:tcPr>
            <w:tcW w:w="6960" w:type="dxa"/>
            <w:vAlign w:val="bottom"/>
            <w:tcBorders>
              <w:bottom w:val="single" w:sz="8" w:color="CEFFE7"/>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69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Net income</w:t>
            </w:r>
          </w:p>
        </w:tc>
        <w:tc>
          <w:tcPr>
            <w:tcW w:w="122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97,224</w:t>
            </w:r>
          </w:p>
        </w:tc>
        <w:tc>
          <w:tcPr>
            <w:tcW w:w="124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95"/>
              </w:rPr>
              <w:t>107,362</w:t>
            </w: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color w:val="auto"/>
              </w:rPr>
              <w:t>Net income attributable to noncontrolling interest</w:t>
            </w:r>
          </w:p>
        </w:tc>
        <w:tc>
          <w:tcPr>
            <w:tcW w:w="1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(4,050)</w:t>
            </w:r>
          </w:p>
        </w:tc>
        <w:tc>
          <w:tcPr>
            <w:tcW w:w="1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(3,554)</w:t>
            </w:r>
          </w:p>
        </w:tc>
      </w:tr>
      <w:tr>
        <w:trPr>
          <w:trHeight w:val="27"/>
        </w:trPr>
        <w:tc>
          <w:tcPr>
            <w:tcW w:w="6960" w:type="dxa"/>
            <w:vAlign w:val="bottom"/>
            <w:tcBorders>
              <w:bottom w:val="single" w:sz="8" w:color="CEFFE7"/>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7"/>
        </w:trPr>
        <w:tc>
          <w:tcPr>
            <w:tcW w:w="69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Net income available for common stock</w:t>
            </w:r>
          </w:p>
        </w:tc>
        <w:tc>
          <w:tcPr>
            <w:tcW w:w="1220" w:type="dxa"/>
            <w:vAlign w:val="bottom"/>
            <w:tcBorders>
              <w:bottom w:val="single" w:sz="8" w:color="auto"/>
            </w:tcBorders>
            <w:shd w:val="clear" w:color="auto" w:fill="CEFFE7"/>
          </w:tcPr>
          <w:p>
            <w:pPr>
              <w:jc w:val="right"/>
              <w:ind w:right="10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93,174</w:t>
            </w:r>
          </w:p>
        </w:tc>
        <w:tc>
          <w:tcPr>
            <w:tcW w:w="1240" w:type="dxa"/>
            <w:vAlign w:val="bottom"/>
            <w:tcBorders>
              <w:bottom w:val="single" w:sz="8" w:color="auto"/>
            </w:tcBorders>
            <w:shd w:val="clear" w:color="auto" w:fill="CEFFE7"/>
          </w:tcPr>
          <w:p>
            <w:pPr>
              <w:jc w:val="right"/>
              <w:ind w:right="10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w w:val="95"/>
              </w:rPr>
              <w:t>103,808</w:t>
            </w:r>
          </w:p>
        </w:tc>
      </w:tr>
      <w:tr>
        <w:trPr>
          <w:trHeight w:val="20"/>
        </w:trPr>
        <w:tc>
          <w:tcPr>
            <w:tcW w:w="69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__________</w:t>
      </w:r>
    </w:p>
    <w:p>
      <w:pPr>
        <w:spacing w:after="0" w:line="9" w:lineRule="exact"/>
        <w:rPr>
          <w:sz w:val="20"/>
          <w:szCs w:val="20"/>
          <w:color w:val="auto"/>
        </w:rPr>
      </w:pPr>
    </w:p>
    <w:p>
      <w:pPr>
        <w:ind w:left="340" w:right="120" w:hanging="332"/>
        <w:spacing w:after="0" w:line="257"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Adjusted operating income recognizes intersegment revenues and costs for Colorado Electric’s PPA with Black Hills Colorado IPP on an accrual basis rather than as a finance lease. This presentation of segment information does not impact consolidated financial results.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Segment and Corporate and Other balances included in the accompanying Condensed Consolidated Balance Sheets were as follows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ind w:left="40"/>
              <w:spacing w:after="0"/>
              <w:rPr>
                <w:sz w:val="20"/>
                <w:szCs w:val="20"/>
                <w:color w:val="auto"/>
              </w:rPr>
            </w:pPr>
            <w:r>
              <w:rPr>
                <w:rFonts w:ascii="Arial" w:cs="Arial" w:eastAsia="Arial" w:hAnsi="Arial"/>
                <w:sz w:val="18"/>
                <w:szCs w:val="18"/>
                <w:color w:val="auto"/>
              </w:rPr>
              <w:t>Total assets (net of inter-company eliminations) as of:</w:t>
            </w:r>
          </w:p>
        </w:tc>
        <w:tc>
          <w:tcPr>
            <w:tcW w:w="280" w:type="dxa"/>
            <w:vAlign w:val="bottom"/>
          </w:tcPr>
          <w:p>
            <w:pPr>
              <w:spacing w:after="0"/>
              <w:rPr>
                <w:sz w:val="20"/>
                <w:szCs w:val="20"/>
                <w:color w:val="auto"/>
              </w:rPr>
            </w:pP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March 31, 2020</w:t>
            </w:r>
          </w:p>
        </w:tc>
        <w:tc>
          <w:tcPr>
            <w:tcW w:w="300" w:type="dxa"/>
            <w:vAlign w:val="bottom"/>
          </w:tcPr>
          <w:p>
            <w:pPr>
              <w:spacing w:after="0"/>
              <w:rPr>
                <w:sz w:val="20"/>
                <w:szCs w:val="20"/>
                <w:color w:val="auto"/>
              </w:rPr>
            </w:pPr>
          </w:p>
        </w:tc>
        <w:tc>
          <w:tcPr>
            <w:tcW w:w="1820" w:type="dxa"/>
            <w:vAlign w:val="bottom"/>
          </w:tcPr>
          <w:p>
            <w:pPr>
              <w:jc w:val="right"/>
              <w:ind w:right="210"/>
              <w:spacing w:after="0"/>
              <w:rPr>
                <w:sz w:val="20"/>
                <w:szCs w:val="20"/>
                <w:color w:val="auto"/>
              </w:rPr>
            </w:pPr>
            <w:r>
              <w:rPr>
                <w:rFonts w:ascii="Arial" w:cs="Arial" w:eastAsia="Arial" w:hAnsi="Arial"/>
                <w:sz w:val="18"/>
                <w:szCs w:val="18"/>
                <w:color w:val="auto"/>
                <w:w w:val="94"/>
              </w:rPr>
              <w:t>December 31, 2019</w:t>
            </w:r>
          </w:p>
        </w:tc>
      </w:tr>
      <w:tr>
        <w:trPr>
          <w:trHeight w:val="27"/>
        </w:trPr>
        <w:tc>
          <w:tcPr>
            <w:tcW w:w="7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3"/>
        </w:trPr>
        <w:tc>
          <w:tcPr>
            <w:tcW w:w="70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Segment:</w:t>
            </w:r>
          </w:p>
        </w:tc>
        <w:tc>
          <w:tcPr>
            <w:tcW w:w="280" w:type="dxa"/>
            <w:vAlign w:val="bottom"/>
            <w:tcBorders>
              <w:bottom w:val="single" w:sz="8" w:color="CEFFE7"/>
            </w:tcBorders>
            <w:shd w:val="clear" w:color="auto" w:fill="CEFFE7"/>
          </w:tcPr>
          <w:p>
            <w:pPr>
              <w:spacing w:after="0"/>
              <w:rPr>
                <w:sz w:val="21"/>
                <w:szCs w:val="21"/>
                <w:color w:val="auto"/>
              </w:rPr>
            </w:pPr>
          </w:p>
        </w:tc>
        <w:tc>
          <w:tcPr>
            <w:tcW w:w="176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1820" w:type="dxa"/>
            <w:vAlign w:val="bottom"/>
            <w:tcBorders>
              <w:bottom w:val="single" w:sz="8" w:color="CEFFE7"/>
            </w:tcBorders>
            <w:shd w:val="clear" w:color="auto" w:fill="CEFFE7"/>
          </w:tcPr>
          <w:p>
            <w:pPr>
              <w:spacing w:after="0"/>
              <w:rPr>
                <w:sz w:val="21"/>
                <w:szCs w:val="2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Electric Utilities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2,931,902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2,900,983</w:t>
            </w: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08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Gas Utilities</w:t>
            </w:r>
          </w:p>
        </w:tc>
        <w:tc>
          <w:tcPr>
            <w:tcW w:w="280" w:type="dxa"/>
            <w:vAlign w:val="bottom"/>
            <w:tcBorders>
              <w:bottom w:val="single" w:sz="8" w:color="CEFFE7"/>
            </w:tcBorders>
            <w:shd w:val="clear" w:color="auto" w:fill="CEFFE7"/>
          </w:tcPr>
          <w:p>
            <w:pPr>
              <w:spacing w:after="0"/>
              <w:rPr>
                <w:sz w:val="21"/>
                <w:szCs w:val="21"/>
                <w:color w:val="auto"/>
              </w:rPr>
            </w:pPr>
          </w:p>
        </w:tc>
        <w:tc>
          <w:tcPr>
            <w:tcW w:w="17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4,043,539</w:t>
            </w:r>
          </w:p>
        </w:tc>
        <w:tc>
          <w:tcPr>
            <w:tcW w:w="300" w:type="dxa"/>
            <w:vAlign w:val="bottom"/>
            <w:tcBorders>
              <w:bottom w:val="single" w:sz="8" w:color="CEFFE7"/>
            </w:tcBorders>
            <w:shd w:val="clear" w:color="auto" w:fill="CEFFE7"/>
          </w:tcPr>
          <w:p>
            <w:pPr>
              <w:spacing w:after="0"/>
              <w:rPr>
                <w:sz w:val="21"/>
                <w:szCs w:val="21"/>
                <w:color w:val="auto"/>
              </w:rPr>
            </w:pPr>
          </w:p>
        </w:tc>
        <w:tc>
          <w:tcPr>
            <w:tcW w:w="18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4,032,339</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Power Generation</w:t>
            </w:r>
          </w:p>
        </w:tc>
        <w:tc>
          <w:tcPr>
            <w:tcW w:w="28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412,572</w:t>
            </w:r>
          </w:p>
        </w:tc>
        <w:tc>
          <w:tcPr>
            <w:tcW w:w="3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417,715</w:t>
            </w: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08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Mining</w:t>
            </w:r>
          </w:p>
        </w:tc>
        <w:tc>
          <w:tcPr>
            <w:tcW w:w="280" w:type="dxa"/>
            <w:vAlign w:val="bottom"/>
            <w:tcBorders>
              <w:bottom w:val="single" w:sz="8" w:color="CEFFE7"/>
            </w:tcBorders>
            <w:shd w:val="clear" w:color="auto" w:fill="CEFFE7"/>
          </w:tcPr>
          <w:p>
            <w:pPr>
              <w:spacing w:after="0"/>
              <w:rPr>
                <w:sz w:val="21"/>
                <w:szCs w:val="21"/>
                <w:color w:val="auto"/>
              </w:rPr>
            </w:pPr>
          </w:p>
        </w:tc>
        <w:tc>
          <w:tcPr>
            <w:tcW w:w="17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80,289</w:t>
            </w:r>
          </w:p>
        </w:tc>
        <w:tc>
          <w:tcPr>
            <w:tcW w:w="300" w:type="dxa"/>
            <w:vAlign w:val="bottom"/>
            <w:tcBorders>
              <w:bottom w:val="single" w:sz="8" w:color="CEFFE7"/>
            </w:tcBorders>
            <w:shd w:val="clear" w:color="auto" w:fill="CEFFE7"/>
          </w:tcPr>
          <w:p>
            <w:pPr>
              <w:spacing w:after="0"/>
              <w:rPr>
                <w:sz w:val="21"/>
                <w:szCs w:val="21"/>
                <w:color w:val="auto"/>
              </w:rPr>
            </w:pPr>
          </w:p>
        </w:tc>
        <w:tc>
          <w:tcPr>
            <w:tcW w:w="18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77,175</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Corporate and Other</w:t>
            </w:r>
          </w:p>
        </w:tc>
        <w:tc>
          <w:tcPr>
            <w:tcW w:w="28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180,512</w:t>
            </w:r>
          </w:p>
        </w:tc>
        <w:tc>
          <w:tcPr>
            <w:tcW w:w="3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130,245</w:t>
            </w:r>
          </w:p>
        </w:tc>
      </w:tr>
      <w:tr>
        <w:trPr>
          <w:trHeight w:val="27"/>
        </w:trPr>
        <w:tc>
          <w:tcPr>
            <w:tcW w:w="708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7,648,814</w:t>
            </w:r>
          </w:p>
        </w:tc>
        <w:tc>
          <w:tcPr>
            <w:tcW w:w="3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7,558,457</w:t>
            </w:r>
          </w:p>
        </w:tc>
      </w:tr>
      <w:tr>
        <w:trPr>
          <w:trHeight w:val="20"/>
        </w:trPr>
        <w:tc>
          <w:tcPr>
            <w:tcW w:w="7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400" w:hanging="392"/>
        <w:spacing w:after="0"/>
        <w:tabs>
          <w:tab w:leader="none" w:pos="4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Selected Balance Sheet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Following is a summary of Accounts receivable, net included in the accompanying Condensed Consolidated Balance Sheets (in thousands) as of:</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gridSpan w:val="2"/>
          </w:tcPr>
          <w:p>
            <w:pPr>
              <w:ind w:left="160"/>
              <w:spacing w:after="0"/>
              <w:rPr>
                <w:sz w:val="20"/>
                <w:szCs w:val="20"/>
                <w:color w:val="auto"/>
              </w:rPr>
            </w:pPr>
            <w:r>
              <w:rPr>
                <w:rFonts w:ascii="Arial" w:cs="Arial" w:eastAsia="Arial" w:hAnsi="Arial"/>
                <w:sz w:val="18"/>
                <w:szCs w:val="18"/>
                <w:color w:val="auto"/>
              </w:rPr>
              <w:t>March 31, 2020</w:t>
            </w:r>
          </w:p>
        </w:tc>
        <w:tc>
          <w:tcPr>
            <w:tcW w:w="200" w:type="dxa"/>
            <w:vAlign w:val="bottom"/>
          </w:tcPr>
          <w:p>
            <w:pPr>
              <w:spacing w:after="0"/>
              <w:rPr>
                <w:sz w:val="20"/>
                <w:szCs w:val="20"/>
                <w:color w:val="auto"/>
              </w:rPr>
            </w:pPr>
          </w:p>
        </w:tc>
        <w:tc>
          <w:tcPr>
            <w:tcW w:w="1820" w:type="dxa"/>
            <w:vAlign w:val="bottom"/>
          </w:tcPr>
          <w:p>
            <w:pPr>
              <w:jc w:val="right"/>
              <w:ind w:right="210"/>
              <w:spacing w:after="0"/>
              <w:rPr>
                <w:sz w:val="20"/>
                <w:szCs w:val="20"/>
                <w:color w:val="auto"/>
              </w:rPr>
            </w:pPr>
            <w:r>
              <w:rPr>
                <w:rFonts w:ascii="Arial" w:cs="Arial" w:eastAsia="Arial" w:hAnsi="Arial"/>
                <w:sz w:val="18"/>
                <w:szCs w:val="18"/>
                <w:color w:val="auto"/>
                <w:w w:val="94"/>
              </w:rPr>
              <w:t>December 31, 2019</w:t>
            </w:r>
          </w:p>
        </w:tc>
      </w:tr>
      <w:tr>
        <w:trPr>
          <w:trHeight w:val="27"/>
        </w:trPr>
        <w:tc>
          <w:tcPr>
            <w:tcW w:w="708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3"/>
        </w:trPr>
        <w:tc>
          <w:tcPr>
            <w:tcW w:w="70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Accounts receivable, trade</w:t>
            </w:r>
          </w:p>
        </w:tc>
        <w:tc>
          <w:tcPr>
            <w:tcW w:w="2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162,138</w:t>
            </w:r>
          </w:p>
        </w:tc>
        <w:tc>
          <w:tcPr>
            <w:tcW w:w="12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144,747</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Unbilled revenue</w:t>
            </w:r>
          </w:p>
        </w:tc>
        <w:tc>
          <w:tcPr>
            <w:tcW w:w="28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81,927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113,502</w:t>
            </w: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0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Less: Allowance for credit losses</w:t>
            </w:r>
          </w:p>
        </w:tc>
        <w:tc>
          <w:tcPr>
            <w:tcW w:w="280" w:type="dxa"/>
            <w:vAlign w:val="bottom"/>
            <w:tcBorders>
              <w:bottom w:val="single" w:sz="8" w:color="CEFFE7"/>
            </w:tcBorders>
            <w:shd w:val="clear" w:color="auto" w:fill="CEFFE7"/>
          </w:tcPr>
          <w:p>
            <w:pPr>
              <w:spacing w:after="0"/>
              <w:rPr>
                <w:sz w:val="23"/>
                <w:szCs w:val="23"/>
                <w:color w:val="auto"/>
              </w:rPr>
            </w:pPr>
          </w:p>
        </w:tc>
        <w:tc>
          <w:tcPr>
            <w:tcW w:w="17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(5,162)</w:t>
            </w:r>
          </w:p>
        </w:tc>
        <w:tc>
          <w:tcPr>
            <w:tcW w:w="120" w:type="dxa"/>
            <w:vAlign w:val="bottom"/>
            <w:tcBorders>
              <w:bottom w:val="single" w:sz="8" w:color="CEFFE7"/>
            </w:tcBorders>
            <w:shd w:val="clear" w:color="auto" w:fill="CEFFE7"/>
          </w:tcPr>
          <w:p>
            <w:pPr>
              <w:spacing w:after="0"/>
              <w:rPr>
                <w:sz w:val="23"/>
                <w:szCs w:val="23"/>
                <w:color w:val="auto"/>
              </w:rPr>
            </w:pPr>
          </w:p>
        </w:tc>
        <w:tc>
          <w:tcPr>
            <w:tcW w:w="200" w:type="dxa"/>
            <w:vAlign w:val="bottom"/>
            <w:tcBorders>
              <w:bottom w:val="single" w:sz="8" w:color="CEFFE7"/>
            </w:tcBorders>
            <w:shd w:val="clear" w:color="auto" w:fill="CEFFE7"/>
          </w:tcPr>
          <w:p>
            <w:pPr>
              <w:spacing w:after="0"/>
              <w:rPr>
                <w:sz w:val="23"/>
                <w:szCs w:val="23"/>
                <w:color w:val="auto"/>
              </w:rPr>
            </w:pPr>
          </w:p>
        </w:tc>
        <w:tc>
          <w:tcPr>
            <w:tcW w:w="1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(2,444)</w:t>
            </w: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Accounts receivable, net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238,903</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255,805</w:t>
            </w:r>
          </w:p>
        </w:tc>
      </w:tr>
      <w:tr>
        <w:trPr>
          <w:trHeight w:val="20"/>
        </w:trPr>
        <w:tc>
          <w:tcPr>
            <w:tcW w:w="7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 ongoing credit evaluation of our customers during the COVID-19 pandemic is further discussed in the Credit Risk section of </w:t>
      </w:r>
      <w:hyperlink w:anchor="page22">
        <w:r>
          <w:rPr>
            <w:rFonts w:ascii="Arial" w:cs="Arial" w:eastAsia="Arial" w:hAnsi="Arial"/>
            <w:sz w:val="18"/>
            <w:szCs w:val="18"/>
            <w:u w:val="single" w:color="auto"/>
            <w:color w:val="0000EE"/>
          </w:rPr>
          <w:t>Note 9</w:t>
        </w:r>
      </w:hyperlink>
      <w:r>
        <w:rPr>
          <w:rFonts w:ascii="Arial" w:cs="Arial" w:eastAsia="Arial" w:hAnsi="Arial"/>
          <w:sz w:val="18"/>
          <w:szCs w:val="18"/>
          <w:color w:val="auto"/>
        </w:rPr>
        <w:t>. The Company did not experience material credit losses or customer defaults during the three months ended March 31, 2020.</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40"/>
          </w:cols>
          <w:pgMar w:left="320" w:top="126" w:right="339" w:bottom="1440" w:gutter="0" w:footer="0" w:header="0"/>
          <w:type w:val="continuous"/>
        </w:sectPr>
      </w:pPr>
    </w:p>
    <w:bookmarkStart w:id="17" w:name="page18"/>
    <w:bookmarkEnd w:id="1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Materials, Supplies and Fuel</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amounts by major classification are included in Materials, supplies and fuel on the accompanying Condensed Consolidated Balance Sheets (in thousands) as of:</w:t>
      </w:r>
    </w:p>
    <w:p>
      <w:pPr>
        <w:sectPr>
          <w:pgSz w:w="11900" w:h="16838" w:orient="portrait"/>
          <w:cols w:equalWidth="0" w:num="1">
            <w:col w:w="11240"/>
          </w:cols>
          <w:pgMar w:left="320" w:top="126" w:right="339" w:bottom="1440" w:gutter="0" w:footer="0" w:header="0"/>
        </w:sectPr>
      </w:pPr>
    </w:p>
    <w:p>
      <w:pPr>
        <w:spacing w:after="0" w:line="400"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Materials and supplies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Fuel - Electric Utilities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Natural gas in storage</w:t>
      </w:r>
    </w:p>
    <w:p>
      <w:pPr>
        <w:spacing w:after="0" w:line="9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 materials, supplies and fuel</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March 31, 2020</w:t>
            </w:r>
          </w:p>
        </w:tc>
        <w:tc>
          <w:tcPr>
            <w:tcW w:w="300" w:type="dxa"/>
            <w:vAlign w:val="bottom"/>
          </w:tcPr>
          <w:p>
            <w:pPr>
              <w:spacing w:after="0"/>
              <w:rPr>
                <w:sz w:val="20"/>
                <w:szCs w:val="20"/>
                <w:color w:val="auto"/>
              </w:rPr>
            </w:pPr>
          </w:p>
        </w:tc>
        <w:tc>
          <w:tcPr>
            <w:tcW w:w="1820" w:type="dxa"/>
            <w:vAlign w:val="bottom"/>
          </w:tcPr>
          <w:p>
            <w:pPr>
              <w:jc w:val="right"/>
              <w:ind w:right="210"/>
              <w:spacing w:after="0"/>
              <w:rPr>
                <w:sz w:val="20"/>
                <w:szCs w:val="20"/>
                <w:color w:val="auto"/>
              </w:rPr>
            </w:pPr>
            <w:r>
              <w:rPr>
                <w:rFonts w:ascii="Arial" w:cs="Arial" w:eastAsia="Arial" w:hAnsi="Arial"/>
                <w:sz w:val="18"/>
                <w:szCs w:val="18"/>
                <w:color w:val="auto"/>
                <w:w w:val="94"/>
              </w:rPr>
              <w:t>December 31, 2019</w:t>
            </w:r>
          </w:p>
        </w:tc>
      </w:tr>
      <w:tr>
        <w:trPr>
          <w:trHeight w:val="27"/>
        </w:trPr>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88,346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82,809</w:t>
            </w:r>
          </w:p>
        </w:tc>
      </w:tr>
      <w:tr>
        <w:trPr>
          <w:trHeight w:val="270"/>
        </w:trPr>
        <w:tc>
          <w:tcPr>
            <w:tcW w:w="280" w:type="dxa"/>
            <w:vAlign w:val="bottom"/>
          </w:tcPr>
          <w:p>
            <w:pPr>
              <w:spacing w:after="0"/>
              <w:rPr>
                <w:sz w:val="23"/>
                <w:szCs w:val="23"/>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3,049</w:t>
            </w:r>
          </w:p>
        </w:tc>
        <w:tc>
          <w:tcPr>
            <w:tcW w:w="300" w:type="dxa"/>
            <w:vAlign w:val="bottom"/>
          </w:tcPr>
          <w:p>
            <w:pPr>
              <w:spacing w:after="0"/>
              <w:rPr>
                <w:sz w:val="23"/>
                <w:szCs w:val="23"/>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2,425</w:t>
            </w:r>
          </w:p>
        </w:tc>
      </w:tr>
      <w:tr>
        <w:trPr>
          <w:trHeight w:val="270"/>
        </w:trPr>
        <w:tc>
          <w:tcPr>
            <w:tcW w:w="280" w:type="dxa"/>
            <w:vAlign w:val="bottom"/>
          </w:tcPr>
          <w:p>
            <w:pPr>
              <w:spacing w:after="0"/>
              <w:rPr>
                <w:sz w:val="23"/>
                <w:szCs w:val="23"/>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1,499</w:t>
            </w:r>
          </w:p>
        </w:tc>
        <w:tc>
          <w:tcPr>
            <w:tcW w:w="300" w:type="dxa"/>
            <w:vAlign w:val="bottom"/>
          </w:tcPr>
          <w:p>
            <w:pPr>
              <w:spacing w:after="0"/>
              <w:rPr>
                <w:sz w:val="23"/>
                <w:szCs w:val="23"/>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31,938</w:t>
            </w:r>
          </w:p>
        </w:tc>
      </w:tr>
      <w:tr>
        <w:trPr>
          <w:trHeight w:val="27"/>
        </w:trPr>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92,894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117,172</w:t>
            </w:r>
          </w:p>
        </w:tc>
      </w:tr>
      <w:tr>
        <w:trPr>
          <w:trHeight w:val="27"/>
        </w:trPr>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-727710</wp:posOffset>
            </wp:positionV>
            <wp:extent cx="7132320" cy="1797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-376555</wp:posOffset>
            </wp:positionV>
            <wp:extent cx="71323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60" w:space="720"/>
            <w:col w:w="4160"/>
          </w:cols>
          <w:pgMar w:left="320" w:top="126" w:right="339" w:bottom="1440" w:gutter="0" w:footer="0" w:header="0"/>
          <w:type w:val="continuous"/>
        </w:sectPr>
      </w:pP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Accrued Liabilities</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following amounts by major classification are included in Accrued liabilities on the accompanying Condensed Consolidated Balance Sheets (in thousands) as of:</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tcPr>
          <w:p>
            <w:pPr>
              <w:jc w:val="right"/>
              <w:ind w:right="310"/>
              <w:spacing w:after="0"/>
              <w:rPr>
                <w:sz w:val="20"/>
                <w:szCs w:val="20"/>
                <w:color w:val="auto"/>
              </w:rPr>
            </w:pPr>
            <w:r>
              <w:rPr>
                <w:rFonts w:ascii="Arial" w:cs="Arial" w:eastAsia="Arial" w:hAnsi="Arial"/>
                <w:sz w:val="18"/>
                <w:szCs w:val="18"/>
                <w:color w:val="auto"/>
              </w:rPr>
              <w:t>March 31, 2020</w:t>
            </w:r>
          </w:p>
        </w:tc>
        <w:tc>
          <w:tcPr>
            <w:tcW w:w="240" w:type="dxa"/>
            <w:vAlign w:val="bottom"/>
          </w:tcPr>
          <w:p>
            <w:pPr>
              <w:spacing w:after="0"/>
              <w:rPr>
                <w:sz w:val="20"/>
                <w:szCs w:val="20"/>
                <w:color w:val="auto"/>
              </w:rPr>
            </w:pPr>
          </w:p>
        </w:tc>
        <w:tc>
          <w:tcPr>
            <w:tcW w:w="1820" w:type="dxa"/>
            <w:vAlign w:val="bottom"/>
          </w:tcPr>
          <w:p>
            <w:pPr>
              <w:jc w:val="right"/>
              <w:ind w:right="210"/>
              <w:spacing w:after="0"/>
              <w:rPr>
                <w:sz w:val="20"/>
                <w:szCs w:val="20"/>
                <w:color w:val="auto"/>
              </w:rPr>
            </w:pPr>
            <w:r>
              <w:rPr>
                <w:rFonts w:ascii="Arial" w:cs="Arial" w:eastAsia="Arial" w:hAnsi="Arial"/>
                <w:sz w:val="18"/>
                <w:szCs w:val="18"/>
                <w:color w:val="auto"/>
                <w:w w:val="94"/>
              </w:rPr>
              <w:t>December 31, 2019</w:t>
            </w:r>
          </w:p>
        </w:tc>
      </w:tr>
      <w:tr>
        <w:trPr>
          <w:trHeight w:val="27"/>
        </w:trPr>
        <w:tc>
          <w:tcPr>
            <w:tcW w:w="718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3"/>
        </w:trPr>
        <w:tc>
          <w:tcPr>
            <w:tcW w:w="71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Accrued employee compensation, benefits and withholdings</w:t>
            </w:r>
          </w:p>
        </w:tc>
        <w:tc>
          <w:tcPr>
            <w:tcW w:w="2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45,070</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62,837</w:t>
            </w:r>
          </w:p>
        </w:tc>
      </w:tr>
      <w:tr>
        <w:trPr>
          <w:trHeight w:val="243"/>
        </w:trPr>
        <w:tc>
          <w:tcPr>
            <w:tcW w:w="7180" w:type="dxa"/>
            <w:vAlign w:val="bottom"/>
          </w:tcPr>
          <w:p>
            <w:pPr>
              <w:ind w:left="40"/>
              <w:spacing w:after="0"/>
              <w:rPr>
                <w:sz w:val="20"/>
                <w:szCs w:val="20"/>
                <w:color w:val="auto"/>
              </w:rPr>
            </w:pPr>
            <w:r>
              <w:rPr>
                <w:rFonts w:ascii="Arial" w:cs="Arial" w:eastAsia="Arial" w:hAnsi="Arial"/>
                <w:sz w:val="18"/>
                <w:szCs w:val="18"/>
                <w:color w:val="auto"/>
              </w:rPr>
              <w:t>Accrued property taxes</w:t>
            </w:r>
          </w:p>
        </w:tc>
        <w:tc>
          <w:tcPr>
            <w:tcW w:w="2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45,666</w:t>
            </w:r>
          </w:p>
        </w:tc>
        <w:tc>
          <w:tcPr>
            <w:tcW w:w="2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44,547</w:t>
            </w:r>
          </w:p>
        </w:tc>
      </w:tr>
      <w:tr>
        <w:trPr>
          <w:trHeight w:val="27"/>
        </w:trPr>
        <w:tc>
          <w:tcPr>
            <w:tcW w:w="7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1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Customer deposits and prepayments</w:t>
            </w:r>
          </w:p>
        </w:tc>
        <w:tc>
          <w:tcPr>
            <w:tcW w:w="280" w:type="dxa"/>
            <w:vAlign w:val="bottom"/>
            <w:tcBorders>
              <w:bottom w:val="single" w:sz="8" w:color="CEFFE7"/>
            </w:tcBorders>
            <w:shd w:val="clear" w:color="auto" w:fill="CEFFE7"/>
          </w:tcPr>
          <w:p>
            <w:pPr>
              <w:spacing w:after="0"/>
              <w:rPr>
                <w:sz w:val="21"/>
                <w:szCs w:val="21"/>
                <w:color w:val="auto"/>
              </w:rPr>
            </w:pPr>
          </w:p>
        </w:tc>
        <w:tc>
          <w:tcPr>
            <w:tcW w:w="1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43,524</w:t>
            </w:r>
          </w:p>
        </w:tc>
        <w:tc>
          <w:tcPr>
            <w:tcW w:w="240" w:type="dxa"/>
            <w:vAlign w:val="bottom"/>
            <w:tcBorders>
              <w:bottom w:val="single" w:sz="8" w:color="CEFFE7"/>
            </w:tcBorders>
            <w:shd w:val="clear" w:color="auto" w:fill="CEFFE7"/>
          </w:tcPr>
          <w:p>
            <w:pPr>
              <w:spacing w:after="0"/>
              <w:rPr>
                <w:sz w:val="21"/>
                <w:szCs w:val="21"/>
                <w:color w:val="auto"/>
              </w:rPr>
            </w:pPr>
          </w:p>
        </w:tc>
        <w:tc>
          <w:tcPr>
            <w:tcW w:w="18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54,728</w:t>
            </w:r>
          </w:p>
        </w:tc>
      </w:tr>
      <w:tr>
        <w:trPr>
          <w:trHeight w:val="243"/>
        </w:trPr>
        <w:tc>
          <w:tcPr>
            <w:tcW w:w="7180" w:type="dxa"/>
            <w:vAlign w:val="bottom"/>
          </w:tcPr>
          <w:p>
            <w:pPr>
              <w:ind w:left="40"/>
              <w:spacing w:after="0"/>
              <w:rPr>
                <w:sz w:val="20"/>
                <w:szCs w:val="20"/>
                <w:color w:val="auto"/>
              </w:rPr>
            </w:pPr>
            <w:r>
              <w:rPr>
                <w:rFonts w:ascii="Arial" w:cs="Arial" w:eastAsia="Arial" w:hAnsi="Arial"/>
                <w:sz w:val="18"/>
                <w:szCs w:val="18"/>
                <w:color w:val="auto"/>
              </w:rPr>
              <w:t>Accrued interest</w:t>
            </w:r>
          </w:p>
        </w:tc>
        <w:tc>
          <w:tcPr>
            <w:tcW w:w="2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43,776</w:t>
            </w:r>
          </w:p>
        </w:tc>
        <w:tc>
          <w:tcPr>
            <w:tcW w:w="2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31,868</w:t>
            </w:r>
          </w:p>
        </w:tc>
      </w:tr>
      <w:tr>
        <w:trPr>
          <w:trHeight w:val="27"/>
        </w:trPr>
        <w:tc>
          <w:tcPr>
            <w:tcW w:w="7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1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Other (none of which is individually significant)</w:t>
            </w:r>
          </w:p>
        </w:tc>
        <w:tc>
          <w:tcPr>
            <w:tcW w:w="280" w:type="dxa"/>
            <w:vAlign w:val="bottom"/>
            <w:tcBorders>
              <w:bottom w:val="single" w:sz="8" w:color="CEFFE7"/>
            </w:tcBorders>
            <w:shd w:val="clear" w:color="auto" w:fill="CEFFE7"/>
          </w:tcPr>
          <w:p>
            <w:pPr>
              <w:spacing w:after="0"/>
              <w:rPr>
                <w:sz w:val="23"/>
                <w:szCs w:val="23"/>
                <w:color w:val="auto"/>
              </w:rPr>
            </w:pPr>
          </w:p>
        </w:tc>
        <w:tc>
          <w:tcPr>
            <w:tcW w:w="1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25,409</w:t>
            </w:r>
          </w:p>
        </w:tc>
        <w:tc>
          <w:tcPr>
            <w:tcW w:w="240" w:type="dxa"/>
            <w:vAlign w:val="bottom"/>
            <w:tcBorders>
              <w:bottom w:val="single" w:sz="8" w:color="CEFFE7"/>
            </w:tcBorders>
            <w:shd w:val="clear" w:color="auto" w:fill="CEFFE7"/>
          </w:tcPr>
          <w:p>
            <w:pPr>
              <w:spacing w:after="0"/>
              <w:rPr>
                <w:sz w:val="23"/>
                <w:szCs w:val="23"/>
                <w:color w:val="auto"/>
              </w:rPr>
            </w:pPr>
          </w:p>
        </w:tc>
        <w:tc>
          <w:tcPr>
            <w:tcW w:w="18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32,787</w:t>
            </w:r>
          </w:p>
        </w:tc>
      </w:tr>
      <w:tr>
        <w:trPr>
          <w:trHeight w:val="257"/>
        </w:trPr>
        <w:tc>
          <w:tcPr>
            <w:tcW w:w="7180" w:type="dxa"/>
            <w:vAlign w:val="bottom"/>
          </w:tcPr>
          <w:p>
            <w:pPr>
              <w:ind w:left="280"/>
              <w:spacing w:after="0"/>
              <w:rPr>
                <w:sz w:val="20"/>
                <w:szCs w:val="20"/>
                <w:color w:val="auto"/>
              </w:rPr>
            </w:pPr>
            <w:r>
              <w:rPr>
                <w:rFonts w:ascii="Arial" w:cs="Arial" w:eastAsia="Arial" w:hAnsi="Arial"/>
                <w:sz w:val="18"/>
                <w:szCs w:val="18"/>
                <w:color w:val="auto"/>
              </w:rPr>
              <w:t>Total accrued liabilities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203,445</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226,767</w:t>
            </w:r>
          </w:p>
        </w:tc>
      </w:tr>
      <w:tr>
        <w:trPr>
          <w:trHeight w:val="20"/>
        </w:trPr>
        <w:tc>
          <w:tcPr>
            <w:tcW w:w="7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26" w:right="339" w:bottom="1440" w:gutter="0" w:footer="0" w:header="0"/>
          <w:type w:val="continuous"/>
        </w:sectPr>
      </w:pPr>
    </w:p>
    <w:bookmarkStart w:id="18" w:name="page19"/>
    <w:bookmarkEnd w:id="1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7" w:lineRule="exact"/>
        <w:rPr>
          <w:sz w:val="20"/>
          <w:szCs w:val="20"/>
          <w:color w:val="auto"/>
        </w:rPr>
      </w:pPr>
    </w:p>
    <w:p>
      <w:pPr>
        <w:ind w:left="400" w:hanging="392"/>
        <w:spacing w:after="0"/>
        <w:tabs>
          <w:tab w:leader="none" w:pos="4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Regulatory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had the following regulatory assets and liabilities (in thousands) as of:</w:t>
      </w:r>
    </w:p>
    <w:p>
      <w:pPr>
        <w:spacing w:after="0" w:line="171" w:lineRule="exact"/>
        <w:rPr>
          <w:sz w:val="20"/>
          <w:szCs w:val="20"/>
          <w:color w:val="auto"/>
        </w:rPr>
      </w:pPr>
    </w:p>
    <w:p>
      <w:pPr>
        <w:jc w:val="right"/>
        <w:ind w:right="300"/>
        <w:spacing w:after="0"/>
        <w:tabs>
          <w:tab w:leader="none" w:pos="1400" w:val="left"/>
        </w:tabs>
        <w:rPr>
          <w:sz w:val="20"/>
          <w:szCs w:val="20"/>
          <w:color w:val="auto"/>
        </w:rPr>
      </w:pPr>
      <w:r>
        <w:rPr>
          <w:rFonts w:ascii="Arial" w:cs="Arial" w:eastAsia="Arial" w:hAnsi="Arial"/>
          <w:sz w:val="18"/>
          <w:szCs w:val="18"/>
          <w:color w:val="auto"/>
        </w:rPr>
        <w:t>March 31, 2020</w:t>
      </w:r>
      <w:r>
        <w:rPr>
          <w:sz w:val="20"/>
          <w:szCs w:val="20"/>
          <w:color w:val="auto"/>
        </w:rPr>
        <w:tab/>
      </w:r>
      <w:r>
        <w:rPr>
          <w:rFonts w:ascii="Arial" w:cs="Arial" w:eastAsia="Arial" w:hAnsi="Arial"/>
          <w:sz w:val="16"/>
          <w:szCs w:val="16"/>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31750</wp:posOffset>
            </wp:positionV>
            <wp:extent cx="25717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Regulatory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p>
      <w:pPr>
        <w:spacing w:after="0" w:line="6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xml:space="preserve">Deferred energy and fuel cost adjustments </w:t>
      </w:r>
      <w:r>
        <w:rPr>
          <w:rFonts w:ascii="Arial" w:cs="Arial" w:eastAsia="Arial" w:hAnsi="Arial"/>
          <w:sz w:val="22"/>
          <w:szCs w:val="22"/>
          <w:color w:val="auto"/>
          <w:vertAlign w:val="superscript"/>
        </w:rPr>
        <w:t>(a)</w:t>
      </w:r>
    </w:p>
    <w:p>
      <w:pPr>
        <w:spacing w:after="0" w:line="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Deferred gas cost adjustments </w:t>
      </w:r>
      <w:r>
        <w:rPr>
          <w:rFonts w:ascii="Arial" w:cs="Arial" w:eastAsia="Arial" w:hAnsi="Arial"/>
          <w:sz w:val="25"/>
          <w:szCs w:val="25"/>
          <w:color w:val="auto"/>
          <w:vertAlign w:val="superscript"/>
        </w:rPr>
        <w:t>(a)</w:t>
      </w:r>
    </w:p>
    <w:p>
      <w:pPr>
        <w:ind w:left="180"/>
        <w:spacing w:after="0" w:line="225" w:lineRule="auto"/>
        <w:rPr>
          <w:sz w:val="20"/>
          <w:szCs w:val="20"/>
          <w:color w:val="auto"/>
        </w:rPr>
      </w:pPr>
      <w:r>
        <w:rPr>
          <w:rFonts w:ascii="Arial" w:cs="Arial" w:eastAsia="Arial" w:hAnsi="Arial"/>
          <w:sz w:val="18"/>
          <w:szCs w:val="18"/>
          <w:color w:val="auto"/>
        </w:rPr>
        <w:t xml:space="preserve">Gas price derivatives </w:t>
      </w:r>
      <w:r>
        <w:rPr>
          <w:rFonts w:ascii="Arial" w:cs="Arial" w:eastAsia="Arial" w:hAnsi="Arial"/>
          <w:sz w:val="25"/>
          <w:szCs w:val="25"/>
          <w:color w:val="auto"/>
          <w:vertAlign w:val="superscript"/>
        </w:rPr>
        <w:t>(a)</w:t>
      </w:r>
    </w:p>
    <w:p>
      <w:pPr>
        <w:ind w:left="180"/>
        <w:spacing w:after="0" w:line="225" w:lineRule="auto"/>
        <w:rPr>
          <w:sz w:val="20"/>
          <w:szCs w:val="20"/>
          <w:color w:val="auto"/>
        </w:rPr>
      </w:pPr>
      <w:r>
        <w:rPr>
          <w:rFonts w:ascii="Arial" w:cs="Arial" w:eastAsia="Arial" w:hAnsi="Arial"/>
          <w:sz w:val="18"/>
          <w:szCs w:val="18"/>
          <w:color w:val="auto"/>
        </w:rPr>
        <w:t xml:space="preserve">Deferred taxes on AFUDC </w:t>
      </w:r>
      <w:r>
        <w:rPr>
          <w:rFonts w:ascii="Arial" w:cs="Arial" w:eastAsia="Arial" w:hAnsi="Arial"/>
          <w:sz w:val="25"/>
          <w:szCs w:val="25"/>
          <w:color w:val="auto"/>
          <w:vertAlign w:val="superscript"/>
        </w:rPr>
        <w:t>(b)</w:t>
      </w:r>
    </w:p>
    <w:p>
      <w:pPr>
        <w:ind w:left="180"/>
        <w:spacing w:after="0" w:line="226" w:lineRule="auto"/>
        <w:rPr>
          <w:sz w:val="20"/>
          <w:szCs w:val="20"/>
          <w:color w:val="auto"/>
        </w:rPr>
      </w:pPr>
      <w:r>
        <w:rPr>
          <w:rFonts w:ascii="Arial" w:cs="Arial" w:eastAsia="Arial" w:hAnsi="Arial"/>
          <w:sz w:val="18"/>
          <w:szCs w:val="18"/>
          <w:color w:val="auto"/>
        </w:rPr>
        <w:t xml:space="preserve">Employee benefit plans </w:t>
      </w:r>
      <w:r>
        <w:rPr>
          <w:rFonts w:ascii="Arial" w:cs="Arial" w:eastAsia="Arial" w:hAnsi="Arial"/>
          <w:sz w:val="25"/>
          <w:szCs w:val="25"/>
          <w:color w:val="auto"/>
          <w:vertAlign w:val="superscript"/>
        </w:rPr>
        <w:t>(c)</w:t>
      </w:r>
    </w:p>
    <w:p>
      <w:pPr>
        <w:ind w:left="180"/>
        <w:spacing w:after="0" w:line="225" w:lineRule="auto"/>
        <w:rPr>
          <w:sz w:val="20"/>
          <w:szCs w:val="20"/>
          <w:color w:val="auto"/>
        </w:rPr>
      </w:pPr>
      <w:r>
        <w:rPr>
          <w:rFonts w:ascii="Arial" w:cs="Arial" w:eastAsia="Arial" w:hAnsi="Arial"/>
          <w:sz w:val="18"/>
          <w:szCs w:val="18"/>
          <w:color w:val="auto"/>
        </w:rPr>
        <w:t xml:space="preserve">Environmental </w:t>
      </w:r>
      <w:r>
        <w:rPr>
          <w:rFonts w:ascii="Arial" w:cs="Arial" w:eastAsia="Arial" w:hAnsi="Arial"/>
          <w:sz w:val="25"/>
          <w:szCs w:val="25"/>
          <w:color w:val="auto"/>
          <w:vertAlign w:val="superscript"/>
        </w:rPr>
        <w:t>(a)</w:t>
      </w:r>
    </w:p>
    <w:p>
      <w:pPr>
        <w:ind w:left="180"/>
        <w:spacing w:after="0" w:line="226" w:lineRule="auto"/>
        <w:rPr>
          <w:sz w:val="20"/>
          <w:szCs w:val="20"/>
          <w:color w:val="auto"/>
        </w:rPr>
      </w:pPr>
      <w:r>
        <w:rPr>
          <w:rFonts w:ascii="Arial" w:cs="Arial" w:eastAsia="Arial" w:hAnsi="Arial"/>
          <w:sz w:val="18"/>
          <w:szCs w:val="18"/>
          <w:color w:val="auto"/>
        </w:rPr>
        <w:t xml:space="preserve">Loss on reacquired debt </w:t>
      </w:r>
      <w:r>
        <w:rPr>
          <w:rFonts w:ascii="Arial" w:cs="Arial" w:eastAsia="Arial" w:hAnsi="Arial"/>
          <w:sz w:val="25"/>
          <w:szCs w:val="25"/>
          <w:color w:val="auto"/>
          <w:vertAlign w:val="superscript"/>
        </w:rPr>
        <w:t>(a)</w:t>
      </w:r>
    </w:p>
    <w:p>
      <w:pPr>
        <w:ind w:left="180"/>
        <w:spacing w:after="0" w:line="234" w:lineRule="auto"/>
        <w:rPr>
          <w:sz w:val="20"/>
          <w:szCs w:val="20"/>
          <w:color w:val="auto"/>
        </w:rPr>
      </w:pPr>
      <w:r>
        <w:rPr>
          <w:rFonts w:ascii="Arial" w:cs="Arial" w:eastAsia="Arial" w:hAnsi="Arial"/>
          <w:sz w:val="17"/>
          <w:szCs w:val="17"/>
          <w:color w:val="auto"/>
        </w:rPr>
        <w:t xml:space="preserve">Renewable energy standard adjustment </w:t>
      </w:r>
      <w:r>
        <w:rPr>
          <w:rFonts w:ascii="Arial" w:cs="Arial" w:eastAsia="Arial" w:hAnsi="Arial"/>
          <w:sz w:val="24"/>
          <w:szCs w:val="24"/>
          <w:color w:val="auto"/>
          <w:vertAlign w:val="superscript"/>
        </w:rPr>
        <w:t>(a)</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xml:space="preserve">Deferred taxes on flow through accounting </w:t>
      </w:r>
      <w:r>
        <w:rPr>
          <w:rFonts w:ascii="Arial" w:cs="Arial" w:eastAsia="Arial" w:hAnsi="Arial"/>
          <w:sz w:val="22"/>
          <w:szCs w:val="22"/>
          <w:color w:val="auto"/>
          <w:vertAlign w:val="superscript"/>
        </w:rPr>
        <w:t>(c)</w:t>
      </w:r>
    </w:p>
    <w:p>
      <w:pPr>
        <w:ind w:left="180"/>
        <w:spacing w:after="0"/>
        <w:rPr>
          <w:sz w:val="20"/>
          <w:szCs w:val="20"/>
          <w:color w:val="auto"/>
        </w:rPr>
      </w:pPr>
      <w:r>
        <w:rPr>
          <w:rFonts w:ascii="Arial" w:cs="Arial" w:eastAsia="Arial" w:hAnsi="Arial"/>
          <w:sz w:val="18"/>
          <w:szCs w:val="18"/>
          <w:color w:val="auto"/>
        </w:rPr>
        <w:t xml:space="preserve">Decommissioning costs </w:t>
      </w:r>
      <w:r>
        <w:rPr>
          <w:rFonts w:ascii="Arial" w:cs="Arial" w:eastAsia="Arial" w:hAnsi="Arial"/>
          <w:sz w:val="25"/>
          <w:szCs w:val="25"/>
          <w:color w:val="auto"/>
          <w:vertAlign w:val="superscript"/>
        </w:rPr>
        <w:t>(b)</w:t>
      </w:r>
    </w:p>
    <w:p>
      <w:pPr>
        <w:ind w:left="180"/>
        <w:spacing w:after="0" w:line="225" w:lineRule="auto"/>
        <w:rPr>
          <w:sz w:val="20"/>
          <w:szCs w:val="20"/>
          <w:color w:val="auto"/>
        </w:rPr>
      </w:pPr>
      <w:r>
        <w:rPr>
          <w:rFonts w:ascii="Arial" w:cs="Arial" w:eastAsia="Arial" w:hAnsi="Arial"/>
          <w:sz w:val="18"/>
          <w:szCs w:val="18"/>
          <w:color w:val="auto"/>
        </w:rPr>
        <w:t xml:space="preserve">Gas supply contract termination </w:t>
      </w:r>
      <w:r>
        <w:rPr>
          <w:rFonts w:ascii="Arial" w:cs="Arial" w:eastAsia="Arial" w:hAnsi="Arial"/>
          <w:sz w:val="25"/>
          <w:szCs w:val="25"/>
          <w:color w:val="auto"/>
          <w:vertAlign w:val="superscript"/>
        </w:rPr>
        <w:t>(a)</w:t>
      </w:r>
    </w:p>
    <w:p>
      <w:pPr>
        <w:ind w:left="180"/>
        <w:spacing w:after="0"/>
        <w:rPr>
          <w:sz w:val="20"/>
          <w:szCs w:val="20"/>
          <w:color w:val="auto"/>
        </w:rPr>
      </w:pPr>
      <w:r>
        <w:rPr>
          <w:rFonts w:ascii="Arial" w:cs="Arial" w:eastAsia="Arial" w:hAnsi="Arial"/>
          <w:sz w:val="18"/>
          <w:szCs w:val="18"/>
          <w:color w:val="auto"/>
        </w:rPr>
        <w:t xml:space="preserve">Other regulatory assets </w:t>
      </w:r>
      <w:r>
        <w:rPr>
          <w:rFonts w:ascii="Arial" w:cs="Arial" w:eastAsia="Arial" w:hAnsi="Arial"/>
          <w:sz w:val="25"/>
          <w:szCs w:val="25"/>
          <w:color w:val="auto"/>
          <w:vertAlign w:val="superscript"/>
        </w:rPr>
        <w:t>(a)</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regulatory assets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Less current regulatory assets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Regulatory assets, non-current</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35,687</w:t>
            </w:r>
          </w:p>
        </w:tc>
        <w:tc>
          <w:tcPr>
            <w:tcW w:w="74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34,088</w:t>
            </w:r>
          </w:p>
        </w:tc>
      </w:tr>
      <w:tr>
        <w:trPr>
          <w:trHeight w:val="270"/>
        </w:trPr>
        <w:tc>
          <w:tcPr>
            <w:tcW w:w="74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1,540</w:t>
            </w:r>
          </w:p>
        </w:tc>
      </w:tr>
      <w:tr>
        <w:trPr>
          <w:trHeight w:val="270"/>
        </w:trPr>
        <w:tc>
          <w:tcPr>
            <w:tcW w:w="74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1,302</w:t>
            </w:r>
          </w:p>
        </w:tc>
        <w:tc>
          <w:tcPr>
            <w:tcW w:w="74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3,328</w:t>
            </w:r>
          </w:p>
        </w:tc>
      </w:tr>
      <w:tr>
        <w:trPr>
          <w:trHeight w:val="270"/>
        </w:trPr>
        <w:tc>
          <w:tcPr>
            <w:tcW w:w="74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7,739</w:t>
            </w:r>
          </w:p>
        </w:tc>
        <w:tc>
          <w:tcPr>
            <w:tcW w:w="74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7,790</w:t>
            </w:r>
          </w:p>
        </w:tc>
      </w:tr>
      <w:tr>
        <w:trPr>
          <w:trHeight w:val="270"/>
        </w:trPr>
        <w:tc>
          <w:tcPr>
            <w:tcW w:w="74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117,150</w:t>
            </w:r>
          </w:p>
        </w:tc>
        <w:tc>
          <w:tcPr>
            <w:tcW w:w="74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115,900</w:t>
            </w:r>
          </w:p>
        </w:tc>
      </w:tr>
      <w:tr>
        <w:trPr>
          <w:trHeight w:val="270"/>
        </w:trPr>
        <w:tc>
          <w:tcPr>
            <w:tcW w:w="74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1,439</w:t>
            </w:r>
          </w:p>
        </w:tc>
        <w:tc>
          <w:tcPr>
            <w:tcW w:w="74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1,454</w:t>
            </w:r>
          </w:p>
        </w:tc>
      </w:tr>
      <w:tr>
        <w:trPr>
          <w:trHeight w:val="270"/>
        </w:trPr>
        <w:tc>
          <w:tcPr>
            <w:tcW w:w="74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24,299</w:t>
            </w:r>
          </w:p>
        </w:tc>
        <w:tc>
          <w:tcPr>
            <w:tcW w:w="74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24,777</w:t>
            </w:r>
          </w:p>
        </w:tc>
      </w:tr>
      <w:tr>
        <w:trPr>
          <w:trHeight w:val="270"/>
        </w:trPr>
        <w:tc>
          <w:tcPr>
            <w:tcW w:w="74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340</w:t>
            </w:r>
          </w:p>
        </w:tc>
        <w:tc>
          <w:tcPr>
            <w:tcW w:w="74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1,622</w:t>
            </w:r>
          </w:p>
        </w:tc>
      </w:tr>
      <w:tr>
        <w:trPr>
          <w:trHeight w:val="270"/>
        </w:trPr>
        <w:tc>
          <w:tcPr>
            <w:tcW w:w="74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44,589</w:t>
            </w:r>
          </w:p>
        </w:tc>
        <w:tc>
          <w:tcPr>
            <w:tcW w:w="74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41,220</w:t>
            </w:r>
          </w:p>
        </w:tc>
      </w:tr>
      <w:tr>
        <w:trPr>
          <w:trHeight w:val="270"/>
        </w:trPr>
        <w:tc>
          <w:tcPr>
            <w:tcW w:w="74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10,248</w:t>
            </w:r>
          </w:p>
        </w:tc>
        <w:tc>
          <w:tcPr>
            <w:tcW w:w="74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10,670</w:t>
            </w:r>
          </w:p>
        </w:tc>
      </w:tr>
      <w:tr>
        <w:trPr>
          <w:trHeight w:val="270"/>
        </w:trPr>
        <w:tc>
          <w:tcPr>
            <w:tcW w:w="74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7,007</w:t>
            </w:r>
          </w:p>
        </w:tc>
        <w:tc>
          <w:tcPr>
            <w:tcW w:w="74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8,485</w:t>
            </w:r>
          </w:p>
        </w:tc>
      </w:tr>
      <w:tr>
        <w:trPr>
          <w:trHeight w:val="270"/>
        </w:trPr>
        <w:tc>
          <w:tcPr>
            <w:tcW w:w="74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22,429</w:t>
            </w:r>
          </w:p>
        </w:tc>
        <w:tc>
          <w:tcPr>
            <w:tcW w:w="74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20,470</w:t>
            </w:r>
          </w:p>
        </w:tc>
      </w:tr>
      <w:tr>
        <w:trPr>
          <w:trHeight w:val="27"/>
        </w:trPr>
        <w:tc>
          <w:tcPr>
            <w:tcW w:w="7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74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272,229</w:t>
            </w:r>
          </w:p>
        </w:tc>
        <w:tc>
          <w:tcPr>
            <w:tcW w:w="74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271,344</w:t>
            </w:r>
          </w:p>
        </w:tc>
      </w:tr>
      <w:tr>
        <w:trPr>
          <w:trHeight w:val="270"/>
        </w:trPr>
        <w:tc>
          <w:tcPr>
            <w:tcW w:w="7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(49,415)</w:t>
            </w:r>
          </w:p>
        </w:tc>
        <w:tc>
          <w:tcPr>
            <w:tcW w:w="7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(43,282)</w:t>
            </w:r>
          </w:p>
        </w:tc>
      </w:tr>
      <w:tr>
        <w:trPr>
          <w:trHeight w:val="27"/>
        </w:trPr>
        <w:tc>
          <w:tcPr>
            <w:tcW w:w="7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222,814</w:t>
            </w:r>
          </w:p>
        </w:tc>
        <w:tc>
          <w:tcPr>
            <w:tcW w:w="74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228,062</w:t>
            </w:r>
          </w:p>
        </w:tc>
      </w:tr>
      <w:tr>
        <w:trPr>
          <w:trHeight w:val="27"/>
        </w:trPr>
        <w:tc>
          <w:tcPr>
            <w:tcW w:w="7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7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-4553585</wp:posOffset>
            </wp:positionH>
            <wp:positionV relativeFrom="paragraph">
              <wp:posOffset>-2271395</wp:posOffset>
            </wp:positionV>
            <wp:extent cx="71323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-4553585</wp:posOffset>
            </wp:positionH>
            <wp:positionV relativeFrom="paragraph">
              <wp:posOffset>-1928495</wp:posOffset>
            </wp:positionV>
            <wp:extent cx="71323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-4553585</wp:posOffset>
            </wp:positionH>
            <wp:positionV relativeFrom="paragraph">
              <wp:posOffset>-1585595</wp:posOffset>
            </wp:positionV>
            <wp:extent cx="71323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-4553585</wp:posOffset>
            </wp:positionH>
            <wp:positionV relativeFrom="paragraph">
              <wp:posOffset>-1242695</wp:posOffset>
            </wp:positionV>
            <wp:extent cx="71323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-4553585</wp:posOffset>
            </wp:positionH>
            <wp:positionV relativeFrom="paragraph">
              <wp:posOffset>-899795</wp:posOffset>
            </wp:positionV>
            <wp:extent cx="71323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-4553585</wp:posOffset>
            </wp:positionH>
            <wp:positionV relativeFrom="paragraph">
              <wp:posOffset>-556895</wp:posOffset>
            </wp:positionV>
            <wp:extent cx="7132320" cy="1797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-4553585</wp:posOffset>
            </wp:positionH>
            <wp:positionV relativeFrom="paragraph">
              <wp:posOffset>-205105</wp:posOffset>
            </wp:positionV>
            <wp:extent cx="7132320" cy="1885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-4553585</wp:posOffset>
            </wp:positionH>
            <wp:positionV relativeFrom="paragraph">
              <wp:posOffset>154305</wp:posOffset>
            </wp:positionV>
            <wp:extent cx="71323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460" w:space="720"/>
            <w:col w:w="4060"/>
          </w:cols>
          <w:pgMar w:left="320" w:top="126" w:right="339" w:bottom="1440" w:gutter="0" w:footer="0" w:header="0"/>
          <w:type w:val="continuous"/>
        </w:sectPr>
      </w:pPr>
    </w:p>
    <w:p>
      <w:pPr>
        <w:spacing w:after="0" w:line="56"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Regulatory liabilities</w:t>
      </w:r>
    </w:p>
    <w:p>
      <w:pPr>
        <w:spacing w:after="0" w:line="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Deferred energy and gas costs </w:t>
      </w:r>
      <w:r>
        <w:rPr>
          <w:rFonts w:ascii="Arial" w:cs="Arial" w:eastAsia="Arial" w:hAnsi="Arial"/>
          <w:sz w:val="25"/>
          <w:szCs w:val="25"/>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5"/>
          <w:szCs w:val="15"/>
          <w:color w:val="auto"/>
        </w:rPr>
        <w:t xml:space="preserve">Employee benefit plan costs and related deferred taxes </w:t>
      </w:r>
      <w:r>
        <w:rPr>
          <w:rFonts w:ascii="Arial" w:cs="Arial" w:eastAsia="Arial" w:hAnsi="Arial"/>
          <w:sz w:val="21"/>
          <w:szCs w:val="21"/>
          <w:color w:val="auto"/>
          <w:vertAlign w:val="superscript"/>
        </w:rPr>
        <w:t>(c)</w:t>
      </w:r>
    </w:p>
    <w:p>
      <w:pPr>
        <w:spacing w:after="0" w:line="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Cost of removal </w:t>
      </w:r>
      <w:r>
        <w:rPr>
          <w:rFonts w:ascii="Arial" w:cs="Arial" w:eastAsia="Arial" w:hAnsi="Arial"/>
          <w:sz w:val="25"/>
          <w:szCs w:val="25"/>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180"/>
        <w:spacing w:after="0" w:line="230" w:lineRule="auto"/>
        <w:rPr>
          <w:sz w:val="20"/>
          <w:szCs w:val="20"/>
          <w:color w:val="auto"/>
        </w:rPr>
      </w:pPr>
      <w:r>
        <w:rPr>
          <w:rFonts w:ascii="Arial" w:cs="Arial" w:eastAsia="Arial" w:hAnsi="Arial"/>
          <w:sz w:val="18"/>
          <w:szCs w:val="18"/>
          <w:color w:val="auto"/>
        </w:rPr>
        <w:t xml:space="preserve">Excess deferred income taxes </w:t>
      </w:r>
      <w:r>
        <w:rPr>
          <w:rFonts w:ascii="Arial" w:cs="Arial" w:eastAsia="Arial" w:hAnsi="Arial"/>
          <w:sz w:val="25"/>
          <w:szCs w:val="25"/>
          <w:color w:val="auto"/>
          <w:vertAlign w:val="superscript"/>
        </w:rPr>
        <w:t>(c)</w:t>
      </w:r>
    </w:p>
    <w:p>
      <w:pPr>
        <w:ind w:left="180"/>
        <w:spacing w:after="0"/>
        <w:rPr>
          <w:sz w:val="20"/>
          <w:szCs w:val="20"/>
          <w:color w:val="auto"/>
        </w:rPr>
      </w:pPr>
      <w:r>
        <w:rPr>
          <w:rFonts w:ascii="Arial" w:cs="Arial" w:eastAsia="Arial" w:hAnsi="Arial"/>
          <w:sz w:val="18"/>
          <w:szCs w:val="18"/>
          <w:color w:val="auto"/>
        </w:rPr>
        <w:t>TCJA revenue reserve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Other regulatory liabilities </w:t>
      </w:r>
      <w:r>
        <w:rPr>
          <w:rFonts w:ascii="Arial" w:cs="Arial" w:eastAsia="Arial" w:hAnsi="Arial"/>
          <w:sz w:val="25"/>
          <w:szCs w:val="25"/>
          <w:color w:val="auto"/>
          <w:vertAlign w:val="superscript"/>
        </w:rPr>
        <w:t>(c)</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regulatory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Less current regulatory liabilities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Regulatory liabilities, non-current</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40,002</w:t>
            </w:r>
          </w:p>
        </w:tc>
        <w:tc>
          <w:tcPr>
            <w:tcW w:w="74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17,278</w:t>
            </w:r>
          </w:p>
        </w:tc>
      </w:tr>
      <w:tr>
        <w:trPr>
          <w:trHeight w:val="270"/>
        </w:trPr>
        <w:tc>
          <w:tcPr>
            <w:tcW w:w="74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41,518</w:t>
            </w:r>
          </w:p>
        </w:tc>
        <w:tc>
          <w:tcPr>
            <w:tcW w:w="74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43,349</w:t>
            </w:r>
          </w:p>
        </w:tc>
      </w:tr>
      <w:tr>
        <w:trPr>
          <w:trHeight w:val="270"/>
        </w:trPr>
        <w:tc>
          <w:tcPr>
            <w:tcW w:w="74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170,954</w:t>
            </w:r>
          </w:p>
        </w:tc>
        <w:tc>
          <w:tcPr>
            <w:tcW w:w="74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166,727</w:t>
            </w:r>
          </w:p>
        </w:tc>
      </w:tr>
      <w:tr>
        <w:trPr>
          <w:trHeight w:val="270"/>
        </w:trPr>
        <w:tc>
          <w:tcPr>
            <w:tcW w:w="74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283,690</w:t>
            </w:r>
          </w:p>
        </w:tc>
        <w:tc>
          <w:tcPr>
            <w:tcW w:w="74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285,438</w:t>
            </w:r>
          </w:p>
        </w:tc>
      </w:tr>
      <w:tr>
        <w:trPr>
          <w:trHeight w:val="270"/>
        </w:trPr>
        <w:tc>
          <w:tcPr>
            <w:tcW w:w="74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5,147</w:t>
            </w:r>
          </w:p>
        </w:tc>
        <w:tc>
          <w:tcPr>
            <w:tcW w:w="74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3,418</w:t>
            </w:r>
          </w:p>
        </w:tc>
      </w:tr>
      <w:tr>
        <w:trPr>
          <w:trHeight w:val="270"/>
        </w:trPr>
        <w:tc>
          <w:tcPr>
            <w:tcW w:w="74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17,183</w:t>
            </w:r>
          </w:p>
        </w:tc>
        <w:tc>
          <w:tcPr>
            <w:tcW w:w="74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20,442</w:t>
            </w:r>
          </w:p>
        </w:tc>
      </w:tr>
      <w:tr>
        <w:trPr>
          <w:trHeight w:val="27"/>
        </w:trPr>
        <w:tc>
          <w:tcPr>
            <w:tcW w:w="7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74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558,494</w:t>
            </w:r>
          </w:p>
        </w:tc>
        <w:tc>
          <w:tcPr>
            <w:tcW w:w="74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536,652</w:t>
            </w:r>
          </w:p>
        </w:tc>
      </w:tr>
      <w:tr>
        <w:trPr>
          <w:trHeight w:val="270"/>
        </w:trPr>
        <w:tc>
          <w:tcPr>
            <w:tcW w:w="7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(54,345)</w:t>
            </w:r>
          </w:p>
        </w:tc>
        <w:tc>
          <w:tcPr>
            <w:tcW w:w="7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(33,507)</w:t>
            </w:r>
          </w:p>
        </w:tc>
      </w:tr>
      <w:tr>
        <w:trPr>
          <w:trHeight w:val="27"/>
        </w:trPr>
        <w:tc>
          <w:tcPr>
            <w:tcW w:w="7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504,149</w:t>
            </w:r>
          </w:p>
        </w:tc>
        <w:tc>
          <w:tcPr>
            <w:tcW w:w="74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503,145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17145</wp:posOffset>
            </wp:positionV>
            <wp:extent cx="25717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7175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34290</wp:posOffset>
            </wp:positionV>
            <wp:extent cx="257175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2">
            <w:col w:w="6460" w:space="720"/>
            <w:col w:w="4060"/>
          </w:cols>
          <w:pgMar w:left="320" w:top="126" w:right="339" w:bottom="1440" w:gutter="0" w:footer="0" w:header="0"/>
          <w:type w:val="continuous"/>
        </w:sect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Recovery of costs, but we are not allowed a rate of return.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addition to recovery of costs, we are allowed a rate of return.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 addition to recovery or repayment of costs, we are allowed a return on a portion of this amount or a reduction in rate base.</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26" w:right="339" w:bottom="1440" w:gutter="0" w:footer="0" w:header="0"/>
          <w:type w:val="continuous"/>
        </w:sectPr>
      </w:pPr>
    </w:p>
    <w:bookmarkStart w:id="19" w:name="page20"/>
    <w:bookmarkEnd w:id="1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Activity</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Except as discussed below, there have been no other significant changes to our Regulatory Matters from those previously disclosed in Note 13 of the Notes to the Consolidated Financial Statements in our 2019 Annual Report on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Black Hills Wyoming and Wyoming Electric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Wygen 1 FERC Filing</w:t>
      </w:r>
    </w:p>
    <w:p>
      <w:pPr>
        <w:spacing w:after="0" w:line="22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Black Hills Wyoming has a PPA with Wyoming Electric expiring on December 31, 2022, which provides 60 MW of unit-contingent capacity and energy from Black Hills Wyoming’s Wygen I facility. On August 2, 2019, Black Hills Wyoming and Wyoming Electric jointly filed a request with FERC for approval of a new 60 MW PPA. The agreement would fulfill Wyoming Electric’s capacity need at the expiration of the current agreement on December 31, 2022. If approved, Black Hills Wyoming will continue to deliver 60 MW of energy to Wyoming Electric from its Wygen I power plant starting January 1, 2023, and continuing for an additional 20 years to December 31, 2042. On February 21, 2020, the FERC set this filing for hearing. However, the hearing has been placed in abeyance pending a FERC monitored settlement process. Settlement negotiations are ongoing among all parties. Any settlement would require FERC approval. To the extent the parties are unable to reach agreement, the next step in FERC’s process would be to set the matter for hearing. We will continue to evaluate our options to fulfill Wyoming Electric’s 60 MW capacity need.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Colorado Gas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Jurisdictional Consolidation and Rate Review</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February 1, 2019, Colorado Gas filed a rate review with the CPUC requesting approval to consolidate rates, tariffs, and services of its two existing gas distribution territories. The rate review requested $2.5 million in new revenue to recover investments in safety, reliability and system integrity. Colorado Gas also requested a new rider mechanism to recover future safety and integrity investments in its system. On December 27, 2019, the ALJ issued a recommended decision denying the company’s plan to consolidate rate territories and rider mechanism and also recommended a rate decrease. On April 14, 2020, the CPUC deliberated on the ALJ’s recommended decision and filed exceptions to that decision. The CPUC essentially accepted the ALJ’s recommended decisions, except for return on equity, which they lowered from 9.5% to 9.2%. A final order and new rates are anticipated to be effective in the second quarter of 2020.</w:t>
      </w:r>
    </w:p>
    <w:p>
      <w:pPr>
        <w:spacing w:after="0" w:line="393" w:lineRule="exact"/>
        <w:rPr>
          <w:sz w:val="20"/>
          <w:szCs w:val="20"/>
          <w:color w:val="auto"/>
        </w:rPr>
      </w:pPr>
    </w:p>
    <w:p>
      <w:pPr>
        <w:ind w:left="400" w:hanging="392"/>
        <w:spacing w:after="0"/>
        <w:tabs>
          <w:tab w:leader="none" w:pos="4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reconciliation of share amounts used to compute earnings per share in the accompanying Condensed Consolidated Statements of Income was as follows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p>
        </w:tc>
        <w:tc>
          <w:tcPr>
            <w:tcW w:w="3660" w:type="dxa"/>
            <w:vAlign w:val="bottom"/>
            <w:gridSpan w:val="3"/>
          </w:tcPr>
          <w:p>
            <w:pPr>
              <w:jc w:val="right"/>
              <w:ind w:right="170"/>
              <w:spacing w:after="0"/>
              <w:rPr>
                <w:sz w:val="20"/>
                <w:szCs w:val="20"/>
                <w:color w:val="auto"/>
              </w:rPr>
            </w:pPr>
            <w:r>
              <w:rPr>
                <w:rFonts w:ascii="Arial" w:cs="Arial" w:eastAsia="Arial" w:hAnsi="Arial"/>
                <w:sz w:val="18"/>
                <w:szCs w:val="18"/>
                <w:color w:val="auto"/>
              </w:rPr>
              <w:t>Three Months Ended March 31,</w:t>
            </w:r>
          </w:p>
        </w:tc>
        <w:tc>
          <w:tcPr>
            <w:tcW w:w="820" w:type="dxa"/>
            <w:vAlign w:val="bottom"/>
          </w:tcPr>
          <w:p>
            <w:pPr>
              <w:spacing w:after="0"/>
              <w:rPr>
                <w:sz w:val="20"/>
                <w:szCs w:val="20"/>
                <w:color w:val="auto"/>
              </w:rPr>
            </w:pPr>
          </w:p>
        </w:tc>
      </w:tr>
      <w:tr>
        <w:trPr>
          <w:trHeight w:val="270"/>
        </w:trPr>
        <w:tc>
          <w:tcPr>
            <w:tcW w:w="6760" w:type="dxa"/>
            <w:vAlign w:val="bottom"/>
          </w:tcPr>
          <w:p>
            <w:pPr>
              <w:spacing w:after="0"/>
              <w:rPr>
                <w:sz w:val="23"/>
                <w:szCs w:val="23"/>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2020</w:t>
            </w:r>
          </w:p>
        </w:tc>
        <w:tc>
          <w:tcPr>
            <w:tcW w:w="740" w:type="dxa"/>
            <w:vAlign w:val="bottom"/>
          </w:tcPr>
          <w:p>
            <w:pPr>
              <w:spacing w:after="0"/>
              <w:rPr>
                <w:sz w:val="23"/>
                <w:szCs w:val="23"/>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820" w:type="dxa"/>
            <w:vAlign w:val="bottom"/>
          </w:tcPr>
          <w:p>
            <w:pPr>
              <w:spacing w:after="0"/>
              <w:rPr>
                <w:sz w:val="23"/>
                <w:szCs w:val="23"/>
                <w:color w:val="auto"/>
              </w:rPr>
            </w:pPr>
          </w:p>
        </w:tc>
      </w:tr>
      <w:tr>
        <w:trPr>
          <w:trHeight w:val="27"/>
        </w:trPr>
        <w:tc>
          <w:tcPr>
            <w:tcW w:w="676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317"/>
        </w:trPr>
        <w:tc>
          <w:tcPr>
            <w:tcW w:w="67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4"/>
        </w:trPr>
        <w:tc>
          <w:tcPr>
            <w:tcW w:w="67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Net income available for common stock</w:t>
            </w:r>
          </w:p>
        </w:tc>
        <w:tc>
          <w:tcPr>
            <w:tcW w:w="1460" w:type="dxa"/>
            <w:vAlign w:val="bottom"/>
            <w:tcBorders>
              <w:bottom w:val="single" w:sz="8" w:color="auto"/>
            </w:tcBorders>
            <w:shd w:val="clear" w:color="auto" w:fill="CEFFE7"/>
          </w:tcPr>
          <w:p>
            <w:pPr>
              <w:jc w:val="right"/>
              <w:ind w:right="12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93,174</w:t>
            </w:r>
          </w:p>
        </w:tc>
        <w:tc>
          <w:tcPr>
            <w:tcW w:w="1460" w:type="dxa"/>
            <w:vAlign w:val="bottom"/>
            <w:tcBorders>
              <w:bottom w:val="single" w:sz="8" w:color="auto"/>
            </w:tcBorders>
            <w:shd w:val="clear" w:color="auto" w:fill="CEFFE7"/>
          </w:tcPr>
          <w:p>
            <w:pPr>
              <w:jc w:val="right"/>
              <w:ind w:right="12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103,808</w:t>
            </w:r>
          </w:p>
        </w:tc>
      </w:tr>
      <w:tr>
        <w:trPr>
          <w:trHeight w:val="20"/>
        </w:trPr>
        <w:tc>
          <w:tcPr>
            <w:tcW w:w="67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311"/>
        </w:trPr>
        <w:tc>
          <w:tcPr>
            <w:tcW w:w="67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0"/>
        </w:trPr>
        <w:tc>
          <w:tcPr>
            <w:tcW w:w="67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Weighted average shares - basic</w:t>
            </w:r>
          </w:p>
        </w:tc>
        <w:tc>
          <w:tcPr>
            <w:tcW w:w="146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61,778</w:t>
            </w:r>
          </w:p>
        </w:tc>
        <w:tc>
          <w:tcPr>
            <w:tcW w:w="146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59,920</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Dilutive effect of:</w:t>
            </w:r>
          </w:p>
        </w:tc>
        <w:tc>
          <w:tcPr>
            <w:tcW w:w="1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76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Equity compensation</w:t>
            </w:r>
          </w:p>
        </w:tc>
        <w:tc>
          <w:tcPr>
            <w:tcW w:w="1460" w:type="dxa"/>
            <w:vAlign w:val="bottom"/>
            <w:tcBorders>
              <w:bottom w:val="single" w:sz="8" w:color="CEFFE7"/>
            </w:tcBorders>
            <w:shd w:val="clear" w:color="auto" w:fill="CEFFE7"/>
          </w:tcPr>
          <w:p>
            <w:pPr>
              <w:spacing w:after="0"/>
              <w:rPr>
                <w:sz w:val="23"/>
                <w:szCs w:val="23"/>
                <w:color w:val="auto"/>
              </w:rPr>
            </w:pPr>
          </w:p>
        </w:tc>
        <w:tc>
          <w:tcPr>
            <w:tcW w:w="7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78</w:t>
            </w:r>
          </w:p>
        </w:tc>
        <w:tc>
          <w:tcPr>
            <w:tcW w:w="1460" w:type="dxa"/>
            <w:vAlign w:val="bottom"/>
            <w:tcBorders>
              <w:bottom w:val="single" w:sz="8" w:color="CEFFE7"/>
            </w:tcBorders>
            <w:shd w:val="clear" w:color="auto" w:fill="CEFFE7"/>
          </w:tcPr>
          <w:p>
            <w:pPr>
              <w:spacing w:after="0"/>
              <w:rPr>
                <w:sz w:val="23"/>
                <w:szCs w:val="23"/>
                <w:color w:val="auto"/>
              </w:rPr>
            </w:pPr>
          </w:p>
        </w:tc>
        <w:tc>
          <w:tcPr>
            <w:tcW w:w="8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140</w:t>
            </w:r>
          </w:p>
        </w:tc>
      </w:tr>
      <w:tr>
        <w:trPr>
          <w:trHeight w:val="297"/>
        </w:trPr>
        <w:tc>
          <w:tcPr>
            <w:tcW w:w="6760" w:type="dxa"/>
            <w:vAlign w:val="bottom"/>
            <w:tcBorders>
              <w:bottom w:val="single" w:sz="8" w:color="CEFFE7"/>
            </w:tcBorders>
          </w:tcPr>
          <w:p>
            <w:pPr>
              <w:ind w:left="40"/>
              <w:spacing w:after="0"/>
              <w:rPr>
                <w:sz w:val="20"/>
                <w:szCs w:val="20"/>
                <w:color w:val="auto"/>
              </w:rPr>
            </w:pPr>
            <w:r>
              <w:rPr>
                <w:rFonts w:ascii="Arial" w:cs="Arial" w:eastAsia="Arial" w:hAnsi="Arial"/>
                <w:sz w:val="18"/>
                <w:szCs w:val="18"/>
                <w:color w:val="auto"/>
              </w:rPr>
              <w:t>Weighted average shares - diluted</w:t>
            </w:r>
          </w:p>
        </w:tc>
        <w:tc>
          <w:tcPr>
            <w:tcW w:w="146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61,856</w:t>
            </w:r>
          </w:p>
        </w:tc>
        <w:tc>
          <w:tcPr>
            <w:tcW w:w="146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60,060</w:t>
            </w:r>
          </w:p>
        </w:tc>
      </w:tr>
      <w:tr>
        <w:trPr>
          <w:trHeight w:val="311"/>
        </w:trPr>
        <w:tc>
          <w:tcPr>
            <w:tcW w:w="6760" w:type="dxa"/>
            <w:vAlign w:val="bottom"/>
            <w:shd w:val="clear" w:color="auto" w:fill="CEFFE7"/>
          </w:tcPr>
          <w:p>
            <w:pPr>
              <w:spacing w:after="0"/>
              <w:rPr>
                <w:sz w:val="24"/>
                <w:szCs w:val="24"/>
                <w:color w:val="auto"/>
              </w:rPr>
            </w:pPr>
          </w:p>
        </w:tc>
        <w:tc>
          <w:tcPr>
            <w:tcW w:w="1460" w:type="dxa"/>
            <w:vAlign w:val="bottom"/>
            <w:shd w:val="clear" w:color="auto" w:fill="CEFFE7"/>
          </w:tcPr>
          <w:p>
            <w:pPr>
              <w:spacing w:after="0"/>
              <w:rPr>
                <w:sz w:val="24"/>
                <w:szCs w:val="24"/>
                <w:color w:val="auto"/>
              </w:rPr>
            </w:pPr>
          </w:p>
        </w:tc>
        <w:tc>
          <w:tcPr>
            <w:tcW w:w="740" w:type="dxa"/>
            <w:vAlign w:val="bottom"/>
            <w:shd w:val="clear" w:color="auto" w:fill="CEFFE7"/>
          </w:tcPr>
          <w:p>
            <w:pPr>
              <w:spacing w:after="0"/>
              <w:rPr>
                <w:sz w:val="24"/>
                <w:szCs w:val="24"/>
                <w:color w:val="auto"/>
              </w:rPr>
            </w:pPr>
          </w:p>
        </w:tc>
        <w:tc>
          <w:tcPr>
            <w:tcW w:w="1460" w:type="dxa"/>
            <w:vAlign w:val="bottom"/>
            <w:shd w:val="clear" w:color="auto" w:fill="CEFFE7"/>
          </w:tcPr>
          <w:p>
            <w:pPr>
              <w:spacing w:after="0"/>
              <w:rPr>
                <w:sz w:val="24"/>
                <w:szCs w:val="24"/>
                <w:color w:val="auto"/>
              </w:rPr>
            </w:pPr>
          </w:p>
        </w:tc>
        <w:tc>
          <w:tcPr>
            <w:tcW w:w="820" w:type="dxa"/>
            <w:vAlign w:val="bottom"/>
            <w:shd w:val="clear" w:color="auto" w:fill="CEFFE7"/>
          </w:tcPr>
          <w:p>
            <w:pPr>
              <w:spacing w:after="0"/>
              <w:rPr>
                <w:sz w:val="24"/>
                <w:szCs w:val="24"/>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Earnings per share of common stock:</w:t>
            </w:r>
          </w:p>
        </w:tc>
        <w:tc>
          <w:tcPr>
            <w:tcW w:w="1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76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Earnings per share, Basic</w:t>
            </w:r>
          </w:p>
        </w:tc>
        <w:tc>
          <w:tcPr>
            <w:tcW w:w="1460" w:type="dxa"/>
            <w:vAlign w:val="bottom"/>
            <w:tcBorders>
              <w:bottom w:val="single" w:sz="8" w:color="CEFFE7"/>
            </w:tcBorders>
            <w:shd w:val="clear" w:color="auto" w:fill="CEFFE7"/>
          </w:tcPr>
          <w:p>
            <w:pPr>
              <w:jc w:val="right"/>
              <w:ind w:right="12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1.51</w:t>
            </w:r>
          </w:p>
        </w:tc>
        <w:tc>
          <w:tcPr>
            <w:tcW w:w="1460" w:type="dxa"/>
            <w:vAlign w:val="bottom"/>
            <w:tcBorders>
              <w:bottom w:val="single" w:sz="8" w:color="CEFFE7"/>
            </w:tcBorders>
            <w:shd w:val="clear" w:color="auto" w:fill="CEFFE7"/>
          </w:tcPr>
          <w:p>
            <w:pPr>
              <w:jc w:val="right"/>
              <w:ind w:right="12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1.73</w:t>
            </w: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Earnings per share, Diluted</w:t>
            </w:r>
          </w:p>
        </w:tc>
        <w:tc>
          <w:tcPr>
            <w:tcW w:w="1460" w:type="dxa"/>
            <w:vAlign w:val="bottom"/>
          </w:tcPr>
          <w:p>
            <w:pPr>
              <w:jc w:val="right"/>
              <w:ind w:right="125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1.51</w:t>
            </w:r>
          </w:p>
        </w:tc>
        <w:tc>
          <w:tcPr>
            <w:tcW w:w="1460" w:type="dxa"/>
            <w:vAlign w:val="bottom"/>
          </w:tcPr>
          <w:p>
            <w:pPr>
              <w:jc w:val="right"/>
              <w:ind w:right="12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1.73</w:t>
            </w: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26"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10"/>
        </w:trPr>
        <w:tc>
          <w:tcPr>
            <w:tcW w:w="8380" w:type="dxa"/>
            <w:vAlign w:val="bottom"/>
            <w:gridSpan w:val="2"/>
          </w:tcPr>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tc>
        <w:tc>
          <w:tcPr>
            <w:tcW w:w="22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424"/>
        </w:trPr>
        <w:tc>
          <w:tcPr>
            <w:tcW w:w="10620" w:type="dxa"/>
            <w:vAlign w:val="bottom"/>
            <w:gridSpan w:val="3"/>
          </w:tcPr>
          <w:p>
            <w:pPr>
              <w:spacing w:after="0"/>
              <w:rPr>
                <w:sz w:val="20"/>
                <w:szCs w:val="20"/>
                <w:color w:val="auto"/>
              </w:rPr>
            </w:pPr>
            <w:r>
              <w:rPr>
                <w:rFonts w:ascii="Arial" w:cs="Arial" w:eastAsia="Arial" w:hAnsi="Arial"/>
                <w:sz w:val="18"/>
                <w:szCs w:val="18"/>
                <w:color w:val="auto"/>
                <w:w w:val="95"/>
              </w:rPr>
              <w:t>The following securities were excluded from the diluted earnings per share computation because of their anti-dilutive nature (in thousands):</w:t>
            </w:r>
          </w:p>
        </w:tc>
        <w:tc>
          <w:tcPr>
            <w:tcW w:w="620" w:type="dxa"/>
            <w:vAlign w:val="bottom"/>
          </w:tcPr>
          <w:p>
            <w:pPr>
              <w:spacing w:after="0"/>
              <w:rPr>
                <w:sz w:val="24"/>
                <w:szCs w:val="24"/>
                <w:color w:val="auto"/>
              </w:rPr>
            </w:pPr>
          </w:p>
        </w:tc>
      </w:tr>
      <w:tr>
        <w:trPr>
          <w:trHeight w:val="378"/>
        </w:trPr>
        <w:tc>
          <w:tcPr>
            <w:tcW w:w="6760" w:type="dxa"/>
            <w:vAlign w:val="bottom"/>
          </w:tcPr>
          <w:p>
            <w:pPr>
              <w:spacing w:after="0"/>
              <w:rPr>
                <w:sz w:val="24"/>
                <w:szCs w:val="24"/>
                <w:color w:val="auto"/>
              </w:rPr>
            </w:pPr>
          </w:p>
        </w:tc>
        <w:tc>
          <w:tcPr>
            <w:tcW w:w="3860" w:type="dxa"/>
            <w:vAlign w:val="bottom"/>
            <w:gridSpan w:val="2"/>
          </w:tcPr>
          <w:p>
            <w:pPr>
              <w:jc w:val="right"/>
              <w:ind w:right="370"/>
              <w:spacing w:after="0"/>
              <w:rPr>
                <w:sz w:val="20"/>
                <w:szCs w:val="20"/>
                <w:color w:val="auto"/>
              </w:rPr>
            </w:pPr>
            <w:r>
              <w:rPr>
                <w:rFonts w:ascii="Arial" w:cs="Arial" w:eastAsia="Arial" w:hAnsi="Arial"/>
                <w:sz w:val="18"/>
                <w:szCs w:val="18"/>
                <w:color w:val="auto"/>
              </w:rPr>
              <w:t>Three Months Ended March 31,</w:t>
            </w:r>
          </w:p>
        </w:tc>
        <w:tc>
          <w:tcPr>
            <w:tcW w:w="620" w:type="dxa"/>
            <w:vAlign w:val="bottom"/>
          </w:tcPr>
          <w:p>
            <w:pPr>
              <w:spacing w:after="0"/>
              <w:rPr>
                <w:sz w:val="24"/>
                <w:szCs w:val="24"/>
                <w:color w:val="auto"/>
              </w:rPr>
            </w:pPr>
          </w:p>
        </w:tc>
      </w:tr>
      <w:tr>
        <w:trPr>
          <w:trHeight w:val="270"/>
        </w:trPr>
        <w:tc>
          <w:tcPr>
            <w:tcW w:w="8380" w:type="dxa"/>
            <w:vAlign w:val="bottom"/>
            <w:gridSpan w:val="2"/>
          </w:tcPr>
          <w:p>
            <w:pPr>
              <w:ind w:left="7700"/>
              <w:spacing w:after="0"/>
              <w:rPr>
                <w:sz w:val="20"/>
                <w:szCs w:val="20"/>
                <w:color w:val="auto"/>
              </w:rPr>
            </w:pPr>
            <w:r>
              <w:rPr>
                <w:rFonts w:ascii="Arial" w:cs="Arial" w:eastAsia="Arial" w:hAnsi="Arial"/>
                <w:sz w:val="18"/>
                <w:szCs w:val="18"/>
                <w:color w:val="auto"/>
              </w:rPr>
              <w:t>2020</w:t>
            </w:r>
          </w:p>
        </w:tc>
        <w:tc>
          <w:tcPr>
            <w:tcW w:w="2240" w:type="dxa"/>
            <w:vAlign w:val="bottom"/>
          </w:tcPr>
          <w:p>
            <w:pPr>
              <w:jc w:val="right"/>
              <w:ind w:right="230"/>
              <w:spacing w:after="0"/>
              <w:rPr>
                <w:sz w:val="20"/>
                <w:szCs w:val="20"/>
                <w:color w:val="auto"/>
              </w:rPr>
            </w:pPr>
            <w:r>
              <w:rPr>
                <w:rFonts w:ascii="Arial" w:cs="Arial" w:eastAsia="Arial" w:hAnsi="Arial"/>
                <w:sz w:val="18"/>
                <w:szCs w:val="18"/>
                <w:color w:val="auto"/>
              </w:rPr>
              <w:t>2019</w:t>
            </w:r>
          </w:p>
        </w:tc>
        <w:tc>
          <w:tcPr>
            <w:tcW w:w="620" w:type="dxa"/>
            <w:vAlign w:val="bottom"/>
          </w:tcPr>
          <w:p>
            <w:pPr>
              <w:spacing w:after="0"/>
              <w:rPr>
                <w:sz w:val="23"/>
                <w:szCs w:val="23"/>
                <w:color w:val="auto"/>
              </w:rPr>
            </w:pPr>
          </w:p>
        </w:tc>
      </w:tr>
      <w:tr>
        <w:trPr>
          <w:trHeight w:val="27"/>
        </w:trPr>
        <w:tc>
          <w:tcPr>
            <w:tcW w:w="676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318"/>
        </w:trPr>
        <w:tc>
          <w:tcPr>
            <w:tcW w:w="67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50"/>
        </w:trPr>
        <w:tc>
          <w:tcPr>
            <w:tcW w:w="83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Equity compensation</w:t>
            </w:r>
          </w:p>
        </w:tc>
        <w:tc>
          <w:tcPr>
            <w:tcW w:w="2240" w:type="dxa"/>
            <w:vAlign w:val="bottom"/>
            <w:tcBorders>
              <w:bottom w:val="single" w:sz="8" w:color="CEFFE7"/>
            </w:tcBorders>
            <w:shd w:val="clear" w:color="auto" w:fill="CEFFE7"/>
          </w:tcPr>
          <w:p>
            <w:pPr>
              <w:jc w:val="right"/>
              <w:ind w:right="1630"/>
              <w:spacing w:after="0"/>
              <w:rPr>
                <w:sz w:val="20"/>
                <w:szCs w:val="20"/>
                <w:color w:val="auto"/>
              </w:rPr>
            </w:pPr>
            <w:r>
              <w:rPr>
                <w:rFonts w:ascii="Arial" w:cs="Arial" w:eastAsia="Arial" w:hAnsi="Arial"/>
                <w:sz w:val="18"/>
                <w:szCs w:val="18"/>
                <w:color w:val="auto"/>
              </w:rPr>
              <w:t>12</w:t>
            </w:r>
          </w:p>
        </w:tc>
        <w:tc>
          <w:tcPr>
            <w:tcW w:w="6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w:t>
            </w:r>
          </w:p>
        </w:tc>
      </w:tr>
      <w:tr>
        <w:trPr>
          <w:trHeight w:val="243"/>
        </w:trPr>
        <w:tc>
          <w:tcPr>
            <w:tcW w:w="8380" w:type="dxa"/>
            <w:vAlign w:val="bottom"/>
            <w:gridSpan w:val="2"/>
          </w:tcPr>
          <w:p>
            <w:pPr>
              <w:ind w:left="40"/>
              <w:spacing w:after="0"/>
              <w:rPr>
                <w:sz w:val="20"/>
                <w:szCs w:val="20"/>
                <w:color w:val="auto"/>
              </w:rPr>
            </w:pPr>
            <w:r>
              <w:rPr>
                <w:rFonts w:ascii="Arial" w:cs="Arial" w:eastAsia="Arial" w:hAnsi="Arial"/>
                <w:sz w:val="18"/>
                <w:szCs w:val="18"/>
                <w:color w:val="auto"/>
              </w:rPr>
              <w:t>Restricted stock</w:t>
            </w:r>
          </w:p>
        </w:tc>
        <w:tc>
          <w:tcPr>
            <w:tcW w:w="2240" w:type="dxa"/>
            <w:vAlign w:val="bottom"/>
          </w:tcPr>
          <w:p>
            <w:pPr>
              <w:jc w:val="right"/>
              <w:ind w:right="1630"/>
              <w:spacing w:after="0"/>
              <w:rPr>
                <w:sz w:val="20"/>
                <w:szCs w:val="20"/>
                <w:color w:val="auto"/>
              </w:rPr>
            </w:pPr>
            <w:r>
              <w:rPr>
                <w:rFonts w:ascii="Arial" w:cs="Arial" w:eastAsia="Arial" w:hAnsi="Arial"/>
                <w:sz w:val="18"/>
                <w:szCs w:val="18"/>
                <w:color w:val="auto"/>
              </w:rPr>
              <w:t>26</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Borders>
              <w:bottom w:val="single" w:sz="8" w:color="CEFFE7"/>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7"/>
        </w:trPr>
        <w:tc>
          <w:tcPr>
            <w:tcW w:w="8380" w:type="dxa"/>
            <w:vAlign w:val="bottom"/>
            <w:gridSpan w:val="2"/>
            <w:shd w:val="clear" w:color="auto" w:fill="CEFFE7"/>
          </w:tcPr>
          <w:p>
            <w:pPr>
              <w:ind w:left="180"/>
              <w:spacing w:after="0"/>
              <w:rPr>
                <w:sz w:val="20"/>
                <w:szCs w:val="20"/>
                <w:color w:val="auto"/>
              </w:rPr>
            </w:pPr>
            <w:r>
              <w:rPr>
                <w:rFonts w:ascii="Arial" w:cs="Arial" w:eastAsia="Arial" w:hAnsi="Arial"/>
                <w:sz w:val="18"/>
                <w:szCs w:val="18"/>
                <w:color w:val="auto"/>
              </w:rPr>
              <w:t>Anti-dilutive shares</w:t>
            </w:r>
          </w:p>
        </w:tc>
        <w:tc>
          <w:tcPr>
            <w:tcW w:w="2240" w:type="dxa"/>
            <w:vAlign w:val="bottom"/>
            <w:shd w:val="clear" w:color="auto" w:fill="CEFFE7"/>
          </w:tcPr>
          <w:p>
            <w:pPr>
              <w:jc w:val="right"/>
              <w:ind w:right="1630"/>
              <w:spacing w:after="0"/>
              <w:rPr>
                <w:sz w:val="20"/>
                <w:szCs w:val="20"/>
                <w:color w:val="auto"/>
              </w:rPr>
            </w:pPr>
            <w:r>
              <w:rPr>
                <w:rFonts w:ascii="Arial" w:cs="Arial" w:eastAsia="Arial" w:hAnsi="Arial"/>
                <w:sz w:val="18"/>
                <w:szCs w:val="18"/>
                <w:color w:val="auto"/>
              </w:rPr>
              <w:t>38</w:t>
            </w:r>
          </w:p>
        </w:tc>
        <w:tc>
          <w:tcPr>
            <w:tcW w:w="6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6</w:t>
            </w:r>
          </w:p>
        </w:tc>
      </w:tr>
      <w:tr>
        <w:trPr>
          <w:trHeight w:val="20"/>
        </w:trPr>
        <w:tc>
          <w:tcPr>
            <w:tcW w:w="6760" w:type="dxa"/>
            <w:vAlign w:val="bottom"/>
            <w:tcBorders>
              <w:top w:val="single" w:sz="8" w:color="CEFFE7"/>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00" w:hanging="392"/>
        <w:spacing w:after="0"/>
        <w:tabs>
          <w:tab w:leader="none" w:pos="4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Notes Payable, Current Maturities and Debt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We had the following short-term debt outstanding in the accompanying Condensed Consolidated Balance Sheets (in thousands) as of:</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gridSpan w:val="2"/>
          </w:tcPr>
          <w:p>
            <w:pPr>
              <w:ind w:left="680"/>
              <w:spacing w:after="0"/>
              <w:rPr>
                <w:sz w:val="20"/>
                <w:szCs w:val="20"/>
                <w:color w:val="auto"/>
              </w:rPr>
            </w:pPr>
            <w:r>
              <w:rPr>
                <w:rFonts w:ascii="Arial" w:cs="Arial" w:eastAsia="Arial" w:hAnsi="Arial"/>
                <w:sz w:val="18"/>
                <w:szCs w:val="18"/>
                <w:color w:val="auto"/>
              </w:rPr>
              <w:t>March 31, 2020</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2"/>
          </w:tcPr>
          <w:p>
            <w:pPr>
              <w:ind w:left="560"/>
              <w:spacing w:after="0"/>
              <w:rPr>
                <w:sz w:val="20"/>
                <w:szCs w:val="20"/>
                <w:color w:val="auto"/>
              </w:rPr>
            </w:pPr>
            <w:r>
              <w:rPr>
                <w:rFonts w:ascii="Arial" w:cs="Arial" w:eastAsia="Arial" w:hAnsi="Arial"/>
                <w:sz w:val="18"/>
                <w:szCs w:val="18"/>
                <w:color w:val="auto"/>
                <w:w w:val="92"/>
              </w:rPr>
              <w:t>December 31, 2019</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5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Balance</w:t>
            </w: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310"/>
              <w:spacing w:after="0"/>
              <w:rPr>
                <w:sz w:val="20"/>
                <w:szCs w:val="20"/>
                <w:color w:val="auto"/>
              </w:rPr>
            </w:pPr>
            <w:r>
              <w:rPr>
                <w:rFonts w:ascii="Arial" w:cs="Arial" w:eastAsia="Arial" w:hAnsi="Arial"/>
                <w:sz w:val="18"/>
                <w:szCs w:val="18"/>
                <w:color w:val="auto"/>
              </w:rPr>
              <w:t>Balance</w:t>
            </w: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400" w:type="dxa"/>
            <w:vAlign w:val="bottom"/>
            <w:tcBorders>
              <w:bottom w:val="single" w:sz="8" w:color="CEFFE7"/>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6"/>
              </w:rPr>
              <w:t>Outstanding</w:t>
            </w:r>
          </w:p>
        </w:tc>
        <w:tc>
          <w:tcPr>
            <w:tcW w:w="1500" w:type="dxa"/>
            <w:vAlign w:val="bottom"/>
            <w:tcBorders>
              <w:bottom w:val="single" w:sz="8" w:color="auto"/>
            </w:tcBorders>
            <w:gridSpan w:val="2"/>
          </w:tcPr>
          <w:p>
            <w:pPr>
              <w:ind w:left="80"/>
              <w:spacing w:after="0" w:line="257" w:lineRule="exact"/>
              <w:rPr>
                <w:sz w:val="20"/>
                <w:szCs w:val="20"/>
                <w:color w:val="auto"/>
              </w:rPr>
            </w:pPr>
            <w:r>
              <w:rPr>
                <w:rFonts w:ascii="Arial" w:cs="Arial" w:eastAsia="Arial" w:hAnsi="Arial"/>
                <w:sz w:val="18"/>
                <w:szCs w:val="18"/>
                <w:color w:val="auto"/>
                <w:w w:val="91"/>
              </w:rPr>
              <w:t xml:space="preserve">Letters of Credit </w:t>
            </w:r>
            <w:r>
              <w:rPr>
                <w:rFonts w:ascii="Arial" w:cs="Arial" w:eastAsia="Arial" w:hAnsi="Arial"/>
                <w:sz w:val="25"/>
                <w:szCs w:val="25"/>
                <w:color w:val="auto"/>
                <w:w w:val="91"/>
                <w:vertAlign w:val="superscript"/>
              </w:rPr>
              <w:t>(a)</w:t>
            </w: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8"/>
              </w:rPr>
              <w:t>Outstanding</w:t>
            </w:r>
          </w:p>
        </w:tc>
        <w:tc>
          <w:tcPr>
            <w:tcW w:w="1500" w:type="dxa"/>
            <w:vAlign w:val="bottom"/>
            <w:tcBorders>
              <w:bottom w:val="single" w:sz="8" w:color="auto"/>
            </w:tcBorders>
            <w:gridSpan w:val="2"/>
          </w:tcPr>
          <w:p>
            <w:pPr>
              <w:ind w:left="80"/>
              <w:spacing w:after="0" w:line="257" w:lineRule="exact"/>
              <w:rPr>
                <w:sz w:val="20"/>
                <w:szCs w:val="20"/>
                <w:color w:val="auto"/>
              </w:rPr>
            </w:pPr>
            <w:r>
              <w:rPr>
                <w:rFonts w:ascii="Arial" w:cs="Arial" w:eastAsia="Arial" w:hAnsi="Arial"/>
                <w:sz w:val="18"/>
                <w:szCs w:val="18"/>
                <w:color w:val="auto"/>
                <w:w w:val="91"/>
              </w:rPr>
              <w:t xml:space="preserve">Letters of Credit </w:t>
            </w:r>
            <w:r>
              <w:rPr>
                <w:rFonts w:ascii="Arial" w:cs="Arial" w:eastAsia="Arial" w:hAnsi="Arial"/>
                <w:sz w:val="25"/>
                <w:szCs w:val="25"/>
                <w:color w:val="auto"/>
                <w:w w:val="91"/>
                <w:vertAlign w:val="superscript"/>
              </w:rPr>
              <w:t>(a)</w:t>
            </w:r>
          </w:p>
        </w:tc>
        <w:tc>
          <w:tcPr>
            <w:tcW w:w="0" w:type="dxa"/>
            <w:vAlign w:val="bottom"/>
          </w:tcPr>
          <w:p>
            <w:pPr>
              <w:spacing w:after="0"/>
              <w:rPr>
                <w:sz w:val="1"/>
                <w:szCs w:val="1"/>
                <w:color w:val="auto"/>
              </w:rPr>
            </w:pPr>
          </w:p>
        </w:tc>
      </w:tr>
      <w:tr>
        <w:trPr>
          <w:trHeight w:val="243"/>
        </w:trPr>
        <w:tc>
          <w:tcPr>
            <w:tcW w:w="54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Revolving Credit Facility</w:t>
            </w:r>
          </w:p>
        </w:tc>
        <w:tc>
          <w:tcPr>
            <w:tcW w:w="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165,000</w:t>
            </w:r>
          </w:p>
        </w:tc>
        <w:tc>
          <w:tcPr>
            <w:tcW w:w="760" w:type="dxa"/>
            <w:vAlign w:val="bottom"/>
            <w:tcBorders>
              <w:bottom w:val="single" w:sz="8" w:color="CEFFE7"/>
            </w:tcBorders>
            <w:shd w:val="clear" w:color="auto" w:fill="CEFFE7"/>
          </w:tcPr>
          <w:p>
            <w:pPr>
              <w:ind w:left="8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17,281</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EFFE7"/>
            </w:tcBorders>
            <w:shd w:val="clear" w:color="auto" w:fill="CEFFE7"/>
          </w:tcPr>
          <w:p>
            <w:pPr>
              <w:ind w:left="6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30,274</w:t>
            </w:r>
          </w:p>
        </w:tc>
        <w:tc>
          <w:tcPr>
            <w:tcW w:w="0" w:type="dxa"/>
            <w:vAlign w:val="bottom"/>
          </w:tcPr>
          <w:p>
            <w:pPr>
              <w:spacing w:after="0"/>
              <w:rPr>
                <w:sz w:val="1"/>
                <w:szCs w:val="1"/>
                <w:color w:val="auto"/>
              </w:rPr>
            </w:pP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CP Program</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154,125</w:t>
            </w:r>
          </w:p>
        </w:tc>
        <w:tc>
          <w:tcPr>
            <w:tcW w:w="7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349,500</w:t>
            </w:r>
          </w:p>
        </w:tc>
        <w:tc>
          <w:tcPr>
            <w:tcW w:w="8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400" w:type="dxa"/>
            <w:vAlign w:val="bottom"/>
            <w:tcBorders>
              <w:bottom w:val="single" w:sz="8" w:color="CEFFE7"/>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319,125</w:t>
            </w:r>
          </w:p>
        </w:tc>
        <w:tc>
          <w:tcPr>
            <w:tcW w:w="760" w:type="dxa"/>
            <w:vAlign w:val="bottom"/>
            <w:tcBorders>
              <w:bottom w:val="single" w:sz="8" w:color="auto"/>
            </w:tcBorders>
            <w:shd w:val="clear" w:color="auto" w:fill="CEFFE7"/>
          </w:tcPr>
          <w:p>
            <w:pPr>
              <w:ind w:left="8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17,281</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349,500</w:t>
            </w:r>
          </w:p>
        </w:tc>
        <w:tc>
          <w:tcPr>
            <w:tcW w:w="820" w:type="dxa"/>
            <w:vAlign w:val="bottom"/>
            <w:tcBorders>
              <w:bottom w:val="single" w:sz="8" w:color="auto"/>
            </w:tcBorders>
            <w:shd w:val="clear" w:color="auto" w:fill="CEFFE7"/>
          </w:tcPr>
          <w:p>
            <w:pPr>
              <w:ind w:left="6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30,274</w:t>
            </w:r>
          </w:p>
        </w:tc>
        <w:tc>
          <w:tcPr>
            <w:tcW w:w="0" w:type="dxa"/>
            <w:vAlign w:val="bottom"/>
          </w:tcPr>
          <w:p>
            <w:pPr>
              <w:spacing w:after="0"/>
              <w:rPr>
                <w:sz w:val="1"/>
                <w:szCs w:val="1"/>
                <w:color w:val="auto"/>
              </w:rPr>
            </w:pPr>
          </w:p>
        </w:tc>
      </w:tr>
      <w:tr>
        <w:trPr>
          <w:trHeight w:val="20"/>
        </w:trPr>
        <w:tc>
          <w:tcPr>
            <w:tcW w:w="5400" w:type="dxa"/>
            <w:vAlign w:val="bottom"/>
            <w:vMerge w:val="restart"/>
          </w:tcPr>
          <w:p>
            <w:pPr>
              <w:jc w:val="right"/>
              <w:ind w:right="4092"/>
              <w:spacing w:after="0"/>
              <w:rPr>
                <w:sz w:val="20"/>
                <w:szCs w:val="20"/>
                <w:color w:val="auto"/>
              </w:rPr>
            </w:pPr>
            <w:r>
              <w:rPr>
                <w:rFonts w:ascii="Arial" w:cs="Arial" w:eastAsia="Arial" w:hAnsi="Arial"/>
                <w:sz w:val="16"/>
                <w:szCs w:val="16"/>
                <w:color w:val="auto"/>
                <w:w w:val="89"/>
              </w:rPr>
              <w:t>_______________</w:t>
            </w: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right="2480" w:firstLine="8"/>
        <w:spacing w:after="0" w:line="270" w:lineRule="auto"/>
        <w:tabs>
          <w:tab w:leader="none" w:pos="2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Letters of credit are off-balance sheet commitments that reduce the borrowing capacity available on our corporate Revolving Credit Facility.</w:t>
      </w:r>
    </w:p>
    <w:p>
      <w:pPr>
        <w:spacing w:after="0" w:line="17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the three months ended March 31, 2020, we utilized a combination of our $750 million Revolving Credit Facility and CP Program to meet our business needs and support our capital investment plan. Our net short-term borrowings (payments) during the three months ended March 31, 2020 were $(30) million. The weighted average interest rate on Revolving Credit Facility and CP Program borrowings at March 31, 2020 was 1.92% and 1.74%,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Debt Covenants</w:t>
      </w:r>
    </w:p>
    <w:p>
      <w:pPr>
        <w:spacing w:after="0" w:line="22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Under our Revolving Credit Facility and term loan agreements, we are required to maintain a Consolidated Indebtedness to Capitalization Ratio not to exceed 0.65 to 1.00. Our Consolidated Indebtedness to Capitalization Ratio was calculated by dividing (i) consolidated indebtedness, which includes letters of credit and certain guarantees issued, by (ii) capital, which includes consolidated indebtedness plus consolidated net worth, which excludes noncontrolling interest in subsidiaries. Subject to applicable cure periods, a violation of any of these covenants would constitute an event of default that entitles the lenders to terminate their remaining commitments and accelerate all principal and interest outstanding.</w:t>
      </w:r>
    </w:p>
    <w:p>
      <w:pPr>
        <w:spacing w:after="0" w:line="17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Revolving Credit Facility and term loans require compliance with the following financial covenant, which we were in compliance with at March 31, 2020:</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p>
        </w:tc>
        <w:tc>
          <w:tcPr>
            <w:tcW w:w="2560" w:type="dxa"/>
            <w:vAlign w:val="bottom"/>
          </w:tcPr>
          <w:p>
            <w:pPr>
              <w:jc w:val="center"/>
              <w:spacing w:after="0"/>
              <w:rPr>
                <w:sz w:val="20"/>
                <w:szCs w:val="20"/>
                <w:color w:val="auto"/>
              </w:rPr>
            </w:pPr>
            <w:r>
              <w:rPr>
                <w:rFonts w:ascii="Arial" w:cs="Arial" w:eastAsia="Arial" w:hAnsi="Arial"/>
                <w:sz w:val="18"/>
                <w:szCs w:val="18"/>
                <w:color w:val="auto"/>
                <w:w w:val="92"/>
              </w:rPr>
              <w:t>As of March 31, 2020</w:t>
            </w:r>
          </w:p>
        </w:tc>
        <w:tc>
          <w:tcPr>
            <w:tcW w:w="2480" w:type="dxa"/>
            <w:vAlign w:val="bottom"/>
            <w:gridSpan w:val="2"/>
          </w:tcPr>
          <w:p>
            <w:pPr>
              <w:jc w:val="right"/>
              <w:ind w:right="250"/>
              <w:spacing w:after="0"/>
              <w:rPr>
                <w:sz w:val="20"/>
                <w:szCs w:val="20"/>
                <w:color w:val="auto"/>
              </w:rPr>
            </w:pPr>
            <w:r>
              <w:rPr>
                <w:rFonts w:ascii="Arial" w:cs="Arial" w:eastAsia="Arial" w:hAnsi="Arial"/>
                <w:sz w:val="18"/>
                <w:szCs w:val="18"/>
                <w:color w:val="auto"/>
              </w:rPr>
              <w:t>Covenant Requirement</w:t>
            </w:r>
          </w:p>
        </w:tc>
      </w:tr>
      <w:tr>
        <w:trPr>
          <w:trHeight w:val="27"/>
        </w:trPr>
        <w:tc>
          <w:tcPr>
            <w:tcW w:w="6200" w:type="dxa"/>
            <w:vAlign w:val="bottom"/>
            <w:tcBorders>
              <w:bottom w:val="single" w:sz="8" w:color="CEFFE7"/>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6200" w:type="dxa"/>
            <w:vAlign w:val="bottom"/>
            <w:shd w:val="clear" w:color="auto" w:fill="CEFFE7"/>
          </w:tcPr>
          <w:p>
            <w:pPr>
              <w:ind w:left="40"/>
              <w:spacing w:after="0"/>
              <w:rPr>
                <w:sz w:val="20"/>
                <w:szCs w:val="20"/>
                <w:color w:val="auto"/>
              </w:rPr>
            </w:pPr>
            <w:r>
              <w:rPr>
                <w:rFonts w:ascii="Arial" w:cs="Arial" w:eastAsia="Arial" w:hAnsi="Arial"/>
                <w:sz w:val="18"/>
                <w:szCs w:val="18"/>
                <w:color w:val="auto"/>
              </w:rPr>
              <w:t>Consolidated Indebtedness to Capitalization Ratio</w:t>
            </w:r>
          </w:p>
        </w:tc>
        <w:tc>
          <w:tcPr>
            <w:tcW w:w="2560" w:type="dxa"/>
            <w:vAlign w:val="bottom"/>
            <w:shd w:val="clear" w:color="auto" w:fill="CEFFE7"/>
          </w:tcPr>
          <w:p>
            <w:pPr>
              <w:jc w:val="right"/>
              <w:ind w:right="950"/>
              <w:spacing w:after="0"/>
              <w:rPr>
                <w:sz w:val="20"/>
                <w:szCs w:val="20"/>
                <w:color w:val="auto"/>
              </w:rPr>
            </w:pPr>
            <w:r>
              <w:rPr>
                <w:rFonts w:ascii="Arial" w:cs="Arial" w:eastAsia="Arial" w:hAnsi="Arial"/>
                <w:sz w:val="18"/>
                <w:szCs w:val="18"/>
                <w:color w:val="auto"/>
              </w:rPr>
              <w:t>58.2%</w:t>
            </w:r>
          </w:p>
        </w:tc>
        <w:tc>
          <w:tcPr>
            <w:tcW w:w="1460" w:type="dxa"/>
            <w:vAlign w:val="bottom"/>
            <w:shd w:val="clear" w:color="auto" w:fill="CEFFE7"/>
          </w:tcPr>
          <w:p>
            <w:pPr>
              <w:ind w:left="540"/>
              <w:spacing w:after="0"/>
              <w:rPr>
                <w:sz w:val="20"/>
                <w:szCs w:val="20"/>
                <w:color w:val="auto"/>
              </w:rPr>
            </w:pPr>
            <w:r>
              <w:rPr>
                <w:rFonts w:ascii="Arial" w:cs="Arial" w:eastAsia="Arial" w:hAnsi="Arial"/>
                <w:sz w:val="18"/>
                <w:szCs w:val="18"/>
                <w:color w:val="auto"/>
              </w:rPr>
              <w:t>Less than</w:t>
            </w:r>
          </w:p>
        </w:tc>
        <w:tc>
          <w:tcPr>
            <w:tcW w:w="1020" w:type="dxa"/>
            <w:vAlign w:val="bottom"/>
            <w:shd w:val="clear" w:color="auto" w:fill="CEFFE7"/>
          </w:tcPr>
          <w:p>
            <w:pPr>
              <w:jc w:val="right"/>
              <w:ind w:right="350"/>
              <w:spacing w:after="0"/>
              <w:rPr>
                <w:sz w:val="20"/>
                <w:szCs w:val="20"/>
                <w:color w:val="auto"/>
              </w:rPr>
            </w:pPr>
            <w:r>
              <w:rPr>
                <w:rFonts w:ascii="Arial" w:cs="Arial" w:eastAsia="Arial" w:hAnsi="Arial"/>
                <w:sz w:val="18"/>
                <w:szCs w:val="18"/>
                <w:color w:val="auto"/>
              </w:rPr>
              <w:t>65%</w:t>
            </w:r>
          </w:p>
        </w:tc>
      </w:tr>
      <w:tr>
        <w:trPr>
          <w:trHeight w:val="27"/>
        </w:trPr>
        <w:tc>
          <w:tcPr>
            <w:tcW w:w="6200" w:type="dxa"/>
            <w:vAlign w:val="bottom"/>
            <w:shd w:val="clear" w:color="auto" w:fill="CEFFE7"/>
          </w:tcPr>
          <w:p>
            <w:pPr>
              <w:spacing w:after="0"/>
              <w:rPr>
                <w:sz w:val="2"/>
                <w:szCs w:val="2"/>
                <w:color w:val="auto"/>
              </w:rPr>
            </w:pPr>
          </w:p>
        </w:tc>
        <w:tc>
          <w:tcPr>
            <w:tcW w:w="2560" w:type="dxa"/>
            <w:vAlign w:val="bottom"/>
            <w:shd w:val="clear" w:color="auto" w:fill="CEFFE7"/>
          </w:tcPr>
          <w:p>
            <w:pPr>
              <w:spacing w:after="0"/>
              <w:rPr>
                <w:sz w:val="2"/>
                <w:szCs w:val="2"/>
                <w:color w:val="auto"/>
              </w:rPr>
            </w:pPr>
          </w:p>
        </w:tc>
        <w:tc>
          <w:tcPr>
            <w:tcW w:w="1460" w:type="dxa"/>
            <w:vAlign w:val="bottom"/>
            <w:shd w:val="clear" w:color="auto" w:fill="CEFFE7"/>
          </w:tcPr>
          <w:p>
            <w:pPr>
              <w:spacing w:after="0"/>
              <w:rPr>
                <w:sz w:val="2"/>
                <w:szCs w:val="2"/>
                <w:color w:val="auto"/>
              </w:rPr>
            </w:pPr>
          </w:p>
        </w:tc>
        <w:tc>
          <w:tcPr>
            <w:tcW w:w="1020" w:type="dxa"/>
            <w:vAlign w:val="bottom"/>
            <w:shd w:val="clear" w:color="auto" w:fill="CEFFE7"/>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South Dakota Electric Series 94A Debt</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March 24, 2020 South Dakota Electric paid off its $2.9 million, Series 94A variable rate notes due June 1, 2024. These notes were tendered by the sole investor on March 17, 2020.</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26" w:right="339" w:bottom="1440" w:gutter="0" w:footer="0" w:header="0"/>
        </w:sectPr>
      </w:pPr>
    </w:p>
    <w:bookmarkStart w:id="21" w:name="page22"/>
    <w:bookmarkEnd w:id="2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3" w:lineRule="exact"/>
        <w:rPr>
          <w:sz w:val="20"/>
          <w:szCs w:val="20"/>
          <w:color w:val="auto"/>
        </w:rPr>
      </w:pPr>
    </w:p>
    <w:p>
      <w:pPr>
        <w:ind w:left="400" w:hanging="392"/>
        <w:spacing w:after="0"/>
        <w:tabs>
          <w:tab w:leader="none" w:pos="4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Equity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February 2020 Equity Issuance</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February 27, 2020, we issued 1.2 million shares of common stock to a single investor through an underwritten registered transaction at a price of $81.77 per share for proceeds of $99 million, net of $1.0 million of issuance costs. The shares of common stock were offered pursuant to our shelf registration statement filed with the SEC.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ATM Activity</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ATM allows us to sell shares of our common stock with an aggregate value of up to $300 million. The shares may be offered from time to time pursuant to a sales agreement dated August 4, 2017. Shares of common stock are offered pursuant to our shelf registration statement filed with the SEC. We did not issue any common shares during the three months ended March 31, 2020 under the ATM. During the three months ended March 31, 2019, we issued a total of 0.3 million shares of common stock under the ATM for proceeds of $20 million, net of $0.2 million in issuance costs.</w:t>
      </w:r>
    </w:p>
    <w:p>
      <w:pPr>
        <w:spacing w:after="0" w:line="383" w:lineRule="exact"/>
        <w:rPr>
          <w:sz w:val="20"/>
          <w:szCs w:val="20"/>
          <w:color w:val="auto"/>
        </w:rPr>
      </w:pPr>
    </w:p>
    <w:p>
      <w:pPr>
        <w:ind w:right="8180" w:firstLine="8"/>
        <w:spacing w:after="0" w:line="566" w:lineRule="auto"/>
        <w:tabs>
          <w:tab w:leader="none" w:pos="390"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Risk Management and Derivatives Market and Credit Risk Disclosures</w:t>
      </w:r>
    </w:p>
    <w:p>
      <w:pPr>
        <w:ind w:right="240"/>
        <w:spacing w:after="0" w:line="277" w:lineRule="auto"/>
        <w:rPr>
          <w:sz w:val="20"/>
          <w:szCs w:val="20"/>
          <w:color w:val="auto"/>
        </w:rPr>
      </w:pPr>
      <w:r>
        <w:rPr>
          <w:rFonts w:ascii="Arial" w:cs="Arial" w:eastAsia="Arial" w:hAnsi="Arial"/>
          <w:sz w:val="18"/>
          <w:szCs w:val="18"/>
          <w:color w:val="auto"/>
        </w:rPr>
        <w:t>Our activities in the regulated and non-regulated energy sectors expose us to a number of risks in the normal operations of our businesses. Depending on the activity, we are exposed to varying degrees of market risk and credit risk.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Risk</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Market risk is the potential loss that may occur as a result of an adverse change in market price, rate or supply. We are exposed to the following market risks, including, but not limited to:</w:t>
      </w:r>
    </w:p>
    <w:p>
      <w:pPr>
        <w:spacing w:after="0" w:line="170" w:lineRule="exact"/>
        <w:rPr>
          <w:sz w:val="20"/>
          <w:szCs w:val="20"/>
          <w:color w:val="auto"/>
        </w:rPr>
      </w:pPr>
    </w:p>
    <w:p>
      <w:pPr>
        <w:ind w:left="500" w:right="80" w:hanging="330"/>
        <w:spacing w:after="0" w:line="311" w:lineRule="auto"/>
        <w:tabs>
          <w:tab w:leader="none" w:pos="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Commodity price risk associated with our retail natural gas and wholesale electric power marketing activities, as well as our fuel procurement for several of our gas-fired generation assets, which include market fluctuations due to unpredictable factors such as the COVID-19 pandemic, weather, market speculation, pipeline constraints, and other factors that may impact natural gas and electric energy supply and demand; and</w:t>
      </w:r>
    </w:p>
    <w:p>
      <w:pPr>
        <w:spacing w:after="0" w:line="148" w:lineRule="exact"/>
        <w:rPr>
          <w:rFonts w:ascii="Arial" w:cs="Arial" w:eastAsia="Arial" w:hAnsi="Arial"/>
          <w:sz w:val="16"/>
          <w:szCs w:val="16"/>
          <w:color w:val="auto"/>
        </w:rPr>
      </w:pPr>
    </w:p>
    <w:p>
      <w:pPr>
        <w:ind w:left="500" w:hanging="330"/>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Interest rate risk associated with our variable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Credit risk is the risk of financial loss resulting from non-performance of contractual obligations by a counterparty.</w:t>
      </w:r>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For production and generation activities, we attempt to mitigate our credit exposure by conducting business primarily with high credit quality entities, setting tenor and credit limits commensurate with counterparty financial strength, obtaining master netting agreements, and mitigating credit exposure with less creditworthy counterparties through parental guarantees, prepayments, letters of credit, and other security agreements.</w:t>
      </w:r>
    </w:p>
    <w:p>
      <w:pPr>
        <w:spacing w:after="0" w:line="16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 perform ongoing credit evaluations of our customers and adjust credit limits based on payment history and the customer’s current creditworthiness, as determined by review of their current credit information. We maintain a provision for estimated credit losses based upon historical experience and any specific customer collection issue that is identified.</w:t>
      </w:r>
    </w:p>
    <w:p>
      <w:pPr>
        <w:spacing w:after="0" w:line="18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Although we did not experience material credit losses or customer defaults for the three months ended March 31, 2020, we are monitoring COVID-19 impacts and changes to customer load, consistency in customer payments, requests for deferred or discounted payments, and requests for changes to credit limits to quantify future financial impacts to the allowance for credit losses.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26" w:right="339" w:bottom="1440" w:gutter="0" w:footer="0" w:header="0"/>
        </w:sectPr>
      </w:pPr>
    </w:p>
    <w:bookmarkStart w:id="22" w:name="page23"/>
    <w:bookmarkEnd w:id="2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and Hedging Activity</w:t>
      </w:r>
    </w:p>
    <w:p>
      <w:pPr>
        <w:spacing w:after="0" w:line="229" w:lineRule="exact"/>
        <w:rPr>
          <w:sz w:val="20"/>
          <w:szCs w:val="20"/>
          <w:color w:val="auto"/>
        </w:rPr>
      </w:pPr>
    </w:p>
    <w:p>
      <w:pPr>
        <w:ind w:right="460"/>
        <w:spacing w:after="0" w:line="308" w:lineRule="auto"/>
        <w:rPr>
          <w:rFonts w:ascii="Arial" w:cs="Arial" w:eastAsia="Arial" w:hAnsi="Arial"/>
          <w:sz w:val="17"/>
          <w:szCs w:val="17"/>
          <w:color w:val="auto"/>
        </w:rPr>
      </w:pPr>
      <w:r>
        <w:rPr>
          <w:rFonts w:ascii="Arial" w:cs="Arial" w:eastAsia="Arial" w:hAnsi="Arial"/>
          <w:sz w:val="17"/>
          <w:szCs w:val="17"/>
          <w:color w:val="auto"/>
        </w:rPr>
        <w:t xml:space="preserve">Our derivative and hedging activities included in the accompanying Condensed Consolidated Balance Sheets, Condensed Consolidated Statements of Income and Condensed Consolidated Statements of Comprehensive Income are detailed below and in </w:t>
      </w:r>
      <w:hyperlink w:anchor="page25">
        <w:r>
          <w:rPr>
            <w:rFonts w:ascii="Arial" w:cs="Arial" w:eastAsia="Arial" w:hAnsi="Arial"/>
            <w:sz w:val="17"/>
            <w:szCs w:val="17"/>
            <w:u w:val="single" w:color="auto"/>
            <w:color w:val="0000EE"/>
          </w:rPr>
          <w:t>Note 10</w:t>
        </w:r>
      </w:hyperlink>
      <w:r>
        <w:rPr>
          <w:rFonts w:ascii="Arial" w:cs="Arial" w:eastAsia="Arial" w:hAnsi="Arial"/>
          <w:sz w:val="17"/>
          <w:szCs w:val="17"/>
          <w:color w:val="auto"/>
        </w:rPr>
        <w: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Utilities</w:t>
      </w:r>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operations of our utilities, including natural gas used by our Electric Utilities’ generation plants or those plants under PPAs where our Electric Utilities must provide the generation fuel (tolling agreements) and natural gas sold by our Gas Utilities, expose our utility customers to volatility in natural gas prices. Therefore, as allowed or required by state utility commissions, we have entered into commission-approved hedging programs utilizing natural gas futures, options, over-the-counter swaps and basis swaps to reduce our customers’ underlying exposure to these fluctuations. These transactions are considered derivatives, and in accordance with accounting standards for derivatives and hedging, mark-to-market adjustments are recorded as Derivative assets or Derivative liabilities on the accompanying Condensed Consolidated Balance Sheets, net of balance sheet offsetting as permitted by GAAP.</w:t>
      </w:r>
    </w:p>
    <w:p>
      <w:pPr>
        <w:spacing w:after="0" w:line="16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For our regulated Utilities’ hedging plans, unrealized and realized gains and losses, as well as option premiums and commissions on these transactions are recorded as Regulatory assets or Regulatory liabilities in the accompanying Condensed Consolidated Balance Sheets in accordance with the state utility commission guidelines. When the related costs are recovered through our rates, the hedging activity is recognized in the Condensed Consolidated Statements of Income.</w:t>
      </w:r>
    </w:p>
    <w:p>
      <w:pPr>
        <w:spacing w:after="0" w:line="18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buy, sell and deliver natural gas at competitive prices by managing commodity price risk. As a result of these activities, this area of our business is exposed to risks associated with changes in the market price of natural gas. We manage our exposure to such risk using over-the-counter and exchange traded options and swaps with counterparties in anticipation of forecasted purchases and/or sales from April 2020 through May 2022. A portion of our over-the-counter swaps have been designated as cash flow hedges to mitigate the commodity price risk associated with deliveries under fixed price forward contracts to deliver gas to our Choice Gas Program customers. The effective portion of the gain or loss on these designated derivatives is reported in AOCI in the accompanying Condensed Consolidated Balance Sheets and the ineffective portion, if any, is reported in Fuel, purchased power and cost of natural gas sold. Effectiveness of our hedging position is evaluated at least quarterly.</w:t>
      </w:r>
    </w:p>
    <w:p>
      <w:pPr>
        <w:spacing w:after="0" w:line="17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contract or notional amounts and terms of the electric and natural gas derivative commodity instruments held at our Utilities are composed of both long and short positions. We had the following net long positions as of:</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6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740" w:type="dxa"/>
            <w:vAlign w:val="bottom"/>
            <w:gridSpan w:val="4"/>
          </w:tcPr>
          <w:p>
            <w:pPr>
              <w:ind w:left="820"/>
              <w:spacing w:after="0"/>
              <w:rPr>
                <w:sz w:val="20"/>
                <w:szCs w:val="20"/>
                <w:color w:val="auto"/>
              </w:rPr>
            </w:pPr>
            <w:r>
              <w:rPr>
                <w:rFonts w:ascii="Arial" w:cs="Arial" w:eastAsia="Arial" w:hAnsi="Arial"/>
                <w:sz w:val="16"/>
                <w:szCs w:val="16"/>
                <w:color w:val="auto"/>
              </w:rPr>
              <w:t>March 31, 2020</w:t>
            </w:r>
          </w:p>
        </w:tc>
        <w:tc>
          <w:tcPr>
            <w:tcW w:w="2560" w:type="dxa"/>
            <w:vAlign w:val="bottom"/>
            <w:gridSpan w:val="3"/>
          </w:tcPr>
          <w:p>
            <w:pPr>
              <w:ind w:left="660"/>
              <w:spacing w:after="0"/>
              <w:rPr>
                <w:sz w:val="20"/>
                <w:szCs w:val="20"/>
                <w:color w:val="auto"/>
              </w:rPr>
            </w:pPr>
            <w:r>
              <w:rPr>
                <w:rFonts w:ascii="Arial" w:cs="Arial" w:eastAsia="Arial" w:hAnsi="Arial"/>
                <w:sz w:val="16"/>
                <w:szCs w:val="16"/>
                <w:color w:val="auto"/>
              </w:rPr>
              <w:t>December 31, 2019</w:t>
            </w:r>
          </w:p>
        </w:tc>
      </w:tr>
      <w:tr>
        <w:trPr>
          <w:trHeight w:val="33"/>
        </w:trPr>
        <w:tc>
          <w:tcPr>
            <w:tcW w:w="46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3"/>
        </w:trPr>
        <w:tc>
          <w:tcPr>
            <w:tcW w:w="4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color w:val="auto"/>
                <w:w w:val="98"/>
              </w:rPr>
              <w:t>Maximum</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8"/>
              </w:rPr>
              <w:t>Maximum</w:t>
            </w:r>
          </w:p>
        </w:tc>
      </w:tr>
      <w:tr>
        <w:trPr>
          <w:trHeight w:val="203"/>
        </w:trPr>
        <w:tc>
          <w:tcPr>
            <w:tcW w:w="46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0" w:type="dxa"/>
            <w:vAlign w:val="bottom"/>
            <w:gridSpan w:val="2"/>
          </w:tcPr>
          <w:p>
            <w:pPr>
              <w:ind w:left="380"/>
              <w:spacing w:after="0"/>
              <w:rPr>
                <w:sz w:val="20"/>
                <w:szCs w:val="20"/>
                <w:color w:val="auto"/>
              </w:rPr>
            </w:pPr>
            <w:r>
              <w:rPr>
                <w:rFonts w:ascii="Arial" w:cs="Arial" w:eastAsia="Arial" w:hAnsi="Arial"/>
                <w:sz w:val="16"/>
                <w:szCs w:val="16"/>
                <w:color w:val="auto"/>
              </w:rPr>
              <w:t>Notional</w:t>
            </w: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Term</w:t>
            </w:r>
          </w:p>
        </w:tc>
        <w:tc>
          <w:tcPr>
            <w:tcW w:w="1340" w:type="dxa"/>
            <w:vAlign w:val="bottom"/>
            <w:gridSpan w:val="2"/>
          </w:tcPr>
          <w:p>
            <w:pPr>
              <w:ind w:left="320"/>
              <w:spacing w:after="0"/>
              <w:rPr>
                <w:sz w:val="20"/>
                <w:szCs w:val="20"/>
                <w:color w:val="auto"/>
              </w:rPr>
            </w:pPr>
            <w:r>
              <w:rPr>
                <w:rFonts w:ascii="Arial" w:cs="Arial" w:eastAsia="Arial" w:hAnsi="Arial"/>
                <w:sz w:val="16"/>
                <w:szCs w:val="16"/>
                <w:color w:val="auto"/>
              </w:rPr>
              <w:t>Notional</w:t>
            </w:r>
          </w:p>
        </w:tc>
        <w:tc>
          <w:tcPr>
            <w:tcW w:w="1220" w:type="dxa"/>
            <w:vAlign w:val="bottom"/>
          </w:tcPr>
          <w:p>
            <w:pPr>
              <w:jc w:val="center"/>
              <w:spacing w:after="0"/>
              <w:rPr>
                <w:sz w:val="20"/>
                <w:szCs w:val="20"/>
                <w:color w:val="auto"/>
              </w:rPr>
            </w:pPr>
            <w:r>
              <w:rPr>
                <w:rFonts w:ascii="Arial" w:cs="Arial" w:eastAsia="Arial" w:hAnsi="Arial"/>
                <w:sz w:val="16"/>
                <w:szCs w:val="16"/>
                <w:color w:val="auto"/>
                <w:w w:val="90"/>
              </w:rPr>
              <w:t>Term</w:t>
            </w:r>
          </w:p>
        </w:tc>
      </w:tr>
      <w:tr>
        <w:trPr>
          <w:trHeight w:val="239"/>
        </w:trPr>
        <w:tc>
          <w:tcPr>
            <w:tcW w:w="462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8"/>
              </w:rPr>
              <w:t>Units</w:t>
            </w:r>
          </w:p>
        </w:tc>
        <w:tc>
          <w:tcPr>
            <w:tcW w:w="1400" w:type="dxa"/>
            <w:vAlign w:val="bottom"/>
            <w:gridSpan w:val="2"/>
          </w:tcPr>
          <w:p>
            <w:pPr>
              <w:ind w:left="360"/>
              <w:spacing w:after="0"/>
              <w:rPr>
                <w:sz w:val="20"/>
                <w:szCs w:val="20"/>
                <w:color w:val="auto"/>
              </w:rPr>
            </w:pPr>
            <w:r>
              <w:rPr>
                <w:rFonts w:ascii="Arial" w:cs="Arial" w:eastAsia="Arial" w:hAnsi="Arial"/>
                <w:sz w:val="16"/>
                <w:szCs w:val="16"/>
                <w:color w:val="auto"/>
              </w:rPr>
              <w:t>Amounts</w:t>
            </w:r>
          </w:p>
        </w:tc>
        <w:tc>
          <w:tcPr>
            <w:tcW w:w="1340" w:type="dxa"/>
            <w:vAlign w:val="bottom"/>
            <w:gridSpan w:val="2"/>
          </w:tcPr>
          <w:p>
            <w:pPr>
              <w:jc w:val="center"/>
              <w:ind w:right="120"/>
              <w:spacing w:after="0" w:line="239" w:lineRule="exact"/>
              <w:rPr>
                <w:sz w:val="20"/>
                <w:szCs w:val="20"/>
                <w:color w:val="auto"/>
              </w:rPr>
            </w:pPr>
            <w:r>
              <w:rPr>
                <w:rFonts w:ascii="Arial" w:cs="Arial" w:eastAsia="Arial" w:hAnsi="Arial"/>
                <w:sz w:val="16"/>
                <w:szCs w:val="16"/>
                <w:color w:val="auto"/>
                <w:w w:val="87"/>
              </w:rPr>
              <w:t xml:space="preserve">(months) </w:t>
            </w:r>
            <w:r>
              <w:rPr>
                <w:rFonts w:ascii="Arial" w:cs="Arial" w:eastAsia="Arial" w:hAnsi="Arial"/>
                <w:sz w:val="21"/>
                <w:szCs w:val="21"/>
                <w:color w:val="auto"/>
                <w:w w:val="87"/>
                <w:vertAlign w:val="superscript"/>
              </w:rPr>
              <w:t>(a)</w:t>
            </w:r>
          </w:p>
        </w:tc>
        <w:tc>
          <w:tcPr>
            <w:tcW w:w="1340" w:type="dxa"/>
            <w:vAlign w:val="bottom"/>
            <w:gridSpan w:val="2"/>
          </w:tcPr>
          <w:p>
            <w:pPr>
              <w:ind w:left="320"/>
              <w:spacing w:after="0"/>
              <w:rPr>
                <w:sz w:val="20"/>
                <w:szCs w:val="20"/>
                <w:color w:val="auto"/>
              </w:rPr>
            </w:pPr>
            <w:r>
              <w:rPr>
                <w:rFonts w:ascii="Arial" w:cs="Arial" w:eastAsia="Arial" w:hAnsi="Arial"/>
                <w:sz w:val="16"/>
                <w:szCs w:val="16"/>
                <w:color w:val="auto"/>
              </w:rPr>
              <w:t>Amounts</w:t>
            </w:r>
          </w:p>
        </w:tc>
        <w:tc>
          <w:tcPr>
            <w:tcW w:w="1220" w:type="dxa"/>
            <w:vAlign w:val="bottom"/>
          </w:tcPr>
          <w:p>
            <w:pPr>
              <w:jc w:val="center"/>
              <w:spacing w:after="0" w:line="239" w:lineRule="exact"/>
              <w:rPr>
                <w:sz w:val="20"/>
                <w:szCs w:val="20"/>
                <w:color w:val="auto"/>
              </w:rPr>
            </w:pPr>
            <w:r>
              <w:rPr>
                <w:rFonts w:ascii="Arial" w:cs="Arial" w:eastAsia="Arial" w:hAnsi="Arial"/>
                <w:sz w:val="16"/>
                <w:szCs w:val="16"/>
                <w:color w:val="auto"/>
                <w:w w:val="87"/>
              </w:rPr>
              <w:t xml:space="preserve">(months) </w:t>
            </w:r>
            <w:r>
              <w:rPr>
                <w:rFonts w:ascii="Arial" w:cs="Arial" w:eastAsia="Arial" w:hAnsi="Arial"/>
                <w:sz w:val="21"/>
                <w:szCs w:val="21"/>
                <w:color w:val="auto"/>
                <w:w w:val="87"/>
                <w:vertAlign w:val="superscript"/>
              </w:rPr>
              <w:t>(a)</w:t>
            </w:r>
          </w:p>
        </w:tc>
      </w:tr>
      <w:tr>
        <w:trPr>
          <w:trHeight w:val="230"/>
        </w:trPr>
        <w:tc>
          <w:tcPr>
            <w:tcW w:w="4620" w:type="dxa"/>
            <w:vAlign w:val="bottom"/>
            <w:tcBorders>
              <w:top w:val="single" w:sz="8" w:color="CEFFE7"/>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Natural gas futures purchased</w:t>
            </w:r>
          </w:p>
        </w:tc>
        <w:tc>
          <w:tcPr>
            <w:tcW w:w="1320" w:type="dxa"/>
            <w:vAlign w:val="bottom"/>
            <w:tcBorders>
              <w:top w:val="single" w:sz="8" w:color="auto"/>
              <w:bottom w:val="single" w:sz="8" w:color="CEFFE7"/>
            </w:tcBorders>
            <w:shd w:val="clear" w:color="auto" w:fill="CEFFE7"/>
          </w:tcPr>
          <w:p>
            <w:pPr>
              <w:jc w:val="center"/>
              <w:spacing w:after="0"/>
              <w:rPr>
                <w:sz w:val="20"/>
                <w:szCs w:val="20"/>
                <w:color w:val="auto"/>
              </w:rPr>
            </w:pPr>
            <w:r>
              <w:rPr>
                <w:rFonts w:ascii="Arial" w:cs="Arial" w:eastAsia="Arial" w:hAnsi="Arial"/>
                <w:sz w:val="16"/>
                <w:szCs w:val="16"/>
                <w:color w:val="auto"/>
              </w:rPr>
              <w:t>MMBtus</w:t>
            </w:r>
          </w:p>
        </w:tc>
        <w:tc>
          <w:tcPr>
            <w:tcW w:w="1300" w:type="dxa"/>
            <w:vAlign w:val="bottom"/>
            <w:tcBorders>
              <w:top w:val="single" w:sz="8" w:color="auto"/>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920,000</w:t>
            </w:r>
          </w:p>
        </w:tc>
        <w:tc>
          <w:tcPr>
            <w:tcW w:w="100" w:type="dxa"/>
            <w:vAlign w:val="bottom"/>
            <w:tcBorders>
              <w:top w:val="single" w:sz="8" w:color="CEFFE7"/>
              <w:bottom w:val="single" w:sz="8" w:color="CEFFE7"/>
            </w:tcBorders>
            <w:shd w:val="clear" w:color="auto" w:fill="CEFFE7"/>
          </w:tcPr>
          <w:p>
            <w:pPr>
              <w:spacing w:after="0"/>
              <w:rPr>
                <w:sz w:val="20"/>
                <w:szCs w:val="20"/>
                <w:color w:val="auto"/>
              </w:rPr>
            </w:pPr>
          </w:p>
        </w:tc>
        <w:tc>
          <w:tcPr>
            <w:tcW w:w="1220" w:type="dxa"/>
            <w:vAlign w:val="bottom"/>
            <w:tcBorders>
              <w:top w:val="single" w:sz="8" w:color="auto"/>
              <w:bottom w:val="single" w:sz="8" w:color="CEFFE7"/>
            </w:tcBorders>
            <w:shd w:val="clear" w:color="auto" w:fill="CEFFE7"/>
          </w:tcPr>
          <w:p>
            <w:pPr>
              <w:jc w:val="center"/>
              <w:spacing w:after="0"/>
              <w:rPr>
                <w:sz w:val="20"/>
                <w:szCs w:val="20"/>
                <w:color w:val="auto"/>
              </w:rPr>
            </w:pPr>
            <w:r>
              <w:rPr>
                <w:rFonts w:ascii="Arial" w:cs="Arial" w:eastAsia="Arial" w:hAnsi="Arial"/>
                <w:sz w:val="16"/>
                <w:szCs w:val="16"/>
                <w:color w:val="auto"/>
                <w:w w:val="89"/>
              </w:rPr>
              <w:t>9</w:t>
            </w:r>
          </w:p>
        </w:tc>
        <w:tc>
          <w:tcPr>
            <w:tcW w:w="120" w:type="dxa"/>
            <w:vAlign w:val="bottom"/>
            <w:tcBorders>
              <w:top w:val="single" w:sz="8" w:color="CEFFE7"/>
              <w:bottom w:val="single" w:sz="8" w:color="CEFFE7"/>
            </w:tcBorders>
            <w:shd w:val="clear" w:color="auto" w:fill="CEFFE7"/>
          </w:tcPr>
          <w:p>
            <w:pPr>
              <w:spacing w:after="0"/>
              <w:rPr>
                <w:sz w:val="20"/>
                <w:szCs w:val="20"/>
                <w:color w:val="auto"/>
              </w:rPr>
            </w:pPr>
          </w:p>
        </w:tc>
        <w:tc>
          <w:tcPr>
            <w:tcW w:w="1220" w:type="dxa"/>
            <w:vAlign w:val="bottom"/>
            <w:tcBorders>
              <w:top w:val="single" w:sz="8" w:color="auto"/>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1,450,000</w:t>
            </w:r>
          </w:p>
        </w:tc>
        <w:tc>
          <w:tcPr>
            <w:tcW w:w="120" w:type="dxa"/>
            <w:vAlign w:val="bottom"/>
            <w:tcBorders>
              <w:top w:val="single" w:sz="8" w:color="CEFFE7"/>
              <w:bottom w:val="single" w:sz="8" w:color="CEFFE7"/>
            </w:tcBorders>
            <w:shd w:val="clear" w:color="auto" w:fill="CEFFE7"/>
          </w:tcPr>
          <w:p>
            <w:pPr>
              <w:spacing w:after="0"/>
              <w:rPr>
                <w:sz w:val="20"/>
                <w:szCs w:val="20"/>
                <w:color w:val="auto"/>
              </w:rPr>
            </w:pPr>
          </w:p>
        </w:tc>
        <w:tc>
          <w:tcPr>
            <w:tcW w:w="1220" w:type="dxa"/>
            <w:vAlign w:val="bottom"/>
            <w:tcBorders>
              <w:top w:val="single" w:sz="8" w:color="auto"/>
              <w:bottom w:val="single" w:sz="8" w:color="CEFFE7"/>
            </w:tcBorders>
            <w:shd w:val="clear" w:color="auto" w:fill="CEFFE7"/>
          </w:tcPr>
          <w:p>
            <w:pPr>
              <w:jc w:val="center"/>
              <w:spacing w:after="0"/>
              <w:rPr>
                <w:sz w:val="20"/>
                <w:szCs w:val="20"/>
                <w:color w:val="auto"/>
              </w:rPr>
            </w:pPr>
            <w:r>
              <w:rPr>
                <w:rFonts w:ascii="Arial" w:cs="Arial" w:eastAsia="Arial" w:hAnsi="Arial"/>
                <w:sz w:val="16"/>
                <w:szCs w:val="16"/>
                <w:color w:val="auto"/>
                <w:w w:val="89"/>
              </w:rPr>
              <w:t>12</w:t>
            </w: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Natural gas options purchased, net</w:t>
            </w:r>
          </w:p>
        </w:tc>
        <w:tc>
          <w:tcPr>
            <w:tcW w:w="1320" w:type="dxa"/>
            <w:vAlign w:val="bottom"/>
          </w:tcPr>
          <w:p>
            <w:pPr>
              <w:jc w:val="center"/>
              <w:spacing w:after="0"/>
              <w:rPr>
                <w:sz w:val="20"/>
                <w:szCs w:val="20"/>
                <w:color w:val="auto"/>
              </w:rPr>
            </w:pPr>
            <w:r>
              <w:rPr>
                <w:rFonts w:ascii="Arial" w:cs="Arial" w:eastAsia="Arial" w:hAnsi="Arial"/>
                <w:sz w:val="16"/>
                <w:szCs w:val="16"/>
                <w:color w:val="auto"/>
              </w:rPr>
              <w:t>MMBtus</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3,240,000</w:t>
            </w:r>
          </w:p>
        </w:tc>
        <w:tc>
          <w:tcPr>
            <w:tcW w:w="1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89"/>
              </w:rPr>
              <w:t>3</w:t>
            </w:r>
          </w:p>
        </w:tc>
      </w:tr>
      <w:tr>
        <w:trPr>
          <w:trHeight w:val="33"/>
        </w:trPr>
        <w:tc>
          <w:tcPr>
            <w:tcW w:w="4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Natural gas basis swaps purchased</w:t>
            </w:r>
          </w:p>
        </w:tc>
        <w:tc>
          <w:tcPr>
            <w:tcW w:w="132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6"/>
                <w:szCs w:val="16"/>
                <w:color w:val="auto"/>
              </w:rPr>
              <w:t>MMBtus</w:t>
            </w:r>
          </w:p>
        </w:tc>
        <w:tc>
          <w:tcPr>
            <w:tcW w:w="130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790,000</w:t>
            </w:r>
          </w:p>
        </w:tc>
        <w:tc>
          <w:tcPr>
            <w:tcW w:w="10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6"/>
                <w:szCs w:val="16"/>
                <w:color w:val="auto"/>
                <w:w w:val="89"/>
              </w:rPr>
              <w:t>9</w:t>
            </w:r>
          </w:p>
        </w:tc>
        <w:tc>
          <w:tcPr>
            <w:tcW w:w="12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1,290,000</w:t>
            </w:r>
          </w:p>
        </w:tc>
        <w:tc>
          <w:tcPr>
            <w:tcW w:w="12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6"/>
                <w:szCs w:val="16"/>
                <w:color w:val="auto"/>
                <w:w w:val="89"/>
              </w:rPr>
              <w:t>12</w:t>
            </w:r>
          </w:p>
        </w:tc>
      </w:tr>
      <w:tr>
        <w:trPr>
          <w:trHeight w:val="270"/>
        </w:trPr>
        <w:tc>
          <w:tcPr>
            <w:tcW w:w="4620" w:type="dxa"/>
            <w:vAlign w:val="bottom"/>
          </w:tcPr>
          <w:p>
            <w:pPr>
              <w:ind w:left="40"/>
              <w:spacing w:after="0"/>
              <w:rPr>
                <w:sz w:val="20"/>
                <w:szCs w:val="20"/>
                <w:color w:val="auto"/>
              </w:rPr>
            </w:pPr>
            <w:r>
              <w:rPr>
                <w:rFonts w:ascii="Arial" w:cs="Arial" w:eastAsia="Arial" w:hAnsi="Arial"/>
                <w:sz w:val="16"/>
                <w:szCs w:val="16"/>
                <w:color w:val="auto"/>
              </w:rPr>
              <w:t xml:space="preserve">Natural gas over-the-counter swaps, net </w:t>
            </w:r>
            <w:r>
              <w:rPr>
                <w:rFonts w:ascii="Arial" w:cs="Arial" w:eastAsia="Arial" w:hAnsi="Arial"/>
                <w:sz w:val="21"/>
                <w:szCs w:val="21"/>
                <w:color w:val="auto"/>
                <w:vertAlign w:val="superscript"/>
              </w:rPr>
              <w:t>(b)</w:t>
            </w:r>
          </w:p>
        </w:tc>
        <w:tc>
          <w:tcPr>
            <w:tcW w:w="1320" w:type="dxa"/>
            <w:vAlign w:val="bottom"/>
          </w:tcPr>
          <w:p>
            <w:pPr>
              <w:jc w:val="center"/>
              <w:spacing w:after="0"/>
              <w:rPr>
                <w:sz w:val="20"/>
                <w:szCs w:val="20"/>
                <w:color w:val="auto"/>
              </w:rPr>
            </w:pPr>
            <w:r>
              <w:rPr>
                <w:rFonts w:ascii="Arial" w:cs="Arial" w:eastAsia="Arial" w:hAnsi="Arial"/>
                <w:sz w:val="16"/>
                <w:szCs w:val="16"/>
                <w:color w:val="auto"/>
              </w:rPr>
              <w:t>MMBtus</w:t>
            </w: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4,620,000</w:t>
            </w:r>
          </w:p>
        </w:tc>
        <w:tc>
          <w:tcPr>
            <w:tcW w:w="10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89"/>
              </w:rPr>
              <w:t>26</w:t>
            </w:r>
          </w:p>
        </w:tc>
        <w:tc>
          <w:tcPr>
            <w:tcW w:w="12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4,600,000</w:t>
            </w:r>
          </w:p>
        </w:tc>
        <w:tc>
          <w:tcPr>
            <w:tcW w:w="12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89"/>
              </w:rPr>
              <w:t>24</w:t>
            </w:r>
          </w:p>
        </w:tc>
      </w:tr>
      <w:tr>
        <w:trPr>
          <w:trHeight w:val="270"/>
        </w:trPr>
        <w:tc>
          <w:tcPr>
            <w:tcW w:w="4620" w:type="dxa"/>
            <w:vAlign w:val="bottom"/>
            <w:shd w:val="clear" w:color="auto" w:fill="CEFFE7"/>
          </w:tcPr>
          <w:p>
            <w:pPr>
              <w:ind w:left="40"/>
              <w:spacing w:after="0"/>
              <w:rPr>
                <w:sz w:val="20"/>
                <w:szCs w:val="20"/>
                <w:color w:val="auto"/>
              </w:rPr>
            </w:pPr>
            <w:r>
              <w:rPr>
                <w:rFonts w:ascii="Arial" w:cs="Arial" w:eastAsia="Arial" w:hAnsi="Arial"/>
                <w:sz w:val="16"/>
                <w:szCs w:val="16"/>
                <w:color w:val="auto"/>
              </w:rPr>
              <w:t xml:space="preserve">Natural gas physical contracts, net </w:t>
            </w:r>
            <w:r>
              <w:rPr>
                <w:rFonts w:ascii="Arial" w:cs="Arial" w:eastAsia="Arial" w:hAnsi="Arial"/>
                <w:sz w:val="21"/>
                <w:szCs w:val="21"/>
                <w:color w:val="auto"/>
                <w:vertAlign w:val="superscript"/>
              </w:rPr>
              <w:t>(c)</w:t>
            </w:r>
          </w:p>
        </w:tc>
        <w:tc>
          <w:tcPr>
            <w:tcW w:w="132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MMBtus</w:t>
            </w:r>
          </w:p>
        </w:tc>
        <w:tc>
          <w:tcPr>
            <w:tcW w:w="130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1,104,725</w:t>
            </w:r>
          </w:p>
        </w:tc>
        <w:tc>
          <w:tcPr>
            <w:tcW w:w="100" w:type="dxa"/>
            <w:vAlign w:val="bottom"/>
            <w:shd w:val="clear" w:color="auto" w:fill="CEFFE7"/>
          </w:tcPr>
          <w:p>
            <w:pPr>
              <w:spacing w:after="0"/>
              <w:rPr>
                <w:sz w:val="23"/>
                <w:szCs w:val="23"/>
                <w:color w:val="auto"/>
              </w:rPr>
            </w:pPr>
          </w:p>
        </w:tc>
        <w:tc>
          <w:tcPr>
            <w:tcW w:w="122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9"/>
              </w:rPr>
              <w:t>12</w:t>
            </w:r>
          </w:p>
        </w:tc>
        <w:tc>
          <w:tcPr>
            <w:tcW w:w="120" w:type="dxa"/>
            <w:vAlign w:val="bottom"/>
            <w:shd w:val="clear" w:color="auto" w:fill="CEFFE7"/>
          </w:tcPr>
          <w:p>
            <w:pPr>
              <w:spacing w:after="0"/>
              <w:rPr>
                <w:sz w:val="23"/>
                <w:szCs w:val="23"/>
                <w:color w:val="auto"/>
              </w:rPr>
            </w:pPr>
          </w:p>
        </w:tc>
        <w:tc>
          <w:tcPr>
            <w:tcW w:w="122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13,548,235</w:t>
            </w:r>
          </w:p>
        </w:tc>
        <w:tc>
          <w:tcPr>
            <w:tcW w:w="120" w:type="dxa"/>
            <w:vAlign w:val="bottom"/>
            <w:shd w:val="clear" w:color="auto" w:fill="CEFFE7"/>
          </w:tcPr>
          <w:p>
            <w:pPr>
              <w:spacing w:after="0"/>
              <w:rPr>
                <w:sz w:val="23"/>
                <w:szCs w:val="23"/>
                <w:color w:val="auto"/>
              </w:rPr>
            </w:pPr>
          </w:p>
        </w:tc>
        <w:tc>
          <w:tcPr>
            <w:tcW w:w="122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9"/>
              </w:rPr>
              <w:t>12</w:t>
            </w:r>
          </w:p>
        </w:tc>
      </w:tr>
      <w:tr>
        <w:trPr>
          <w:trHeight w:val="256"/>
        </w:trPr>
        <w:tc>
          <w:tcPr>
            <w:tcW w:w="4620" w:type="dxa"/>
            <w:vAlign w:val="bottom"/>
          </w:tcPr>
          <w:p>
            <w:pPr>
              <w:ind w:left="40"/>
              <w:spacing w:after="0"/>
              <w:rPr>
                <w:sz w:val="20"/>
                <w:szCs w:val="20"/>
                <w:color w:val="auto"/>
              </w:rPr>
            </w:pPr>
            <w:r>
              <w:rPr>
                <w:rFonts w:ascii="Arial" w:cs="Arial" w:eastAsia="Arial" w:hAnsi="Arial"/>
                <w:sz w:val="16"/>
                <w:szCs w:val="16"/>
                <w:color w:val="auto"/>
              </w:rPr>
              <w:t xml:space="preserve">Electric wholesale contracts </w:t>
            </w:r>
            <w:r>
              <w:rPr>
                <w:rFonts w:ascii="Arial" w:cs="Arial" w:eastAsia="Arial" w:hAnsi="Arial"/>
                <w:sz w:val="21"/>
                <w:szCs w:val="21"/>
                <w:color w:val="auto"/>
                <w:vertAlign w:val="superscript"/>
              </w:rPr>
              <w:t>(c)</w:t>
            </w:r>
          </w:p>
        </w:tc>
        <w:tc>
          <w:tcPr>
            <w:tcW w:w="1320" w:type="dxa"/>
            <w:vAlign w:val="bottom"/>
          </w:tcPr>
          <w:p>
            <w:pPr>
              <w:jc w:val="center"/>
              <w:spacing w:after="0"/>
              <w:rPr>
                <w:sz w:val="20"/>
                <w:szCs w:val="20"/>
                <w:color w:val="auto"/>
              </w:rPr>
            </w:pPr>
            <w:r>
              <w:rPr>
                <w:rFonts w:ascii="Arial" w:cs="Arial" w:eastAsia="Arial" w:hAnsi="Arial"/>
                <w:sz w:val="16"/>
                <w:szCs w:val="16"/>
                <w:color w:val="auto"/>
                <w:w w:val="96"/>
              </w:rPr>
              <w:t>MWh</w:t>
            </w: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195,825</w:t>
            </w:r>
          </w:p>
        </w:tc>
        <w:tc>
          <w:tcPr>
            <w:tcW w:w="10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89"/>
              </w:rPr>
              <w:t>9</w:t>
            </w:r>
          </w:p>
        </w:tc>
        <w:tc>
          <w:tcPr>
            <w:tcW w:w="12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tcPr>
          <w:p>
            <w:pPr>
              <w:jc w:val="center"/>
              <w:spacing w:after="0"/>
              <w:rPr>
                <w:sz w:val="20"/>
                <w:szCs w:val="20"/>
                <w:color w:val="auto"/>
              </w:rPr>
            </w:pPr>
            <w:r>
              <w:rPr>
                <w:rFonts w:ascii="Arial" w:cs="Arial" w:eastAsia="Arial" w:hAnsi="Arial"/>
                <w:sz w:val="16"/>
                <w:szCs w:val="16"/>
                <w:color w:val="auto"/>
                <w:w w:val="89"/>
              </w:rPr>
              <w:t>0</w:t>
            </w: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__________</w:t>
            </w:r>
          </w:p>
        </w:tc>
        <w:tc>
          <w:tcPr>
            <w:tcW w:w="1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r>
    </w:tbl>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Term reflects the maximum forward period hedged.</w:t>
      </w:r>
    </w:p>
    <w:p>
      <w:pPr>
        <w:spacing w:after="0" w:line="9" w:lineRule="exact"/>
        <w:rPr>
          <w:rFonts w:ascii="Arial" w:cs="Arial" w:eastAsia="Arial" w:hAnsi="Arial"/>
          <w:sz w:val="16"/>
          <w:szCs w:val="16"/>
          <w:color w:val="auto"/>
        </w:rPr>
      </w:pPr>
    </w:p>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As of March 31, 2020, 800,000 MMBtus of natural gas over-the-counter swaps purchases were designated as cash flow hedges.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Volumes exclude contracts that qualify for the normal purchases and normal sales exception.</w:t>
      </w:r>
    </w:p>
    <w:p>
      <w:pPr>
        <w:spacing w:after="0" w:line="203" w:lineRule="exact"/>
        <w:rPr>
          <w:sz w:val="20"/>
          <w:szCs w:val="20"/>
          <w:color w:val="auto"/>
        </w:rPr>
      </w:pPr>
    </w:p>
    <w:p>
      <w:pPr>
        <w:ind w:right="480"/>
        <w:spacing w:after="0" w:line="286" w:lineRule="auto"/>
        <w:rPr>
          <w:sz w:val="20"/>
          <w:szCs w:val="20"/>
          <w:color w:val="auto"/>
        </w:rPr>
      </w:pPr>
      <w:r>
        <w:rPr>
          <w:rFonts w:ascii="Arial" w:cs="Arial" w:eastAsia="Arial" w:hAnsi="Arial"/>
          <w:sz w:val="17"/>
          <w:szCs w:val="17"/>
          <w:color w:val="auto"/>
        </w:rPr>
        <w:t>We have certain derivative contracts which contain credit provisions. These credit provisions may require the Company to post collateral when credit exposure to the Company is in excess of a negotiated line of unsecured credit. At March 31, 2020, the Company posted $0.5 million related to such provisions, which is included in Other current assets on the Condensed Consolidated Balance Sheets.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26" w:right="339" w:bottom="1440" w:gutter="0" w:footer="0" w:header="0"/>
        </w:sectPr>
      </w:pPr>
    </w:p>
    <w:bookmarkStart w:id="23" w:name="page24"/>
    <w:bookmarkEnd w:id="2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Derivatives by Balance Sheet Classification</w:t>
      </w:r>
    </w:p>
    <w:p>
      <w:pPr>
        <w:spacing w:after="0" w:line="22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As required by accounting standards for derivatives and hedges, fair values within the following tables are presented on a gross basis aside from the netting of asset and liability positions. Netting of positions is permitted in accordance with accounting standards for offsetting and under terms of our master netting agreements that allow us to settle positive and negative positions.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fair value and balance sheet classification of our derivative instruments (in thousands) as of:</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138"/>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p>
        </w:tc>
        <w:tc>
          <w:tcPr>
            <w:tcW w:w="3840" w:type="dxa"/>
            <w:vAlign w:val="bottom"/>
          </w:tcPr>
          <w:p>
            <w:pPr>
              <w:ind w:left="1100"/>
              <w:spacing w:after="0"/>
              <w:rPr>
                <w:sz w:val="20"/>
                <w:szCs w:val="20"/>
                <w:color w:val="auto"/>
              </w:rPr>
            </w:pPr>
            <w:r>
              <w:rPr>
                <w:rFonts w:ascii="Arial" w:cs="Arial" w:eastAsia="Arial" w:hAnsi="Arial"/>
                <w:sz w:val="16"/>
                <w:szCs w:val="16"/>
                <w:color w:val="auto"/>
              </w:rPr>
              <w:t>Balance Sheet Location</w:t>
            </w:r>
          </w:p>
        </w:tc>
        <w:tc>
          <w:tcPr>
            <w:tcW w:w="120" w:type="dxa"/>
            <w:vAlign w:val="bottom"/>
          </w:tcPr>
          <w:p>
            <w:pPr>
              <w:spacing w:after="0"/>
              <w:rPr>
                <w:sz w:val="20"/>
                <w:szCs w:val="20"/>
                <w:color w:val="auto"/>
              </w:rPr>
            </w:pPr>
          </w:p>
        </w:tc>
        <w:tc>
          <w:tcPr>
            <w:tcW w:w="1320" w:type="dxa"/>
            <w:vAlign w:val="bottom"/>
          </w:tcPr>
          <w:p>
            <w:pPr>
              <w:jc w:val="right"/>
              <w:ind w:right="58"/>
              <w:spacing w:after="0"/>
              <w:rPr>
                <w:sz w:val="20"/>
                <w:szCs w:val="20"/>
                <w:color w:val="auto"/>
              </w:rPr>
            </w:pPr>
            <w:r>
              <w:rPr>
                <w:rFonts w:ascii="Arial" w:cs="Arial" w:eastAsia="Arial" w:hAnsi="Arial"/>
                <w:sz w:val="18"/>
                <w:szCs w:val="18"/>
                <w:color w:val="auto"/>
                <w:w w:val="92"/>
              </w:rPr>
              <w:t>March 31, 2020</w:t>
            </w:r>
          </w:p>
        </w:tc>
        <w:tc>
          <w:tcPr>
            <w:tcW w:w="180" w:type="dxa"/>
            <w:vAlign w:val="bottom"/>
          </w:tcPr>
          <w:p>
            <w:pPr>
              <w:spacing w:after="0"/>
              <w:rPr>
                <w:sz w:val="20"/>
                <w:szCs w:val="20"/>
                <w:color w:val="auto"/>
              </w:rPr>
            </w:pPr>
          </w:p>
        </w:tc>
        <w:tc>
          <w:tcPr>
            <w:tcW w:w="1280" w:type="dxa"/>
            <w:vAlign w:val="bottom"/>
          </w:tcPr>
          <w:p>
            <w:pPr>
              <w:jc w:val="right"/>
              <w:ind w:right="458"/>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7"/>
        </w:trPr>
        <w:tc>
          <w:tcPr>
            <w:tcW w:w="4500" w:type="dxa"/>
            <w:vAlign w:val="bottom"/>
            <w:vMerge w:val="restart"/>
          </w:tcPr>
          <w:p>
            <w:pPr>
              <w:ind w:left="40"/>
              <w:spacing w:after="0"/>
              <w:rPr>
                <w:sz w:val="20"/>
                <w:szCs w:val="20"/>
                <w:color w:val="auto"/>
              </w:rPr>
            </w:pPr>
            <w:r>
              <w:rPr>
                <w:rFonts w:ascii="Arial" w:cs="Arial" w:eastAsia="Arial" w:hAnsi="Arial"/>
                <w:sz w:val="16"/>
                <w:szCs w:val="16"/>
                <w:color w:val="auto"/>
              </w:rPr>
              <w:t>Derivatives designated as hedges:</w:t>
            </w:r>
          </w:p>
        </w:tc>
        <w:tc>
          <w:tcPr>
            <w:tcW w:w="3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500" w:type="dxa"/>
            <w:vAlign w:val="bottom"/>
            <w:vMerge w:val="continue"/>
          </w:tcPr>
          <w:p>
            <w:pPr>
              <w:spacing w:after="0"/>
              <w:rPr>
                <w:sz w:val="20"/>
                <w:szCs w:val="20"/>
                <w:color w:val="auto"/>
              </w:rPr>
            </w:pPr>
          </w:p>
        </w:tc>
        <w:tc>
          <w:tcPr>
            <w:tcW w:w="3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5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6"/>
                <w:szCs w:val="16"/>
                <w:color w:val="auto"/>
              </w:rPr>
              <w:t>Asset derivative instruments:</w:t>
            </w:r>
          </w:p>
        </w:tc>
        <w:tc>
          <w:tcPr>
            <w:tcW w:w="384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132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00" w:type="dxa"/>
            <w:vAlign w:val="bottom"/>
          </w:tcPr>
          <w:p>
            <w:pPr>
              <w:ind w:left="340"/>
              <w:spacing w:after="0"/>
              <w:rPr>
                <w:sz w:val="20"/>
                <w:szCs w:val="20"/>
                <w:color w:val="auto"/>
              </w:rPr>
            </w:pPr>
            <w:r>
              <w:rPr>
                <w:rFonts w:ascii="Arial" w:cs="Arial" w:eastAsia="Arial" w:hAnsi="Arial"/>
                <w:sz w:val="16"/>
                <w:szCs w:val="16"/>
                <w:color w:val="auto"/>
              </w:rPr>
              <w:t>Current commodity derivatives</w:t>
            </w:r>
          </w:p>
        </w:tc>
        <w:tc>
          <w:tcPr>
            <w:tcW w:w="3840" w:type="dxa"/>
            <w:vAlign w:val="bottom"/>
          </w:tcPr>
          <w:p>
            <w:pPr>
              <w:ind w:left="40"/>
              <w:spacing w:after="0"/>
              <w:rPr>
                <w:sz w:val="20"/>
                <w:szCs w:val="20"/>
                <w:color w:val="auto"/>
              </w:rPr>
            </w:pPr>
            <w:r>
              <w:rPr>
                <w:rFonts w:ascii="Arial" w:cs="Arial" w:eastAsia="Arial" w:hAnsi="Arial"/>
                <w:sz w:val="16"/>
                <w:szCs w:val="16"/>
                <w:color w:val="auto"/>
              </w:rPr>
              <w:t>Derivative assets, current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8"/>
              <w:spacing w:after="0"/>
              <w:rPr>
                <w:sz w:val="20"/>
                <w:szCs w:val="20"/>
                <w:color w:val="auto"/>
              </w:rPr>
            </w:pPr>
            <w:r>
              <w:rPr>
                <w:rFonts w:ascii="Arial" w:cs="Arial" w:eastAsia="Arial" w:hAnsi="Arial"/>
                <w:sz w:val="16"/>
                <w:szCs w:val="16"/>
                <w:color w:val="auto"/>
              </w:rPr>
              <w:t>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8"/>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45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EFFE7"/>
            </w:tcBorders>
            <w:shd w:val="clear" w:color="auto" w:fill="CEFFE7"/>
          </w:tcPr>
          <w:p>
            <w:pPr>
              <w:ind w:left="340"/>
              <w:spacing w:after="0"/>
              <w:rPr>
                <w:sz w:val="20"/>
                <w:szCs w:val="20"/>
                <w:color w:val="auto"/>
              </w:rPr>
            </w:pPr>
            <w:r>
              <w:rPr>
                <w:rFonts w:ascii="Arial" w:cs="Arial" w:eastAsia="Arial" w:hAnsi="Arial"/>
                <w:sz w:val="16"/>
                <w:szCs w:val="16"/>
                <w:color w:val="auto"/>
              </w:rPr>
              <w:t>Noncurrent commodity derivatives</w:t>
            </w:r>
          </w:p>
        </w:tc>
        <w:tc>
          <w:tcPr>
            <w:tcW w:w="38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Other assets, non-current</w:t>
            </w:r>
          </w:p>
        </w:tc>
        <w:tc>
          <w:tcPr>
            <w:tcW w:w="120" w:type="dxa"/>
            <w:vAlign w:val="bottom"/>
            <w:tcBorders>
              <w:bottom w:val="single" w:sz="8" w:color="CEFFE7"/>
            </w:tcBorders>
            <w:shd w:val="clear" w:color="auto" w:fill="CEFFE7"/>
          </w:tcPr>
          <w:p>
            <w:pPr>
              <w:spacing w:after="0"/>
              <w:rPr>
                <w:sz w:val="21"/>
                <w:szCs w:val="21"/>
                <w:color w:val="auto"/>
              </w:rPr>
            </w:pPr>
          </w:p>
        </w:tc>
        <w:tc>
          <w:tcPr>
            <w:tcW w:w="1320" w:type="dxa"/>
            <w:vAlign w:val="bottom"/>
            <w:tcBorders>
              <w:bottom w:val="single" w:sz="8" w:color="CEFFE7"/>
            </w:tcBorders>
            <w:shd w:val="clear" w:color="auto" w:fill="CEFFE7"/>
          </w:tcPr>
          <w:p>
            <w:pPr>
              <w:jc w:val="right"/>
              <w:ind w:right="18"/>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jc w:val="right"/>
              <w:ind w:right="18"/>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4500" w:type="dxa"/>
            <w:vAlign w:val="bottom"/>
          </w:tcPr>
          <w:p>
            <w:pPr>
              <w:ind w:left="240"/>
              <w:spacing w:after="0"/>
              <w:rPr>
                <w:sz w:val="20"/>
                <w:szCs w:val="20"/>
                <w:color w:val="auto"/>
              </w:rPr>
            </w:pPr>
            <w:r>
              <w:rPr>
                <w:rFonts w:ascii="Arial" w:cs="Arial" w:eastAsia="Arial" w:hAnsi="Arial"/>
                <w:sz w:val="16"/>
                <w:szCs w:val="16"/>
                <w:color w:val="auto"/>
              </w:rPr>
              <w:t>Liability derivative instruments:</w:t>
            </w:r>
          </w:p>
        </w:tc>
        <w:tc>
          <w:tcPr>
            <w:tcW w:w="3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5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EFFE7"/>
            </w:tcBorders>
            <w:shd w:val="clear" w:color="auto" w:fill="CEFFE7"/>
          </w:tcPr>
          <w:p>
            <w:pPr>
              <w:ind w:left="340"/>
              <w:spacing w:after="0"/>
              <w:rPr>
                <w:sz w:val="20"/>
                <w:szCs w:val="20"/>
                <w:color w:val="auto"/>
              </w:rPr>
            </w:pPr>
            <w:r>
              <w:rPr>
                <w:rFonts w:ascii="Arial" w:cs="Arial" w:eastAsia="Arial" w:hAnsi="Arial"/>
                <w:sz w:val="16"/>
                <w:szCs w:val="16"/>
                <w:color w:val="auto"/>
              </w:rPr>
              <w:t>Current commodity derivatives</w:t>
            </w:r>
          </w:p>
        </w:tc>
        <w:tc>
          <w:tcPr>
            <w:tcW w:w="38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Derivative liabilities, current</w:t>
            </w:r>
          </w:p>
        </w:tc>
        <w:tc>
          <w:tcPr>
            <w:tcW w:w="120" w:type="dxa"/>
            <w:vAlign w:val="bottom"/>
            <w:tcBorders>
              <w:bottom w:val="single" w:sz="8" w:color="CEFFE7"/>
            </w:tcBorders>
            <w:shd w:val="clear" w:color="auto" w:fill="CEFFE7"/>
          </w:tcPr>
          <w:p>
            <w:pPr>
              <w:spacing w:after="0"/>
              <w:rPr>
                <w:sz w:val="21"/>
                <w:szCs w:val="21"/>
                <w:color w:val="auto"/>
              </w:rPr>
            </w:pPr>
          </w:p>
        </w:tc>
        <w:tc>
          <w:tcPr>
            <w:tcW w:w="13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(284)</w:t>
            </w:r>
          </w:p>
        </w:tc>
        <w:tc>
          <w:tcPr>
            <w:tcW w:w="18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(490)</w:t>
            </w:r>
          </w:p>
        </w:tc>
        <w:tc>
          <w:tcPr>
            <w:tcW w:w="0" w:type="dxa"/>
            <w:vAlign w:val="bottom"/>
          </w:tcPr>
          <w:p>
            <w:pPr>
              <w:spacing w:after="0"/>
              <w:rPr>
                <w:sz w:val="1"/>
                <w:szCs w:val="1"/>
                <w:color w:val="auto"/>
              </w:rPr>
            </w:pPr>
          </w:p>
        </w:tc>
      </w:tr>
      <w:tr>
        <w:trPr>
          <w:trHeight w:val="237"/>
        </w:trPr>
        <w:tc>
          <w:tcPr>
            <w:tcW w:w="4500" w:type="dxa"/>
            <w:vAlign w:val="bottom"/>
          </w:tcPr>
          <w:p>
            <w:pPr>
              <w:ind w:left="340"/>
              <w:spacing w:after="0"/>
              <w:rPr>
                <w:sz w:val="20"/>
                <w:szCs w:val="20"/>
                <w:color w:val="auto"/>
              </w:rPr>
            </w:pPr>
            <w:r>
              <w:rPr>
                <w:rFonts w:ascii="Arial" w:cs="Arial" w:eastAsia="Arial" w:hAnsi="Arial"/>
                <w:sz w:val="16"/>
                <w:szCs w:val="16"/>
                <w:color w:val="auto"/>
              </w:rPr>
              <w:t>Noncurrent commodity derivatives</w:t>
            </w:r>
          </w:p>
        </w:tc>
        <w:tc>
          <w:tcPr>
            <w:tcW w:w="3840" w:type="dxa"/>
            <w:vAlign w:val="bottom"/>
          </w:tcPr>
          <w:p>
            <w:pPr>
              <w:ind w:left="40"/>
              <w:spacing w:after="0"/>
              <w:rPr>
                <w:sz w:val="20"/>
                <w:szCs w:val="20"/>
                <w:color w:val="auto"/>
              </w:rPr>
            </w:pPr>
            <w:r>
              <w:rPr>
                <w:rFonts w:ascii="Arial" w:cs="Arial" w:eastAsia="Arial" w:hAnsi="Arial"/>
                <w:sz w:val="16"/>
                <w:szCs w:val="16"/>
                <w:color w:val="auto"/>
              </w:rPr>
              <w:t>Other deferred credits and other liabilities</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33"/>
        </w:trPr>
        <w:tc>
          <w:tcPr>
            <w:tcW w:w="4500" w:type="dxa"/>
            <w:vAlign w:val="bottom"/>
            <w:tcBorders>
              <w:bottom w:val="single" w:sz="8" w:color="CEFFE7"/>
            </w:tcBorders>
          </w:tcPr>
          <w:p>
            <w:pPr>
              <w:spacing w:after="0"/>
              <w:rPr>
                <w:sz w:val="2"/>
                <w:szCs w:val="2"/>
                <w:color w:val="auto"/>
              </w:rPr>
            </w:pPr>
          </w:p>
        </w:tc>
        <w:tc>
          <w:tcPr>
            <w:tcW w:w="3840" w:type="dxa"/>
            <w:vAlign w:val="bottom"/>
            <w:tcBorders>
              <w:bottom w:val="single" w:sz="8" w:color="CEFFE7"/>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5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Total derivatives designated as hedges</w:t>
            </w:r>
          </w:p>
        </w:tc>
        <w:tc>
          <w:tcPr>
            <w:tcW w:w="384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(286)</w:t>
            </w:r>
          </w:p>
        </w:tc>
        <w:tc>
          <w:tcPr>
            <w:tcW w:w="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(515)</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500" w:type="dxa"/>
            <w:vAlign w:val="bottom"/>
          </w:tcPr>
          <w:p>
            <w:pPr>
              <w:spacing w:after="0"/>
              <w:rPr>
                <w:sz w:val="23"/>
                <w:szCs w:val="23"/>
                <w:color w:val="auto"/>
              </w:rPr>
            </w:pPr>
          </w:p>
        </w:tc>
        <w:tc>
          <w:tcPr>
            <w:tcW w:w="3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5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Derivatives not designated as hedges:</w:t>
            </w:r>
          </w:p>
        </w:tc>
        <w:tc>
          <w:tcPr>
            <w:tcW w:w="384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132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00" w:type="dxa"/>
            <w:vAlign w:val="bottom"/>
          </w:tcPr>
          <w:p>
            <w:pPr>
              <w:ind w:left="240"/>
              <w:spacing w:after="0"/>
              <w:rPr>
                <w:sz w:val="20"/>
                <w:szCs w:val="20"/>
                <w:color w:val="auto"/>
              </w:rPr>
            </w:pPr>
            <w:r>
              <w:rPr>
                <w:rFonts w:ascii="Arial" w:cs="Arial" w:eastAsia="Arial" w:hAnsi="Arial"/>
                <w:sz w:val="16"/>
                <w:szCs w:val="16"/>
                <w:color w:val="auto"/>
              </w:rPr>
              <w:t>Asset derivative instruments:</w:t>
            </w:r>
          </w:p>
        </w:tc>
        <w:tc>
          <w:tcPr>
            <w:tcW w:w="3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5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EFFE7"/>
            </w:tcBorders>
            <w:shd w:val="clear" w:color="auto" w:fill="CEFFE7"/>
          </w:tcPr>
          <w:p>
            <w:pPr>
              <w:ind w:left="340"/>
              <w:spacing w:after="0"/>
              <w:rPr>
                <w:sz w:val="20"/>
                <w:szCs w:val="20"/>
                <w:color w:val="auto"/>
              </w:rPr>
            </w:pPr>
            <w:r>
              <w:rPr>
                <w:rFonts w:ascii="Arial" w:cs="Arial" w:eastAsia="Arial" w:hAnsi="Arial"/>
                <w:sz w:val="16"/>
                <w:szCs w:val="16"/>
                <w:color w:val="auto"/>
              </w:rPr>
              <w:t>Current commodity derivatives</w:t>
            </w:r>
          </w:p>
        </w:tc>
        <w:tc>
          <w:tcPr>
            <w:tcW w:w="38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Derivative assets, current</w:t>
            </w:r>
          </w:p>
        </w:tc>
        <w:tc>
          <w:tcPr>
            <w:tcW w:w="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EFFE7"/>
            </w:tcBorders>
            <w:shd w:val="clear" w:color="auto" w:fill="CEFFE7"/>
          </w:tcPr>
          <w:p>
            <w:pPr>
              <w:jc w:val="right"/>
              <w:ind w:right="18"/>
              <w:spacing w:after="0"/>
              <w:rPr>
                <w:sz w:val="20"/>
                <w:szCs w:val="20"/>
                <w:color w:val="auto"/>
              </w:rPr>
            </w:pPr>
            <w:r>
              <w:rPr>
                <w:rFonts w:ascii="Arial" w:cs="Arial" w:eastAsia="Arial" w:hAnsi="Arial"/>
                <w:sz w:val="16"/>
                <w:szCs w:val="16"/>
                <w:color w:val="auto"/>
              </w:rPr>
              <w:t>1,772</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EFFE7"/>
            </w:tcBorders>
            <w:shd w:val="clear" w:color="auto" w:fill="CEFFE7"/>
          </w:tcPr>
          <w:p>
            <w:pPr>
              <w:jc w:val="right"/>
              <w:ind w:right="18"/>
              <w:spacing w:after="0"/>
              <w:rPr>
                <w:sz w:val="20"/>
                <w:szCs w:val="20"/>
                <w:color w:val="auto"/>
              </w:rPr>
            </w:pPr>
            <w:r>
              <w:rPr>
                <w:rFonts w:ascii="Arial" w:cs="Arial" w:eastAsia="Arial" w:hAnsi="Arial"/>
                <w:sz w:val="16"/>
                <w:szCs w:val="16"/>
                <w:color w:val="auto"/>
              </w:rPr>
              <w:t>341</w:t>
            </w:r>
          </w:p>
        </w:tc>
        <w:tc>
          <w:tcPr>
            <w:tcW w:w="0" w:type="dxa"/>
            <w:vAlign w:val="bottom"/>
          </w:tcPr>
          <w:p>
            <w:pPr>
              <w:spacing w:after="0"/>
              <w:rPr>
                <w:sz w:val="1"/>
                <w:szCs w:val="1"/>
                <w:color w:val="auto"/>
              </w:rPr>
            </w:pPr>
          </w:p>
        </w:tc>
      </w:tr>
      <w:tr>
        <w:trPr>
          <w:trHeight w:val="237"/>
        </w:trPr>
        <w:tc>
          <w:tcPr>
            <w:tcW w:w="4500" w:type="dxa"/>
            <w:vAlign w:val="bottom"/>
          </w:tcPr>
          <w:p>
            <w:pPr>
              <w:ind w:left="340"/>
              <w:spacing w:after="0"/>
              <w:rPr>
                <w:sz w:val="20"/>
                <w:szCs w:val="20"/>
                <w:color w:val="auto"/>
              </w:rPr>
            </w:pPr>
            <w:r>
              <w:rPr>
                <w:rFonts w:ascii="Arial" w:cs="Arial" w:eastAsia="Arial" w:hAnsi="Arial"/>
                <w:sz w:val="16"/>
                <w:szCs w:val="16"/>
                <w:color w:val="auto"/>
              </w:rPr>
              <w:t>Noncurrent commodity derivatives</w:t>
            </w:r>
          </w:p>
        </w:tc>
        <w:tc>
          <w:tcPr>
            <w:tcW w:w="3840" w:type="dxa"/>
            <w:vAlign w:val="bottom"/>
          </w:tcPr>
          <w:p>
            <w:pPr>
              <w:ind w:left="40"/>
              <w:spacing w:after="0"/>
              <w:rPr>
                <w:sz w:val="20"/>
                <w:szCs w:val="20"/>
                <w:color w:val="auto"/>
              </w:rPr>
            </w:pPr>
            <w:r>
              <w:rPr>
                <w:rFonts w:ascii="Arial" w:cs="Arial" w:eastAsia="Arial" w:hAnsi="Arial"/>
                <w:sz w:val="16"/>
                <w:szCs w:val="16"/>
                <w:color w:val="auto"/>
              </w:rPr>
              <w:t>Other assets, non-current</w:t>
            </w:r>
          </w:p>
        </w:tc>
        <w:tc>
          <w:tcPr>
            <w:tcW w:w="120" w:type="dxa"/>
            <w:vAlign w:val="bottom"/>
          </w:tcPr>
          <w:p>
            <w:pPr>
              <w:spacing w:after="0"/>
              <w:rPr>
                <w:sz w:val="20"/>
                <w:szCs w:val="20"/>
                <w:color w:val="auto"/>
              </w:rPr>
            </w:pPr>
          </w:p>
        </w:tc>
        <w:tc>
          <w:tcPr>
            <w:tcW w:w="1320" w:type="dxa"/>
            <w:vAlign w:val="bottom"/>
          </w:tcPr>
          <w:p>
            <w:pPr>
              <w:jc w:val="right"/>
              <w:ind w:right="18"/>
              <w:spacing w:after="0"/>
              <w:rPr>
                <w:sz w:val="20"/>
                <w:szCs w:val="20"/>
                <w:color w:val="auto"/>
              </w:rPr>
            </w:pPr>
            <w:r>
              <w:rPr>
                <w:rFonts w:ascii="Arial" w:cs="Arial" w:eastAsia="Arial" w:hAnsi="Arial"/>
                <w:sz w:val="16"/>
                <w:szCs w:val="16"/>
                <w:color w:val="auto"/>
              </w:rPr>
              <w:t>156</w:t>
            </w:r>
          </w:p>
        </w:tc>
        <w:tc>
          <w:tcPr>
            <w:tcW w:w="180" w:type="dxa"/>
            <w:vAlign w:val="bottom"/>
          </w:tcPr>
          <w:p>
            <w:pPr>
              <w:spacing w:after="0"/>
              <w:rPr>
                <w:sz w:val="20"/>
                <w:szCs w:val="20"/>
                <w:color w:val="auto"/>
              </w:rPr>
            </w:pPr>
          </w:p>
        </w:tc>
        <w:tc>
          <w:tcPr>
            <w:tcW w:w="1280" w:type="dxa"/>
            <w:vAlign w:val="bottom"/>
          </w:tcPr>
          <w:p>
            <w:pPr>
              <w:jc w:val="right"/>
              <w:ind w:right="18"/>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45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6"/>
                <w:szCs w:val="16"/>
                <w:color w:val="auto"/>
              </w:rPr>
              <w:t>Liability derivative instruments:</w:t>
            </w:r>
          </w:p>
        </w:tc>
        <w:tc>
          <w:tcPr>
            <w:tcW w:w="384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132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00" w:type="dxa"/>
            <w:vAlign w:val="bottom"/>
          </w:tcPr>
          <w:p>
            <w:pPr>
              <w:ind w:left="340"/>
              <w:spacing w:after="0"/>
              <w:rPr>
                <w:sz w:val="20"/>
                <w:szCs w:val="20"/>
                <w:color w:val="auto"/>
              </w:rPr>
            </w:pPr>
            <w:r>
              <w:rPr>
                <w:rFonts w:ascii="Arial" w:cs="Arial" w:eastAsia="Arial" w:hAnsi="Arial"/>
                <w:sz w:val="16"/>
                <w:szCs w:val="16"/>
                <w:color w:val="auto"/>
              </w:rPr>
              <w:t>Current commodity derivatives</w:t>
            </w:r>
          </w:p>
        </w:tc>
        <w:tc>
          <w:tcPr>
            <w:tcW w:w="3840" w:type="dxa"/>
            <w:vAlign w:val="bottom"/>
          </w:tcPr>
          <w:p>
            <w:pPr>
              <w:ind w:left="40"/>
              <w:spacing w:after="0"/>
              <w:rPr>
                <w:sz w:val="20"/>
                <w:szCs w:val="20"/>
                <w:color w:val="auto"/>
              </w:rPr>
            </w:pPr>
            <w:r>
              <w:rPr>
                <w:rFonts w:ascii="Arial" w:cs="Arial" w:eastAsia="Arial" w:hAnsi="Arial"/>
                <w:sz w:val="16"/>
                <w:szCs w:val="16"/>
                <w:color w:val="auto"/>
              </w:rPr>
              <w:t>Derivative liabilities, current</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(568)</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(1,764)</w:t>
            </w:r>
          </w:p>
        </w:tc>
        <w:tc>
          <w:tcPr>
            <w:tcW w:w="0" w:type="dxa"/>
            <w:vAlign w:val="bottom"/>
          </w:tcPr>
          <w:p>
            <w:pPr>
              <w:spacing w:after="0"/>
              <w:rPr>
                <w:sz w:val="1"/>
                <w:szCs w:val="1"/>
                <w:color w:val="auto"/>
              </w:rPr>
            </w:pPr>
          </w:p>
        </w:tc>
      </w:tr>
      <w:tr>
        <w:trPr>
          <w:trHeight w:val="33"/>
        </w:trPr>
        <w:tc>
          <w:tcPr>
            <w:tcW w:w="45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00" w:type="dxa"/>
            <w:vAlign w:val="bottom"/>
            <w:tcBorders>
              <w:bottom w:val="single" w:sz="8" w:color="CEFFE7"/>
            </w:tcBorders>
            <w:shd w:val="clear" w:color="auto" w:fill="CEFFE7"/>
          </w:tcPr>
          <w:p>
            <w:pPr>
              <w:ind w:left="340"/>
              <w:spacing w:after="0"/>
              <w:rPr>
                <w:sz w:val="20"/>
                <w:szCs w:val="20"/>
                <w:color w:val="auto"/>
              </w:rPr>
            </w:pPr>
            <w:r>
              <w:rPr>
                <w:rFonts w:ascii="Arial" w:cs="Arial" w:eastAsia="Arial" w:hAnsi="Arial"/>
                <w:sz w:val="16"/>
                <w:szCs w:val="16"/>
                <w:color w:val="auto"/>
              </w:rPr>
              <w:t>Noncurrent commodity derivatives</w:t>
            </w:r>
          </w:p>
        </w:tc>
        <w:tc>
          <w:tcPr>
            <w:tcW w:w="38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Other deferred credits and other liabilities</w:t>
            </w:r>
          </w:p>
        </w:tc>
        <w:tc>
          <w:tcPr>
            <w:tcW w:w="120" w:type="dxa"/>
            <w:vAlign w:val="bottom"/>
            <w:tcBorders>
              <w:bottom w:val="single" w:sz="8" w:color="CEFFE7"/>
            </w:tcBorders>
            <w:shd w:val="clear" w:color="auto" w:fill="CEFFE7"/>
          </w:tcPr>
          <w:p>
            <w:pPr>
              <w:spacing w:after="0"/>
              <w:rPr>
                <w:sz w:val="23"/>
                <w:szCs w:val="23"/>
                <w:color w:val="auto"/>
              </w:rPr>
            </w:pPr>
          </w:p>
        </w:tc>
        <w:tc>
          <w:tcPr>
            <w:tcW w:w="13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(28)</w:t>
            </w:r>
          </w:p>
        </w:tc>
        <w:tc>
          <w:tcPr>
            <w:tcW w:w="180" w:type="dxa"/>
            <w:vAlign w:val="bottom"/>
            <w:tcBorders>
              <w:bottom w:val="single" w:sz="8" w:color="CEFFE7"/>
            </w:tcBorders>
            <w:shd w:val="clear" w:color="auto" w:fill="CEFFE7"/>
          </w:tcPr>
          <w:p>
            <w:pPr>
              <w:spacing w:after="0"/>
              <w:rPr>
                <w:sz w:val="23"/>
                <w:szCs w:val="23"/>
                <w:color w:val="auto"/>
              </w:rPr>
            </w:pPr>
          </w:p>
        </w:tc>
        <w:tc>
          <w:tcPr>
            <w:tcW w:w="12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6"/>
                <w:szCs w:val="16"/>
                <w:color w:val="auto"/>
              </w:rPr>
              <w:t>Total derivatives not designated as hedges</w:t>
            </w:r>
          </w:p>
        </w:tc>
        <w:tc>
          <w:tcPr>
            <w:tcW w:w="384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6"/>
                <w:szCs w:val="16"/>
                <w:color w:val="auto"/>
              </w:rPr>
              <w:t>1,332</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(1,484)</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Derivatives Designated as Hedges</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impacts of cash flow hedges on our Condensed Consolidated Statements of Comprehensive Income and Condensed Consolidated Statements of Income are presented below for the three months ended March 31, 2020 and 2019. Note that this presentation does not reflect gains or losses arising from the underlying physical transactions; therefore, it is not indicative of the economic profit or loss we realized when the underlying physical and financial transactions were settled.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160" w:type="dxa"/>
            <w:vAlign w:val="bottom"/>
          </w:tcPr>
          <w:p>
            <w:pPr>
              <w:spacing w:after="0"/>
              <w:rPr>
                <w:sz w:val="17"/>
                <w:szCs w:val="17"/>
                <w:color w:val="auto"/>
              </w:rPr>
            </w:pPr>
          </w:p>
        </w:tc>
        <w:tc>
          <w:tcPr>
            <w:tcW w:w="2280" w:type="dxa"/>
            <w:vAlign w:val="bottom"/>
            <w:gridSpan w:val="4"/>
          </w:tcPr>
          <w:p>
            <w:pPr>
              <w:jc w:val="center"/>
              <w:spacing w:after="0"/>
              <w:rPr>
                <w:sz w:val="20"/>
                <w:szCs w:val="20"/>
                <w:color w:val="auto"/>
              </w:rPr>
            </w:pPr>
            <w:r>
              <w:rPr>
                <w:rFonts w:ascii="Arial" w:cs="Arial" w:eastAsia="Arial" w:hAnsi="Arial"/>
                <w:sz w:val="16"/>
                <w:szCs w:val="16"/>
                <w:color w:val="auto"/>
                <w:w w:val="92"/>
              </w:rPr>
              <w:t>Three Months Ended March 31,</w:t>
            </w:r>
          </w:p>
        </w:tc>
        <w:tc>
          <w:tcPr>
            <w:tcW w:w="2580" w:type="dxa"/>
            <w:vAlign w:val="bottom"/>
          </w:tcPr>
          <w:p>
            <w:pPr>
              <w:spacing w:after="0"/>
              <w:rPr>
                <w:sz w:val="17"/>
                <w:szCs w:val="17"/>
                <w:color w:val="auto"/>
              </w:rPr>
            </w:pPr>
          </w:p>
        </w:tc>
        <w:tc>
          <w:tcPr>
            <w:tcW w:w="2220" w:type="dxa"/>
            <w:vAlign w:val="bottom"/>
            <w:gridSpan w:val="4"/>
          </w:tcPr>
          <w:p>
            <w:pPr>
              <w:jc w:val="center"/>
              <w:spacing w:after="0"/>
              <w:rPr>
                <w:sz w:val="20"/>
                <w:szCs w:val="20"/>
                <w:color w:val="auto"/>
              </w:rPr>
            </w:pPr>
            <w:r>
              <w:rPr>
                <w:rFonts w:ascii="Arial" w:cs="Arial" w:eastAsia="Arial" w:hAnsi="Arial"/>
                <w:sz w:val="16"/>
                <w:szCs w:val="16"/>
                <w:color w:val="auto"/>
                <w:w w:val="92"/>
              </w:rPr>
              <w:t>Three Months Ended March 31,</w:t>
            </w:r>
          </w:p>
        </w:tc>
      </w:tr>
      <w:tr>
        <w:trPr>
          <w:trHeight w:val="33"/>
        </w:trPr>
        <w:tc>
          <w:tcPr>
            <w:tcW w:w="41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4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2020</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2019</w:t>
            </w:r>
          </w:p>
        </w:tc>
        <w:tc>
          <w:tcPr>
            <w:tcW w:w="4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299"/>
              <w:spacing w:after="0"/>
              <w:rPr>
                <w:sz w:val="20"/>
                <w:szCs w:val="20"/>
                <w:color w:val="auto"/>
              </w:rPr>
            </w:pPr>
            <w:r>
              <w:rPr>
                <w:rFonts w:ascii="Arial" w:cs="Arial" w:eastAsia="Arial" w:hAnsi="Arial"/>
                <w:sz w:val="16"/>
                <w:szCs w:val="16"/>
                <w:color w:val="auto"/>
              </w:rPr>
              <w:t>2020</w:t>
            </w:r>
          </w:p>
        </w:tc>
        <w:tc>
          <w:tcPr>
            <w:tcW w:w="340" w:type="dxa"/>
            <w:vAlign w:val="bottom"/>
          </w:tcPr>
          <w:p>
            <w:pPr>
              <w:spacing w:after="0"/>
              <w:rPr>
                <w:sz w:val="18"/>
                <w:szCs w:val="18"/>
                <w:color w:val="auto"/>
              </w:rPr>
            </w:pPr>
          </w:p>
        </w:tc>
        <w:tc>
          <w:tcPr>
            <w:tcW w:w="780" w:type="dxa"/>
            <w:vAlign w:val="bottom"/>
          </w:tcPr>
          <w:p>
            <w:pPr>
              <w:jc w:val="right"/>
              <w:ind w:right="319"/>
              <w:spacing w:after="0"/>
              <w:rPr>
                <w:sz w:val="20"/>
                <w:szCs w:val="20"/>
                <w:color w:val="auto"/>
              </w:rPr>
            </w:pPr>
            <w:r>
              <w:rPr>
                <w:rFonts w:ascii="Arial" w:cs="Arial" w:eastAsia="Arial" w:hAnsi="Arial"/>
                <w:sz w:val="16"/>
                <w:szCs w:val="16"/>
                <w:color w:val="auto"/>
              </w:rPr>
              <w:t>2019</w:t>
            </w:r>
          </w:p>
        </w:tc>
      </w:tr>
      <w:tr>
        <w:trPr>
          <w:trHeight w:val="33"/>
        </w:trPr>
        <w:tc>
          <w:tcPr>
            <w:tcW w:w="41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r>
      <w:tr>
        <w:trPr>
          <w:trHeight w:val="213"/>
        </w:trPr>
        <w:tc>
          <w:tcPr>
            <w:tcW w:w="4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gridSpan w:val="3"/>
          </w:tcPr>
          <w:p>
            <w:pPr>
              <w:jc w:val="center"/>
              <w:ind w:right="59"/>
              <w:spacing w:after="0"/>
              <w:rPr>
                <w:sz w:val="20"/>
                <w:szCs w:val="20"/>
                <w:color w:val="auto"/>
              </w:rPr>
            </w:pPr>
            <w:r>
              <w:rPr>
                <w:rFonts w:ascii="Arial" w:cs="Arial" w:eastAsia="Arial" w:hAnsi="Arial"/>
                <w:sz w:val="16"/>
                <w:szCs w:val="16"/>
                <w:color w:val="auto"/>
                <w:w w:val="94"/>
              </w:rPr>
              <w:t>Amount of Gain/(Loss)</w:t>
            </w:r>
          </w:p>
        </w:tc>
      </w:tr>
      <w:tr>
        <w:trPr>
          <w:trHeight w:val="202"/>
        </w:trPr>
        <w:tc>
          <w:tcPr>
            <w:tcW w:w="4160" w:type="dxa"/>
            <w:vAlign w:val="bottom"/>
          </w:tcPr>
          <w:p>
            <w:pPr>
              <w:spacing w:after="0"/>
              <w:rPr>
                <w:sz w:val="17"/>
                <w:szCs w:val="17"/>
                <w:color w:val="auto"/>
              </w:rPr>
            </w:pPr>
          </w:p>
        </w:tc>
        <w:tc>
          <w:tcPr>
            <w:tcW w:w="2280" w:type="dxa"/>
            <w:vAlign w:val="bottom"/>
            <w:gridSpan w:val="4"/>
          </w:tcPr>
          <w:p>
            <w:pPr>
              <w:jc w:val="center"/>
              <w:spacing w:after="0"/>
              <w:rPr>
                <w:sz w:val="20"/>
                <w:szCs w:val="20"/>
                <w:color w:val="auto"/>
              </w:rPr>
            </w:pPr>
            <w:r>
              <w:rPr>
                <w:rFonts w:ascii="Arial" w:cs="Arial" w:eastAsia="Arial" w:hAnsi="Arial"/>
                <w:sz w:val="16"/>
                <w:szCs w:val="16"/>
                <w:color w:val="auto"/>
                <w:w w:val="94"/>
              </w:rPr>
              <w:t>Amount of (Gain)/Loss</w:t>
            </w:r>
          </w:p>
        </w:tc>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60" w:type="dxa"/>
            <w:vAlign w:val="bottom"/>
            <w:gridSpan w:val="3"/>
          </w:tcPr>
          <w:p>
            <w:pPr>
              <w:jc w:val="center"/>
              <w:ind w:right="59"/>
              <w:spacing w:after="0"/>
              <w:rPr>
                <w:sz w:val="20"/>
                <w:szCs w:val="20"/>
                <w:color w:val="auto"/>
              </w:rPr>
            </w:pPr>
            <w:r>
              <w:rPr>
                <w:rFonts w:ascii="Arial" w:cs="Arial" w:eastAsia="Arial" w:hAnsi="Arial"/>
                <w:sz w:val="16"/>
                <w:szCs w:val="16"/>
                <w:color w:val="auto"/>
                <w:w w:val="95"/>
              </w:rPr>
              <w:t>Reclassified from AOCI into</w:t>
            </w:r>
          </w:p>
        </w:tc>
      </w:tr>
      <w:tr>
        <w:trPr>
          <w:trHeight w:val="206"/>
        </w:trPr>
        <w:tc>
          <w:tcPr>
            <w:tcW w:w="4160" w:type="dxa"/>
            <w:vAlign w:val="bottom"/>
          </w:tcPr>
          <w:p>
            <w:pPr>
              <w:ind w:left="500"/>
              <w:spacing w:after="0"/>
              <w:rPr>
                <w:sz w:val="20"/>
                <w:szCs w:val="20"/>
                <w:color w:val="auto"/>
              </w:rPr>
            </w:pPr>
            <w:r>
              <w:rPr>
                <w:rFonts w:ascii="Arial" w:cs="Arial" w:eastAsia="Arial" w:hAnsi="Arial"/>
                <w:sz w:val="16"/>
                <w:szCs w:val="16"/>
                <w:color w:val="auto"/>
              </w:rPr>
              <w:t>Derivatives in Cash Flow Hedging Relationships</w:t>
            </w:r>
          </w:p>
        </w:tc>
        <w:tc>
          <w:tcPr>
            <w:tcW w:w="1880" w:type="dxa"/>
            <w:vAlign w:val="bottom"/>
            <w:gridSpan w:val="3"/>
          </w:tcPr>
          <w:p>
            <w:pPr>
              <w:jc w:val="center"/>
              <w:ind w:left="359"/>
              <w:spacing w:after="0"/>
              <w:rPr>
                <w:sz w:val="20"/>
                <w:szCs w:val="20"/>
                <w:color w:val="auto"/>
              </w:rPr>
            </w:pPr>
            <w:r>
              <w:rPr>
                <w:rFonts w:ascii="Arial" w:cs="Arial" w:eastAsia="Arial" w:hAnsi="Arial"/>
                <w:sz w:val="16"/>
                <w:szCs w:val="16"/>
                <w:color w:val="auto"/>
                <w:w w:val="92"/>
              </w:rPr>
              <w:t>Recognized in OCI</w:t>
            </w:r>
          </w:p>
        </w:tc>
        <w:tc>
          <w:tcPr>
            <w:tcW w:w="400" w:type="dxa"/>
            <w:vAlign w:val="bottom"/>
          </w:tcPr>
          <w:p>
            <w:pPr>
              <w:spacing w:after="0"/>
              <w:rPr>
                <w:sz w:val="17"/>
                <w:szCs w:val="17"/>
                <w:color w:val="auto"/>
              </w:rPr>
            </w:pPr>
          </w:p>
        </w:tc>
        <w:tc>
          <w:tcPr>
            <w:tcW w:w="2580" w:type="dxa"/>
            <w:vAlign w:val="bottom"/>
          </w:tcPr>
          <w:p>
            <w:pPr>
              <w:ind w:left="400"/>
              <w:spacing w:after="0"/>
              <w:rPr>
                <w:sz w:val="20"/>
                <w:szCs w:val="20"/>
                <w:color w:val="auto"/>
              </w:rPr>
            </w:pPr>
            <w:r>
              <w:rPr>
                <w:rFonts w:ascii="Arial" w:cs="Arial" w:eastAsia="Arial" w:hAnsi="Arial"/>
                <w:sz w:val="16"/>
                <w:szCs w:val="16"/>
                <w:color w:val="auto"/>
              </w:rPr>
              <w:t>Income Statement Location</w:t>
            </w:r>
          </w:p>
        </w:tc>
        <w:tc>
          <w:tcPr>
            <w:tcW w:w="160" w:type="dxa"/>
            <w:vAlign w:val="bottom"/>
          </w:tcPr>
          <w:p>
            <w:pPr>
              <w:spacing w:after="0"/>
              <w:rPr>
                <w:sz w:val="17"/>
                <w:szCs w:val="17"/>
                <w:color w:val="auto"/>
              </w:rPr>
            </w:pPr>
          </w:p>
        </w:tc>
        <w:tc>
          <w:tcPr>
            <w:tcW w:w="1280" w:type="dxa"/>
            <w:vAlign w:val="bottom"/>
            <w:gridSpan w:val="2"/>
          </w:tcPr>
          <w:p>
            <w:pPr>
              <w:jc w:val="center"/>
              <w:ind w:left="559"/>
              <w:spacing w:after="0"/>
              <w:rPr>
                <w:sz w:val="20"/>
                <w:szCs w:val="20"/>
                <w:color w:val="auto"/>
              </w:rPr>
            </w:pPr>
            <w:r>
              <w:rPr>
                <w:rFonts w:ascii="Arial" w:cs="Arial" w:eastAsia="Arial" w:hAnsi="Arial"/>
                <w:sz w:val="16"/>
                <w:szCs w:val="16"/>
                <w:color w:val="auto"/>
                <w:w w:val="91"/>
              </w:rPr>
              <w:t>Income</w:t>
            </w:r>
          </w:p>
        </w:tc>
        <w:tc>
          <w:tcPr>
            <w:tcW w:w="780" w:type="dxa"/>
            <w:vAlign w:val="bottom"/>
          </w:tcPr>
          <w:p>
            <w:pPr>
              <w:spacing w:after="0"/>
              <w:rPr>
                <w:sz w:val="17"/>
                <w:szCs w:val="17"/>
                <w:color w:val="auto"/>
              </w:rPr>
            </w:pPr>
          </w:p>
        </w:tc>
      </w:tr>
      <w:tr>
        <w:trPr>
          <w:trHeight w:val="33"/>
        </w:trPr>
        <w:tc>
          <w:tcPr>
            <w:tcW w:w="41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r>
      <w:tr>
        <w:trPr>
          <w:trHeight w:val="230"/>
        </w:trPr>
        <w:tc>
          <w:tcPr>
            <w:tcW w:w="4160" w:type="dxa"/>
            <w:vAlign w:val="bottom"/>
          </w:tcPr>
          <w:p>
            <w:pPr>
              <w:spacing w:after="0"/>
              <w:rPr>
                <w:sz w:val="20"/>
                <w:szCs w:val="20"/>
                <w:color w:val="auto"/>
              </w:rPr>
            </w:pPr>
          </w:p>
        </w:tc>
        <w:tc>
          <w:tcPr>
            <w:tcW w:w="1880" w:type="dxa"/>
            <w:vAlign w:val="bottom"/>
            <w:gridSpan w:val="3"/>
          </w:tcPr>
          <w:p>
            <w:pPr>
              <w:jc w:val="center"/>
              <w:ind w:left="359"/>
              <w:spacing w:after="0"/>
              <w:rPr>
                <w:sz w:val="20"/>
                <w:szCs w:val="20"/>
                <w:color w:val="auto"/>
              </w:rPr>
            </w:pPr>
            <w:r>
              <w:rPr>
                <w:rFonts w:ascii="Arial" w:cs="Arial" w:eastAsia="Arial" w:hAnsi="Arial"/>
                <w:sz w:val="16"/>
                <w:szCs w:val="16"/>
                <w:color w:val="auto"/>
                <w:w w:val="90"/>
              </w:rPr>
              <w:t>(in thousands)</w:t>
            </w:r>
          </w:p>
        </w:tc>
        <w:tc>
          <w:tcPr>
            <w:tcW w:w="4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60" w:type="dxa"/>
            <w:vAlign w:val="bottom"/>
            <w:gridSpan w:val="3"/>
          </w:tcPr>
          <w:p>
            <w:pPr>
              <w:jc w:val="center"/>
              <w:ind w:right="59"/>
              <w:spacing w:after="0"/>
              <w:rPr>
                <w:sz w:val="20"/>
                <w:szCs w:val="20"/>
                <w:color w:val="auto"/>
              </w:rPr>
            </w:pPr>
            <w:r>
              <w:rPr>
                <w:rFonts w:ascii="Arial" w:cs="Arial" w:eastAsia="Arial" w:hAnsi="Arial"/>
                <w:sz w:val="16"/>
                <w:szCs w:val="16"/>
                <w:color w:val="auto"/>
                <w:w w:val="90"/>
              </w:rPr>
              <w:t>(in thousands)</w:t>
            </w:r>
          </w:p>
        </w:tc>
      </w:tr>
      <w:tr>
        <w:trPr>
          <w:trHeight w:val="33"/>
        </w:trPr>
        <w:tc>
          <w:tcPr>
            <w:tcW w:w="4160" w:type="dxa"/>
            <w:vAlign w:val="bottom"/>
            <w:tcBorders>
              <w:bottom w:val="single" w:sz="8" w:color="CEFFE7"/>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580" w:type="dxa"/>
            <w:vAlign w:val="bottom"/>
            <w:tcBorders>
              <w:bottom w:val="single" w:sz="8" w:color="CEFFE7"/>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41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Interest rate swaps</w:t>
            </w:r>
          </w:p>
        </w:tc>
        <w:tc>
          <w:tcPr>
            <w:tcW w:w="760" w:type="dxa"/>
            <w:vAlign w:val="bottom"/>
            <w:tcBorders>
              <w:bottom w:val="single" w:sz="8" w:color="CEFFE7"/>
            </w:tcBorders>
            <w:shd w:val="clear" w:color="auto" w:fill="CEFFE7"/>
          </w:tcPr>
          <w:p>
            <w:pPr>
              <w:jc w:val="right"/>
              <w:ind w:right="55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w w:val="97"/>
              </w:rPr>
              <w:t>713</w:t>
            </w:r>
          </w:p>
        </w:tc>
        <w:tc>
          <w:tcPr>
            <w:tcW w:w="780" w:type="dxa"/>
            <w:vAlign w:val="bottom"/>
            <w:tcBorders>
              <w:bottom w:val="single" w:sz="8" w:color="CEFFE7"/>
            </w:tcBorders>
            <w:shd w:val="clear" w:color="auto" w:fill="CEFFE7"/>
          </w:tcPr>
          <w:p>
            <w:pPr>
              <w:jc w:val="right"/>
              <w:ind w:right="5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713</w:t>
            </w:r>
          </w:p>
        </w:tc>
        <w:tc>
          <w:tcPr>
            <w:tcW w:w="25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Interest expense</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(713)</w:t>
            </w:r>
          </w:p>
        </w:tc>
        <w:tc>
          <w:tcPr>
            <w:tcW w:w="340" w:type="dxa"/>
            <w:vAlign w:val="bottom"/>
            <w:tcBorders>
              <w:bottom w:val="single" w:sz="8" w:color="CEFFE7"/>
            </w:tcBorders>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(713)</w:t>
            </w:r>
          </w:p>
        </w:tc>
      </w:tr>
      <w:tr>
        <w:trPr>
          <w:trHeight w:val="220"/>
        </w:trPr>
        <w:tc>
          <w:tcPr>
            <w:tcW w:w="4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580" w:type="dxa"/>
            <w:vAlign w:val="bottom"/>
          </w:tcPr>
          <w:p>
            <w:pPr>
              <w:ind w:left="40"/>
              <w:spacing w:after="0"/>
              <w:rPr>
                <w:sz w:val="20"/>
                <w:szCs w:val="20"/>
                <w:color w:val="auto"/>
              </w:rPr>
            </w:pPr>
            <w:r>
              <w:rPr>
                <w:rFonts w:ascii="Arial" w:cs="Arial" w:eastAsia="Arial" w:hAnsi="Arial"/>
                <w:sz w:val="16"/>
                <w:szCs w:val="16"/>
                <w:color w:val="auto"/>
              </w:rPr>
              <w:t>Fuel, purchased power and cost of</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06"/>
        </w:trPr>
        <w:tc>
          <w:tcPr>
            <w:tcW w:w="4160" w:type="dxa"/>
            <w:vAlign w:val="bottom"/>
          </w:tcPr>
          <w:p>
            <w:pPr>
              <w:ind w:left="40"/>
              <w:spacing w:after="0"/>
              <w:rPr>
                <w:sz w:val="20"/>
                <w:szCs w:val="20"/>
                <w:color w:val="auto"/>
              </w:rPr>
            </w:pPr>
            <w:r>
              <w:rPr>
                <w:rFonts w:ascii="Arial" w:cs="Arial" w:eastAsia="Arial" w:hAnsi="Arial"/>
                <w:sz w:val="16"/>
                <w:szCs w:val="16"/>
                <w:color w:val="auto"/>
              </w:rPr>
              <w:t>Commodity derivatives</w:t>
            </w:r>
          </w:p>
        </w:tc>
        <w:tc>
          <w:tcPr>
            <w:tcW w:w="76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w w:val="97"/>
              </w:rPr>
              <w:t>257</w:t>
            </w:r>
          </w:p>
        </w:tc>
        <w:tc>
          <w:tcPr>
            <w:tcW w:w="7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0"/>
              </w:rPr>
              <w:t>(320)</w:t>
            </w:r>
          </w:p>
        </w:tc>
        <w:tc>
          <w:tcPr>
            <w:tcW w:w="2580" w:type="dxa"/>
            <w:vAlign w:val="bottom"/>
          </w:tcPr>
          <w:p>
            <w:pPr>
              <w:ind w:left="40"/>
              <w:spacing w:after="0"/>
              <w:rPr>
                <w:sz w:val="20"/>
                <w:szCs w:val="20"/>
                <w:color w:val="auto"/>
              </w:rPr>
            </w:pPr>
            <w:r>
              <w:rPr>
                <w:rFonts w:ascii="Arial" w:cs="Arial" w:eastAsia="Arial" w:hAnsi="Arial"/>
                <w:sz w:val="16"/>
                <w:szCs w:val="16"/>
                <w:color w:val="auto"/>
              </w:rPr>
              <w:t>natural gas sold</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(486)</w:t>
            </w:r>
          </w:p>
        </w:tc>
        <w:tc>
          <w:tcPr>
            <w:tcW w:w="34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554</w:t>
            </w:r>
          </w:p>
        </w:tc>
      </w:tr>
      <w:tr>
        <w:trPr>
          <w:trHeight w:val="33"/>
        </w:trPr>
        <w:tc>
          <w:tcPr>
            <w:tcW w:w="4160" w:type="dxa"/>
            <w:vAlign w:val="bottom"/>
            <w:tcBorders>
              <w:bottom w:val="single" w:sz="8" w:color="CEFFE7"/>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580" w:type="dxa"/>
            <w:vAlign w:val="bottom"/>
            <w:tcBorders>
              <w:bottom w:val="single" w:sz="8" w:color="CEFFE7"/>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416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6"/>
                <w:szCs w:val="16"/>
                <w:color w:val="auto"/>
              </w:rPr>
              <w:t>Total</w:t>
            </w:r>
          </w:p>
        </w:tc>
        <w:tc>
          <w:tcPr>
            <w:tcW w:w="760" w:type="dxa"/>
            <w:vAlign w:val="bottom"/>
            <w:tcBorders>
              <w:bottom w:val="single" w:sz="8" w:color="auto"/>
            </w:tcBorders>
            <w:shd w:val="clear" w:color="auto" w:fill="CEFFE7"/>
          </w:tcPr>
          <w:p>
            <w:pPr>
              <w:jc w:val="right"/>
              <w:ind w:right="55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97"/>
              </w:rPr>
              <w:t>970</w:t>
            </w:r>
          </w:p>
        </w:tc>
        <w:tc>
          <w:tcPr>
            <w:tcW w:w="780" w:type="dxa"/>
            <w:vAlign w:val="bottom"/>
            <w:tcBorders>
              <w:bottom w:val="single" w:sz="8" w:color="auto"/>
            </w:tcBorders>
            <w:shd w:val="clear" w:color="auto" w:fill="CEFFE7"/>
          </w:tcPr>
          <w:p>
            <w:pPr>
              <w:jc w:val="right"/>
              <w:ind w:right="5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393</w:t>
            </w:r>
          </w:p>
        </w:tc>
        <w:tc>
          <w:tcPr>
            <w:tcW w:w="258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(1,199)</w:t>
            </w:r>
          </w:p>
        </w:tc>
        <w:tc>
          <w:tcPr>
            <w:tcW w:w="340" w:type="dxa"/>
            <w:vAlign w:val="bottom"/>
            <w:tcBorders>
              <w:bottom w:val="single" w:sz="8" w:color="auto"/>
            </w:tcBorders>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(159)</w:t>
            </w:r>
          </w:p>
        </w:tc>
      </w:tr>
      <w:tr>
        <w:trPr>
          <w:trHeight w:val="20"/>
        </w:trPr>
        <w:tc>
          <w:tcPr>
            <w:tcW w:w="4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Based on March 31, 2020 prices, a $0.3 million gain would be realized, reported in pre-tax earnings and reclassified from AOCI during the next 12 months.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market prices fluctuate, estimated and actual realized gains or losses will change during future periods.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240"/>
          </w:cols>
          <w:pgMar w:left="320" w:top="126" w:right="339" w:bottom="1440" w:gutter="0" w:footer="0" w:header="0"/>
          <w:type w:val="continuous"/>
        </w:sectPr>
      </w:pPr>
    </w:p>
    <w:bookmarkStart w:id="24" w:name="page25"/>
    <w:bookmarkEnd w:id="2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Derivatives Not Designated as Hedges</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following table summarizes the impacts of derivative instruments not designated as hedge instruments on our Condensed Consolidated Statements of Income for the three months ended March 31, 2020 and 2019. Note that this presentation does not reflect gains or losses arising from the underlying physical transactions; therefore, it is not indicative of the economic profit or loss we realized when the underlying physical and financial transactions were settled.</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12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3080" w:type="dxa"/>
            <w:vAlign w:val="bottom"/>
            <w:gridSpan w:val="3"/>
          </w:tcPr>
          <w:p>
            <w:pPr>
              <w:jc w:val="center"/>
              <w:ind w:left="439"/>
              <w:spacing w:after="0"/>
              <w:rPr>
                <w:sz w:val="20"/>
                <w:szCs w:val="20"/>
                <w:color w:val="auto"/>
              </w:rPr>
            </w:pPr>
            <w:r>
              <w:rPr>
                <w:rFonts w:ascii="Arial" w:cs="Arial" w:eastAsia="Arial" w:hAnsi="Arial"/>
                <w:sz w:val="16"/>
                <w:szCs w:val="16"/>
                <w:color w:val="auto"/>
                <w:w w:val="92"/>
              </w:rPr>
              <w:t>Three Months Ended March 31,</w:t>
            </w:r>
          </w:p>
        </w:tc>
        <w:tc>
          <w:tcPr>
            <w:tcW w:w="500" w:type="dxa"/>
            <w:vAlign w:val="bottom"/>
          </w:tcPr>
          <w:p>
            <w:pPr>
              <w:spacing w:after="0"/>
              <w:rPr>
                <w:sz w:val="17"/>
                <w:szCs w:val="17"/>
                <w:color w:val="auto"/>
              </w:rPr>
            </w:pPr>
          </w:p>
        </w:tc>
      </w:tr>
      <w:tr>
        <w:trPr>
          <w:trHeight w:val="270"/>
        </w:trPr>
        <w:tc>
          <w:tcPr>
            <w:tcW w:w="3120" w:type="dxa"/>
            <w:vAlign w:val="bottom"/>
          </w:tcPr>
          <w:p>
            <w:pPr>
              <w:spacing w:after="0"/>
              <w:rPr>
                <w:sz w:val="23"/>
                <w:szCs w:val="23"/>
                <w:color w:val="auto"/>
              </w:rPr>
            </w:pPr>
          </w:p>
        </w:tc>
        <w:tc>
          <w:tcPr>
            <w:tcW w:w="4540" w:type="dxa"/>
            <w:vAlign w:val="bottom"/>
          </w:tcPr>
          <w:p>
            <w:pPr>
              <w:spacing w:after="0"/>
              <w:rPr>
                <w:sz w:val="23"/>
                <w:szCs w:val="23"/>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2020</w:t>
            </w:r>
          </w:p>
        </w:tc>
        <w:tc>
          <w:tcPr>
            <w:tcW w:w="560" w:type="dxa"/>
            <w:vAlign w:val="bottom"/>
          </w:tcPr>
          <w:p>
            <w:pPr>
              <w:spacing w:after="0"/>
              <w:rPr>
                <w:sz w:val="23"/>
                <w:szCs w:val="23"/>
                <w:color w:val="auto"/>
              </w:rPr>
            </w:pPr>
          </w:p>
        </w:tc>
        <w:tc>
          <w:tcPr>
            <w:tcW w:w="1320" w:type="dxa"/>
            <w:vAlign w:val="bottom"/>
          </w:tcPr>
          <w:p>
            <w:pPr>
              <w:jc w:val="right"/>
              <w:ind w:right="139"/>
              <w:spacing w:after="0"/>
              <w:rPr>
                <w:sz w:val="20"/>
                <w:szCs w:val="20"/>
                <w:color w:val="auto"/>
              </w:rPr>
            </w:pPr>
            <w:r>
              <w:rPr>
                <w:rFonts w:ascii="Arial" w:cs="Arial" w:eastAsia="Arial" w:hAnsi="Arial"/>
                <w:sz w:val="16"/>
                <w:szCs w:val="16"/>
                <w:color w:val="auto"/>
              </w:rPr>
              <w:t>2019</w:t>
            </w:r>
          </w:p>
        </w:tc>
        <w:tc>
          <w:tcPr>
            <w:tcW w:w="500" w:type="dxa"/>
            <w:vAlign w:val="bottom"/>
          </w:tcPr>
          <w:p>
            <w:pPr>
              <w:spacing w:after="0"/>
              <w:rPr>
                <w:sz w:val="23"/>
                <w:szCs w:val="23"/>
                <w:color w:val="auto"/>
              </w:rPr>
            </w:pPr>
          </w:p>
        </w:tc>
      </w:tr>
      <w:tr>
        <w:trPr>
          <w:trHeight w:val="33"/>
        </w:trPr>
        <w:tc>
          <w:tcPr>
            <w:tcW w:w="3120" w:type="dxa"/>
            <w:vAlign w:val="bottom"/>
          </w:tcPr>
          <w:p>
            <w:pPr>
              <w:spacing w:after="0"/>
              <w:rPr>
                <w:sz w:val="2"/>
                <w:szCs w:val="2"/>
                <w:color w:val="auto"/>
              </w:rPr>
            </w:pPr>
          </w:p>
        </w:tc>
        <w:tc>
          <w:tcPr>
            <w:tcW w:w="4540" w:type="dxa"/>
            <w:vAlign w:val="bottom"/>
          </w:tcPr>
          <w:p>
            <w:pPr>
              <w:spacing w:after="0"/>
              <w:rPr>
                <w:sz w:val="2"/>
                <w:szCs w:val="2"/>
                <w:color w:val="auto"/>
              </w:rPr>
            </w:pPr>
          </w:p>
        </w:tc>
        <w:tc>
          <w:tcPr>
            <w:tcW w:w="3580" w:type="dxa"/>
            <w:vAlign w:val="bottom"/>
            <w:tcBorders>
              <w:bottom w:val="single" w:sz="8" w:color="auto"/>
            </w:tcBorders>
            <w:gridSpan w:val="4"/>
          </w:tcPr>
          <w:p>
            <w:pPr>
              <w:spacing w:after="0"/>
              <w:rPr>
                <w:sz w:val="2"/>
                <w:szCs w:val="2"/>
                <w:color w:val="auto"/>
              </w:rPr>
            </w:pPr>
          </w:p>
        </w:tc>
      </w:tr>
      <w:tr>
        <w:trPr>
          <w:trHeight w:val="213"/>
        </w:trPr>
        <w:tc>
          <w:tcPr>
            <w:tcW w:w="3120" w:type="dxa"/>
            <w:vAlign w:val="bottom"/>
          </w:tcPr>
          <w:p>
            <w:pPr>
              <w:jc w:val="center"/>
              <w:ind w:left="79"/>
              <w:spacing w:after="0"/>
              <w:rPr>
                <w:sz w:val="20"/>
                <w:szCs w:val="20"/>
                <w:color w:val="auto"/>
              </w:rPr>
            </w:pPr>
            <w:r>
              <w:rPr>
                <w:rFonts w:ascii="Arial" w:cs="Arial" w:eastAsia="Arial" w:hAnsi="Arial"/>
                <w:sz w:val="16"/>
                <w:szCs w:val="16"/>
                <w:color w:val="auto"/>
                <w:w w:val="91"/>
              </w:rPr>
              <w:t>Derivatives Not Designated as Hedging</w:t>
            </w:r>
          </w:p>
        </w:tc>
        <w:tc>
          <w:tcPr>
            <w:tcW w:w="4540" w:type="dxa"/>
            <w:vAlign w:val="bottom"/>
          </w:tcPr>
          <w:p>
            <w:pPr>
              <w:spacing w:after="0"/>
              <w:rPr>
                <w:sz w:val="18"/>
                <w:szCs w:val="18"/>
                <w:color w:val="auto"/>
              </w:rPr>
            </w:pPr>
          </w:p>
        </w:tc>
        <w:tc>
          <w:tcPr>
            <w:tcW w:w="3580" w:type="dxa"/>
            <w:vAlign w:val="bottom"/>
            <w:gridSpan w:val="4"/>
          </w:tcPr>
          <w:p>
            <w:pPr>
              <w:jc w:val="center"/>
              <w:spacing w:after="0"/>
              <w:rPr>
                <w:sz w:val="20"/>
                <w:szCs w:val="20"/>
                <w:color w:val="auto"/>
              </w:rPr>
            </w:pPr>
            <w:r>
              <w:rPr>
                <w:rFonts w:ascii="Arial" w:cs="Arial" w:eastAsia="Arial" w:hAnsi="Arial"/>
                <w:sz w:val="16"/>
                <w:szCs w:val="16"/>
                <w:color w:val="auto"/>
                <w:w w:val="93"/>
              </w:rPr>
              <w:t>Amount of Gain/(Loss) on Derivatives Recognized in</w:t>
            </w:r>
          </w:p>
        </w:tc>
      </w:tr>
      <w:tr>
        <w:trPr>
          <w:trHeight w:val="206"/>
        </w:trPr>
        <w:tc>
          <w:tcPr>
            <w:tcW w:w="3120" w:type="dxa"/>
            <w:vAlign w:val="bottom"/>
          </w:tcPr>
          <w:p>
            <w:pPr>
              <w:jc w:val="center"/>
              <w:ind w:left="79"/>
              <w:spacing w:after="0"/>
              <w:rPr>
                <w:sz w:val="20"/>
                <w:szCs w:val="20"/>
                <w:color w:val="auto"/>
              </w:rPr>
            </w:pPr>
            <w:r>
              <w:rPr>
                <w:rFonts w:ascii="Arial" w:cs="Arial" w:eastAsia="Arial" w:hAnsi="Arial"/>
                <w:sz w:val="16"/>
                <w:szCs w:val="16"/>
                <w:color w:val="auto"/>
                <w:w w:val="90"/>
              </w:rPr>
              <w:t>Instruments</w:t>
            </w:r>
          </w:p>
        </w:tc>
        <w:tc>
          <w:tcPr>
            <w:tcW w:w="4540" w:type="dxa"/>
            <w:vAlign w:val="bottom"/>
          </w:tcPr>
          <w:p>
            <w:pPr>
              <w:ind w:left="1460"/>
              <w:spacing w:after="0"/>
              <w:rPr>
                <w:sz w:val="20"/>
                <w:szCs w:val="20"/>
                <w:color w:val="auto"/>
              </w:rPr>
            </w:pPr>
            <w:r>
              <w:rPr>
                <w:rFonts w:ascii="Arial" w:cs="Arial" w:eastAsia="Arial" w:hAnsi="Arial"/>
                <w:sz w:val="16"/>
                <w:szCs w:val="16"/>
                <w:color w:val="auto"/>
              </w:rPr>
              <w:t>Income Statement Location</w:t>
            </w:r>
          </w:p>
        </w:tc>
        <w:tc>
          <w:tcPr>
            <w:tcW w:w="1200" w:type="dxa"/>
            <w:vAlign w:val="bottom"/>
          </w:tcPr>
          <w:p>
            <w:pPr>
              <w:spacing w:after="0"/>
              <w:rPr>
                <w:sz w:val="17"/>
                <w:szCs w:val="17"/>
                <w:color w:val="auto"/>
              </w:rPr>
            </w:pPr>
          </w:p>
        </w:tc>
        <w:tc>
          <w:tcPr>
            <w:tcW w:w="1880" w:type="dxa"/>
            <w:vAlign w:val="bottom"/>
            <w:gridSpan w:val="2"/>
          </w:tcPr>
          <w:p>
            <w:pPr>
              <w:jc w:val="center"/>
              <w:ind w:right="599"/>
              <w:spacing w:after="0"/>
              <w:rPr>
                <w:sz w:val="20"/>
                <w:szCs w:val="20"/>
                <w:color w:val="auto"/>
              </w:rPr>
            </w:pPr>
            <w:r>
              <w:rPr>
                <w:rFonts w:ascii="Arial" w:cs="Arial" w:eastAsia="Arial" w:hAnsi="Arial"/>
                <w:sz w:val="16"/>
                <w:szCs w:val="16"/>
                <w:color w:val="auto"/>
                <w:w w:val="91"/>
              </w:rPr>
              <w:t>Income</w:t>
            </w:r>
          </w:p>
        </w:tc>
        <w:tc>
          <w:tcPr>
            <w:tcW w:w="500" w:type="dxa"/>
            <w:vAlign w:val="bottom"/>
          </w:tcPr>
          <w:p>
            <w:pPr>
              <w:spacing w:after="0"/>
              <w:rPr>
                <w:sz w:val="17"/>
                <w:szCs w:val="17"/>
                <w:color w:val="auto"/>
              </w:rPr>
            </w:pPr>
          </w:p>
        </w:tc>
      </w:tr>
      <w:tr>
        <w:trPr>
          <w:trHeight w:val="33"/>
        </w:trPr>
        <w:tc>
          <w:tcPr>
            <w:tcW w:w="3120" w:type="dxa"/>
            <w:vAlign w:val="bottom"/>
            <w:tcBorders>
              <w:bottom w:val="single" w:sz="8" w:color="auto"/>
            </w:tcBorders>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31"/>
        </w:trPr>
        <w:tc>
          <w:tcPr>
            <w:tcW w:w="31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80" w:type="dxa"/>
            <w:vAlign w:val="bottom"/>
            <w:gridSpan w:val="2"/>
          </w:tcPr>
          <w:p>
            <w:pPr>
              <w:jc w:val="center"/>
              <w:ind w:right="599"/>
              <w:spacing w:after="0"/>
              <w:rPr>
                <w:sz w:val="20"/>
                <w:szCs w:val="20"/>
                <w:color w:val="auto"/>
              </w:rPr>
            </w:pPr>
            <w:r>
              <w:rPr>
                <w:rFonts w:ascii="Arial" w:cs="Arial" w:eastAsia="Arial" w:hAnsi="Arial"/>
                <w:sz w:val="16"/>
                <w:szCs w:val="16"/>
                <w:color w:val="auto"/>
                <w:w w:val="90"/>
              </w:rPr>
              <w:t>(in thousands)</w:t>
            </w:r>
          </w:p>
        </w:tc>
        <w:tc>
          <w:tcPr>
            <w:tcW w:w="500" w:type="dxa"/>
            <w:vAlign w:val="bottom"/>
          </w:tcPr>
          <w:p>
            <w:pPr>
              <w:spacing w:after="0"/>
              <w:rPr>
                <w:sz w:val="20"/>
                <w:szCs w:val="20"/>
                <w:color w:val="auto"/>
              </w:rPr>
            </w:pPr>
          </w:p>
        </w:tc>
      </w:tr>
      <w:tr>
        <w:trPr>
          <w:trHeight w:val="33"/>
        </w:trPr>
        <w:tc>
          <w:tcPr>
            <w:tcW w:w="312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6"/>
        </w:trPr>
        <w:tc>
          <w:tcPr>
            <w:tcW w:w="31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Commodity derivatives - Electric</w:t>
            </w:r>
          </w:p>
        </w:tc>
        <w:tc>
          <w:tcPr>
            <w:tcW w:w="454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6"/>
                <w:szCs w:val="16"/>
                <w:color w:val="auto"/>
              </w:rPr>
              <w:t>Fuel, purchased power and cost of natural gas sold</w:t>
            </w:r>
          </w:p>
        </w:tc>
        <w:tc>
          <w:tcPr>
            <w:tcW w:w="1200" w:type="dxa"/>
            <w:vAlign w:val="bottom"/>
            <w:tcBorders>
              <w:bottom w:val="single" w:sz="8" w:color="CEFFE7"/>
            </w:tcBorders>
            <w:shd w:val="clear" w:color="auto" w:fill="CEFFE7"/>
          </w:tcPr>
          <w:p>
            <w:pPr>
              <w:jc w:val="right"/>
              <w:ind w:right="99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1,362</w:t>
            </w:r>
          </w:p>
        </w:tc>
        <w:tc>
          <w:tcPr>
            <w:tcW w:w="1320" w:type="dxa"/>
            <w:vAlign w:val="bottom"/>
            <w:tcBorders>
              <w:bottom w:val="single" w:sz="8" w:color="CEFFE7"/>
            </w:tcBorders>
            <w:shd w:val="clear" w:color="auto" w:fill="CEFFE7"/>
          </w:tcPr>
          <w:p>
            <w:pPr>
              <w:jc w:val="right"/>
              <w:ind w:right="109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6"/>
                <w:szCs w:val="16"/>
                <w:color w:val="auto"/>
              </w:rPr>
              <w:t>—</w:t>
            </w:r>
          </w:p>
        </w:tc>
      </w:tr>
      <w:tr>
        <w:trPr>
          <w:trHeight w:val="224"/>
        </w:trPr>
        <w:tc>
          <w:tcPr>
            <w:tcW w:w="3120" w:type="dxa"/>
            <w:vAlign w:val="bottom"/>
          </w:tcPr>
          <w:p>
            <w:pPr>
              <w:ind w:left="40"/>
              <w:spacing w:after="0"/>
              <w:rPr>
                <w:sz w:val="20"/>
                <w:szCs w:val="20"/>
                <w:color w:val="auto"/>
              </w:rPr>
            </w:pPr>
            <w:r>
              <w:rPr>
                <w:rFonts w:ascii="Arial" w:cs="Arial" w:eastAsia="Arial" w:hAnsi="Arial"/>
                <w:sz w:val="16"/>
                <w:szCs w:val="16"/>
                <w:color w:val="auto"/>
              </w:rPr>
              <w:t>Commodity derivatives - Natural Gas</w:t>
            </w:r>
          </w:p>
        </w:tc>
        <w:tc>
          <w:tcPr>
            <w:tcW w:w="4540" w:type="dxa"/>
            <w:vAlign w:val="bottom"/>
          </w:tcPr>
          <w:p>
            <w:pPr>
              <w:ind w:left="180"/>
              <w:spacing w:after="0"/>
              <w:rPr>
                <w:sz w:val="20"/>
                <w:szCs w:val="20"/>
                <w:color w:val="auto"/>
              </w:rPr>
            </w:pPr>
            <w:r>
              <w:rPr>
                <w:rFonts w:ascii="Arial" w:cs="Arial" w:eastAsia="Arial" w:hAnsi="Arial"/>
                <w:sz w:val="16"/>
                <w:szCs w:val="16"/>
                <w:color w:val="auto"/>
              </w:rPr>
              <w:t>Fuel, purchased power and cost of natural gas sold</w:t>
            </w:r>
          </w:p>
        </w:tc>
        <w:tc>
          <w:tcPr>
            <w:tcW w:w="1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766</w:t>
            </w:r>
          </w:p>
        </w:tc>
        <w:tc>
          <w:tcPr>
            <w:tcW w:w="132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Arial" w:cs="Arial" w:eastAsia="Arial" w:hAnsi="Arial"/>
                <w:sz w:val="16"/>
                <w:szCs w:val="16"/>
                <w:color w:val="auto"/>
              </w:rPr>
              <w:t>25</w:t>
            </w:r>
          </w:p>
        </w:tc>
      </w:tr>
      <w:tr>
        <w:trPr>
          <w:trHeight w:val="33"/>
        </w:trPr>
        <w:tc>
          <w:tcPr>
            <w:tcW w:w="3120" w:type="dxa"/>
            <w:vAlign w:val="bottom"/>
            <w:tcBorders>
              <w:bottom w:val="single" w:sz="8" w:color="CEFFE7"/>
            </w:tcBorders>
          </w:tcPr>
          <w:p>
            <w:pPr>
              <w:spacing w:after="0"/>
              <w:rPr>
                <w:sz w:val="2"/>
                <w:szCs w:val="2"/>
                <w:color w:val="auto"/>
              </w:rPr>
            </w:pPr>
          </w:p>
        </w:tc>
        <w:tc>
          <w:tcPr>
            <w:tcW w:w="4540" w:type="dxa"/>
            <w:vAlign w:val="bottom"/>
            <w:tcBorders>
              <w:bottom w:val="single" w:sz="8" w:color="CEFFE7"/>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55"/>
        </w:trPr>
        <w:tc>
          <w:tcPr>
            <w:tcW w:w="3120" w:type="dxa"/>
            <w:vAlign w:val="bottom"/>
            <w:tcBorders>
              <w:bottom w:val="single" w:sz="8" w:color="CEFFE7"/>
            </w:tcBorders>
            <w:shd w:val="clear" w:color="auto" w:fill="CEFFE7"/>
          </w:tcPr>
          <w:p>
            <w:pPr>
              <w:spacing w:after="0"/>
              <w:rPr>
                <w:sz w:val="21"/>
                <w:szCs w:val="21"/>
                <w:color w:val="auto"/>
              </w:rPr>
            </w:pPr>
          </w:p>
        </w:tc>
        <w:tc>
          <w:tcPr>
            <w:tcW w:w="454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jc w:val="right"/>
              <w:ind w:right="99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2,128</w:t>
            </w:r>
          </w:p>
        </w:tc>
        <w:tc>
          <w:tcPr>
            <w:tcW w:w="1320" w:type="dxa"/>
            <w:vAlign w:val="bottom"/>
            <w:tcBorders>
              <w:bottom w:val="single" w:sz="8" w:color="CEFFE7"/>
            </w:tcBorders>
            <w:shd w:val="clear" w:color="auto" w:fill="CEFFE7"/>
          </w:tcPr>
          <w:p>
            <w:pPr>
              <w:jc w:val="right"/>
              <w:ind w:right="109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6"/>
                <w:szCs w:val="16"/>
                <w:color w:val="auto"/>
              </w:rPr>
              <w:t>25</w:t>
            </w:r>
          </w:p>
        </w:tc>
      </w:tr>
      <w:tr>
        <w:trPr>
          <w:trHeight w:val="20"/>
        </w:trPr>
        <w:tc>
          <w:tcPr>
            <w:tcW w:w="3120" w:type="dxa"/>
            <w:vAlign w:val="bottom"/>
            <w:tcBorders>
              <w:top w:val="single" w:sz="8" w:color="CEFFE7"/>
            </w:tcBorders>
          </w:tcPr>
          <w:p>
            <w:pPr>
              <w:spacing w:after="0" w:line="20" w:lineRule="exact"/>
              <w:rPr>
                <w:sz w:val="1"/>
                <w:szCs w:val="1"/>
                <w:color w:val="auto"/>
              </w:rPr>
            </w:pPr>
          </w:p>
        </w:tc>
        <w:tc>
          <w:tcPr>
            <w:tcW w:w="4540" w:type="dxa"/>
            <w:vAlign w:val="bottom"/>
            <w:tcBorders>
              <w:top w:val="single" w:sz="8" w:color="CEFFE7"/>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As discussed above, financial instruments used in our regulated utilities are not designated as cash flow hedges. There is no earnings impact for our Gas Utilities because the unrealized gains and losses arising from the use of these financial instruments are recorded as Regulatory assets or Regulatory liabilities. The net unrealized losses included in our Regulatory asset or Regulatory liability accounts related to the hedges in our Gas Utilities were $1.3 million and $3.3 million as of March 31, 2020 and December 31, 2019, respectively. For our Electric Utilities, the unrealized gains and losses arising from these derivatives are recognized in the Consolidated Statements of Income.</w:t>
      </w:r>
    </w:p>
    <w:p>
      <w:pPr>
        <w:spacing w:after="0" w:line="388"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Fair Value Measurements</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use the following fair value hierarchy for determining inputs for our financial instruments. Our assets and liabilities for financial instruments are classified and disclosed in one of the following fair value categories: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Level 1</w:t>
      </w:r>
      <w:r>
        <w:rPr>
          <w:rFonts w:ascii="Arial" w:cs="Arial" w:eastAsia="Arial" w:hAnsi="Arial"/>
          <w:sz w:val="16"/>
          <w:szCs w:val="16"/>
          <w:color w:val="auto"/>
        </w:rPr>
        <w:t xml:space="preserve"> — Unadjusted quoted prices available in active markets that are accessible at the measurement date for identical unrestricted assets or liabilities.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Level 1 instruments primarily consist of highly liquid and actively traded financial instruments with quoted pricing information on an ongoing basis.</w:t>
      </w:r>
    </w:p>
    <w:p>
      <w:pPr>
        <w:spacing w:after="0" w:line="222"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u w:val="single" w:color="auto"/>
          <w:color w:val="auto"/>
        </w:rPr>
        <w:t>Level 2</w:t>
      </w:r>
      <w:r>
        <w:rPr>
          <w:rFonts w:ascii="Arial" w:cs="Arial" w:eastAsia="Arial" w:hAnsi="Arial"/>
          <w:sz w:val="17"/>
          <w:szCs w:val="17"/>
          <w:color w:val="auto"/>
        </w:rPr>
        <w:t xml:space="preserve"> — Pricing inputs include quoted prices for identical or similar assets and liabilities in active markets other than quoted prices in Level 1, quoted prices for identical or similar assets or liabilities in markets that are not active, inputs other than quoted prices that are observable for the asset or liability and inputs that are derived principally from or corroborated by observable market data by correlation or other means.</w:t>
      </w:r>
    </w:p>
    <w:p>
      <w:pPr>
        <w:spacing w:after="0" w:line="16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Pricing inputs are generally less observable from objective sources. These inputs reflect management’s best estimate of fair value using its own assumptions about the assumptions a market participant would use in pricing the asset or liability.</w:t>
      </w:r>
    </w:p>
    <w:p>
      <w:pPr>
        <w:spacing w:after="0" w:line="170"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Assets and liabilities are classified in their entirety based on the lowest level of input that is significant to the fair value measurement. Our assessment of the significance of a particular input to the fair value measurement requires judgment and may affect the placement within the fair value hierarchy levels. We record transfers, if necessary, between levels at the end of the reporting period for all of our financial instruments.</w:t>
      </w:r>
    </w:p>
    <w:p>
      <w:pPr>
        <w:spacing w:after="0" w:line="16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Transfers into Level 3, if any, occur when significant inputs used to value the derivative instruments become less observable, such as a significant decrease in the frequency and volume in which the instrument is traded, negatively impacting the availability of observable pricing inputs. Transfers out of Level 3, if any, occur when the significant inputs become more observable, such as when the time between the valuation date and the delivery date of a transaction becomes shorter, positively impacting the availability of observable pricing inputs.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26" w:right="339" w:bottom="1440" w:gutter="0" w:footer="0" w:header="0"/>
        </w:sectPr>
      </w:pPr>
    </w:p>
    <w:bookmarkStart w:id="25" w:name="page26"/>
    <w:bookmarkEnd w:id="2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Recurring Fair Value Measurements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commodity contracts for our Utilities segments are valued using the market approach and include forward strip pricing at liquid delivery points, exchange-traded futures, options, basis swaps and over-the-counter swaps and options (Level 2) for wholesale electric energy and natural gas contracts. For exchange-traded futures, options and basis swap assets and liabilities, fair value was derived using broker quotes validated by the exchange settlement pricing for the applicable contract. For over-the-counter instruments, the fair value is obtained by utilizing a nationally recognized service that obtains observable inputs to compute the fair value, which we validate by comparing our valuation with the counterparty. The fair value of these swaps includes a CVA based on the credit spreads of the counterparties when we are in an unrealized gain position or on our own credit spread when we are in an unrealized loss position. For additional information, see Note 1 to the Consolidated Financial Statements included in our 2019 Annual Report on Form 10-K filed with the SEC.</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40" w:type="dxa"/>
            <w:vAlign w:val="bottom"/>
            <w:gridSpan w:val="6"/>
          </w:tcPr>
          <w:p>
            <w:pPr>
              <w:jc w:val="center"/>
              <w:ind w:right="1090"/>
              <w:spacing w:after="0"/>
              <w:rPr>
                <w:sz w:val="20"/>
                <w:szCs w:val="20"/>
                <w:color w:val="auto"/>
              </w:rPr>
            </w:pPr>
            <w:r>
              <w:rPr>
                <w:rFonts w:ascii="Arial" w:cs="Arial" w:eastAsia="Arial" w:hAnsi="Arial"/>
                <w:sz w:val="18"/>
                <w:szCs w:val="18"/>
                <w:color w:val="auto"/>
                <w:w w:val="92"/>
              </w:rPr>
              <w:t>As of March 31, 2020</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4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76"/>
        </w:trPr>
        <w:tc>
          <w:tcPr>
            <w:tcW w:w="4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gridSpan w:val="3"/>
          </w:tcPr>
          <w:p>
            <w:pPr>
              <w:jc w:val="center"/>
              <w:ind w:right="50"/>
              <w:spacing w:after="0"/>
              <w:rPr>
                <w:sz w:val="20"/>
                <w:szCs w:val="20"/>
                <w:color w:val="auto"/>
              </w:rPr>
            </w:pPr>
            <w:r>
              <w:rPr>
                <w:rFonts w:ascii="Arial" w:cs="Arial" w:eastAsia="Arial" w:hAnsi="Arial"/>
                <w:sz w:val="18"/>
                <w:szCs w:val="18"/>
                <w:color w:val="auto"/>
                <w:w w:val="89"/>
              </w:rPr>
              <w:t>Cash Collateral and</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4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70"/>
              <w:spacing w:after="0"/>
              <w:rPr>
                <w:sz w:val="20"/>
                <w:szCs w:val="20"/>
                <w:color w:val="auto"/>
              </w:rPr>
            </w:pPr>
            <w:r>
              <w:rPr>
                <w:rFonts w:ascii="Arial" w:cs="Arial" w:eastAsia="Arial" w:hAnsi="Arial"/>
                <w:sz w:val="18"/>
                <w:szCs w:val="18"/>
                <w:color w:val="auto"/>
                <w:w w:val="92"/>
              </w:rPr>
              <w:t>Counterparty</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40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Level 1</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Level 2</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Level 3</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center"/>
              <w:ind w:right="410"/>
              <w:spacing w:after="0"/>
              <w:rPr>
                <w:sz w:val="20"/>
                <w:szCs w:val="20"/>
                <w:color w:val="auto"/>
              </w:rPr>
            </w:pPr>
            <w:r>
              <w:rPr>
                <w:rFonts w:ascii="Arial" w:cs="Arial" w:eastAsia="Arial" w:hAnsi="Arial"/>
                <w:sz w:val="18"/>
                <w:szCs w:val="18"/>
                <w:color w:val="auto"/>
                <w:w w:val="94"/>
              </w:rPr>
              <w:t>Netting</w:t>
            </w: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Total</w:t>
            </w:r>
          </w:p>
        </w:tc>
      </w:tr>
      <w:tr>
        <w:trPr>
          <w:trHeight w:val="27"/>
        </w:trPr>
        <w:tc>
          <w:tcPr>
            <w:tcW w:w="40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40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(in thousands)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4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Assets:</w:t>
            </w:r>
          </w:p>
        </w:tc>
        <w:tc>
          <w:tcPr>
            <w:tcW w:w="94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4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spacing w:after="0"/>
              <w:rPr>
                <w:sz w:val="21"/>
                <w:szCs w:val="21"/>
                <w:color w:val="auto"/>
              </w:rPr>
            </w:pPr>
          </w:p>
        </w:tc>
        <w:tc>
          <w:tcPr>
            <w:tcW w:w="32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spacing w:after="0"/>
              <w:rPr>
                <w:sz w:val="21"/>
                <w:szCs w:val="21"/>
                <w:color w:val="auto"/>
              </w:rPr>
            </w:pPr>
          </w:p>
        </w:tc>
      </w:tr>
      <w:tr>
        <w:trPr>
          <w:trHeight w:val="243"/>
        </w:trPr>
        <w:tc>
          <w:tcPr>
            <w:tcW w:w="4060" w:type="dxa"/>
            <w:vAlign w:val="bottom"/>
          </w:tcPr>
          <w:p>
            <w:pPr>
              <w:ind w:left="180"/>
              <w:spacing w:after="0"/>
              <w:rPr>
                <w:sz w:val="20"/>
                <w:szCs w:val="20"/>
                <w:color w:val="auto"/>
              </w:rPr>
            </w:pPr>
            <w:r>
              <w:rPr>
                <w:rFonts w:ascii="Arial" w:cs="Arial" w:eastAsia="Arial" w:hAnsi="Arial"/>
                <w:sz w:val="18"/>
                <w:szCs w:val="18"/>
                <w:color w:val="auto"/>
              </w:rPr>
              <w:t>Commodity derivatives — Gas Utilities</w:t>
            </w:r>
          </w:p>
        </w:tc>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1,949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ind w:left="60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(13)</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1,936</w:t>
            </w:r>
          </w:p>
        </w:tc>
      </w:tr>
      <w:tr>
        <w:trPr>
          <w:trHeight w:val="27"/>
        </w:trPr>
        <w:tc>
          <w:tcPr>
            <w:tcW w:w="4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6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Commodity derivatives — Electric Utilities</w:t>
            </w:r>
          </w:p>
        </w:tc>
        <w:tc>
          <w:tcPr>
            <w:tcW w:w="940" w:type="dxa"/>
            <w:vAlign w:val="bottom"/>
            <w:tcBorders>
              <w:bottom w:val="single" w:sz="8" w:color="CEFFE7"/>
            </w:tcBorders>
            <w:shd w:val="clear" w:color="auto" w:fill="CEFFE7"/>
          </w:tcPr>
          <w:p>
            <w:pPr>
              <w:spacing w:after="0"/>
              <w:rPr>
                <w:sz w:val="23"/>
                <w:szCs w:val="23"/>
                <w:color w:val="auto"/>
              </w:rPr>
            </w:pPr>
          </w:p>
        </w:tc>
        <w:tc>
          <w:tcPr>
            <w:tcW w:w="2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1,362</w:t>
            </w:r>
          </w:p>
        </w:tc>
        <w:tc>
          <w:tcPr>
            <w:tcW w:w="200" w:type="dxa"/>
            <w:vAlign w:val="bottom"/>
            <w:tcBorders>
              <w:bottom w:val="single" w:sz="8" w:color="CEFFE7"/>
            </w:tcBorders>
            <w:shd w:val="clear" w:color="auto" w:fill="CEFFE7"/>
          </w:tcPr>
          <w:p>
            <w:pPr>
              <w:spacing w:after="0"/>
              <w:rPr>
                <w:sz w:val="23"/>
                <w:szCs w:val="23"/>
                <w:color w:val="auto"/>
              </w:rPr>
            </w:pPr>
          </w:p>
        </w:tc>
        <w:tc>
          <w:tcPr>
            <w:tcW w:w="40" w:type="dxa"/>
            <w:vAlign w:val="bottom"/>
            <w:tcBorders>
              <w:bottom w:val="single" w:sz="8" w:color="CEFFE7"/>
            </w:tcBorders>
            <w:shd w:val="clear" w:color="auto" w:fill="CEFFE7"/>
          </w:tcPr>
          <w:p>
            <w:pPr>
              <w:spacing w:after="0"/>
              <w:rPr>
                <w:sz w:val="23"/>
                <w:szCs w:val="23"/>
                <w:color w:val="auto"/>
              </w:rPr>
            </w:pPr>
          </w:p>
        </w:tc>
        <w:tc>
          <w:tcPr>
            <w:tcW w:w="140" w:type="dxa"/>
            <w:vAlign w:val="bottom"/>
            <w:tcBorders>
              <w:bottom w:val="single" w:sz="8" w:color="CEFFE7"/>
            </w:tcBorders>
            <w:shd w:val="clear" w:color="auto" w:fill="CEFFE7"/>
          </w:tcPr>
          <w:p>
            <w:pPr>
              <w:spacing w:after="0"/>
              <w:rPr>
                <w:sz w:val="23"/>
                <w:szCs w:val="23"/>
                <w:color w:val="auto"/>
              </w:rPr>
            </w:pPr>
          </w:p>
        </w:tc>
        <w:tc>
          <w:tcPr>
            <w:tcW w:w="1020" w:type="dxa"/>
            <w:vAlign w:val="bottom"/>
            <w:tcBorders>
              <w:bottom w:val="single" w:sz="8" w:color="CEFFE7"/>
            </w:tcBorders>
            <w:shd w:val="clear" w:color="auto" w:fill="CEFFE7"/>
          </w:tcPr>
          <w:p>
            <w:pPr>
              <w:ind w:left="6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EFFE7"/>
            </w:tcBorders>
            <w:shd w:val="clear" w:color="auto" w:fill="CEFFE7"/>
          </w:tcPr>
          <w:p>
            <w:pPr>
              <w:spacing w:after="0"/>
              <w:rPr>
                <w:sz w:val="23"/>
                <w:szCs w:val="23"/>
                <w:color w:val="auto"/>
              </w:rPr>
            </w:pPr>
          </w:p>
        </w:tc>
        <w:tc>
          <w:tcPr>
            <w:tcW w:w="240" w:type="dxa"/>
            <w:vAlign w:val="bottom"/>
            <w:tcBorders>
              <w:bottom w:val="single" w:sz="8" w:color="CEFFE7"/>
            </w:tcBorders>
            <w:shd w:val="clear" w:color="auto" w:fill="CEFFE7"/>
          </w:tcPr>
          <w:p>
            <w:pPr>
              <w:spacing w:after="0"/>
              <w:rPr>
                <w:sz w:val="23"/>
                <w:szCs w:val="23"/>
                <w:color w:val="auto"/>
              </w:rPr>
            </w:pPr>
          </w:p>
        </w:tc>
        <w:tc>
          <w:tcPr>
            <w:tcW w:w="120" w:type="dxa"/>
            <w:vAlign w:val="bottom"/>
            <w:tcBorders>
              <w:bottom w:val="single" w:sz="8" w:color="CEFFE7"/>
            </w:tcBorders>
            <w:shd w:val="clear" w:color="auto" w:fill="CEFFE7"/>
          </w:tcPr>
          <w:p>
            <w:pPr>
              <w:spacing w:after="0"/>
              <w:rPr>
                <w:sz w:val="23"/>
                <w:szCs w:val="23"/>
                <w:color w:val="auto"/>
              </w:rPr>
            </w:pP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EFFE7"/>
            </w:tcBorders>
            <w:shd w:val="clear" w:color="auto" w:fill="CEFFE7"/>
          </w:tcPr>
          <w:p>
            <w:pPr>
              <w:spacing w:after="0"/>
              <w:rPr>
                <w:sz w:val="23"/>
                <w:szCs w:val="23"/>
                <w:color w:val="auto"/>
              </w:rPr>
            </w:pP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1,362</w:t>
            </w:r>
          </w:p>
        </w:tc>
      </w:tr>
      <w:tr>
        <w:trPr>
          <w:trHeight w:val="297"/>
        </w:trPr>
        <w:tc>
          <w:tcPr>
            <w:tcW w:w="4060" w:type="dxa"/>
            <w:vAlign w:val="bottom"/>
            <w:tcBorders>
              <w:bottom w:val="single" w:sz="8" w:color="CEFFE7"/>
            </w:tcBorders>
          </w:tcPr>
          <w:p>
            <w:pPr>
              <w:ind w:left="40"/>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3,311</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(13)</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3,298</w:t>
            </w:r>
          </w:p>
        </w:tc>
      </w:tr>
      <w:tr>
        <w:trPr>
          <w:trHeight w:val="149"/>
        </w:trPr>
        <w:tc>
          <w:tcPr>
            <w:tcW w:w="4060" w:type="dxa"/>
            <w:vAlign w:val="bottom"/>
            <w:shd w:val="clear" w:color="auto" w:fill="CEFFE7"/>
          </w:tcPr>
          <w:p>
            <w:pPr>
              <w:spacing w:after="0"/>
              <w:rPr>
                <w:sz w:val="12"/>
                <w:szCs w:val="12"/>
                <w:color w:val="auto"/>
              </w:rPr>
            </w:pPr>
          </w:p>
        </w:tc>
        <w:tc>
          <w:tcPr>
            <w:tcW w:w="940" w:type="dxa"/>
            <w:vAlign w:val="bottom"/>
            <w:shd w:val="clear" w:color="auto" w:fill="CEFFE7"/>
          </w:tcPr>
          <w:p>
            <w:pPr>
              <w:spacing w:after="0"/>
              <w:rPr>
                <w:sz w:val="12"/>
                <w:szCs w:val="12"/>
                <w:color w:val="auto"/>
              </w:rPr>
            </w:pPr>
          </w:p>
        </w:tc>
        <w:tc>
          <w:tcPr>
            <w:tcW w:w="280" w:type="dxa"/>
            <w:vAlign w:val="bottom"/>
            <w:shd w:val="clear" w:color="auto" w:fill="CEFFE7"/>
          </w:tcPr>
          <w:p>
            <w:pPr>
              <w:spacing w:after="0"/>
              <w:rPr>
                <w:sz w:val="12"/>
                <w:szCs w:val="12"/>
                <w:color w:val="auto"/>
              </w:rPr>
            </w:pPr>
          </w:p>
        </w:tc>
        <w:tc>
          <w:tcPr>
            <w:tcW w:w="260" w:type="dxa"/>
            <w:vAlign w:val="bottom"/>
            <w:shd w:val="clear" w:color="auto" w:fill="CEFFE7"/>
          </w:tcPr>
          <w:p>
            <w:pPr>
              <w:spacing w:after="0"/>
              <w:rPr>
                <w:sz w:val="12"/>
                <w:szCs w:val="12"/>
                <w:color w:val="auto"/>
              </w:rPr>
            </w:pPr>
          </w:p>
        </w:tc>
        <w:tc>
          <w:tcPr>
            <w:tcW w:w="960" w:type="dxa"/>
            <w:vAlign w:val="bottom"/>
            <w:shd w:val="clear" w:color="auto" w:fill="CEFFE7"/>
          </w:tcPr>
          <w:p>
            <w:pPr>
              <w:spacing w:after="0"/>
              <w:rPr>
                <w:sz w:val="12"/>
                <w:szCs w:val="12"/>
                <w:color w:val="auto"/>
              </w:rPr>
            </w:pPr>
          </w:p>
        </w:tc>
        <w:tc>
          <w:tcPr>
            <w:tcW w:w="200" w:type="dxa"/>
            <w:vAlign w:val="bottom"/>
            <w:shd w:val="clear" w:color="auto" w:fill="CEFFE7"/>
          </w:tcPr>
          <w:p>
            <w:pPr>
              <w:spacing w:after="0"/>
              <w:rPr>
                <w:sz w:val="12"/>
                <w:szCs w:val="12"/>
                <w:color w:val="auto"/>
              </w:rPr>
            </w:pPr>
          </w:p>
        </w:tc>
        <w:tc>
          <w:tcPr>
            <w:tcW w:w="40" w:type="dxa"/>
            <w:vAlign w:val="bottom"/>
            <w:shd w:val="clear" w:color="auto" w:fill="CEFFE7"/>
          </w:tcPr>
          <w:p>
            <w:pPr>
              <w:spacing w:after="0"/>
              <w:rPr>
                <w:sz w:val="12"/>
                <w:szCs w:val="12"/>
                <w:color w:val="auto"/>
              </w:rPr>
            </w:pPr>
          </w:p>
        </w:tc>
        <w:tc>
          <w:tcPr>
            <w:tcW w:w="140" w:type="dxa"/>
            <w:vAlign w:val="bottom"/>
            <w:shd w:val="clear" w:color="auto" w:fill="CEFFE7"/>
          </w:tcPr>
          <w:p>
            <w:pPr>
              <w:spacing w:after="0"/>
              <w:rPr>
                <w:sz w:val="12"/>
                <w:szCs w:val="12"/>
                <w:color w:val="auto"/>
              </w:rPr>
            </w:pPr>
          </w:p>
        </w:tc>
        <w:tc>
          <w:tcPr>
            <w:tcW w:w="1020" w:type="dxa"/>
            <w:vAlign w:val="bottom"/>
            <w:shd w:val="clear" w:color="auto" w:fill="CEFFE7"/>
          </w:tcPr>
          <w:p>
            <w:pPr>
              <w:spacing w:after="0"/>
              <w:rPr>
                <w:sz w:val="12"/>
                <w:szCs w:val="12"/>
                <w:color w:val="auto"/>
              </w:rPr>
            </w:pPr>
          </w:p>
        </w:tc>
        <w:tc>
          <w:tcPr>
            <w:tcW w:w="320" w:type="dxa"/>
            <w:vAlign w:val="bottom"/>
            <w:shd w:val="clear" w:color="auto" w:fill="CEFFE7"/>
          </w:tcPr>
          <w:p>
            <w:pPr>
              <w:spacing w:after="0"/>
              <w:rPr>
                <w:sz w:val="12"/>
                <w:szCs w:val="12"/>
                <w:color w:val="auto"/>
              </w:rPr>
            </w:pPr>
          </w:p>
        </w:tc>
        <w:tc>
          <w:tcPr>
            <w:tcW w:w="240" w:type="dxa"/>
            <w:vAlign w:val="bottom"/>
            <w:shd w:val="clear" w:color="auto" w:fill="CEFFE7"/>
          </w:tcPr>
          <w:p>
            <w:pPr>
              <w:spacing w:after="0"/>
              <w:rPr>
                <w:sz w:val="12"/>
                <w:szCs w:val="12"/>
                <w:color w:val="auto"/>
              </w:rPr>
            </w:pPr>
          </w:p>
        </w:tc>
        <w:tc>
          <w:tcPr>
            <w:tcW w:w="120" w:type="dxa"/>
            <w:vAlign w:val="bottom"/>
            <w:shd w:val="clear" w:color="auto" w:fill="CEFFE7"/>
          </w:tcPr>
          <w:p>
            <w:pPr>
              <w:spacing w:after="0"/>
              <w:rPr>
                <w:sz w:val="12"/>
                <w:szCs w:val="12"/>
                <w:color w:val="auto"/>
              </w:rPr>
            </w:pPr>
          </w:p>
        </w:tc>
        <w:tc>
          <w:tcPr>
            <w:tcW w:w="1200" w:type="dxa"/>
            <w:vAlign w:val="bottom"/>
            <w:shd w:val="clear" w:color="auto" w:fill="CEFFE7"/>
          </w:tcPr>
          <w:p>
            <w:pPr>
              <w:spacing w:after="0"/>
              <w:rPr>
                <w:sz w:val="12"/>
                <w:szCs w:val="12"/>
                <w:color w:val="auto"/>
              </w:rPr>
            </w:pPr>
          </w:p>
        </w:tc>
        <w:tc>
          <w:tcPr>
            <w:tcW w:w="340" w:type="dxa"/>
            <w:vAlign w:val="bottom"/>
            <w:shd w:val="clear" w:color="auto" w:fill="CEFFE7"/>
          </w:tcPr>
          <w:p>
            <w:pPr>
              <w:spacing w:after="0"/>
              <w:rPr>
                <w:sz w:val="12"/>
                <w:szCs w:val="12"/>
                <w:color w:val="auto"/>
              </w:rPr>
            </w:pPr>
          </w:p>
        </w:tc>
        <w:tc>
          <w:tcPr>
            <w:tcW w:w="1120" w:type="dxa"/>
            <w:vAlign w:val="bottom"/>
            <w:shd w:val="clear" w:color="auto" w:fill="CEFFE7"/>
          </w:tcPr>
          <w:p>
            <w:pPr>
              <w:spacing w:after="0"/>
              <w:rPr>
                <w:sz w:val="12"/>
                <w:szCs w:val="12"/>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6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Commodity derivatives — Gas Utilities</w:t>
            </w:r>
          </w:p>
        </w:tc>
        <w:tc>
          <w:tcPr>
            <w:tcW w:w="940" w:type="dxa"/>
            <w:vAlign w:val="bottom"/>
            <w:tcBorders>
              <w:bottom w:val="single" w:sz="8" w:color="CEFFE7"/>
            </w:tcBorders>
            <w:shd w:val="clear" w:color="auto" w:fill="CEFFE7"/>
          </w:tcPr>
          <w:p>
            <w:pPr>
              <w:jc w:val="right"/>
              <w:ind w:right="73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2,464</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EFFE7"/>
            </w:tcBorders>
            <w:shd w:val="clear" w:color="auto" w:fill="CEFFE7"/>
          </w:tcPr>
          <w:p>
            <w:pPr>
              <w:spacing w:after="0"/>
              <w:rPr>
                <w:sz w:val="23"/>
                <w:szCs w:val="23"/>
                <w:color w:val="auto"/>
              </w:rPr>
            </w:pPr>
          </w:p>
        </w:tc>
        <w:tc>
          <w:tcPr>
            <w:tcW w:w="140" w:type="dxa"/>
            <w:vAlign w:val="bottom"/>
            <w:tcBorders>
              <w:bottom w:val="single" w:sz="8" w:color="CEFFE7"/>
            </w:tcBorders>
            <w:shd w:val="clear" w:color="auto" w:fill="CEFFE7"/>
          </w:tcPr>
          <w:p>
            <w:pPr>
              <w:spacing w:after="0"/>
              <w:rPr>
                <w:sz w:val="23"/>
                <w:szCs w:val="23"/>
                <w:color w:val="auto"/>
              </w:rPr>
            </w:pPr>
          </w:p>
        </w:tc>
        <w:tc>
          <w:tcPr>
            <w:tcW w:w="1020" w:type="dxa"/>
            <w:vAlign w:val="bottom"/>
            <w:tcBorders>
              <w:bottom w:val="single" w:sz="8" w:color="CEFFE7"/>
            </w:tcBorders>
            <w:shd w:val="clear" w:color="auto" w:fill="CEFFE7"/>
          </w:tcPr>
          <w:p>
            <w:pPr>
              <w:ind w:left="6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EFFE7"/>
            </w:tcBorders>
            <w:gridSpan w:val="3"/>
            <w:shd w:val="clear" w:color="auto" w:fill="CEFFE7"/>
          </w:tcPr>
          <w:p>
            <w:pPr>
              <w:jc w:val="right"/>
              <w:spacing w:after="0"/>
              <w:rPr>
                <w:sz w:val="20"/>
                <w:szCs w:val="20"/>
                <w:color w:val="auto"/>
              </w:rPr>
            </w:pPr>
            <w:r>
              <w:rPr>
                <w:rFonts w:ascii="Arial" w:cs="Arial" w:eastAsia="Arial" w:hAnsi="Arial"/>
                <w:sz w:val="18"/>
                <w:szCs w:val="18"/>
                <w:color w:val="auto"/>
              </w:rPr>
              <w:t>(1,573)</w:t>
            </w:r>
          </w:p>
        </w:tc>
        <w:tc>
          <w:tcPr>
            <w:tcW w:w="34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891</w:t>
            </w:r>
          </w:p>
        </w:tc>
      </w:tr>
      <w:tr>
        <w:trPr>
          <w:trHeight w:val="257"/>
        </w:trPr>
        <w:tc>
          <w:tcPr>
            <w:tcW w:w="4060" w:type="dxa"/>
            <w:vAlign w:val="bottom"/>
          </w:tcPr>
          <w:p>
            <w:pPr>
              <w:ind w:left="40"/>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2,464</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(1,573)</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891</w:t>
            </w:r>
          </w:p>
        </w:tc>
      </w:tr>
      <w:tr>
        <w:trPr>
          <w:trHeight w:val="20"/>
        </w:trPr>
        <w:tc>
          <w:tcPr>
            <w:tcW w:w="40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716"/>
        </w:trPr>
        <w:tc>
          <w:tcPr>
            <w:tcW w:w="4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80" w:type="dxa"/>
            <w:vAlign w:val="bottom"/>
            <w:gridSpan w:val="7"/>
          </w:tcPr>
          <w:p>
            <w:pPr>
              <w:jc w:val="center"/>
              <w:ind w:right="1070"/>
              <w:spacing w:after="0"/>
              <w:rPr>
                <w:sz w:val="20"/>
                <w:szCs w:val="20"/>
                <w:color w:val="auto"/>
              </w:rPr>
            </w:pPr>
            <w:r>
              <w:rPr>
                <w:rFonts w:ascii="Arial" w:cs="Arial" w:eastAsia="Arial" w:hAnsi="Arial"/>
                <w:sz w:val="18"/>
                <w:szCs w:val="18"/>
                <w:color w:val="auto"/>
                <w:w w:val="90"/>
              </w:rPr>
              <w:t>As of December 31, 2019</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
        </w:trPr>
        <w:tc>
          <w:tcPr>
            <w:tcW w:w="4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76"/>
        </w:trPr>
        <w:tc>
          <w:tcPr>
            <w:tcW w:w="4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gridSpan w:val="3"/>
          </w:tcPr>
          <w:p>
            <w:pPr>
              <w:jc w:val="center"/>
              <w:ind w:right="50"/>
              <w:spacing w:after="0"/>
              <w:rPr>
                <w:sz w:val="20"/>
                <w:szCs w:val="20"/>
                <w:color w:val="auto"/>
              </w:rPr>
            </w:pPr>
            <w:r>
              <w:rPr>
                <w:rFonts w:ascii="Arial" w:cs="Arial" w:eastAsia="Arial" w:hAnsi="Arial"/>
                <w:sz w:val="18"/>
                <w:szCs w:val="18"/>
                <w:color w:val="auto"/>
                <w:w w:val="89"/>
              </w:rPr>
              <w:t>Cash Collateral and</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4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70"/>
              <w:spacing w:after="0"/>
              <w:rPr>
                <w:sz w:val="20"/>
                <w:szCs w:val="20"/>
                <w:color w:val="auto"/>
              </w:rPr>
            </w:pPr>
            <w:r>
              <w:rPr>
                <w:rFonts w:ascii="Arial" w:cs="Arial" w:eastAsia="Arial" w:hAnsi="Arial"/>
                <w:sz w:val="18"/>
                <w:szCs w:val="18"/>
                <w:color w:val="auto"/>
                <w:w w:val="92"/>
              </w:rPr>
              <w:t>Counterparty</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40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Level 1</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Level 2</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Level 3</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center"/>
              <w:ind w:right="410"/>
              <w:spacing w:after="0"/>
              <w:rPr>
                <w:sz w:val="20"/>
                <w:szCs w:val="20"/>
                <w:color w:val="auto"/>
              </w:rPr>
            </w:pPr>
            <w:r>
              <w:rPr>
                <w:rFonts w:ascii="Arial" w:cs="Arial" w:eastAsia="Arial" w:hAnsi="Arial"/>
                <w:sz w:val="18"/>
                <w:szCs w:val="18"/>
                <w:color w:val="auto"/>
                <w:w w:val="94"/>
              </w:rPr>
              <w:t>Netting</w:t>
            </w: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Total</w:t>
            </w:r>
          </w:p>
        </w:tc>
      </w:tr>
      <w:tr>
        <w:trPr>
          <w:trHeight w:val="27"/>
        </w:trPr>
        <w:tc>
          <w:tcPr>
            <w:tcW w:w="40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40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(in thousands)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4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Assets:</w:t>
            </w:r>
          </w:p>
        </w:tc>
        <w:tc>
          <w:tcPr>
            <w:tcW w:w="94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4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spacing w:after="0"/>
              <w:rPr>
                <w:sz w:val="21"/>
                <w:szCs w:val="21"/>
                <w:color w:val="auto"/>
              </w:rPr>
            </w:pPr>
          </w:p>
        </w:tc>
        <w:tc>
          <w:tcPr>
            <w:tcW w:w="32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spacing w:after="0"/>
              <w:rPr>
                <w:sz w:val="21"/>
                <w:szCs w:val="21"/>
                <w:color w:val="auto"/>
              </w:rPr>
            </w:pPr>
          </w:p>
        </w:tc>
      </w:tr>
      <w:tr>
        <w:trPr>
          <w:trHeight w:val="243"/>
        </w:trPr>
        <w:tc>
          <w:tcPr>
            <w:tcW w:w="4060" w:type="dxa"/>
            <w:vAlign w:val="bottom"/>
          </w:tcPr>
          <w:p>
            <w:pPr>
              <w:ind w:left="180"/>
              <w:spacing w:after="0"/>
              <w:rPr>
                <w:sz w:val="20"/>
                <w:szCs w:val="20"/>
                <w:color w:val="auto"/>
              </w:rPr>
            </w:pPr>
            <w:r>
              <w:rPr>
                <w:rFonts w:ascii="Arial" w:cs="Arial" w:eastAsia="Arial" w:hAnsi="Arial"/>
                <w:sz w:val="18"/>
                <w:szCs w:val="18"/>
                <w:color w:val="auto"/>
              </w:rPr>
              <w:t>Commodity derivatives — Gas Utilities</w:t>
            </w:r>
          </w:p>
        </w:tc>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1,433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ind w:left="60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(1,085)</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348</w:t>
            </w:r>
          </w:p>
        </w:tc>
      </w:tr>
      <w:tr>
        <w:trPr>
          <w:trHeight w:val="27"/>
        </w:trPr>
        <w:tc>
          <w:tcPr>
            <w:tcW w:w="4060" w:type="dxa"/>
            <w:vAlign w:val="bottom"/>
            <w:tcBorders>
              <w:bottom w:val="single" w:sz="8" w:color="CEFFE7"/>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40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EFFE7"/>
          </w:tcPr>
          <w:p>
            <w:pPr>
              <w:jc w:val="right"/>
              <w:ind w:right="73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1,433</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EFFE7"/>
          </w:tcPr>
          <w:p>
            <w:pPr>
              <w:spacing w:after="0"/>
              <w:rPr>
                <w:sz w:val="22"/>
                <w:szCs w:val="22"/>
                <w:color w:val="auto"/>
              </w:rPr>
            </w:pPr>
          </w:p>
        </w:tc>
        <w:tc>
          <w:tcPr>
            <w:tcW w:w="140" w:type="dxa"/>
            <w:vAlign w:val="bottom"/>
            <w:tcBorders>
              <w:bottom w:val="single" w:sz="8" w:color="auto"/>
            </w:tcBorders>
            <w:shd w:val="clear" w:color="auto" w:fill="CEFFE7"/>
          </w:tcPr>
          <w:p>
            <w:pPr>
              <w:spacing w:after="0"/>
              <w:rPr>
                <w:sz w:val="22"/>
                <w:szCs w:val="22"/>
                <w:color w:val="auto"/>
              </w:rPr>
            </w:pPr>
          </w:p>
        </w:tc>
        <w:tc>
          <w:tcPr>
            <w:tcW w:w="1020" w:type="dxa"/>
            <w:vAlign w:val="bottom"/>
            <w:tcBorders>
              <w:bottom w:val="single" w:sz="8" w:color="auto"/>
            </w:tcBorders>
            <w:shd w:val="clear" w:color="auto" w:fill="CEFFE7"/>
          </w:tcPr>
          <w:p>
            <w:pPr>
              <w:ind w:left="6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gridSpan w:val="3"/>
            <w:shd w:val="clear" w:color="auto" w:fill="CEFFE7"/>
          </w:tcPr>
          <w:p>
            <w:pPr>
              <w:jc w:val="right"/>
              <w:spacing w:after="0"/>
              <w:rPr>
                <w:sz w:val="20"/>
                <w:szCs w:val="20"/>
                <w:color w:val="auto"/>
              </w:rPr>
            </w:pPr>
            <w:r>
              <w:rPr>
                <w:rFonts w:ascii="Arial" w:cs="Arial" w:eastAsia="Arial" w:hAnsi="Arial"/>
                <w:sz w:val="18"/>
                <w:szCs w:val="18"/>
                <w:color w:val="auto"/>
              </w:rPr>
              <w:t>(1,085)</w:t>
            </w:r>
          </w:p>
        </w:tc>
        <w:tc>
          <w:tcPr>
            <w:tcW w:w="340" w:type="dxa"/>
            <w:vAlign w:val="bottom"/>
            <w:tcBorders>
              <w:bottom w:val="single" w:sz="8" w:color="auto"/>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348</w:t>
            </w:r>
          </w:p>
        </w:tc>
      </w:tr>
      <w:tr>
        <w:trPr>
          <w:trHeight w:val="20"/>
        </w:trPr>
        <w:tc>
          <w:tcPr>
            <w:tcW w:w="40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63"/>
        </w:trPr>
        <w:tc>
          <w:tcPr>
            <w:tcW w:w="4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50"/>
        </w:trPr>
        <w:tc>
          <w:tcPr>
            <w:tcW w:w="40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Liabilities:</w:t>
            </w:r>
          </w:p>
        </w:tc>
        <w:tc>
          <w:tcPr>
            <w:tcW w:w="94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4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spacing w:after="0"/>
              <w:rPr>
                <w:sz w:val="21"/>
                <w:szCs w:val="21"/>
                <w:color w:val="auto"/>
              </w:rPr>
            </w:pPr>
          </w:p>
        </w:tc>
        <w:tc>
          <w:tcPr>
            <w:tcW w:w="32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spacing w:after="0"/>
              <w:rPr>
                <w:sz w:val="21"/>
                <w:szCs w:val="21"/>
                <w:color w:val="auto"/>
              </w:rPr>
            </w:pPr>
          </w:p>
        </w:tc>
      </w:tr>
      <w:tr>
        <w:trPr>
          <w:trHeight w:val="243"/>
        </w:trPr>
        <w:tc>
          <w:tcPr>
            <w:tcW w:w="4060" w:type="dxa"/>
            <w:vAlign w:val="bottom"/>
          </w:tcPr>
          <w:p>
            <w:pPr>
              <w:ind w:left="180"/>
              <w:spacing w:after="0"/>
              <w:rPr>
                <w:sz w:val="20"/>
                <w:szCs w:val="20"/>
                <w:color w:val="auto"/>
              </w:rPr>
            </w:pPr>
            <w:r>
              <w:rPr>
                <w:rFonts w:ascii="Arial" w:cs="Arial" w:eastAsia="Arial" w:hAnsi="Arial"/>
                <w:sz w:val="18"/>
                <w:szCs w:val="18"/>
                <w:color w:val="auto"/>
              </w:rPr>
              <w:t>Commodity derivatives — Gas Utilities</w:t>
            </w:r>
          </w:p>
        </w:tc>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5,254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ind w:left="60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(2,909)</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2,345</w:t>
            </w:r>
          </w:p>
        </w:tc>
      </w:tr>
      <w:tr>
        <w:trPr>
          <w:trHeight w:val="27"/>
        </w:trPr>
        <w:tc>
          <w:tcPr>
            <w:tcW w:w="4060" w:type="dxa"/>
            <w:vAlign w:val="bottom"/>
            <w:tcBorders>
              <w:bottom w:val="single" w:sz="8" w:color="CEFFE7"/>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40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EFFE7"/>
          </w:tcPr>
          <w:p>
            <w:pPr>
              <w:jc w:val="right"/>
              <w:ind w:right="73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5,254</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EFFE7"/>
          </w:tcPr>
          <w:p>
            <w:pPr>
              <w:spacing w:after="0"/>
              <w:rPr>
                <w:sz w:val="22"/>
                <w:szCs w:val="22"/>
                <w:color w:val="auto"/>
              </w:rPr>
            </w:pPr>
          </w:p>
        </w:tc>
        <w:tc>
          <w:tcPr>
            <w:tcW w:w="140" w:type="dxa"/>
            <w:vAlign w:val="bottom"/>
            <w:tcBorders>
              <w:bottom w:val="single" w:sz="8" w:color="auto"/>
            </w:tcBorders>
            <w:shd w:val="clear" w:color="auto" w:fill="CEFFE7"/>
          </w:tcPr>
          <w:p>
            <w:pPr>
              <w:spacing w:after="0"/>
              <w:rPr>
                <w:sz w:val="22"/>
                <w:szCs w:val="22"/>
                <w:color w:val="auto"/>
              </w:rPr>
            </w:pPr>
          </w:p>
        </w:tc>
        <w:tc>
          <w:tcPr>
            <w:tcW w:w="1020" w:type="dxa"/>
            <w:vAlign w:val="bottom"/>
            <w:tcBorders>
              <w:bottom w:val="single" w:sz="8" w:color="auto"/>
            </w:tcBorders>
            <w:shd w:val="clear" w:color="auto" w:fill="CEFFE7"/>
          </w:tcPr>
          <w:p>
            <w:pPr>
              <w:ind w:left="6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gridSpan w:val="3"/>
            <w:shd w:val="clear" w:color="auto" w:fill="CEFFE7"/>
          </w:tcPr>
          <w:p>
            <w:pPr>
              <w:jc w:val="right"/>
              <w:spacing w:after="0"/>
              <w:rPr>
                <w:sz w:val="20"/>
                <w:szCs w:val="20"/>
                <w:color w:val="auto"/>
              </w:rPr>
            </w:pPr>
            <w:r>
              <w:rPr>
                <w:rFonts w:ascii="Arial" w:cs="Arial" w:eastAsia="Arial" w:hAnsi="Arial"/>
                <w:sz w:val="18"/>
                <w:szCs w:val="18"/>
                <w:color w:val="auto"/>
              </w:rPr>
              <w:t>(2,909)</w:t>
            </w:r>
          </w:p>
        </w:tc>
        <w:tc>
          <w:tcPr>
            <w:tcW w:w="340" w:type="dxa"/>
            <w:vAlign w:val="bottom"/>
            <w:tcBorders>
              <w:bottom w:val="single" w:sz="8" w:color="auto"/>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2,345</w:t>
            </w:r>
          </w:p>
        </w:tc>
      </w:tr>
      <w:tr>
        <w:trPr>
          <w:trHeight w:val="20"/>
        </w:trPr>
        <w:tc>
          <w:tcPr>
            <w:tcW w:w="40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and Postretirement Plan Assets</w:t>
      </w:r>
    </w:p>
    <w:p>
      <w:pPr>
        <w:spacing w:after="0" w:line="225" w:lineRule="exact"/>
        <w:rPr>
          <w:sz w:val="20"/>
          <w:szCs w:val="20"/>
          <w:color w:val="auto"/>
        </w:rPr>
      </w:pPr>
    </w:p>
    <w:p>
      <w:pPr>
        <w:ind w:right="160"/>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Fair value measurements also apply to the valuation of our pension and postretirement plan assets. Current accounting guidance requires employers to annually disclose information about the fair value measurements of their assets of a defined benefit pension or other postretirement plan. The fair value of these assets is presented in Note 18 to the Consolidated Financial Statements included in our 2019 Annual Report on Form 10-K. The Company has concluded that the market volatility associated with COVID-19 does not require interim re-measurement of our pension plan assets or defined benefit obligations. See </w:t>
      </w:r>
      <w:hyperlink w:anchor="page28">
        <w:r>
          <w:rPr>
            <w:rFonts w:ascii="Arial" w:cs="Arial" w:eastAsia="Arial" w:hAnsi="Arial"/>
            <w:sz w:val="18"/>
            <w:szCs w:val="18"/>
            <w:u w:val="single" w:color="auto"/>
            <w:color w:val="0000EE"/>
          </w:rPr>
          <w:t>Note 12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additional information.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Nonrecurring Fair Value Measurement</w:t>
      </w:r>
    </w:p>
    <w:p>
      <w:pPr>
        <w:spacing w:after="0" w:line="225" w:lineRule="exact"/>
        <w:rPr>
          <w:sz w:val="20"/>
          <w:szCs w:val="20"/>
          <w:color w:val="auto"/>
        </w:rPr>
      </w:pPr>
    </w:p>
    <w:p>
      <w:pPr>
        <w:spacing w:after="0"/>
        <w:rPr>
          <w:rFonts w:ascii="Arial" w:cs="Arial" w:eastAsia="Arial" w:hAnsi="Arial"/>
          <w:sz w:val="17"/>
          <w:szCs w:val="17"/>
          <w:color w:val="auto"/>
        </w:rPr>
      </w:pPr>
      <w:r>
        <w:rPr>
          <w:rFonts w:ascii="Arial" w:cs="Arial" w:eastAsia="Arial" w:hAnsi="Arial"/>
          <w:sz w:val="17"/>
          <w:szCs w:val="17"/>
          <w:color w:val="auto"/>
        </w:rPr>
        <w:t xml:space="preserve">A discussion of the fair value of our investment in equity securities of a privately held oil and gas company, a Level 3 asset, is included in </w:t>
      </w:r>
      <w:hyperlink w:anchor="page31">
        <w:r>
          <w:rPr>
            <w:rFonts w:ascii="Arial" w:cs="Arial" w:eastAsia="Arial" w:hAnsi="Arial"/>
            <w:sz w:val="17"/>
            <w:szCs w:val="17"/>
            <w:u w:val="single" w:color="auto"/>
            <w:color w:val="0000EE"/>
          </w:rPr>
          <w:t>Note 15</w:t>
        </w:r>
      </w:hyperlink>
      <w:r>
        <w:rPr>
          <w:rFonts w:ascii="Arial" w:cs="Arial" w:eastAsia="Arial" w:hAnsi="Arial"/>
          <w:sz w:val="17"/>
          <w:szCs w:val="17"/>
          <w:color w:val="auto"/>
        </w:rPr>
        <w:t>.</w:t>
      </w:r>
    </w:p>
    <w:p>
      <w:pPr>
        <w:sectPr>
          <w:pgSz w:w="11900" w:h="16838" w:orient="portrait"/>
          <w:cols w:equalWidth="0" w:num="1">
            <w:col w:w="11240"/>
          </w:cols>
          <w:pgMar w:left="320" w:top="126" w:right="339" w:bottom="1440" w:gutter="0" w:footer="0" w:header="0"/>
        </w:sect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40"/>
          </w:cols>
          <w:pgMar w:left="320" w:top="126" w:right="339" w:bottom="1440" w:gutter="0" w:footer="0" w:header="0"/>
          <w:type w:val="continuous"/>
        </w:sectPr>
      </w:pPr>
    </w:p>
    <w:bookmarkStart w:id="26" w:name="page27"/>
    <w:bookmarkEnd w:id="2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fair value measures</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following table presents the carrying amounts and fair values of financial instruments not recorded at fair value on the Condensed Consolidated Balance Sheets (in thousands) as of:</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gridSpan w:val="4"/>
          </w:tcPr>
          <w:p>
            <w:pPr>
              <w:ind w:left="560"/>
              <w:spacing w:after="0"/>
              <w:rPr>
                <w:sz w:val="20"/>
                <w:szCs w:val="20"/>
                <w:color w:val="auto"/>
              </w:rPr>
            </w:pPr>
            <w:r>
              <w:rPr>
                <w:rFonts w:ascii="Arial" w:cs="Arial" w:eastAsia="Arial" w:hAnsi="Arial"/>
                <w:sz w:val="18"/>
                <w:szCs w:val="18"/>
                <w:color w:val="auto"/>
              </w:rPr>
              <w:t>March 31, 2020</w:t>
            </w:r>
          </w:p>
        </w:tc>
        <w:tc>
          <w:tcPr>
            <w:tcW w:w="240" w:type="dxa"/>
            <w:vAlign w:val="bottom"/>
          </w:tcPr>
          <w:p>
            <w:pPr>
              <w:spacing w:after="0"/>
              <w:rPr>
                <w:sz w:val="20"/>
                <w:szCs w:val="20"/>
                <w:color w:val="auto"/>
              </w:rPr>
            </w:pPr>
          </w:p>
        </w:tc>
        <w:tc>
          <w:tcPr>
            <w:tcW w:w="2460" w:type="dxa"/>
            <w:vAlign w:val="bottom"/>
            <w:gridSpan w:val="3"/>
          </w:tcPr>
          <w:p>
            <w:pPr>
              <w:jc w:val="right"/>
              <w:ind w:right="530"/>
              <w:spacing w:after="0"/>
              <w:rPr>
                <w:sz w:val="20"/>
                <w:szCs w:val="20"/>
                <w:color w:val="auto"/>
              </w:rPr>
            </w:pPr>
            <w:r>
              <w:rPr>
                <w:rFonts w:ascii="Arial" w:cs="Arial" w:eastAsia="Arial" w:hAnsi="Arial"/>
                <w:sz w:val="18"/>
                <w:szCs w:val="18"/>
                <w:color w:val="auto"/>
              </w:rPr>
              <w:t>December 31, 2019</w:t>
            </w:r>
          </w:p>
        </w:tc>
      </w:tr>
      <w:tr>
        <w:trPr>
          <w:trHeight w:val="27"/>
        </w:trPr>
        <w:tc>
          <w:tcPr>
            <w:tcW w:w="5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2"/>
        </w:trPr>
        <w:tc>
          <w:tcPr>
            <w:tcW w:w="5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center"/>
              <w:ind w:right="110"/>
              <w:spacing w:after="0"/>
              <w:rPr>
                <w:sz w:val="20"/>
                <w:szCs w:val="20"/>
                <w:color w:val="auto"/>
              </w:rPr>
            </w:pPr>
            <w:r>
              <w:rPr>
                <w:rFonts w:ascii="Arial" w:cs="Arial" w:eastAsia="Arial" w:hAnsi="Arial"/>
                <w:sz w:val="18"/>
                <w:szCs w:val="18"/>
                <w:color w:val="auto"/>
                <w:w w:val="94"/>
              </w:rPr>
              <w:t>Carrying</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color w:val="auto"/>
                <w:w w:val="94"/>
              </w:rPr>
              <w:t>Carrying</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color w:val="auto"/>
                <w:w w:val="93"/>
              </w:rPr>
              <w:t>Amount</w:t>
            </w:r>
          </w:p>
        </w:tc>
        <w:tc>
          <w:tcPr>
            <w:tcW w:w="260" w:type="dxa"/>
            <w:vAlign w:val="bottom"/>
          </w:tcPr>
          <w:p>
            <w:pPr>
              <w:spacing w:after="0"/>
              <w:rPr>
                <w:sz w:val="20"/>
                <w:szCs w:val="20"/>
                <w:color w:val="auto"/>
              </w:rPr>
            </w:pPr>
          </w:p>
        </w:tc>
        <w:tc>
          <w:tcPr>
            <w:tcW w:w="1240" w:type="dxa"/>
            <w:vAlign w:val="bottom"/>
            <w:gridSpan w:val="2"/>
          </w:tcPr>
          <w:p>
            <w:pPr>
              <w:ind w:left="80"/>
              <w:spacing w:after="0"/>
              <w:rPr>
                <w:sz w:val="20"/>
                <w:szCs w:val="20"/>
                <w:color w:val="auto"/>
              </w:rPr>
            </w:pPr>
            <w:r>
              <w:rPr>
                <w:rFonts w:ascii="Arial" w:cs="Arial" w:eastAsia="Arial" w:hAnsi="Arial"/>
                <w:sz w:val="18"/>
                <w:szCs w:val="18"/>
                <w:color w:val="auto"/>
              </w:rPr>
              <w:t>Fair Value</w:t>
            </w:r>
          </w:p>
        </w:tc>
        <w:tc>
          <w:tcPr>
            <w:tcW w:w="240" w:type="dxa"/>
            <w:vAlign w:val="bottom"/>
          </w:tcPr>
          <w:p>
            <w:pPr>
              <w:spacing w:after="0"/>
              <w:rPr>
                <w:sz w:val="20"/>
                <w:szCs w:val="20"/>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color w:val="auto"/>
                <w:w w:val="96"/>
              </w:rPr>
              <w:t>Amount</w:t>
            </w:r>
          </w:p>
        </w:tc>
        <w:tc>
          <w:tcPr>
            <w:tcW w:w="260" w:type="dxa"/>
            <w:vAlign w:val="bottom"/>
          </w:tcPr>
          <w:p>
            <w:pPr>
              <w:spacing w:after="0"/>
              <w:rPr>
                <w:sz w:val="20"/>
                <w:szCs w:val="20"/>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color w:val="auto"/>
                <w:w w:val="99"/>
              </w:rPr>
              <w:t>Fair Value</w:t>
            </w:r>
          </w:p>
        </w:tc>
      </w:tr>
      <w:tr>
        <w:trPr>
          <w:trHeight w:val="27"/>
        </w:trPr>
        <w:tc>
          <w:tcPr>
            <w:tcW w:w="5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EFFE7"/>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5740" w:type="dxa"/>
            <w:vAlign w:val="bottom"/>
            <w:shd w:val="clear" w:color="auto" w:fill="CEFFE7"/>
          </w:tcPr>
          <w:p>
            <w:pPr>
              <w:jc w:val="right"/>
              <w:ind w:right="2210"/>
              <w:spacing w:after="0" w:line="263" w:lineRule="exact"/>
              <w:rPr>
                <w:sz w:val="20"/>
                <w:szCs w:val="20"/>
                <w:color w:val="auto"/>
              </w:rPr>
            </w:pPr>
            <w:r>
              <w:rPr>
                <w:rFonts w:ascii="Arial" w:cs="Arial" w:eastAsia="Arial" w:hAnsi="Arial"/>
                <w:sz w:val="18"/>
                <w:szCs w:val="18"/>
                <w:color w:val="auto"/>
                <w:w w:val="91"/>
              </w:rPr>
              <w:t xml:space="preserve">Long-term debt, including current maturities </w:t>
            </w:r>
            <w:r>
              <w:rPr>
                <w:rFonts w:ascii="Arial" w:cs="Arial" w:eastAsia="Arial" w:hAnsi="Arial"/>
                <w:sz w:val="25"/>
                <w:szCs w:val="25"/>
                <w:color w:val="auto"/>
                <w:w w:val="91"/>
                <w:vertAlign w:val="superscript"/>
              </w:rPr>
              <w:t>(a)</w:t>
            </w:r>
          </w:p>
        </w:tc>
        <w:tc>
          <w:tcPr>
            <w:tcW w:w="22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3,142,630</w:t>
            </w:r>
          </w:p>
        </w:tc>
        <w:tc>
          <w:tcPr>
            <w:tcW w:w="2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3,320,562</w:t>
            </w:r>
          </w:p>
        </w:tc>
        <w:tc>
          <w:tcPr>
            <w:tcW w:w="100" w:type="dxa"/>
            <w:vAlign w:val="bottom"/>
            <w:shd w:val="clear" w:color="auto" w:fill="CEFFE7"/>
          </w:tcPr>
          <w:p>
            <w:pPr>
              <w:spacing w:after="0"/>
              <w:rPr>
                <w:sz w:val="22"/>
                <w:szCs w:val="22"/>
                <w:color w:val="auto"/>
              </w:rPr>
            </w:pPr>
          </w:p>
        </w:tc>
        <w:tc>
          <w:tcPr>
            <w:tcW w:w="24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EFFE7"/>
          </w:tcPr>
          <w:p>
            <w:pPr>
              <w:jc w:val="right"/>
              <w:spacing w:after="0"/>
              <w:rPr>
                <w:sz w:val="20"/>
                <w:szCs w:val="20"/>
                <w:color w:val="auto"/>
              </w:rPr>
            </w:pPr>
            <w:r>
              <w:rPr>
                <w:rFonts w:ascii="Arial" w:cs="Arial" w:eastAsia="Arial" w:hAnsi="Arial"/>
                <w:sz w:val="18"/>
                <w:szCs w:val="18"/>
                <w:color w:val="auto"/>
              </w:rPr>
              <w:t>3,145,839</w:t>
            </w:r>
          </w:p>
        </w:tc>
        <w:tc>
          <w:tcPr>
            <w:tcW w:w="2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3,479,367</w:t>
            </w:r>
          </w:p>
        </w:tc>
      </w:tr>
      <w:tr>
        <w:trPr>
          <w:trHeight w:val="220"/>
        </w:trPr>
        <w:tc>
          <w:tcPr>
            <w:tcW w:w="5740" w:type="dxa"/>
            <w:vAlign w:val="bottom"/>
          </w:tcPr>
          <w:p>
            <w:pPr>
              <w:jc w:val="right"/>
              <w:ind w:right="4750"/>
              <w:spacing w:after="0"/>
              <w:rPr>
                <w:sz w:val="20"/>
                <w:szCs w:val="20"/>
                <w:color w:val="auto"/>
              </w:rPr>
            </w:pPr>
            <w:r>
              <w:rPr>
                <w:rFonts w:ascii="Arial" w:cs="Arial" w:eastAsia="Arial" w:hAnsi="Arial"/>
                <w:sz w:val="18"/>
                <w:szCs w:val="18"/>
                <w:color w:val="auto"/>
                <w:w w:val="87"/>
              </w:rPr>
              <w:t>__________</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r>
    </w:tbl>
    <w:p>
      <w:pPr>
        <w:ind w:left="340" w:right="160" w:hanging="332"/>
        <w:spacing w:after="0" w:line="257"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Long-term debt is valued based on observable inputs available either directly or indirectly for similar liabilities in active markets and therefore is classified as Level 2 in the fair value hierarchy. Carrying amount of long-term debt is net of deferred financing costs.</w:t>
      </w:r>
    </w:p>
    <w:p>
      <w:pPr>
        <w:spacing w:after="0" w:line="393"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Other Comprehensive Income (Loss)</w:t>
      </w:r>
    </w:p>
    <w:p>
      <w:pPr>
        <w:spacing w:after="0" w:line="229"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We record deferred gains (losses) in AOCI related to interest rate swaps designated as cash flow hedges, commodity contracts designated as cash flow hedges and the amortization of components of our defined benefit plans. Deferred gains (losses) for our commodity contracts designated as cash flow hedges are recognized in earnings upon settlement, while deferred gains (losses) related to our interest rate swaps are recognized in earnings as they are amortized.</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details reclassifications out of AOCI and into net income. The amounts in parentheses below indicate decreases to net income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Income for the period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380" w:type="dxa"/>
            <w:vAlign w:val="bottom"/>
            <w:gridSpan w:val="3"/>
          </w:tcPr>
          <w:p>
            <w:pPr>
              <w:jc w:val="right"/>
              <w:ind w:right="610"/>
              <w:spacing w:after="0"/>
              <w:rPr>
                <w:sz w:val="20"/>
                <w:szCs w:val="20"/>
                <w:color w:val="auto"/>
              </w:rPr>
            </w:pPr>
            <w:r>
              <w:rPr>
                <w:rFonts w:ascii="Arial" w:cs="Arial" w:eastAsia="Arial" w:hAnsi="Arial"/>
                <w:sz w:val="18"/>
                <w:szCs w:val="18"/>
                <w:color w:val="auto"/>
              </w:rPr>
              <w:t>Amount Reclassified from AOCI</w:t>
            </w:r>
          </w:p>
        </w:tc>
        <w:tc>
          <w:tcPr>
            <w:tcW w:w="0" w:type="dxa"/>
            <w:vAlign w:val="bottom"/>
          </w:tcPr>
          <w:p>
            <w:pPr>
              <w:spacing w:after="0"/>
              <w:rPr>
                <w:sz w:val="1"/>
                <w:szCs w:val="1"/>
                <w:color w:val="auto"/>
              </w:rPr>
            </w:pPr>
          </w:p>
        </w:tc>
      </w:tr>
      <w:tr>
        <w:trPr>
          <w:trHeight w:val="270"/>
        </w:trPr>
        <w:tc>
          <w:tcPr>
            <w:tcW w:w="4620" w:type="dxa"/>
            <w:vAlign w:val="bottom"/>
          </w:tcPr>
          <w:p>
            <w:pPr>
              <w:spacing w:after="0"/>
              <w:rPr>
                <w:sz w:val="23"/>
                <w:szCs w:val="23"/>
                <w:color w:val="auto"/>
              </w:rPr>
            </w:pPr>
          </w:p>
        </w:tc>
        <w:tc>
          <w:tcPr>
            <w:tcW w:w="2820" w:type="dxa"/>
            <w:vAlign w:val="bottom"/>
            <w:vMerge w:val="restart"/>
          </w:tcPr>
          <w:p>
            <w:pPr>
              <w:ind w:left="480"/>
              <w:spacing w:after="0"/>
              <w:rPr>
                <w:sz w:val="20"/>
                <w:szCs w:val="20"/>
                <w:color w:val="auto"/>
              </w:rPr>
            </w:pPr>
            <w:r>
              <w:rPr>
                <w:rFonts w:ascii="Arial" w:cs="Arial" w:eastAsia="Arial" w:hAnsi="Arial"/>
                <w:sz w:val="18"/>
                <w:szCs w:val="18"/>
                <w:color w:val="auto"/>
              </w:rPr>
              <w:t>Location on the Condensed</w:t>
            </w:r>
          </w:p>
        </w:tc>
        <w:tc>
          <w:tcPr>
            <w:tcW w:w="420" w:type="dxa"/>
            <w:vAlign w:val="bottom"/>
          </w:tcPr>
          <w:p>
            <w:pPr>
              <w:spacing w:after="0"/>
              <w:rPr>
                <w:sz w:val="23"/>
                <w:szCs w:val="23"/>
                <w:color w:val="auto"/>
              </w:rPr>
            </w:pPr>
          </w:p>
        </w:tc>
        <w:tc>
          <w:tcPr>
            <w:tcW w:w="3380" w:type="dxa"/>
            <w:vAlign w:val="bottom"/>
            <w:gridSpan w:val="3"/>
          </w:tcPr>
          <w:p>
            <w:pPr>
              <w:jc w:val="right"/>
              <w:ind w:right="650"/>
              <w:spacing w:after="0"/>
              <w:rPr>
                <w:sz w:val="20"/>
                <w:szCs w:val="20"/>
                <w:color w:val="auto"/>
              </w:rPr>
            </w:pPr>
            <w:r>
              <w:rPr>
                <w:rFonts w:ascii="Arial" w:cs="Arial" w:eastAsia="Arial" w:hAnsi="Arial"/>
                <w:sz w:val="18"/>
                <w:szCs w:val="18"/>
                <w:color w:val="auto"/>
              </w:rPr>
              <w:t>Three Months Ended March 31,</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820" w:type="dxa"/>
            <w:vAlign w:val="bottom"/>
            <w:vMerge w:val="continue"/>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2820" w:type="dxa"/>
            <w:vAlign w:val="bottom"/>
          </w:tcPr>
          <w:p>
            <w:pPr>
              <w:ind w:left="180"/>
              <w:spacing w:after="0"/>
              <w:rPr>
                <w:sz w:val="20"/>
                <w:szCs w:val="20"/>
                <w:color w:val="auto"/>
              </w:rPr>
            </w:pPr>
            <w:r>
              <w:rPr>
                <w:rFonts w:ascii="Arial" w:cs="Arial" w:eastAsia="Arial" w:hAnsi="Arial"/>
                <w:sz w:val="18"/>
                <w:szCs w:val="18"/>
                <w:color w:val="auto"/>
                <w:w w:val="91"/>
              </w:rPr>
              <w:t>Consolidated Statements of Income</w:t>
            </w:r>
          </w:p>
        </w:tc>
        <w:tc>
          <w:tcPr>
            <w:tcW w:w="420" w:type="dxa"/>
            <w:vAlign w:val="bottom"/>
          </w:tcPr>
          <w:p>
            <w:pPr>
              <w:spacing w:after="0"/>
              <w:rPr>
                <w:sz w:val="20"/>
                <w:szCs w:val="20"/>
                <w:color w:val="auto"/>
              </w:rPr>
            </w:pPr>
          </w:p>
        </w:tc>
        <w:tc>
          <w:tcPr>
            <w:tcW w:w="1460" w:type="dxa"/>
            <w:vAlign w:val="bottom"/>
          </w:tcPr>
          <w:p>
            <w:pPr>
              <w:jc w:val="right"/>
              <w:ind w:right="670"/>
              <w:spacing w:after="0"/>
              <w:rPr>
                <w:sz w:val="20"/>
                <w:szCs w:val="20"/>
                <w:color w:val="auto"/>
              </w:rPr>
            </w:pPr>
            <w:r>
              <w:rPr>
                <w:rFonts w:ascii="Arial" w:cs="Arial" w:eastAsia="Arial" w:hAnsi="Arial"/>
                <w:sz w:val="18"/>
                <w:szCs w:val="18"/>
                <w:color w:val="auto"/>
              </w:rPr>
              <w:t>2020</w:t>
            </w:r>
          </w:p>
        </w:tc>
        <w:tc>
          <w:tcPr>
            <w:tcW w:w="460" w:type="dxa"/>
            <w:vAlign w:val="bottom"/>
          </w:tcPr>
          <w:p>
            <w:pPr>
              <w:spacing w:after="0"/>
              <w:rPr>
                <w:sz w:val="20"/>
                <w:szCs w:val="20"/>
                <w:color w:val="auto"/>
              </w:rPr>
            </w:pPr>
          </w:p>
        </w:tc>
        <w:tc>
          <w:tcPr>
            <w:tcW w:w="1460" w:type="dxa"/>
            <w:vAlign w:val="bottom"/>
          </w:tcPr>
          <w:p>
            <w:pPr>
              <w:jc w:val="right"/>
              <w:ind w:right="69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7"/>
        </w:trPr>
        <w:tc>
          <w:tcPr>
            <w:tcW w:w="462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Gains and (losses) on cash flow hedges:</w:t>
            </w:r>
          </w:p>
        </w:tc>
        <w:tc>
          <w:tcPr>
            <w:tcW w:w="2820" w:type="dxa"/>
            <w:vAlign w:val="bottom"/>
            <w:tcBorders>
              <w:bottom w:val="single" w:sz="8" w:color="CEFFE7"/>
            </w:tcBorders>
            <w:shd w:val="clear" w:color="auto" w:fill="CEFFE7"/>
          </w:tcPr>
          <w:p>
            <w:pPr>
              <w:spacing w:after="0"/>
              <w:rPr>
                <w:sz w:val="21"/>
                <w:szCs w:val="21"/>
                <w:color w:val="auto"/>
              </w:rPr>
            </w:pPr>
          </w:p>
        </w:tc>
        <w:tc>
          <w:tcPr>
            <w:tcW w:w="420" w:type="dxa"/>
            <w:vAlign w:val="bottom"/>
            <w:tcBorders>
              <w:bottom w:val="single" w:sz="8" w:color="CEFFE7"/>
            </w:tcBorders>
            <w:shd w:val="clear" w:color="auto" w:fill="CEFFE7"/>
          </w:tcPr>
          <w:p>
            <w:pPr>
              <w:spacing w:after="0"/>
              <w:rPr>
                <w:sz w:val="21"/>
                <w:szCs w:val="21"/>
                <w:color w:val="auto"/>
              </w:rPr>
            </w:pPr>
          </w:p>
        </w:tc>
        <w:tc>
          <w:tcPr>
            <w:tcW w:w="1460" w:type="dxa"/>
            <w:vAlign w:val="bottom"/>
            <w:tcBorders>
              <w:bottom w:val="single" w:sz="8" w:color="CEFFE7"/>
            </w:tcBorders>
            <w:shd w:val="clear" w:color="auto" w:fill="CEFFE7"/>
          </w:tcPr>
          <w:p>
            <w:pPr>
              <w:spacing w:after="0"/>
              <w:rPr>
                <w:sz w:val="21"/>
                <w:szCs w:val="21"/>
                <w:color w:val="auto"/>
              </w:rPr>
            </w:pPr>
          </w:p>
        </w:tc>
        <w:tc>
          <w:tcPr>
            <w:tcW w:w="460" w:type="dxa"/>
            <w:vAlign w:val="bottom"/>
            <w:tcBorders>
              <w:bottom w:val="single" w:sz="8" w:color="CEFFE7"/>
            </w:tcBorders>
            <w:shd w:val="clear" w:color="auto" w:fill="CEFFE7"/>
          </w:tcPr>
          <w:p>
            <w:pPr>
              <w:spacing w:after="0"/>
              <w:rPr>
                <w:sz w:val="21"/>
                <w:szCs w:val="21"/>
                <w:color w:val="auto"/>
              </w:rPr>
            </w:pPr>
          </w:p>
        </w:tc>
        <w:tc>
          <w:tcPr>
            <w:tcW w:w="146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Interest rate swaps</w:t>
            </w:r>
          </w:p>
        </w:tc>
        <w:tc>
          <w:tcPr>
            <w:tcW w:w="282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(713)</w:t>
            </w:r>
          </w:p>
        </w:tc>
        <w:tc>
          <w:tcPr>
            <w:tcW w:w="4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620" w:type="dxa"/>
            <w:vAlign w:val="bottom"/>
            <w:shd w:val="clear" w:color="auto" w:fill="CEFFE7"/>
          </w:tcPr>
          <w:p>
            <w:pPr>
              <w:ind w:left="40"/>
              <w:spacing w:after="0"/>
              <w:rPr>
                <w:sz w:val="20"/>
                <w:szCs w:val="20"/>
                <w:color w:val="auto"/>
              </w:rPr>
            </w:pPr>
            <w:r>
              <w:rPr>
                <w:rFonts w:ascii="Arial" w:cs="Arial" w:eastAsia="Arial" w:hAnsi="Arial"/>
                <w:sz w:val="18"/>
                <w:szCs w:val="18"/>
                <w:color w:val="auto"/>
              </w:rPr>
              <w:t>Commodity contracts</w:t>
            </w:r>
          </w:p>
        </w:tc>
        <w:tc>
          <w:tcPr>
            <w:tcW w:w="2820" w:type="dxa"/>
            <w:vAlign w:val="bottom"/>
            <w:shd w:val="clear" w:color="auto" w:fill="CEFFE7"/>
          </w:tcPr>
          <w:p>
            <w:pPr>
              <w:ind w:left="140"/>
              <w:spacing w:after="0"/>
              <w:rPr>
                <w:sz w:val="20"/>
                <w:szCs w:val="20"/>
                <w:color w:val="auto"/>
              </w:rPr>
            </w:pPr>
            <w:r>
              <w:rPr>
                <w:rFonts w:ascii="Arial" w:cs="Arial" w:eastAsia="Arial" w:hAnsi="Arial"/>
                <w:sz w:val="18"/>
                <w:szCs w:val="18"/>
                <w:color w:val="auto"/>
                <w:w w:val="96"/>
              </w:rPr>
              <w:t>Fuel, purchased power and cost of</w:t>
            </w:r>
          </w:p>
        </w:tc>
        <w:tc>
          <w:tcPr>
            <w:tcW w:w="420" w:type="dxa"/>
            <w:vAlign w:val="bottom"/>
            <w:shd w:val="clear" w:color="auto" w:fill="CEFFE7"/>
          </w:tcPr>
          <w:p>
            <w:pPr>
              <w:spacing w:after="0"/>
              <w:rPr>
                <w:sz w:val="19"/>
                <w:szCs w:val="19"/>
                <w:color w:val="auto"/>
              </w:rPr>
            </w:pPr>
          </w:p>
        </w:tc>
        <w:tc>
          <w:tcPr>
            <w:tcW w:w="1460" w:type="dxa"/>
            <w:vAlign w:val="bottom"/>
            <w:shd w:val="clear" w:color="auto" w:fill="CEFFE7"/>
          </w:tcPr>
          <w:p>
            <w:pPr>
              <w:spacing w:after="0"/>
              <w:rPr>
                <w:sz w:val="19"/>
                <w:szCs w:val="19"/>
                <w:color w:val="auto"/>
              </w:rPr>
            </w:pPr>
          </w:p>
        </w:tc>
        <w:tc>
          <w:tcPr>
            <w:tcW w:w="460" w:type="dxa"/>
            <w:vAlign w:val="bottom"/>
            <w:shd w:val="clear" w:color="auto" w:fill="CEFFE7"/>
          </w:tcPr>
          <w:p>
            <w:pPr>
              <w:spacing w:after="0"/>
              <w:rPr>
                <w:sz w:val="19"/>
                <w:szCs w:val="19"/>
                <w:color w:val="auto"/>
              </w:rPr>
            </w:pPr>
          </w:p>
        </w:tc>
        <w:tc>
          <w:tcPr>
            <w:tcW w:w="146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EFFE7"/>
          </w:tcPr>
          <w:p>
            <w:pPr>
              <w:spacing w:after="0"/>
              <w:rPr>
                <w:sz w:val="20"/>
                <w:szCs w:val="20"/>
                <w:color w:val="auto"/>
              </w:rPr>
            </w:pPr>
          </w:p>
        </w:tc>
        <w:tc>
          <w:tcPr>
            <w:tcW w:w="2820" w:type="dxa"/>
            <w:vAlign w:val="bottom"/>
            <w:shd w:val="clear" w:color="auto" w:fill="CEFFE7"/>
          </w:tcPr>
          <w:p>
            <w:pPr>
              <w:ind w:left="140"/>
              <w:spacing w:after="0"/>
              <w:rPr>
                <w:sz w:val="20"/>
                <w:szCs w:val="20"/>
                <w:color w:val="auto"/>
              </w:rPr>
            </w:pPr>
            <w:r>
              <w:rPr>
                <w:rFonts w:ascii="Arial" w:cs="Arial" w:eastAsia="Arial" w:hAnsi="Arial"/>
                <w:sz w:val="18"/>
                <w:szCs w:val="18"/>
                <w:color w:val="auto"/>
              </w:rPr>
              <w:t>natural gas sold</w:t>
            </w:r>
          </w:p>
        </w:tc>
        <w:tc>
          <w:tcPr>
            <w:tcW w:w="420" w:type="dxa"/>
            <w:vAlign w:val="bottom"/>
            <w:shd w:val="clear" w:color="auto" w:fill="CEFFE7"/>
          </w:tcPr>
          <w:p>
            <w:pPr>
              <w:spacing w:after="0"/>
              <w:rPr>
                <w:sz w:val="20"/>
                <w:szCs w:val="20"/>
                <w:color w:val="auto"/>
              </w:rPr>
            </w:pPr>
          </w:p>
        </w:tc>
        <w:tc>
          <w:tcPr>
            <w:tcW w:w="1460" w:type="dxa"/>
            <w:vAlign w:val="bottom"/>
            <w:vMerge w:val="restart"/>
            <w:shd w:val="clear" w:color="auto" w:fill="CEFFE7"/>
          </w:tcPr>
          <w:p>
            <w:pPr>
              <w:jc w:val="right"/>
              <w:spacing w:after="0"/>
              <w:rPr>
                <w:sz w:val="20"/>
                <w:szCs w:val="20"/>
                <w:color w:val="auto"/>
              </w:rPr>
            </w:pPr>
            <w:r>
              <w:rPr>
                <w:rFonts w:ascii="Arial" w:cs="Arial" w:eastAsia="Arial" w:hAnsi="Arial"/>
                <w:sz w:val="18"/>
                <w:szCs w:val="18"/>
                <w:color w:val="auto"/>
              </w:rPr>
              <w:t>(486)</w:t>
            </w:r>
          </w:p>
        </w:tc>
        <w:tc>
          <w:tcPr>
            <w:tcW w:w="460" w:type="dxa"/>
            <w:vAlign w:val="bottom"/>
            <w:shd w:val="clear" w:color="auto" w:fill="CEFFE7"/>
          </w:tcPr>
          <w:p>
            <w:pPr>
              <w:spacing w:after="0"/>
              <w:rPr>
                <w:sz w:val="20"/>
                <w:szCs w:val="20"/>
                <w:color w:val="auto"/>
              </w:rPr>
            </w:pPr>
          </w:p>
        </w:tc>
        <w:tc>
          <w:tcPr>
            <w:tcW w:w="1460" w:type="dxa"/>
            <w:vAlign w:val="bottom"/>
            <w:vMerge w:val="restart"/>
            <w:shd w:val="clear" w:color="auto" w:fill="CEFFE7"/>
          </w:tcPr>
          <w:p>
            <w:pPr>
              <w:jc w:val="right"/>
              <w:ind w:right="1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43"/>
        </w:trPr>
        <w:tc>
          <w:tcPr>
            <w:tcW w:w="4620" w:type="dxa"/>
            <w:vAlign w:val="bottom"/>
            <w:tcBorders>
              <w:bottom w:val="single" w:sz="8" w:color="CEFFE7"/>
            </w:tcBorders>
            <w:shd w:val="clear" w:color="auto" w:fill="CEFFE7"/>
          </w:tcPr>
          <w:p>
            <w:pPr>
              <w:spacing w:after="0"/>
              <w:rPr>
                <w:sz w:val="21"/>
                <w:szCs w:val="21"/>
                <w:color w:val="auto"/>
              </w:rPr>
            </w:pPr>
          </w:p>
        </w:tc>
        <w:tc>
          <w:tcPr>
            <w:tcW w:w="2820" w:type="dxa"/>
            <w:vAlign w:val="bottom"/>
            <w:tcBorders>
              <w:bottom w:val="single" w:sz="8" w:color="CEFFE7"/>
            </w:tcBorders>
            <w:shd w:val="clear" w:color="auto" w:fill="CEFFE7"/>
          </w:tcPr>
          <w:p>
            <w:pPr>
              <w:spacing w:after="0"/>
              <w:rPr>
                <w:sz w:val="21"/>
                <w:szCs w:val="21"/>
                <w:color w:val="auto"/>
              </w:rPr>
            </w:pPr>
          </w:p>
        </w:tc>
        <w:tc>
          <w:tcPr>
            <w:tcW w:w="420" w:type="dxa"/>
            <w:vAlign w:val="bottom"/>
            <w:tcBorders>
              <w:bottom w:val="single" w:sz="8" w:color="CEFFE7"/>
            </w:tcBorders>
            <w:shd w:val="clear" w:color="auto" w:fill="CEFFE7"/>
          </w:tcPr>
          <w:p>
            <w:pPr>
              <w:spacing w:after="0"/>
              <w:rPr>
                <w:sz w:val="21"/>
                <w:szCs w:val="21"/>
                <w:color w:val="auto"/>
              </w:rPr>
            </w:pPr>
          </w:p>
        </w:tc>
        <w:tc>
          <w:tcPr>
            <w:tcW w:w="1460" w:type="dxa"/>
            <w:vAlign w:val="bottom"/>
            <w:tcBorders>
              <w:bottom w:val="single" w:sz="8" w:color="CEFFE7"/>
            </w:tcBorders>
            <w:vMerge w:val="continue"/>
            <w:shd w:val="clear" w:color="auto" w:fill="CEFFE7"/>
          </w:tcPr>
          <w:p>
            <w:pPr>
              <w:spacing w:after="0"/>
              <w:rPr>
                <w:sz w:val="21"/>
                <w:szCs w:val="21"/>
                <w:color w:val="auto"/>
              </w:rPr>
            </w:pPr>
          </w:p>
        </w:tc>
        <w:tc>
          <w:tcPr>
            <w:tcW w:w="460" w:type="dxa"/>
            <w:vAlign w:val="bottom"/>
            <w:tcBorders>
              <w:bottom w:val="single" w:sz="8" w:color="CEFFE7"/>
            </w:tcBorders>
            <w:shd w:val="clear" w:color="auto" w:fill="CEFFE7"/>
          </w:tcPr>
          <w:p>
            <w:pPr>
              <w:spacing w:after="0"/>
              <w:rPr>
                <w:sz w:val="21"/>
                <w:szCs w:val="21"/>
                <w:color w:val="auto"/>
              </w:rPr>
            </w:pPr>
          </w:p>
        </w:tc>
        <w:tc>
          <w:tcPr>
            <w:tcW w:w="1460" w:type="dxa"/>
            <w:vAlign w:val="bottom"/>
            <w:tcBorders>
              <w:bottom w:val="single" w:sz="8" w:color="CEFFE7"/>
            </w:tcBorders>
            <w:vMerge w:val="continue"/>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(1,199)</w:t>
            </w:r>
          </w:p>
        </w:tc>
        <w:tc>
          <w:tcPr>
            <w:tcW w:w="4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Income tax</w:t>
            </w:r>
          </w:p>
        </w:tc>
        <w:tc>
          <w:tcPr>
            <w:tcW w:w="2820" w:type="dxa"/>
            <w:vAlign w:val="bottom"/>
            <w:tcBorders>
              <w:bottom w:val="single" w:sz="8" w:color="CEFFE7"/>
            </w:tcBorders>
            <w:shd w:val="clear" w:color="auto" w:fill="CEFFE7"/>
          </w:tcPr>
          <w:p>
            <w:pPr>
              <w:ind w:left="140"/>
              <w:spacing w:after="0"/>
              <w:rPr>
                <w:sz w:val="20"/>
                <w:szCs w:val="20"/>
                <w:color w:val="auto"/>
              </w:rPr>
            </w:pPr>
            <w:r>
              <w:rPr>
                <w:rFonts w:ascii="Arial" w:cs="Arial" w:eastAsia="Arial" w:hAnsi="Arial"/>
                <w:sz w:val="18"/>
                <w:szCs w:val="18"/>
                <w:color w:val="auto"/>
              </w:rPr>
              <w:t>Income tax benefit (expense)</w:t>
            </w:r>
          </w:p>
        </w:tc>
        <w:tc>
          <w:tcPr>
            <w:tcW w:w="420" w:type="dxa"/>
            <w:vAlign w:val="bottom"/>
            <w:tcBorders>
              <w:bottom w:val="single" w:sz="8" w:color="CEFFE7"/>
            </w:tcBorders>
            <w:shd w:val="clear" w:color="auto" w:fill="CEFFE7"/>
          </w:tcPr>
          <w:p>
            <w:pPr>
              <w:spacing w:after="0"/>
              <w:rPr>
                <w:sz w:val="23"/>
                <w:szCs w:val="23"/>
                <w:color w:val="auto"/>
              </w:rPr>
            </w:pPr>
          </w:p>
        </w:tc>
        <w:tc>
          <w:tcPr>
            <w:tcW w:w="14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285</w:t>
            </w:r>
          </w:p>
        </w:tc>
        <w:tc>
          <w:tcPr>
            <w:tcW w:w="460" w:type="dxa"/>
            <w:vAlign w:val="bottom"/>
            <w:tcBorders>
              <w:bottom w:val="single" w:sz="8" w:color="CEFFE7"/>
            </w:tcBorders>
            <w:shd w:val="clear" w:color="auto" w:fill="CEFFE7"/>
          </w:tcPr>
          <w:p>
            <w:pPr>
              <w:spacing w:after="0"/>
              <w:rPr>
                <w:sz w:val="23"/>
                <w:szCs w:val="23"/>
                <w:color w:val="auto"/>
              </w:rPr>
            </w:pPr>
          </w:p>
        </w:tc>
        <w:tc>
          <w:tcPr>
            <w:tcW w:w="14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9"/>
        </w:trPr>
        <w:tc>
          <w:tcPr>
            <w:tcW w:w="4620" w:type="dxa"/>
            <w:vAlign w:val="bottom"/>
          </w:tcPr>
          <w:p>
            <w:pPr>
              <w:ind w:left="40"/>
              <w:spacing w:after="0"/>
              <w:rPr>
                <w:sz w:val="20"/>
                <w:szCs w:val="20"/>
                <w:color w:val="auto"/>
              </w:rPr>
            </w:pPr>
            <w:r>
              <w:rPr>
                <w:rFonts w:ascii="Arial" w:cs="Arial" w:eastAsia="Arial" w:hAnsi="Arial"/>
                <w:sz w:val="18"/>
                <w:szCs w:val="18"/>
                <w:color w:val="auto"/>
                <w:w w:val="92"/>
              </w:rPr>
              <w:t>Total reclassification adjustments related to cash flow hedges,</w:t>
            </w:r>
          </w:p>
        </w:tc>
        <w:tc>
          <w:tcPr>
            <w:tcW w:w="28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40"/>
              <w:spacing w:after="0"/>
              <w:rPr>
                <w:sz w:val="20"/>
                <w:szCs w:val="20"/>
                <w:color w:val="auto"/>
              </w:rPr>
            </w:pPr>
            <w:r>
              <w:rPr>
                <w:rFonts w:ascii="Arial" w:cs="Arial" w:eastAsia="Arial" w:hAnsi="Arial"/>
                <w:sz w:val="18"/>
                <w:szCs w:val="18"/>
                <w:color w:val="auto"/>
              </w:rPr>
              <w:t>net of tax</w:t>
            </w:r>
          </w:p>
        </w:tc>
        <w:tc>
          <w:tcPr>
            <w:tcW w:w="282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(914)</w:t>
            </w:r>
          </w:p>
        </w:tc>
        <w:tc>
          <w:tcPr>
            <w:tcW w:w="4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EFFE7"/>
            </w:tcBorders>
          </w:tcPr>
          <w:p>
            <w:pPr>
              <w:spacing w:after="0"/>
              <w:rPr>
                <w:sz w:val="2"/>
                <w:szCs w:val="2"/>
                <w:color w:val="auto"/>
              </w:rPr>
            </w:pPr>
          </w:p>
        </w:tc>
        <w:tc>
          <w:tcPr>
            <w:tcW w:w="2820" w:type="dxa"/>
            <w:vAlign w:val="bottom"/>
            <w:tcBorders>
              <w:bottom w:val="single" w:sz="8" w:color="CEFFE7"/>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620" w:type="dxa"/>
            <w:vAlign w:val="bottom"/>
            <w:shd w:val="clear" w:color="auto" w:fill="CEFFE7"/>
          </w:tcPr>
          <w:p>
            <w:pPr>
              <w:spacing w:after="0"/>
              <w:rPr>
                <w:sz w:val="24"/>
                <w:szCs w:val="24"/>
                <w:color w:val="auto"/>
              </w:rPr>
            </w:pPr>
          </w:p>
        </w:tc>
        <w:tc>
          <w:tcPr>
            <w:tcW w:w="2820" w:type="dxa"/>
            <w:vAlign w:val="bottom"/>
            <w:shd w:val="clear" w:color="auto" w:fill="CEFFE7"/>
          </w:tcPr>
          <w:p>
            <w:pPr>
              <w:spacing w:after="0"/>
              <w:rPr>
                <w:sz w:val="24"/>
                <w:szCs w:val="24"/>
                <w:color w:val="auto"/>
              </w:rPr>
            </w:pPr>
          </w:p>
        </w:tc>
        <w:tc>
          <w:tcPr>
            <w:tcW w:w="420" w:type="dxa"/>
            <w:vAlign w:val="bottom"/>
            <w:shd w:val="clear" w:color="auto" w:fill="CEFFE7"/>
          </w:tcPr>
          <w:p>
            <w:pPr>
              <w:spacing w:after="0"/>
              <w:rPr>
                <w:sz w:val="24"/>
                <w:szCs w:val="24"/>
                <w:color w:val="auto"/>
              </w:rPr>
            </w:pPr>
          </w:p>
        </w:tc>
        <w:tc>
          <w:tcPr>
            <w:tcW w:w="1460" w:type="dxa"/>
            <w:vAlign w:val="bottom"/>
            <w:shd w:val="clear" w:color="auto" w:fill="CEFFE7"/>
          </w:tcPr>
          <w:p>
            <w:pPr>
              <w:spacing w:after="0"/>
              <w:rPr>
                <w:sz w:val="24"/>
                <w:szCs w:val="24"/>
                <w:color w:val="auto"/>
              </w:rPr>
            </w:pPr>
          </w:p>
        </w:tc>
        <w:tc>
          <w:tcPr>
            <w:tcW w:w="460" w:type="dxa"/>
            <w:vAlign w:val="bottom"/>
            <w:shd w:val="clear" w:color="auto" w:fill="CEFFE7"/>
          </w:tcPr>
          <w:p>
            <w:pPr>
              <w:spacing w:after="0"/>
              <w:rPr>
                <w:sz w:val="24"/>
                <w:szCs w:val="24"/>
                <w:color w:val="auto"/>
              </w:rPr>
            </w:pPr>
          </w:p>
        </w:tc>
        <w:tc>
          <w:tcPr>
            <w:tcW w:w="146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Amortization of components of defined benefit plans:</w:t>
            </w:r>
          </w:p>
        </w:tc>
        <w:tc>
          <w:tcPr>
            <w:tcW w:w="2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Prior service cost</w:t>
            </w:r>
          </w:p>
        </w:tc>
        <w:tc>
          <w:tcPr>
            <w:tcW w:w="2820" w:type="dxa"/>
            <w:vAlign w:val="bottom"/>
            <w:tcBorders>
              <w:bottom w:val="single" w:sz="8" w:color="CEFFE7"/>
            </w:tcBorders>
            <w:shd w:val="clear" w:color="auto" w:fill="CEFFE7"/>
          </w:tcPr>
          <w:p>
            <w:pPr>
              <w:ind w:left="140"/>
              <w:spacing w:after="0"/>
              <w:rPr>
                <w:sz w:val="20"/>
                <w:szCs w:val="20"/>
                <w:color w:val="auto"/>
              </w:rPr>
            </w:pPr>
            <w:r>
              <w:rPr>
                <w:rFonts w:ascii="Arial" w:cs="Arial" w:eastAsia="Arial" w:hAnsi="Arial"/>
                <w:sz w:val="18"/>
                <w:szCs w:val="18"/>
                <w:color w:val="auto"/>
              </w:rPr>
              <w:t>Operations and maintenance</w:t>
            </w:r>
          </w:p>
        </w:tc>
        <w:tc>
          <w:tcPr>
            <w:tcW w:w="420" w:type="dxa"/>
            <w:vAlign w:val="bottom"/>
            <w:tcBorders>
              <w:bottom w:val="single" w:sz="8" w:color="CEFFE7"/>
            </w:tcBorders>
            <w:shd w:val="clear" w:color="auto" w:fill="CEFFE7"/>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30</w:t>
            </w:r>
          </w:p>
        </w:tc>
        <w:tc>
          <w:tcPr>
            <w:tcW w:w="460" w:type="dxa"/>
            <w:vAlign w:val="bottom"/>
            <w:tcBorders>
              <w:bottom w:val="single" w:sz="8" w:color="CEFFE7"/>
            </w:tcBorders>
            <w:shd w:val="clear" w:color="auto" w:fill="CEFFE7"/>
          </w:tcPr>
          <w:p>
            <w:pPr>
              <w:jc w:val="right"/>
              <w:ind w:right="23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24"/>
        </w:trPr>
        <w:tc>
          <w:tcPr>
            <w:tcW w:w="46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Actuarial gain (loss)</w:t>
            </w:r>
          </w:p>
        </w:tc>
        <w:tc>
          <w:tcPr>
            <w:tcW w:w="2820" w:type="dxa"/>
            <w:vAlign w:val="bottom"/>
            <w:tcBorders>
              <w:bottom w:val="single" w:sz="8" w:color="CEFFE7"/>
            </w:tcBorders>
            <w:shd w:val="clear" w:color="auto" w:fill="CEFFE7"/>
          </w:tcPr>
          <w:p>
            <w:pPr>
              <w:ind w:left="140"/>
              <w:spacing w:after="0"/>
              <w:rPr>
                <w:sz w:val="20"/>
                <w:szCs w:val="20"/>
                <w:color w:val="auto"/>
              </w:rPr>
            </w:pPr>
            <w:r>
              <w:rPr>
                <w:rFonts w:ascii="Arial" w:cs="Arial" w:eastAsia="Arial" w:hAnsi="Arial"/>
                <w:sz w:val="18"/>
                <w:szCs w:val="18"/>
                <w:color w:val="auto"/>
              </w:rPr>
              <w:t>Operations and maintenance</w:t>
            </w:r>
          </w:p>
        </w:tc>
        <w:tc>
          <w:tcPr>
            <w:tcW w:w="420" w:type="dxa"/>
            <w:vAlign w:val="bottom"/>
            <w:tcBorders>
              <w:bottom w:val="single" w:sz="8" w:color="CEFFE7"/>
            </w:tcBorders>
            <w:shd w:val="clear" w:color="auto" w:fill="CEFFE7"/>
          </w:tcPr>
          <w:p>
            <w:pPr>
              <w:spacing w:after="0"/>
              <w:rPr>
                <w:sz w:val="23"/>
                <w:szCs w:val="23"/>
                <w:color w:val="auto"/>
              </w:rPr>
            </w:pPr>
          </w:p>
        </w:tc>
        <w:tc>
          <w:tcPr>
            <w:tcW w:w="14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(597)</w:t>
            </w:r>
          </w:p>
        </w:tc>
        <w:tc>
          <w:tcPr>
            <w:tcW w:w="460" w:type="dxa"/>
            <w:vAlign w:val="bottom"/>
            <w:tcBorders>
              <w:bottom w:val="single" w:sz="8" w:color="CEFFE7"/>
            </w:tcBorders>
            <w:shd w:val="clear" w:color="auto" w:fill="CEFFE7"/>
          </w:tcPr>
          <w:p>
            <w:pPr>
              <w:spacing w:after="0"/>
              <w:rPr>
                <w:sz w:val="23"/>
                <w:szCs w:val="23"/>
                <w:color w:val="auto"/>
              </w:rPr>
            </w:pPr>
          </w:p>
        </w:tc>
        <w:tc>
          <w:tcPr>
            <w:tcW w:w="14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4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Income tax</w:t>
            </w:r>
          </w:p>
        </w:tc>
        <w:tc>
          <w:tcPr>
            <w:tcW w:w="2820" w:type="dxa"/>
            <w:vAlign w:val="bottom"/>
            <w:tcBorders>
              <w:bottom w:val="single" w:sz="8" w:color="CEFFE7"/>
            </w:tcBorders>
            <w:shd w:val="clear" w:color="auto" w:fill="CEFFE7"/>
          </w:tcPr>
          <w:p>
            <w:pPr>
              <w:ind w:left="140"/>
              <w:spacing w:after="0"/>
              <w:rPr>
                <w:sz w:val="20"/>
                <w:szCs w:val="20"/>
                <w:color w:val="auto"/>
              </w:rPr>
            </w:pPr>
            <w:r>
              <w:rPr>
                <w:rFonts w:ascii="Arial" w:cs="Arial" w:eastAsia="Arial" w:hAnsi="Arial"/>
                <w:sz w:val="18"/>
                <w:szCs w:val="18"/>
                <w:color w:val="auto"/>
              </w:rPr>
              <w:t>Income tax benefit (expense)</w:t>
            </w:r>
          </w:p>
        </w:tc>
        <w:tc>
          <w:tcPr>
            <w:tcW w:w="420" w:type="dxa"/>
            <w:vAlign w:val="bottom"/>
            <w:tcBorders>
              <w:bottom w:val="single" w:sz="8" w:color="CEFFE7"/>
            </w:tcBorders>
            <w:shd w:val="clear" w:color="auto" w:fill="CEFFE7"/>
          </w:tcPr>
          <w:p>
            <w:pPr>
              <w:spacing w:after="0"/>
              <w:rPr>
                <w:sz w:val="23"/>
                <w:szCs w:val="23"/>
                <w:color w:val="auto"/>
              </w:rPr>
            </w:pPr>
          </w:p>
        </w:tc>
        <w:tc>
          <w:tcPr>
            <w:tcW w:w="14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88</w:t>
            </w:r>
          </w:p>
        </w:tc>
        <w:tc>
          <w:tcPr>
            <w:tcW w:w="460" w:type="dxa"/>
            <w:vAlign w:val="bottom"/>
            <w:tcBorders>
              <w:bottom w:val="single" w:sz="8" w:color="CEFFE7"/>
            </w:tcBorders>
            <w:shd w:val="clear" w:color="auto" w:fill="CEFFE7"/>
          </w:tcPr>
          <w:p>
            <w:pPr>
              <w:spacing w:after="0"/>
              <w:rPr>
                <w:sz w:val="23"/>
                <w:szCs w:val="23"/>
                <w:color w:val="auto"/>
              </w:rPr>
            </w:pPr>
          </w:p>
        </w:tc>
        <w:tc>
          <w:tcPr>
            <w:tcW w:w="14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9"/>
        </w:trPr>
        <w:tc>
          <w:tcPr>
            <w:tcW w:w="4620" w:type="dxa"/>
            <w:vAlign w:val="bottom"/>
          </w:tcPr>
          <w:p>
            <w:pPr>
              <w:ind w:left="40"/>
              <w:spacing w:after="0"/>
              <w:rPr>
                <w:sz w:val="20"/>
                <w:szCs w:val="20"/>
                <w:color w:val="auto"/>
              </w:rPr>
            </w:pPr>
            <w:r>
              <w:rPr>
                <w:rFonts w:ascii="Arial" w:cs="Arial" w:eastAsia="Arial" w:hAnsi="Arial"/>
                <w:sz w:val="18"/>
                <w:szCs w:val="18"/>
                <w:color w:val="auto"/>
                <w:w w:val="97"/>
              </w:rPr>
              <w:t>Total reclassification adjustments related to defined benefit</w:t>
            </w:r>
          </w:p>
        </w:tc>
        <w:tc>
          <w:tcPr>
            <w:tcW w:w="28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40"/>
              <w:spacing w:after="0"/>
              <w:rPr>
                <w:sz w:val="20"/>
                <w:szCs w:val="20"/>
                <w:color w:val="auto"/>
              </w:rPr>
            </w:pPr>
            <w:r>
              <w:rPr>
                <w:rFonts w:ascii="Arial" w:cs="Arial" w:eastAsia="Arial" w:hAnsi="Arial"/>
                <w:sz w:val="18"/>
                <w:szCs w:val="18"/>
                <w:color w:val="auto"/>
              </w:rPr>
              <w:t>plans, net of tax</w:t>
            </w:r>
          </w:p>
        </w:tc>
        <w:tc>
          <w:tcPr>
            <w:tcW w:w="282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(479)</w:t>
            </w:r>
          </w:p>
        </w:tc>
        <w:tc>
          <w:tcPr>
            <w:tcW w:w="4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EFFE7"/>
            </w:tcBorders>
          </w:tcPr>
          <w:p>
            <w:pPr>
              <w:spacing w:after="0"/>
              <w:rPr>
                <w:sz w:val="2"/>
                <w:szCs w:val="2"/>
                <w:color w:val="auto"/>
              </w:rPr>
            </w:pPr>
          </w:p>
        </w:tc>
        <w:tc>
          <w:tcPr>
            <w:tcW w:w="2820" w:type="dxa"/>
            <w:vAlign w:val="bottom"/>
            <w:tcBorders>
              <w:bottom w:val="single" w:sz="8" w:color="CEFFE7"/>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6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Total reclassifications</w:t>
            </w:r>
          </w:p>
        </w:tc>
        <w:tc>
          <w:tcPr>
            <w:tcW w:w="2820" w:type="dxa"/>
            <w:vAlign w:val="bottom"/>
            <w:tcBorders>
              <w:bottom w:val="single" w:sz="8" w:color="CEFFE7"/>
            </w:tcBorders>
            <w:shd w:val="clear" w:color="auto" w:fill="CEFFE7"/>
          </w:tcPr>
          <w:p>
            <w:pPr>
              <w:spacing w:after="0"/>
              <w:rPr>
                <w:sz w:val="22"/>
                <w:szCs w:val="22"/>
                <w:color w:val="auto"/>
              </w:rPr>
            </w:pPr>
          </w:p>
        </w:tc>
        <w:tc>
          <w:tcPr>
            <w:tcW w:w="420" w:type="dxa"/>
            <w:vAlign w:val="bottom"/>
            <w:tcBorders>
              <w:bottom w:val="single" w:sz="8" w:color="CEFFE7"/>
            </w:tcBorders>
            <w:shd w:val="clear" w:color="auto" w:fill="CEFFE7"/>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(1,393)</w:t>
            </w:r>
          </w:p>
        </w:tc>
        <w:tc>
          <w:tcPr>
            <w:tcW w:w="460" w:type="dxa"/>
            <w:vAlign w:val="bottom"/>
            <w:tcBorders>
              <w:bottom w:val="single" w:sz="8" w:color="CEFFE7"/>
            </w:tcBorders>
            <w:shd w:val="clear" w:color="auto" w:fill="CEFFE7"/>
          </w:tcPr>
          <w:p>
            <w:pPr>
              <w:jc w:val="right"/>
              <w:ind w:right="23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0"/>
        </w:trPr>
        <w:tc>
          <w:tcPr>
            <w:tcW w:w="4620" w:type="dxa"/>
            <w:vAlign w:val="bottom"/>
            <w:tcBorders>
              <w:top w:val="single" w:sz="8" w:color="CEFFE7"/>
            </w:tcBorders>
          </w:tcPr>
          <w:p>
            <w:pPr>
              <w:spacing w:after="0" w:line="20" w:lineRule="exact"/>
              <w:rPr>
                <w:sz w:val="1"/>
                <w:szCs w:val="1"/>
                <w:color w:val="auto"/>
              </w:rPr>
            </w:pPr>
          </w:p>
        </w:tc>
        <w:tc>
          <w:tcPr>
            <w:tcW w:w="2820" w:type="dxa"/>
            <w:vAlign w:val="bottom"/>
            <w:tcBorders>
              <w:top w:val="single" w:sz="8" w:color="CEFFE7"/>
              <w:bottom w:val="single" w:sz="8" w:color="CEFFE7"/>
            </w:tcBorders>
            <w:vMerge w:val="restart"/>
          </w:tcPr>
          <w:p>
            <w:pPr>
              <w:ind w:left="920"/>
              <w:spacing w:after="0"/>
              <w:rPr>
                <w:sz w:val="20"/>
                <w:szCs w:val="20"/>
                <w:color w:val="auto"/>
              </w:rPr>
            </w:pPr>
            <w:r>
              <w:rPr>
                <w:rFonts w:ascii="Arial" w:cs="Arial" w:eastAsia="Arial" w:hAnsi="Arial"/>
                <w:sz w:val="18"/>
                <w:szCs w:val="18"/>
                <w:color w:val="auto"/>
              </w:rPr>
              <w:t>27</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62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6" w:right="339" w:bottom="1440" w:gutter="0" w:footer="0" w:header="0"/>
        </w:sectPr>
      </w:pPr>
    </w:p>
    <w:bookmarkStart w:id="27" w:name="page28"/>
    <w:bookmarkEnd w:id="2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Balances by classification included within AOCI, net of tax on the accompanying Condensed Consolidated Balance Sheets were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center"/>
              <w:ind w:right="50"/>
              <w:spacing w:after="0"/>
              <w:rPr>
                <w:sz w:val="20"/>
                <w:szCs w:val="20"/>
                <w:color w:val="auto"/>
              </w:rPr>
            </w:pPr>
            <w:r>
              <w:rPr>
                <w:rFonts w:ascii="Arial" w:cs="Arial" w:eastAsia="Arial" w:hAnsi="Arial"/>
                <w:sz w:val="18"/>
                <w:szCs w:val="18"/>
                <w:color w:val="auto"/>
                <w:w w:val="93"/>
              </w:rPr>
              <w:t>Employee Benefit</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3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tcPr>
          <w:p>
            <w:pPr>
              <w:jc w:val="right"/>
              <w:ind w:right="310"/>
              <w:spacing w:after="0"/>
              <w:rPr>
                <w:sz w:val="20"/>
                <w:szCs w:val="20"/>
                <w:color w:val="auto"/>
              </w:rPr>
            </w:pPr>
            <w:r>
              <w:rPr>
                <w:rFonts w:ascii="Arial" w:cs="Arial" w:eastAsia="Arial" w:hAnsi="Arial"/>
                <w:sz w:val="18"/>
                <w:szCs w:val="18"/>
                <w:color w:val="auto"/>
                <w:w w:val="94"/>
              </w:rPr>
              <w:t>Interest Rate Swaps</w:t>
            </w:r>
          </w:p>
        </w:tc>
        <w:tc>
          <w:tcPr>
            <w:tcW w:w="140" w:type="dxa"/>
            <w:vAlign w:val="bottom"/>
          </w:tcPr>
          <w:p>
            <w:pPr>
              <w:spacing w:after="0"/>
              <w:rPr>
                <w:sz w:val="20"/>
                <w:szCs w:val="20"/>
                <w:color w:val="auto"/>
              </w:rPr>
            </w:pPr>
          </w:p>
        </w:tc>
        <w:tc>
          <w:tcPr>
            <w:tcW w:w="1880" w:type="dxa"/>
            <w:vAlign w:val="bottom"/>
          </w:tcPr>
          <w:p>
            <w:pPr>
              <w:jc w:val="right"/>
              <w:ind w:right="50"/>
              <w:spacing w:after="0"/>
              <w:rPr>
                <w:sz w:val="20"/>
                <w:szCs w:val="20"/>
                <w:color w:val="auto"/>
              </w:rPr>
            </w:pPr>
            <w:r>
              <w:rPr>
                <w:rFonts w:ascii="Arial" w:cs="Arial" w:eastAsia="Arial" w:hAnsi="Arial"/>
                <w:sz w:val="18"/>
                <w:szCs w:val="18"/>
                <w:color w:val="auto"/>
                <w:w w:val="92"/>
              </w:rPr>
              <w:t>Commodity Derivatives</w:t>
            </w:r>
          </w:p>
        </w:tc>
        <w:tc>
          <w:tcPr>
            <w:tcW w:w="160" w:type="dxa"/>
            <w:vAlign w:val="bottom"/>
          </w:tcPr>
          <w:p>
            <w:pPr>
              <w:spacing w:after="0"/>
              <w:rPr>
                <w:sz w:val="20"/>
                <w:szCs w:val="20"/>
                <w:color w:val="auto"/>
              </w:rPr>
            </w:pPr>
          </w:p>
        </w:tc>
        <w:tc>
          <w:tcPr>
            <w:tcW w:w="1540" w:type="dxa"/>
            <w:vAlign w:val="bottom"/>
          </w:tcPr>
          <w:p>
            <w:pPr>
              <w:jc w:val="center"/>
              <w:ind w:right="50"/>
              <w:spacing w:after="0"/>
              <w:rPr>
                <w:sz w:val="20"/>
                <w:szCs w:val="20"/>
                <w:color w:val="auto"/>
              </w:rPr>
            </w:pPr>
            <w:r>
              <w:rPr>
                <w:rFonts w:ascii="Arial" w:cs="Arial" w:eastAsia="Arial" w:hAnsi="Arial"/>
                <w:sz w:val="18"/>
                <w:szCs w:val="18"/>
                <w:color w:val="auto"/>
                <w:w w:val="88"/>
              </w:rPr>
              <w:t>Plans</w:t>
            </w: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Total</w:t>
            </w:r>
          </w:p>
        </w:tc>
      </w:tr>
      <w:tr>
        <w:trPr>
          <w:trHeight w:val="27"/>
        </w:trPr>
        <w:tc>
          <w:tcPr>
            <w:tcW w:w="3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3820" w:type="dxa"/>
            <w:vAlign w:val="bottom"/>
          </w:tcPr>
          <w:p>
            <w:pPr>
              <w:ind w:left="40"/>
              <w:spacing w:after="0"/>
              <w:rPr>
                <w:sz w:val="20"/>
                <w:szCs w:val="20"/>
                <w:color w:val="auto"/>
              </w:rPr>
            </w:pPr>
            <w:r>
              <w:rPr>
                <w:rFonts w:ascii="Arial" w:cs="Arial" w:eastAsia="Arial" w:hAnsi="Arial"/>
                <w:sz w:val="18"/>
                <w:szCs w:val="18"/>
                <w:color w:val="auto"/>
              </w:rPr>
              <w:t>As of December 31, 2019</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(15,122)</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(456)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(15,077)</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(30,655)</w:t>
            </w:r>
          </w:p>
        </w:tc>
      </w:tr>
      <w:tr>
        <w:trPr>
          <w:trHeight w:val="27"/>
        </w:trPr>
        <w:tc>
          <w:tcPr>
            <w:tcW w:w="3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8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Borders>
              <w:bottom w:val="single" w:sz="8" w:color="CEFFE7"/>
            </w:tcBorders>
            <w:shd w:val="clear" w:color="auto" w:fill="CEFFE7"/>
          </w:tcPr>
          <w:p>
            <w:pPr>
              <w:spacing w:after="0"/>
              <w:rPr>
                <w:sz w:val="21"/>
                <w:szCs w:val="21"/>
                <w:color w:val="auto"/>
              </w:rPr>
            </w:pPr>
          </w:p>
        </w:tc>
        <w:tc>
          <w:tcPr>
            <w:tcW w:w="196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88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154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spacing w:after="0"/>
              <w:rPr>
                <w:sz w:val="21"/>
                <w:szCs w:val="21"/>
                <w:color w:val="auto"/>
              </w:rPr>
            </w:pPr>
          </w:p>
        </w:tc>
      </w:tr>
      <w:tr>
        <w:trPr>
          <w:trHeight w:val="243"/>
        </w:trPr>
        <w:tc>
          <w:tcPr>
            <w:tcW w:w="3820" w:type="dxa"/>
            <w:vAlign w:val="bottom"/>
          </w:tcPr>
          <w:p>
            <w:pPr>
              <w:ind w:left="180"/>
              <w:spacing w:after="0"/>
              <w:rPr>
                <w:sz w:val="20"/>
                <w:szCs w:val="20"/>
                <w:color w:val="auto"/>
              </w:rPr>
            </w:pPr>
            <w:r>
              <w:rPr>
                <w:rFonts w:ascii="Arial" w:cs="Arial" w:eastAsia="Arial" w:hAnsi="Arial"/>
                <w:sz w:val="18"/>
                <w:szCs w:val="18"/>
                <w:color w:val="auto"/>
              </w:rPr>
              <w:t>before reclassifications</w:t>
            </w:r>
          </w:p>
        </w:tc>
        <w:tc>
          <w:tcPr>
            <w:tcW w:w="28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(175)</w:t>
            </w:r>
          </w:p>
        </w:tc>
        <w:tc>
          <w:tcPr>
            <w:tcW w:w="1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7"/>
        </w:trPr>
        <w:tc>
          <w:tcPr>
            <w:tcW w:w="3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8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Amounts reclassified from AOCI</w:t>
            </w:r>
          </w:p>
        </w:tc>
        <w:tc>
          <w:tcPr>
            <w:tcW w:w="280" w:type="dxa"/>
            <w:vAlign w:val="bottom"/>
            <w:tcBorders>
              <w:bottom w:val="single" w:sz="8" w:color="CEFFE7"/>
            </w:tcBorders>
            <w:shd w:val="clear" w:color="auto" w:fill="CEFFE7"/>
          </w:tcPr>
          <w:p>
            <w:pPr>
              <w:spacing w:after="0"/>
              <w:rPr>
                <w:sz w:val="23"/>
                <w:szCs w:val="23"/>
                <w:color w:val="auto"/>
              </w:rPr>
            </w:pPr>
          </w:p>
        </w:tc>
        <w:tc>
          <w:tcPr>
            <w:tcW w:w="1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543</w:t>
            </w:r>
          </w:p>
        </w:tc>
        <w:tc>
          <w:tcPr>
            <w:tcW w:w="140" w:type="dxa"/>
            <w:vAlign w:val="bottom"/>
            <w:tcBorders>
              <w:bottom w:val="single" w:sz="8" w:color="CEFFE7"/>
            </w:tcBorders>
            <w:shd w:val="clear" w:color="auto" w:fill="CEFFE7"/>
          </w:tcPr>
          <w:p>
            <w:pPr>
              <w:spacing w:after="0"/>
              <w:rPr>
                <w:sz w:val="23"/>
                <w:szCs w:val="23"/>
                <w:color w:val="auto"/>
              </w:rPr>
            </w:pPr>
          </w:p>
        </w:tc>
        <w:tc>
          <w:tcPr>
            <w:tcW w:w="1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371</w:t>
            </w:r>
          </w:p>
        </w:tc>
        <w:tc>
          <w:tcPr>
            <w:tcW w:w="160" w:type="dxa"/>
            <w:vAlign w:val="bottom"/>
            <w:tcBorders>
              <w:bottom w:val="single" w:sz="8" w:color="CEFFE7"/>
            </w:tcBorders>
            <w:shd w:val="clear" w:color="auto" w:fill="CEFFE7"/>
          </w:tcPr>
          <w:p>
            <w:pPr>
              <w:spacing w:after="0"/>
              <w:rPr>
                <w:sz w:val="23"/>
                <w:szCs w:val="23"/>
                <w:color w:val="auto"/>
              </w:rPr>
            </w:pPr>
          </w:p>
        </w:tc>
        <w:tc>
          <w:tcPr>
            <w:tcW w:w="15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479</w:t>
            </w:r>
          </w:p>
        </w:tc>
        <w:tc>
          <w:tcPr>
            <w:tcW w:w="340" w:type="dxa"/>
            <w:vAlign w:val="bottom"/>
            <w:tcBorders>
              <w:bottom w:val="single" w:sz="8" w:color="CEFFE7"/>
            </w:tcBorders>
            <w:shd w:val="clear" w:color="auto" w:fill="CEFFE7"/>
          </w:tcPr>
          <w:p>
            <w:pPr>
              <w:spacing w:after="0"/>
              <w:rPr>
                <w:sz w:val="23"/>
                <w:szCs w:val="23"/>
                <w:color w:val="auto"/>
              </w:rPr>
            </w:pP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1,393</w:t>
            </w:r>
          </w:p>
        </w:tc>
      </w:tr>
      <w:tr>
        <w:trPr>
          <w:trHeight w:val="297"/>
        </w:trPr>
        <w:tc>
          <w:tcPr>
            <w:tcW w:w="3820" w:type="dxa"/>
            <w:vAlign w:val="bottom"/>
            <w:tcBorders>
              <w:bottom w:val="single" w:sz="8" w:color="CEFFE7"/>
            </w:tcBorders>
          </w:tcPr>
          <w:p>
            <w:pPr>
              <w:ind w:left="40"/>
              <w:spacing w:after="0"/>
              <w:rPr>
                <w:sz w:val="20"/>
                <w:szCs w:val="20"/>
                <w:color w:val="auto"/>
              </w:rPr>
            </w:pPr>
            <w:r>
              <w:rPr>
                <w:rFonts w:ascii="Arial" w:cs="Arial" w:eastAsia="Arial" w:hAnsi="Arial"/>
                <w:sz w:val="18"/>
                <w:szCs w:val="18"/>
                <w:color w:val="auto"/>
              </w:rPr>
              <w:t>As of March 31, 2020</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(14,579)</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(14,543)</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(29,382)</w:t>
            </w:r>
          </w:p>
        </w:tc>
      </w:tr>
      <w:tr>
        <w:trPr>
          <w:trHeight w:val="311"/>
        </w:trPr>
        <w:tc>
          <w:tcPr>
            <w:tcW w:w="3820" w:type="dxa"/>
            <w:vAlign w:val="bottom"/>
            <w:shd w:val="clear" w:color="auto" w:fill="CEFFE7"/>
          </w:tcPr>
          <w:p>
            <w:pPr>
              <w:spacing w:after="0"/>
              <w:rPr>
                <w:sz w:val="24"/>
                <w:szCs w:val="24"/>
                <w:color w:val="auto"/>
              </w:rPr>
            </w:pPr>
          </w:p>
        </w:tc>
        <w:tc>
          <w:tcPr>
            <w:tcW w:w="280" w:type="dxa"/>
            <w:vAlign w:val="bottom"/>
            <w:shd w:val="clear" w:color="auto" w:fill="CEFFE7"/>
          </w:tcPr>
          <w:p>
            <w:pPr>
              <w:spacing w:after="0"/>
              <w:rPr>
                <w:sz w:val="24"/>
                <w:szCs w:val="24"/>
                <w:color w:val="auto"/>
              </w:rPr>
            </w:pPr>
          </w:p>
        </w:tc>
        <w:tc>
          <w:tcPr>
            <w:tcW w:w="1960" w:type="dxa"/>
            <w:vAlign w:val="bottom"/>
            <w:shd w:val="clear" w:color="auto" w:fill="CEFFE7"/>
          </w:tcPr>
          <w:p>
            <w:pPr>
              <w:spacing w:after="0"/>
              <w:rPr>
                <w:sz w:val="24"/>
                <w:szCs w:val="24"/>
                <w:color w:val="auto"/>
              </w:rPr>
            </w:pPr>
          </w:p>
        </w:tc>
        <w:tc>
          <w:tcPr>
            <w:tcW w:w="140" w:type="dxa"/>
            <w:vAlign w:val="bottom"/>
            <w:shd w:val="clear" w:color="auto" w:fill="CEFFE7"/>
          </w:tcPr>
          <w:p>
            <w:pPr>
              <w:spacing w:after="0"/>
              <w:rPr>
                <w:sz w:val="24"/>
                <w:szCs w:val="24"/>
                <w:color w:val="auto"/>
              </w:rPr>
            </w:pPr>
          </w:p>
        </w:tc>
        <w:tc>
          <w:tcPr>
            <w:tcW w:w="1880" w:type="dxa"/>
            <w:vAlign w:val="bottom"/>
            <w:shd w:val="clear" w:color="auto" w:fill="CEFFE7"/>
          </w:tcPr>
          <w:p>
            <w:pPr>
              <w:spacing w:after="0"/>
              <w:rPr>
                <w:sz w:val="24"/>
                <w:szCs w:val="24"/>
                <w:color w:val="auto"/>
              </w:rPr>
            </w:pPr>
          </w:p>
        </w:tc>
        <w:tc>
          <w:tcPr>
            <w:tcW w:w="160" w:type="dxa"/>
            <w:vAlign w:val="bottom"/>
            <w:shd w:val="clear" w:color="auto" w:fill="CEFFE7"/>
          </w:tcPr>
          <w:p>
            <w:pPr>
              <w:spacing w:after="0"/>
              <w:rPr>
                <w:sz w:val="24"/>
                <w:szCs w:val="24"/>
                <w:color w:val="auto"/>
              </w:rPr>
            </w:pPr>
          </w:p>
        </w:tc>
        <w:tc>
          <w:tcPr>
            <w:tcW w:w="1540" w:type="dxa"/>
            <w:vAlign w:val="bottom"/>
            <w:shd w:val="clear" w:color="auto" w:fill="CEFFE7"/>
          </w:tcPr>
          <w:p>
            <w:pPr>
              <w:spacing w:after="0"/>
              <w:rPr>
                <w:sz w:val="24"/>
                <w:szCs w:val="24"/>
                <w:color w:val="auto"/>
              </w:rPr>
            </w:pPr>
          </w:p>
        </w:tc>
        <w:tc>
          <w:tcPr>
            <w:tcW w:w="340" w:type="dxa"/>
            <w:vAlign w:val="bottom"/>
            <w:shd w:val="clear" w:color="auto" w:fill="CEFFE7"/>
          </w:tcPr>
          <w:p>
            <w:pPr>
              <w:spacing w:after="0"/>
              <w:rPr>
                <w:sz w:val="24"/>
                <w:szCs w:val="24"/>
                <w:color w:val="auto"/>
              </w:rPr>
            </w:pPr>
          </w:p>
        </w:tc>
        <w:tc>
          <w:tcPr>
            <w:tcW w:w="1120" w:type="dxa"/>
            <w:vAlign w:val="bottom"/>
            <w:shd w:val="clear" w:color="auto" w:fill="CEFFE7"/>
          </w:tcPr>
          <w:p>
            <w:pPr>
              <w:spacing w:after="0"/>
              <w:rPr>
                <w:sz w:val="24"/>
                <w:szCs w:val="24"/>
                <w:color w:val="auto"/>
              </w:rPr>
            </w:pPr>
          </w:p>
        </w:tc>
      </w:tr>
      <w:tr>
        <w:trPr>
          <w:trHeight w:val="324"/>
        </w:trPr>
        <w:tc>
          <w:tcPr>
            <w:tcW w:w="3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29"/>
        </w:trPr>
        <w:tc>
          <w:tcPr>
            <w:tcW w:w="3820" w:type="dxa"/>
            <w:vAlign w:val="bottom"/>
            <w:shd w:val="clear" w:color="auto" w:fill="CEFFE7"/>
          </w:tcPr>
          <w:p>
            <w:pPr>
              <w:spacing w:after="0"/>
              <w:rPr>
                <w:sz w:val="19"/>
                <w:szCs w:val="19"/>
                <w:color w:val="auto"/>
              </w:rPr>
            </w:pPr>
          </w:p>
        </w:tc>
        <w:tc>
          <w:tcPr>
            <w:tcW w:w="280" w:type="dxa"/>
            <w:vAlign w:val="bottom"/>
            <w:shd w:val="clear" w:color="auto" w:fill="CEFFE7"/>
          </w:tcPr>
          <w:p>
            <w:pPr>
              <w:spacing w:after="0"/>
              <w:rPr>
                <w:sz w:val="19"/>
                <w:szCs w:val="19"/>
                <w:color w:val="auto"/>
              </w:rPr>
            </w:pPr>
          </w:p>
        </w:tc>
        <w:tc>
          <w:tcPr>
            <w:tcW w:w="1960" w:type="dxa"/>
            <w:vAlign w:val="bottom"/>
            <w:shd w:val="clear" w:color="auto" w:fill="CEFFE7"/>
          </w:tcPr>
          <w:p>
            <w:pPr>
              <w:spacing w:after="0"/>
              <w:rPr>
                <w:sz w:val="19"/>
                <w:szCs w:val="19"/>
                <w:color w:val="auto"/>
              </w:rPr>
            </w:pPr>
          </w:p>
        </w:tc>
        <w:tc>
          <w:tcPr>
            <w:tcW w:w="140" w:type="dxa"/>
            <w:vAlign w:val="bottom"/>
            <w:shd w:val="clear" w:color="auto" w:fill="CEFFE7"/>
          </w:tcPr>
          <w:p>
            <w:pPr>
              <w:spacing w:after="0"/>
              <w:rPr>
                <w:sz w:val="19"/>
                <w:szCs w:val="19"/>
                <w:color w:val="auto"/>
              </w:rPr>
            </w:pPr>
          </w:p>
        </w:tc>
        <w:tc>
          <w:tcPr>
            <w:tcW w:w="1880" w:type="dxa"/>
            <w:vAlign w:val="bottom"/>
            <w:shd w:val="clear" w:color="auto" w:fill="CEFFE7"/>
          </w:tcPr>
          <w:p>
            <w:pPr>
              <w:spacing w:after="0"/>
              <w:rPr>
                <w:sz w:val="19"/>
                <w:szCs w:val="19"/>
                <w:color w:val="auto"/>
              </w:rPr>
            </w:pPr>
          </w:p>
        </w:tc>
        <w:tc>
          <w:tcPr>
            <w:tcW w:w="160" w:type="dxa"/>
            <w:vAlign w:val="bottom"/>
            <w:shd w:val="clear" w:color="auto" w:fill="CEFFE7"/>
          </w:tcPr>
          <w:p>
            <w:pPr>
              <w:spacing w:after="0"/>
              <w:rPr>
                <w:sz w:val="19"/>
                <w:szCs w:val="19"/>
                <w:color w:val="auto"/>
              </w:rPr>
            </w:pPr>
          </w:p>
        </w:tc>
        <w:tc>
          <w:tcPr>
            <w:tcW w:w="1540" w:type="dxa"/>
            <w:vAlign w:val="bottom"/>
            <w:shd w:val="clear" w:color="auto" w:fill="CEFFE7"/>
          </w:tcPr>
          <w:p>
            <w:pPr>
              <w:jc w:val="center"/>
              <w:ind w:right="50"/>
              <w:spacing w:after="0"/>
              <w:rPr>
                <w:sz w:val="20"/>
                <w:szCs w:val="20"/>
                <w:color w:val="auto"/>
              </w:rPr>
            </w:pPr>
            <w:r>
              <w:rPr>
                <w:rFonts w:ascii="Arial" w:cs="Arial" w:eastAsia="Arial" w:hAnsi="Arial"/>
                <w:sz w:val="18"/>
                <w:szCs w:val="18"/>
                <w:color w:val="auto"/>
                <w:w w:val="93"/>
              </w:rPr>
              <w:t>Employee Benefit</w:t>
            </w:r>
          </w:p>
        </w:tc>
        <w:tc>
          <w:tcPr>
            <w:tcW w:w="340" w:type="dxa"/>
            <w:vAlign w:val="bottom"/>
            <w:shd w:val="clear" w:color="auto" w:fill="CEFFE7"/>
          </w:tcPr>
          <w:p>
            <w:pPr>
              <w:spacing w:after="0"/>
              <w:rPr>
                <w:sz w:val="19"/>
                <w:szCs w:val="19"/>
                <w:color w:val="auto"/>
              </w:rPr>
            </w:pPr>
          </w:p>
        </w:tc>
        <w:tc>
          <w:tcPr>
            <w:tcW w:w="1120" w:type="dxa"/>
            <w:vAlign w:val="bottom"/>
            <w:shd w:val="clear" w:color="auto" w:fill="CEFFE7"/>
          </w:tcPr>
          <w:p>
            <w:pPr>
              <w:spacing w:after="0"/>
              <w:rPr>
                <w:sz w:val="19"/>
                <w:szCs w:val="19"/>
                <w:color w:val="auto"/>
              </w:rPr>
            </w:pPr>
          </w:p>
        </w:tc>
      </w:tr>
      <w:tr>
        <w:trPr>
          <w:trHeight w:val="257"/>
        </w:trPr>
        <w:tc>
          <w:tcPr>
            <w:tcW w:w="3820" w:type="dxa"/>
            <w:vAlign w:val="bottom"/>
            <w:tcBorders>
              <w:bottom w:val="single" w:sz="8" w:color="CEFFE7"/>
            </w:tcBorders>
            <w:shd w:val="clear" w:color="auto" w:fill="CEFFE7"/>
          </w:tcPr>
          <w:p>
            <w:pPr>
              <w:spacing w:after="0"/>
              <w:rPr>
                <w:sz w:val="22"/>
                <w:szCs w:val="22"/>
                <w:color w:val="auto"/>
              </w:rPr>
            </w:pPr>
          </w:p>
        </w:tc>
        <w:tc>
          <w:tcPr>
            <w:tcW w:w="280" w:type="dxa"/>
            <w:vAlign w:val="bottom"/>
            <w:tcBorders>
              <w:bottom w:val="single" w:sz="8" w:color="CEFFE7"/>
            </w:tcBorders>
            <w:shd w:val="clear" w:color="auto" w:fill="CEFFE7"/>
          </w:tcPr>
          <w:p>
            <w:pPr>
              <w:spacing w:after="0"/>
              <w:rPr>
                <w:sz w:val="22"/>
                <w:szCs w:val="22"/>
                <w:color w:val="auto"/>
              </w:rPr>
            </w:pPr>
          </w:p>
        </w:tc>
        <w:tc>
          <w:tcPr>
            <w:tcW w:w="1960" w:type="dxa"/>
            <w:vAlign w:val="bottom"/>
            <w:tcBorders>
              <w:bottom w:val="single" w:sz="8" w:color="CEFFE7"/>
            </w:tcBorders>
            <w:shd w:val="clear" w:color="auto" w:fill="CEFFE7"/>
          </w:tcPr>
          <w:p>
            <w:pPr>
              <w:jc w:val="right"/>
              <w:ind w:right="310"/>
              <w:spacing w:after="0"/>
              <w:rPr>
                <w:sz w:val="20"/>
                <w:szCs w:val="20"/>
                <w:color w:val="auto"/>
              </w:rPr>
            </w:pPr>
            <w:r>
              <w:rPr>
                <w:rFonts w:ascii="Arial" w:cs="Arial" w:eastAsia="Arial" w:hAnsi="Arial"/>
                <w:sz w:val="18"/>
                <w:szCs w:val="18"/>
                <w:color w:val="auto"/>
                <w:w w:val="94"/>
              </w:rPr>
              <w:t>Interest Rate Swaps</w:t>
            </w:r>
          </w:p>
        </w:tc>
        <w:tc>
          <w:tcPr>
            <w:tcW w:w="140" w:type="dxa"/>
            <w:vAlign w:val="bottom"/>
            <w:tcBorders>
              <w:bottom w:val="single" w:sz="8" w:color="CEFFE7"/>
            </w:tcBorders>
            <w:shd w:val="clear" w:color="auto" w:fill="CEFFE7"/>
          </w:tcPr>
          <w:p>
            <w:pPr>
              <w:spacing w:after="0"/>
              <w:rPr>
                <w:sz w:val="22"/>
                <w:szCs w:val="22"/>
                <w:color w:val="auto"/>
              </w:rPr>
            </w:pPr>
          </w:p>
        </w:tc>
        <w:tc>
          <w:tcPr>
            <w:tcW w:w="188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92"/>
              </w:rPr>
              <w:t>Commodity Derivatives</w:t>
            </w:r>
          </w:p>
        </w:tc>
        <w:tc>
          <w:tcPr>
            <w:tcW w:w="160" w:type="dxa"/>
            <w:vAlign w:val="bottom"/>
            <w:tcBorders>
              <w:bottom w:val="single" w:sz="8" w:color="CEFFE7"/>
            </w:tcBorders>
            <w:shd w:val="clear" w:color="auto" w:fill="CEFFE7"/>
          </w:tcPr>
          <w:p>
            <w:pPr>
              <w:spacing w:after="0"/>
              <w:rPr>
                <w:sz w:val="22"/>
                <w:szCs w:val="22"/>
                <w:color w:val="auto"/>
              </w:rPr>
            </w:pPr>
          </w:p>
        </w:tc>
        <w:tc>
          <w:tcPr>
            <w:tcW w:w="1540" w:type="dxa"/>
            <w:vAlign w:val="bottom"/>
            <w:tcBorders>
              <w:bottom w:val="single" w:sz="8" w:color="CEFFE7"/>
            </w:tcBorders>
            <w:shd w:val="clear" w:color="auto" w:fill="CEFFE7"/>
          </w:tcPr>
          <w:p>
            <w:pPr>
              <w:jc w:val="center"/>
              <w:ind w:right="50"/>
              <w:spacing w:after="0"/>
              <w:rPr>
                <w:sz w:val="20"/>
                <w:szCs w:val="20"/>
                <w:color w:val="auto"/>
              </w:rPr>
            </w:pPr>
            <w:r>
              <w:rPr>
                <w:rFonts w:ascii="Arial" w:cs="Arial" w:eastAsia="Arial" w:hAnsi="Arial"/>
                <w:sz w:val="18"/>
                <w:szCs w:val="18"/>
                <w:color w:val="auto"/>
                <w:w w:val="88"/>
              </w:rPr>
              <w:t>Plans</w:t>
            </w:r>
          </w:p>
        </w:tc>
        <w:tc>
          <w:tcPr>
            <w:tcW w:w="340" w:type="dxa"/>
            <w:vAlign w:val="bottom"/>
            <w:tcBorders>
              <w:bottom w:val="single" w:sz="8" w:color="CEFFE7"/>
            </w:tcBorders>
            <w:shd w:val="clear" w:color="auto" w:fill="CEFFE7"/>
          </w:tcPr>
          <w:p>
            <w:pPr>
              <w:spacing w:after="0"/>
              <w:rPr>
                <w:sz w:val="22"/>
                <w:szCs w:val="22"/>
                <w:color w:val="auto"/>
              </w:rPr>
            </w:pPr>
          </w:p>
        </w:tc>
        <w:tc>
          <w:tcPr>
            <w:tcW w:w="1120" w:type="dxa"/>
            <w:vAlign w:val="bottom"/>
            <w:tcBorders>
              <w:bottom w:val="single" w:sz="8" w:color="CEFFE7"/>
            </w:tcBorders>
            <w:shd w:val="clear" w:color="auto" w:fill="CEFFE7"/>
          </w:tcPr>
          <w:p>
            <w:pPr>
              <w:jc w:val="right"/>
              <w:ind w:right="450"/>
              <w:spacing w:after="0"/>
              <w:rPr>
                <w:sz w:val="20"/>
                <w:szCs w:val="20"/>
                <w:color w:val="auto"/>
              </w:rPr>
            </w:pPr>
            <w:r>
              <w:rPr>
                <w:rFonts w:ascii="Arial" w:cs="Arial" w:eastAsia="Arial" w:hAnsi="Arial"/>
                <w:sz w:val="18"/>
                <w:szCs w:val="18"/>
                <w:color w:val="auto"/>
              </w:rPr>
              <w:t>Total</w:t>
            </w:r>
          </w:p>
        </w:tc>
      </w:tr>
      <w:tr>
        <w:trPr>
          <w:trHeight w:val="237"/>
        </w:trPr>
        <w:tc>
          <w:tcPr>
            <w:tcW w:w="3820" w:type="dxa"/>
            <w:vAlign w:val="bottom"/>
          </w:tcPr>
          <w:p>
            <w:pPr>
              <w:ind w:left="40"/>
              <w:spacing w:after="0"/>
              <w:rPr>
                <w:sz w:val="20"/>
                <w:szCs w:val="20"/>
                <w:color w:val="auto"/>
              </w:rPr>
            </w:pPr>
            <w:r>
              <w:rPr>
                <w:rFonts w:ascii="Arial" w:cs="Arial" w:eastAsia="Arial" w:hAnsi="Arial"/>
                <w:sz w:val="18"/>
                <w:szCs w:val="18"/>
                <w:color w:val="auto"/>
              </w:rPr>
              <w:t>As of December 31, 2018</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(17,307)</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328</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(9,937)</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(26,916)</w:t>
            </w:r>
          </w:p>
        </w:tc>
      </w:tr>
      <w:tr>
        <w:trPr>
          <w:trHeight w:val="27"/>
        </w:trPr>
        <w:tc>
          <w:tcPr>
            <w:tcW w:w="3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8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Borders>
              <w:bottom w:val="single" w:sz="8" w:color="CEFFE7"/>
            </w:tcBorders>
            <w:shd w:val="clear" w:color="auto" w:fill="CEFFE7"/>
          </w:tcPr>
          <w:p>
            <w:pPr>
              <w:spacing w:after="0"/>
              <w:rPr>
                <w:sz w:val="21"/>
                <w:szCs w:val="21"/>
                <w:color w:val="auto"/>
              </w:rPr>
            </w:pPr>
          </w:p>
        </w:tc>
        <w:tc>
          <w:tcPr>
            <w:tcW w:w="196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88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154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spacing w:after="0"/>
              <w:rPr>
                <w:sz w:val="21"/>
                <w:szCs w:val="21"/>
                <w:color w:val="auto"/>
              </w:rPr>
            </w:pPr>
          </w:p>
        </w:tc>
      </w:tr>
      <w:tr>
        <w:trPr>
          <w:trHeight w:val="243"/>
        </w:trPr>
        <w:tc>
          <w:tcPr>
            <w:tcW w:w="3820" w:type="dxa"/>
            <w:vAlign w:val="bottom"/>
          </w:tcPr>
          <w:p>
            <w:pPr>
              <w:ind w:left="180"/>
              <w:spacing w:after="0"/>
              <w:rPr>
                <w:sz w:val="20"/>
                <w:szCs w:val="20"/>
                <w:color w:val="auto"/>
              </w:rPr>
            </w:pPr>
            <w:r>
              <w:rPr>
                <w:rFonts w:ascii="Arial" w:cs="Arial" w:eastAsia="Arial" w:hAnsi="Arial"/>
                <w:sz w:val="18"/>
                <w:szCs w:val="18"/>
                <w:color w:val="auto"/>
              </w:rPr>
              <w:t>before reclassifications</w:t>
            </w:r>
          </w:p>
        </w:tc>
        <w:tc>
          <w:tcPr>
            <w:tcW w:w="28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180</w:t>
            </w:r>
          </w:p>
        </w:tc>
        <w:tc>
          <w:tcPr>
            <w:tcW w:w="1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180</w:t>
            </w:r>
          </w:p>
        </w:tc>
      </w:tr>
      <w:tr>
        <w:trPr>
          <w:trHeight w:val="27"/>
        </w:trPr>
        <w:tc>
          <w:tcPr>
            <w:tcW w:w="3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8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Amounts reclassified from AOCI</w:t>
            </w:r>
          </w:p>
        </w:tc>
        <w:tc>
          <w:tcPr>
            <w:tcW w:w="280" w:type="dxa"/>
            <w:vAlign w:val="bottom"/>
            <w:tcBorders>
              <w:bottom w:val="single" w:sz="8" w:color="CEFFE7"/>
            </w:tcBorders>
            <w:shd w:val="clear" w:color="auto" w:fill="CEFFE7"/>
          </w:tcPr>
          <w:p>
            <w:pPr>
              <w:spacing w:after="0"/>
              <w:rPr>
                <w:sz w:val="23"/>
                <w:szCs w:val="23"/>
                <w:color w:val="auto"/>
              </w:rPr>
            </w:pPr>
          </w:p>
        </w:tc>
        <w:tc>
          <w:tcPr>
            <w:tcW w:w="1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550</w:t>
            </w:r>
          </w:p>
        </w:tc>
        <w:tc>
          <w:tcPr>
            <w:tcW w:w="140" w:type="dxa"/>
            <w:vAlign w:val="bottom"/>
            <w:tcBorders>
              <w:bottom w:val="single" w:sz="8" w:color="CEFFE7"/>
            </w:tcBorders>
            <w:shd w:val="clear" w:color="auto" w:fill="CEFFE7"/>
          </w:tcPr>
          <w:p>
            <w:pPr>
              <w:spacing w:after="0"/>
              <w:rPr>
                <w:sz w:val="23"/>
                <w:szCs w:val="23"/>
                <w:color w:val="auto"/>
              </w:rPr>
            </w:pPr>
          </w:p>
        </w:tc>
        <w:tc>
          <w:tcPr>
            <w:tcW w:w="1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(426)</w:t>
            </w:r>
          </w:p>
        </w:tc>
        <w:tc>
          <w:tcPr>
            <w:tcW w:w="160" w:type="dxa"/>
            <w:vAlign w:val="bottom"/>
            <w:tcBorders>
              <w:bottom w:val="single" w:sz="8" w:color="CEFFE7"/>
            </w:tcBorders>
            <w:shd w:val="clear" w:color="auto" w:fill="CEFFE7"/>
          </w:tcPr>
          <w:p>
            <w:pPr>
              <w:spacing w:after="0"/>
              <w:rPr>
                <w:sz w:val="23"/>
                <w:szCs w:val="23"/>
                <w:color w:val="auto"/>
              </w:rPr>
            </w:pPr>
          </w:p>
        </w:tc>
        <w:tc>
          <w:tcPr>
            <w:tcW w:w="15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153</w:t>
            </w:r>
          </w:p>
        </w:tc>
        <w:tc>
          <w:tcPr>
            <w:tcW w:w="340" w:type="dxa"/>
            <w:vAlign w:val="bottom"/>
            <w:tcBorders>
              <w:bottom w:val="single" w:sz="8" w:color="CEFFE7"/>
            </w:tcBorders>
            <w:shd w:val="clear" w:color="auto" w:fill="CEFFE7"/>
          </w:tcPr>
          <w:p>
            <w:pPr>
              <w:spacing w:after="0"/>
              <w:rPr>
                <w:sz w:val="23"/>
                <w:szCs w:val="23"/>
                <w:color w:val="auto"/>
              </w:rPr>
            </w:pP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277</w:t>
            </w:r>
          </w:p>
        </w:tc>
      </w:tr>
      <w:tr>
        <w:trPr>
          <w:trHeight w:val="257"/>
        </w:trPr>
        <w:tc>
          <w:tcPr>
            <w:tcW w:w="3820" w:type="dxa"/>
            <w:vAlign w:val="bottom"/>
          </w:tcPr>
          <w:p>
            <w:pPr>
              <w:ind w:left="40"/>
              <w:spacing w:after="0"/>
              <w:rPr>
                <w:sz w:val="20"/>
                <w:szCs w:val="20"/>
                <w:color w:val="auto"/>
              </w:rPr>
            </w:pPr>
            <w:r>
              <w:rPr>
                <w:rFonts w:ascii="Arial" w:cs="Arial" w:eastAsia="Arial" w:hAnsi="Arial"/>
                <w:sz w:val="18"/>
                <w:szCs w:val="18"/>
                <w:color w:val="auto"/>
              </w:rPr>
              <w:t>As of March 31, 2019</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(16,757)</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82</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(9,784)</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(26,459)</w:t>
            </w:r>
          </w:p>
        </w:tc>
      </w:tr>
      <w:tr>
        <w:trPr>
          <w:trHeight w:val="20"/>
        </w:trPr>
        <w:tc>
          <w:tcPr>
            <w:tcW w:w="3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Employee Benefit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 in Accounting Principle - Pension Accounting Asset Method</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Effective January 1, 2020, the Company changed its method of accounting for net periodic benefit cost. Prior to the change, the Company used a calculated value for determining market-related value of plan assets which amortized the effects of gains and losses over a five-year period. Effective with the accounting change, the Company will continue to use a calculated value for the return-seeking assets (equities) in the portfolio and fair value for the liability-hedging assets (fixed income). The Company considers the fair value method for determining market-related value of liability-hedging assets to be a preferable method of accounting because asset-related gains and losses are subject to amortization into pension cost immediately. Additionally, the fair value for liability-hedging assets allows for the impact of gains and losses on this portion of the asset portfolio to be reflected in tandem with changes in the liability which is linked to changes in the discount rate assumption for re-measurement.</w:t>
      </w:r>
    </w:p>
    <w:p>
      <w:pPr>
        <w:spacing w:after="0" w:line="177"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We evaluated the effect of this change in accounting method and deemed it immaterial to the historical and current financial statements and therefore did not account for the change retrospectively. Accordingly, the Company calculated the cumulative difference using a calculated value versus fair value to determine market-related value for liability-hedging assets of the portfolio. The cumulative effect of this change, as of January 1, 2020, resulted in a decrease to prior service costs, as recorded in Other income (expense), net, of $0.6 million, an increase in Income tax expense of $0.2 million and an increase to Net income of $0.4 million within the accompanying Condensed Consolidated Statements of Income for the three months ended March 31, 2020.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Funding Status of Employee Benefit Plans</w:t>
      </w:r>
    </w:p>
    <w:p>
      <w:pPr>
        <w:spacing w:after="0" w:line="225"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Based on the fair value of assets and estimated discount rate used to value benefit obligations as of March 31, 2020, we estimate the unfunded status of our employee benefit plans to be approximately $46 million compared to $51 million at December 31, 2019. The Company has concluded that the market volatility associated with COVID-19 does not require interim re-measurement of our pension plan assets or defined benefit obligations.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26" w:right="339" w:bottom="1440" w:gutter="0" w:footer="0" w:header="0"/>
        </w:sectPr>
      </w:pPr>
    </w:p>
    <w:bookmarkStart w:id="28" w:name="page29"/>
    <w:bookmarkEnd w:id="2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Defined Benefit Pension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for the Defined Benefit Pension Plan were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20"/>
                <w:szCs w:val="20"/>
                <w:color w:val="auto"/>
              </w:rPr>
            </w:pPr>
          </w:p>
        </w:tc>
        <w:tc>
          <w:tcPr>
            <w:tcW w:w="3940" w:type="dxa"/>
            <w:vAlign w:val="bottom"/>
            <w:gridSpan w:val="3"/>
          </w:tcPr>
          <w:p>
            <w:pPr>
              <w:jc w:val="right"/>
              <w:ind w:right="330"/>
              <w:spacing w:after="0"/>
              <w:rPr>
                <w:sz w:val="20"/>
                <w:szCs w:val="20"/>
                <w:color w:val="auto"/>
              </w:rPr>
            </w:pPr>
            <w:r>
              <w:rPr>
                <w:rFonts w:ascii="Arial" w:cs="Arial" w:eastAsia="Arial" w:hAnsi="Arial"/>
                <w:sz w:val="18"/>
                <w:szCs w:val="18"/>
                <w:color w:val="auto"/>
              </w:rPr>
              <w:t>Three Months Ended March 31,</w:t>
            </w:r>
          </w:p>
        </w:tc>
        <w:tc>
          <w:tcPr>
            <w:tcW w:w="780" w:type="dxa"/>
            <w:vAlign w:val="bottom"/>
          </w:tcPr>
          <w:p>
            <w:pPr>
              <w:spacing w:after="0"/>
              <w:rPr>
                <w:sz w:val="20"/>
                <w:szCs w:val="20"/>
                <w:color w:val="auto"/>
              </w:rPr>
            </w:pPr>
          </w:p>
        </w:tc>
      </w:tr>
      <w:tr>
        <w:trPr>
          <w:trHeight w:val="270"/>
        </w:trPr>
        <w:tc>
          <w:tcPr>
            <w:tcW w:w="6520" w:type="dxa"/>
            <w:vAlign w:val="bottom"/>
          </w:tcPr>
          <w:p>
            <w:pPr>
              <w:spacing w:after="0"/>
              <w:rPr>
                <w:sz w:val="23"/>
                <w:szCs w:val="23"/>
                <w:color w:val="auto"/>
              </w:rPr>
            </w:pPr>
          </w:p>
        </w:tc>
        <w:tc>
          <w:tcPr>
            <w:tcW w:w="1580" w:type="dxa"/>
            <w:vAlign w:val="bottom"/>
          </w:tcPr>
          <w:p>
            <w:pPr>
              <w:jc w:val="right"/>
              <w:ind w:right="130"/>
              <w:spacing w:after="0"/>
              <w:rPr>
                <w:sz w:val="20"/>
                <w:szCs w:val="20"/>
                <w:color w:val="auto"/>
              </w:rPr>
            </w:pPr>
            <w:r>
              <w:rPr>
                <w:rFonts w:ascii="Arial" w:cs="Arial" w:eastAsia="Arial" w:hAnsi="Arial"/>
                <w:sz w:val="18"/>
                <w:szCs w:val="18"/>
                <w:color w:val="auto"/>
              </w:rPr>
              <w:t>2020</w:t>
            </w:r>
          </w:p>
        </w:tc>
        <w:tc>
          <w:tcPr>
            <w:tcW w:w="760" w:type="dxa"/>
            <w:vAlign w:val="bottom"/>
          </w:tcPr>
          <w:p>
            <w:pPr>
              <w:spacing w:after="0"/>
              <w:rPr>
                <w:sz w:val="23"/>
                <w:szCs w:val="23"/>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color w:val="auto"/>
              </w:rPr>
              <w:t>2019</w:t>
            </w:r>
          </w:p>
        </w:tc>
        <w:tc>
          <w:tcPr>
            <w:tcW w:w="780" w:type="dxa"/>
            <w:vAlign w:val="bottom"/>
          </w:tcPr>
          <w:p>
            <w:pPr>
              <w:spacing w:after="0"/>
              <w:rPr>
                <w:sz w:val="23"/>
                <w:szCs w:val="23"/>
                <w:color w:val="auto"/>
              </w:rPr>
            </w:pPr>
          </w:p>
        </w:tc>
      </w:tr>
      <w:tr>
        <w:trPr>
          <w:trHeight w:val="27"/>
        </w:trPr>
        <w:tc>
          <w:tcPr>
            <w:tcW w:w="6520" w:type="dxa"/>
            <w:vAlign w:val="bottom"/>
            <w:tcBorders>
              <w:bottom w:val="single" w:sz="8" w:color="CEFFE7"/>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Service cost</w:t>
            </w:r>
          </w:p>
        </w:tc>
        <w:tc>
          <w:tcPr>
            <w:tcW w:w="1580" w:type="dxa"/>
            <w:vAlign w:val="bottom"/>
            <w:tcBorders>
              <w:bottom w:val="single" w:sz="8" w:color="CEFFE7"/>
            </w:tcBorders>
            <w:shd w:val="clear" w:color="auto" w:fill="CEFFE7"/>
          </w:tcPr>
          <w:p>
            <w:pPr>
              <w:jc w:val="right"/>
              <w:ind w:right="13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1,353</w:t>
            </w:r>
          </w:p>
        </w:tc>
        <w:tc>
          <w:tcPr>
            <w:tcW w:w="1600" w:type="dxa"/>
            <w:vAlign w:val="bottom"/>
            <w:tcBorders>
              <w:bottom w:val="single" w:sz="8" w:color="CEFFE7"/>
            </w:tcBorders>
            <w:shd w:val="clear" w:color="auto" w:fill="CEFFE7"/>
          </w:tcPr>
          <w:p>
            <w:pPr>
              <w:jc w:val="right"/>
              <w:ind w:right="13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1,346</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5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3,357</w:t>
            </w:r>
          </w:p>
        </w:tc>
        <w:tc>
          <w:tcPr>
            <w:tcW w:w="16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4,343</w:t>
            </w:r>
          </w:p>
        </w:tc>
      </w:tr>
      <w:tr>
        <w:trPr>
          <w:trHeight w:val="27"/>
        </w:trPr>
        <w:tc>
          <w:tcPr>
            <w:tcW w:w="65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5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Expected return on plan assets</w:t>
            </w:r>
          </w:p>
        </w:tc>
        <w:tc>
          <w:tcPr>
            <w:tcW w:w="1580" w:type="dxa"/>
            <w:vAlign w:val="bottom"/>
            <w:tcBorders>
              <w:bottom w:val="single" w:sz="8" w:color="CEFFE7"/>
            </w:tcBorders>
            <w:shd w:val="clear" w:color="auto" w:fill="CEFFE7"/>
          </w:tcPr>
          <w:p>
            <w:pPr>
              <w:spacing w:after="0"/>
              <w:rPr>
                <w:sz w:val="21"/>
                <w:szCs w:val="21"/>
                <w:color w:val="auto"/>
              </w:rPr>
            </w:pPr>
          </w:p>
        </w:tc>
        <w:tc>
          <w:tcPr>
            <w:tcW w:w="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(5,648)</w:t>
            </w:r>
          </w:p>
        </w:tc>
        <w:tc>
          <w:tcPr>
            <w:tcW w:w="1600" w:type="dxa"/>
            <w:vAlign w:val="bottom"/>
            <w:tcBorders>
              <w:bottom w:val="single" w:sz="8" w:color="CEFFE7"/>
            </w:tcBorders>
            <w:shd w:val="clear" w:color="auto" w:fill="CEFFE7"/>
          </w:tcPr>
          <w:p>
            <w:pPr>
              <w:spacing w:after="0"/>
              <w:rPr>
                <w:sz w:val="21"/>
                <w:szCs w:val="21"/>
                <w:color w:val="auto"/>
              </w:rPr>
            </w:pPr>
          </w:p>
        </w:tc>
        <w:tc>
          <w:tcPr>
            <w:tcW w:w="7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(6,100)</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Prior service cost (benefit)</w:t>
            </w:r>
          </w:p>
        </w:tc>
        <w:tc>
          <w:tcPr>
            <w:tcW w:w="15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65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65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Net loss (gain)</w:t>
            </w:r>
          </w:p>
        </w:tc>
        <w:tc>
          <w:tcPr>
            <w:tcW w:w="1580" w:type="dxa"/>
            <w:vAlign w:val="bottom"/>
            <w:tcBorders>
              <w:bottom w:val="single" w:sz="8" w:color="CEFFE7"/>
            </w:tcBorders>
            <w:shd w:val="clear" w:color="auto" w:fill="CEFFE7"/>
          </w:tcPr>
          <w:p>
            <w:pPr>
              <w:spacing w:after="0"/>
              <w:rPr>
                <w:sz w:val="23"/>
                <w:szCs w:val="23"/>
                <w:color w:val="auto"/>
              </w:rPr>
            </w:pPr>
          </w:p>
        </w:tc>
        <w:tc>
          <w:tcPr>
            <w:tcW w:w="7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2,093</w:t>
            </w:r>
          </w:p>
        </w:tc>
        <w:tc>
          <w:tcPr>
            <w:tcW w:w="1600" w:type="dxa"/>
            <w:vAlign w:val="bottom"/>
            <w:tcBorders>
              <w:bottom w:val="single" w:sz="8" w:color="CEFFE7"/>
            </w:tcBorders>
            <w:shd w:val="clear" w:color="auto" w:fill="CEFFE7"/>
          </w:tcPr>
          <w:p>
            <w:pPr>
              <w:spacing w:after="0"/>
              <w:rPr>
                <w:sz w:val="23"/>
                <w:szCs w:val="23"/>
                <w:color w:val="auto"/>
              </w:rPr>
            </w:pPr>
          </w:p>
        </w:tc>
        <w:tc>
          <w:tcPr>
            <w:tcW w:w="7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941</w:t>
            </w:r>
          </w:p>
        </w:tc>
      </w:tr>
      <w:tr>
        <w:trPr>
          <w:trHeight w:val="257"/>
        </w:trPr>
        <w:tc>
          <w:tcPr>
            <w:tcW w:w="6520" w:type="dxa"/>
            <w:vAlign w:val="bottom"/>
          </w:tcPr>
          <w:p>
            <w:pPr>
              <w:ind w:left="40"/>
              <w:spacing w:after="0"/>
              <w:rPr>
                <w:sz w:val="20"/>
                <w:szCs w:val="20"/>
                <w:color w:val="auto"/>
              </w:rPr>
            </w:pPr>
            <w:r>
              <w:rPr>
                <w:rFonts w:ascii="Arial" w:cs="Arial" w:eastAsia="Arial" w:hAnsi="Arial"/>
                <w:sz w:val="18"/>
                <w:szCs w:val="18"/>
                <w:color w:val="auto"/>
              </w:rPr>
              <w:t>Net periodic benefit cost</w:t>
            </w:r>
          </w:p>
        </w:tc>
        <w:tc>
          <w:tcPr>
            <w:tcW w:w="1580" w:type="dxa"/>
            <w:vAlign w:val="bottom"/>
            <w:tcBorders>
              <w:top w:val="single" w:sz="8" w:color="auto"/>
              <w:bottom w:val="single" w:sz="8" w:color="auto"/>
            </w:tcBorders>
          </w:tcPr>
          <w:p>
            <w:pPr>
              <w:jc w:val="right"/>
              <w:ind w:right="13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1,155</w:t>
            </w:r>
          </w:p>
        </w:tc>
        <w:tc>
          <w:tcPr>
            <w:tcW w:w="1600" w:type="dxa"/>
            <w:vAlign w:val="bottom"/>
            <w:tcBorders>
              <w:top w:val="single" w:sz="8" w:color="auto"/>
              <w:bottom w:val="single" w:sz="8" w:color="auto"/>
            </w:tcBorders>
          </w:tcPr>
          <w:p>
            <w:pPr>
              <w:jc w:val="right"/>
              <w:ind w:right="137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536</w:t>
            </w:r>
          </w:p>
        </w:tc>
      </w:tr>
      <w:tr>
        <w:trPr>
          <w:trHeight w:val="20"/>
        </w:trPr>
        <w:tc>
          <w:tcPr>
            <w:tcW w:w="65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Defined Benefit Postretirement Healthcare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for the Defined Benefit Postretirement Healthcare Plan were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20"/>
                <w:szCs w:val="20"/>
                <w:color w:val="auto"/>
              </w:rPr>
            </w:pPr>
          </w:p>
        </w:tc>
        <w:tc>
          <w:tcPr>
            <w:tcW w:w="4040" w:type="dxa"/>
            <w:vAlign w:val="bottom"/>
            <w:gridSpan w:val="3"/>
          </w:tcPr>
          <w:p>
            <w:pPr>
              <w:jc w:val="right"/>
              <w:ind w:right="430"/>
              <w:spacing w:after="0"/>
              <w:rPr>
                <w:sz w:val="20"/>
                <w:szCs w:val="20"/>
                <w:color w:val="auto"/>
              </w:rPr>
            </w:pPr>
            <w:r>
              <w:rPr>
                <w:rFonts w:ascii="Arial" w:cs="Arial" w:eastAsia="Arial" w:hAnsi="Arial"/>
                <w:sz w:val="18"/>
                <w:szCs w:val="18"/>
                <w:color w:val="auto"/>
              </w:rPr>
              <w:t>Three Months Ended March 31,</w:t>
            </w:r>
          </w:p>
        </w:tc>
        <w:tc>
          <w:tcPr>
            <w:tcW w:w="680" w:type="dxa"/>
            <w:vAlign w:val="bottom"/>
          </w:tcPr>
          <w:p>
            <w:pPr>
              <w:spacing w:after="0"/>
              <w:rPr>
                <w:sz w:val="20"/>
                <w:szCs w:val="20"/>
                <w:color w:val="auto"/>
              </w:rPr>
            </w:pPr>
          </w:p>
        </w:tc>
      </w:tr>
      <w:tr>
        <w:trPr>
          <w:trHeight w:val="270"/>
        </w:trPr>
        <w:tc>
          <w:tcPr>
            <w:tcW w:w="6520" w:type="dxa"/>
            <w:vAlign w:val="bottom"/>
          </w:tcPr>
          <w:p>
            <w:pPr>
              <w:spacing w:after="0"/>
              <w:rPr>
                <w:sz w:val="23"/>
                <w:szCs w:val="23"/>
                <w:color w:val="auto"/>
              </w:rPr>
            </w:pPr>
          </w:p>
        </w:tc>
        <w:tc>
          <w:tcPr>
            <w:tcW w:w="1640" w:type="dxa"/>
            <w:vAlign w:val="bottom"/>
          </w:tcPr>
          <w:p>
            <w:pPr>
              <w:jc w:val="right"/>
              <w:ind w:right="190"/>
              <w:spacing w:after="0"/>
              <w:rPr>
                <w:sz w:val="20"/>
                <w:szCs w:val="20"/>
                <w:color w:val="auto"/>
              </w:rPr>
            </w:pPr>
            <w:r>
              <w:rPr>
                <w:rFonts w:ascii="Arial" w:cs="Arial" w:eastAsia="Arial" w:hAnsi="Arial"/>
                <w:sz w:val="18"/>
                <w:szCs w:val="18"/>
                <w:color w:val="auto"/>
              </w:rPr>
              <w:t>2020</w:t>
            </w:r>
          </w:p>
        </w:tc>
        <w:tc>
          <w:tcPr>
            <w:tcW w:w="700" w:type="dxa"/>
            <w:vAlign w:val="bottom"/>
          </w:tcPr>
          <w:p>
            <w:pPr>
              <w:spacing w:after="0"/>
              <w:rPr>
                <w:sz w:val="23"/>
                <w:szCs w:val="23"/>
                <w:color w:val="auto"/>
              </w:rPr>
            </w:pPr>
          </w:p>
        </w:tc>
        <w:tc>
          <w:tcPr>
            <w:tcW w:w="1700" w:type="dxa"/>
            <w:vAlign w:val="bottom"/>
          </w:tcPr>
          <w:p>
            <w:pPr>
              <w:jc w:val="right"/>
              <w:ind w:right="230"/>
              <w:spacing w:after="0"/>
              <w:rPr>
                <w:sz w:val="20"/>
                <w:szCs w:val="20"/>
                <w:color w:val="auto"/>
              </w:rPr>
            </w:pPr>
            <w:r>
              <w:rPr>
                <w:rFonts w:ascii="Arial" w:cs="Arial" w:eastAsia="Arial" w:hAnsi="Arial"/>
                <w:sz w:val="18"/>
                <w:szCs w:val="18"/>
                <w:color w:val="auto"/>
              </w:rPr>
              <w:t>2019</w:t>
            </w:r>
          </w:p>
        </w:tc>
        <w:tc>
          <w:tcPr>
            <w:tcW w:w="680" w:type="dxa"/>
            <w:vAlign w:val="bottom"/>
          </w:tcPr>
          <w:p>
            <w:pPr>
              <w:spacing w:after="0"/>
              <w:rPr>
                <w:sz w:val="23"/>
                <w:szCs w:val="23"/>
                <w:color w:val="auto"/>
              </w:rPr>
            </w:pPr>
          </w:p>
        </w:tc>
      </w:tr>
      <w:tr>
        <w:trPr>
          <w:trHeight w:val="27"/>
        </w:trPr>
        <w:tc>
          <w:tcPr>
            <w:tcW w:w="6520" w:type="dxa"/>
            <w:vAlign w:val="bottom"/>
            <w:tcBorders>
              <w:bottom w:val="single" w:sz="8" w:color="CEFFE7"/>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Service cost</w:t>
            </w:r>
          </w:p>
        </w:tc>
        <w:tc>
          <w:tcPr>
            <w:tcW w:w="1640" w:type="dxa"/>
            <w:vAlign w:val="bottom"/>
            <w:tcBorders>
              <w:bottom w:val="single" w:sz="8" w:color="CEFFE7"/>
            </w:tcBorders>
            <w:shd w:val="clear" w:color="auto" w:fill="CEFFE7"/>
          </w:tcPr>
          <w:p>
            <w:pPr>
              <w:jc w:val="right"/>
              <w:ind w:right="143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514</w:t>
            </w:r>
          </w:p>
        </w:tc>
        <w:tc>
          <w:tcPr>
            <w:tcW w:w="1700" w:type="dxa"/>
            <w:vAlign w:val="bottom"/>
            <w:tcBorders>
              <w:bottom w:val="single" w:sz="8" w:color="CEFFE7"/>
            </w:tcBorders>
            <w:shd w:val="clear" w:color="auto" w:fill="CEFFE7"/>
          </w:tcPr>
          <w:p>
            <w:pPr>
              <w:jc w:val="right"/>
              <w:ind w:right="147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454</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6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412</w:t>
            </w:r>
          </w:p>
        </w:tc>
        <w:tc>
          <w:tcPr>
            <w:tcW w:w="170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560</w:t>
            </w:r>
          </w:p>
        </w:tc>
      </w:tr>
      <w:tr>
        <w:trPr>
          <w:trHeight w:val="27"/>
        </w:trPr>
        <w:tc>
          <w:tcPr>
            <w:tcW w:w="65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65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Expected return on plan assets</w:t>
            </w:r>
          </w:p>
        </w:tc>
        <w:tc>
          <w:tcPr>
            <w:tcW w:w="1640" w:type="dxa"/>
            <w:vAlign w:val="bottom"/>
            <w:tcBorders>
              <w:bottom w:val="single" w:sz="8" w:color="CEFFE7"/>
            </w:tcBorders>
            <w:shd w:val="clear" w:color="auto" w:fill="CEFFE7"/>
          </w:tcPr>
          <w:p>
            <w:pPr>
              <w:spacing w:after="0"/>
              <w:rPr>
                <w:sz w:val="21"/>
                <w:szCs w:val="21"/>
                <w:color w:val="auto"/>
              </w:rPr>
            </w:pPr>
          </w:p>
        </w:tc>
        <w:tc>
          <w:tcPr>
            <w:tcW w:w="7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(45)</w:t>
            </w:r>
          </w:p>
        </w:tc>
        <w:tc>
          <w:tcPr>
            <w:tcW w:w="1700" w:type="dxa"/>
            <w:vAlign w:val="bottom"/>
            <w:tcBorders>
              <w:bottom w:val="single" w:sz="8" w:color="CEFFE7"/>
            </w:tcBorders>
            <w:shd w:val="clear" w:color="auto" w:fill="CEFFE7"/>
          </w:tcPr>
          <w:p>
            <w:pPr>
              <w:spacing w:after="0"/>
              <w:rPr>
                <w:sz w:val="21"/>
                <w:szCs w:val="21"/>
                <w:color w:val="auto"/>
              </w:rPr>
            </w:pPr>
          </w:p>
        </w:tc>
        <w:tc>
          <w:tcPr>
            <w:tcW w:w="6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(57)</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Prior service cost (benefit)</w:t>
            </w:r>
          </w:p>
        </w:tc>
        <w:tc>
          <w:tcPr>
            <w:tcW w:w="16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(137)</w:t>
            </w:r>
          </w:p>
        </w:tc>
        <w:tc>
          <w:tcPr>
            <w:tcW w:w="17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7"/>
        </w:trPr>
        <w:tc>
          <w:tcPr>
            <w:tcW w:w="65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65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Net loss (gain)</w:t>
            </w:r>
          </w:p>
        </w:tc>
        <w:tc>
          <w:tcPr>
            <w:tcW w:w="1640" w:type="dxa"/>
            <w:vAlign w:val="bottom"/>
            <w:tcBorders>
              <w:bottom w:val="single" w:sz="8" w:color="CEFFE7"/>
            </w:tcBorders>
            <w:shd w:val="clear" w:color="auto" w:fill="CEFFE7"/>
          </w:tcPr>
          <w:p>
            <w:pPr>
              <w:spacing w:after="0"/>
              <w:rPr>
                <w:sz w:val="23"/>
                <w:szCs w:val="23"/>
                <w:color w:val="auto"/>
              </w:rPr>
            </w:pPr>
          </w:p>
        </w:tc>
        <w:tc>
          <w:tcPr>
            <w:tcW w:w="7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w:t>
            </w:r>
          </w:p>
        </w:tc>
        <w:tc>
          <w:tcPr>
            <w:tcW w:w="1700" w:type="dxa"/>
            <w:vAlign w:val="bottom"/>
            <w:tcBorders>
              <w:bottom w:val="single" w:sz="8" w:color="CEFFE7"/>
            </w:tcBorders>
            <w:shd w:val="clear" w:color="auto" w:fill="CEFFE7"/>
          </w:tcPr>
          <w:p>
            <w:pPr>
              <w:spacing w:after="0"/>
              <w:rPr>
                <w:sz w:val="23"/>
                <w:szCs w:val="23"/>
                <w:color w:val="auto"/>
              </w:rPr>
            </w:pPr>
          </w:p>
        </w:tc>
        <w:tc>
          <w:tcPr>
            <w:tcW w:w="6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6520" w:type="dxa"/>
            <w:vAlign w:val="bottom"/>
          </w:tcPr>
          <w:p>
            <w:pPr>
              <w:ind w:left="40"/>
              <w:spacing w:after="0"/>
              <w:rPr>
                <w:sz w:val="20"/>
                <w:szCs w:val="20"/>
                <w:color w:val="auto"/>
              </w:rPr>
            </w:pPr>
            <w:r>
              <w:rPr>
                <w:rFonts w:ascii="Arial" w:cs="Arial" w:eastAsia="Arial" w:hAnsi="Arial"/>
                <w:sz w:val="18"/>
                <w:szCs w:val="18"/>
                <w:color w:val="auto"/>
              </w:rPr>
              <w:t>Net periodic benefit cost</w:t>
            </w:r>
          </w:p>
        </w:tc>
        <w:tc>
          <w:tcPr>
            <w:tcW w:w="1640" w:type="dxa"/>
            <w:vAlign w:val="bottom"/>
            <w:tcBorders>
              <w:top w:val="single" w:sz="8" w:color="auto"/>
              <w:bottom w:val="single" w:sz="8" w:color="auto"/>
            </w:tcBorders>
          </w:tcPr>
          <w:p>
            <w:pPr>
              <w:jc w:val="right"/>
              <w:ind w:right="143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749</w:t>
            </w:r>
          </w:p>
        </w:tc>
        <w:tc>
          <w:tcPr>
            <w:tcW w:w="1700" w:type="dxa"/>
            <w:vAlign w:val="bottom"/>
            <w:tcBorders>
              <w:top w:val="single" w:sz="8" w:color="auto"/>
              <w:bottom w:val="single" w:sz="8" w:color="auto"/>
            </w:tcBorders>
          </w:tcPr>
          <w:p>
            <w:pPr>
              <w:jc w:val="right"/>
              <w:ind w:right="147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858</w:t>
            </w:r>
          </w:p>
        </w:tc>
      </w:tr>
      <w:tr>
        <w:trPr>
          <w:trHeight w:val="20"/>
        </w:trPr>
        <w:tc>
          <w:tcPr>
            <w:tcW w:w="65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Supplemental Non-qualified Defined Benefit and Defined Contribution Plans</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components of net periodic benefit cost for the Supplemental Non-qualified Defined Benefit and Defined Contribution Plans were as follows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3960" w:type="dxa"/>
            <w:vAlign w:val="bottom"/>
            <w:gridSpan w:val="3"/>
          </w:tcPr>
          <w:p>
            <w:pPr>
              <w:jc w:val="right"/>
              <w:ind w:right="350"/>
              <w:spacing w:after="0"/>
              <w:rPr>
                <w:sz w:val="20"/>
                <w:szCs w:val="20"/>
                <w:color w:val="auto"/>
              </w:rPr>
            </w:pPr>
            <w:r>
              <w:rPr>
                <w:rFonts w:ascii="Arial" w:cs="Arial" w:eastAsia="Arial" w:hAnsi="Arial"/>
                <w:sz w:val="18"/>
                <w:szCs w:val="18"/>
                <w:color w:val="auto"/>
              </w:rPr>
              <w:t>Three Months Ended March 31,</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680" w:type="dxa"/>
            <w:vAlign w:val="bottom"/>
          </w:tcPr>
          <w:p>
            <w:pPr>
              <w:spacing w:after="0"/>
              <w:rPr>
                <w:sz w:val="23"/>
                <w:szCs w:val="23"/>
                <w:color w:val="auto"/>
              </w:rPr>
            </w:pPr>
          </w:p>
        </w:tc>
        <w:tc>
          <w:tcPr>
            <w:tcW w:w="4420" w:type="dxa"/>
            <w:vAlign w:val="bottom"/>
            <w:gridSpan w:val="2"/>
          </w:tcPr>
          <w:p>
            <w:pPr>
              <w:jc w:val="right"/>
              <w:ind w:right="130"/>
              <w:spacing w:after="0"/>
              <w:rPr>
                <w:sz w:val="20"/>
                <w:szCs w:val="20"/>
                <w:color w:val="auto"/>
              </w:rPr>
            </w:pPr>
            <w:r>
              <w:rPr>
                <w:rFonts w:ascii="Arial" w:cs="Arial" w:eastAsia="Arial" w:hAnsi="Arial"/>
                <w:sz w:val="18"/>
                <w:szCs w:val="18"/>
                <w:color w:val="auto"/>
              </w:rPr>
              <w:t>2020</w:t>
            </w:r>
          </w:p>
        </w:tc>
        <w:tc>
          <w:tcPr>
            <w:tcW w:w="760" w:type="dxa"/>
            <w:vAlign w:val="bottom"/>
          </w:tcPr>
          <w:p>
            <w:pPr>
              <w:spacing w:after="0"/>
              <w:rPr>
                <w:sz w:val="23"/>
                <w:szCs w:val="23"/>
                <w:color w:val="auto"/>
              </w:rPr>
            </w:pPr>
          </w:p>
        </w:tc>
        <w:tc>
          <w:tcPr>
            <w:tcW w:w="1620" w:type="dxa"/>
            <w:vAlign w:val="bottom"/>
          </w:tcPr>
          <w:p>
            <w:pPr>
              <w:jc w:val="right"/>
              <w:ind w:right="150"/>
              <w:spacing w:after="0"/>
              <w:rPr>
                <w:sz w:val="20"/>
                <w:szCs w:val="20"/>
                <w:color w:val="auto"/>
              </w:rPr>
            </w:pPr>
            <w:r>
              <w:rPr>
                <w:rFonts w:ascii="Arial" w:cs="Arial" w:eastAsia="Arial" w:hAnsi="Arial"/>
                <w:sz w:val="18"/>
                <w:szCs w:val="18"/>
                <w:color w:val="auto"/>
              </w:rPr>
              <w:t>2019</w:t>
            </w: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680" w:type="dxa"/>
            <w:vAlign w:val="bottom"/>
            <w:tcBorders>
              <w:bottom w:val="single" w:sz="8" w:color="CEFFE7"/>
            </w:tcBorders>
          </w:tcPr>
          <w:p>
            <w:pPr>
              <w:spacing w:after="0"/>
              <w:rPr>
                <w:sz w:val="2"/>
                <w:szCs w:val="2"/>
                <w:color w:val="auto"/>
              </w:rPr>
            </w:pPr>
          </w:p>
        </w:tc>
        <w:tc>
          <w:tcPr>
            <w:tcW w:w="2840" w:type="dxa"/>
            <w:vAlign w:val="bottom"/>
            <w:tcBorders>
              <w:bottom w:val="single" w:sz="8" w:color="CEFFE7"/>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6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Service cost</w:t>
            </w:r>
          </w:p>
        </w:tc>
        <w:tc>
          <w:tcPr>
            <w:tcW w:w="4420" w:type="dxa"/>
            <w:vAlign w:val="bottom"/>
            <w:tcBorders>
              <w:bottom w:val="single" w:sz="8" w:color="CEFFE7"/>
            </w:tcBorders>
            <w:gridSpan w:val="2"/>
            <w:shd w:val="clear" w:color="auto" w:fill="CEFFE7"/>
          </w:tcPr>
          <w:p>
            <w:pPr>
              <w:jc w:val="right"/>
              <w:ind w:right="13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(1,370)</w:t>
            </w:r>
          </w:p>
        </w:tc>
        <w:tc>
          <w:tcPr>
            <w:tcW w:w="1620" w:type="dxa"/>
            <w:vAlign w:val="bottom"/>
            <w:tcBorders>
              <w:bottom w:val="single" w:sz="8" w:color="CEFFE7"/>
            </w:tcBorders>
            <w:shd w:val="clear" w:color="auto" w:fill="CEFFE7"/>
          </w:tcPr>
          <w:p>
            <w:pPr>
              <w:jc w:val="right"/>
              <w:ind w:right="139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8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275</w:t>
            </w:r>
          </w:p>
        </w:tc>
        <w:tc>
          <w:tcPr>
            <w:tcW w:w="162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Net loss (gain)</w:t>
            </w:r>
          </w:p>
        </w:tc>
        <w:tc>
          <w:tcPr>
            <w:tcW w:w="2840" w:type="dxa"/>
            <w:vAlign w:val="bottom"/>
            <w:tcBorders>
              <w:bottom w:val="single" w:sz="8" w:color="CEFFE7"/>
            </w:tcBorders>
            <w:shd w:val="clear" w:color="auto" w:fill="CEFFE7"/>
          </w:tcPr>
          <w:p>
            <w:pPr>
              <w:spacing w:after="0"/>
              <w:rPr>
                <w:sz w:val="23"/>
                <w:szCs w:val="23"/>
                <w:color w:val="auto"/>
              </w:rPr>
            </w:pPr>
          </w:p>
        </w:tc>
        <w:tc>
          <w:tcPr>
            <w:tcW w:w="1580" w:type="dxa"/>
            <w:vAlign w:val="bottom"/>
            <w:tcBorders>
              <w:bottom w:val="single" w:sz="8" w:color="CEFFE7"/>
            </w:tcBorders>
            <w:shd w:val="clear" w:color="auto" w:fill="CEFFE7"/>
          </w:tcPr>
          <w:p>
            <w:pPr>
              <w:spacing w:after="0"/>
              <w:rPr>
                <w:sz w:val="23"/>
                <w:szCs w:val="23"/>
                <w:color w:val="auto"/>
              </w:rPr>
            </w:pPr>
          </w:p>
        </w:tc>
        <w:tc>
          <w:tcPr>
            <w:tcW w:w="7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426</w:t>
            </w:r>
          </w:p>
        </w:tc>
        <w:tc>
          <w:tcPr>
            <w:tcW w:w="1620" w:type="dxa"/>
            <w:vAlign w:val="bottom"/>
            <w:tcBorders>
              <w:bottom w:val="single" w:sz="8" w:color="CEFFE7"/>
            </w:tcBorders>
            <w:shd w:val="clear" w:color="auto" w:fill="CEFFE7"/>
          </w:tcPr>
          <w:p>
            <w:pPr>
              <w:spacing w:after="0"/>
              <w:rPr>
                <w:sz w:val="23"/>
                <w:szCs w:val="23"/>
                <w:color w:val="auto"/>
              </w:rPr>
            </w:pPr>
          </w:p>
        </w:tc>
        <w:tc>
          <w:tcPr>
            <w:tcW w:w="7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57"/>
        </w:trPr>
        <w:tc>
          <w:tcPr>
            <w:tcW w:w="3680" w:type="dxa"/>
            <w:vAlign w:val="bottom"/>
          </w:tcPr>
          <w:p>
            <w:pPr>
              <w:ind w:left="40"/>
              <w:spacing w:after="0"/>
              <w:rPr>
                <w:sz w:val="20"/>
                <w:szCs w:val="20"/>
                <w:color w:val="auto"/>
              </w:rPr>
            </w:pPr>
            <w:r>
              <w:rPr>
                <w:rFonts w:ascii="Arial" w:cs="Arial" w:eastAsia="Arial" w:hAnsi="Arial"/>
                <w:sz w:val="18"/>
                <w:szCs w:val="18"/>
                <w:color w:val="auto"/>
              </w:rPr>
              <w:t>Net periodic benefit cost</w:t>
            </w:r>
          </w:p>
        </w:tc>
        <w:tc>
          <w:tcPr>
            <w:tcW w:w="284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ind w:right="13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w:t>
            </w:r>
          </w:p>
        </w:tc>
        <w:tc>
          <w:tcPr>
            <w:tcW w:w="1620" w:type="dxa"/>
            <w:vAlign w:val="bottom"/>
            <w:tcBorders>
              <w:top w:val="single" w:sz="8" w:color="auto"/>
              <w:bottom w:val="single" w:sz="8" w:color="auto"/>
            </w:tcBorders>
          </w:tcPr>
          <w:p>
            <w:pPr>
              <w:jc w:val="right"/>
              <w:ind w:right="139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1,743</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840" w:type="dxa"/>
            <w:vAlign w:val="bottom"/>
            <w:vMerge w:val="restart"/>
          </w:tcPr>
          <w:p>
            <w:pPr>
              <w:jc w:val="right"/>
              <w:ind w:right="710"/>
              <w:spacing w:after="0"/>
              <w:rPr>
                <w:sz w:val="20"/>
                <w:szCs w:val="20"/>
                <w:color w:val="auto"/>
              </w:rPr>
            </w:pPr>
            <w:r>
              <w:rPr>
                <w:rFonts w:ascii="Arial" w:cs="Arial" w:eastAsia="Arial" w:hAnsi="Arial"/>
                <w:sz w:val="18"/>
                <w:szCs w:val="18"/>
                <w:color w:val="auto"/>
              </w:rPr>
              <w:t>29</w:t>
            </w:r>
          </w:p>
        </w:tc>
        <w:tc>
          <w:tcPr>
            <w:tcW w:w="15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368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6" w:right="339" w:bottom="1440" w:gutter="0" w:footer="0" w:header="0"/>
        </w:sectPr>
      </w:pPr>
    </w:p>
    <w:bookmarkStart w:id="29" w:name="page30"/>
    <w:bookmarkEnd w:id="2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Contributions</w:t>
      </w:r>
    </w:p>
    <w:p>
      <w:pPr>
        <w:spacing w:after="0" w:line="225" w:lineRule="exact"/>
        <w:rPr>
          <w:sz w:val="20"/>
          <w:szCs w:val="20"/>
          <w:color w:val="auto"/>
        </w:rPr>
      </w:pPr>
    </w:p>
    <w:p>
      <w:pPr>
        <w:ind w:right="800"/>
        <w:spacing w:after="0" w:line="263" w:lineRule="auto"/>
        <w:rPr>
          <w:sz w:val="20"/>
          <w:szCs w:val="20"/>
          <w:color w:val="auto"/>
        </w:rPr>
      </w:pPr>
      <w:r>
        <w:rPr>
          <w:rFonts w:ascii="Arial" w:cs="Arial" w:eastAsia="Arial" w:hAnsi="Arial"/>
          <w:sz w:val="18"/>
          <w:szCs w:val="18"/>
          <w:color w:val="auto"/>
        </w:rPr>
        <w:t>Contributions to the Defined Benefit Pension Plan are cash contributions made directly to the Pension Plan Trust account. Contributions to the Postretirement Healthcare and Supplemental Plans are made in the form of benefit payments. Contributions made in the first quarter of 2020 and anticipated contributions for 2020 and 2021 are as follows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8"/>
              </w:rPr>
              <w:t>Additional</w:t>
            </w: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30"/>
        </w:trPr>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Contributions Made</w:t>
            </w:r>
          </w:p>
        </w:tc>
        <w:tc>
          <w:tcPr>
            <w:tcW w:w="18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2"/>
              </w:rPr>
              <w:t>Contributions</w:t>
            </w:r>
          </w:p>
        </w:tc>
        <w:tc>
          <w:tcPr>
            <w:tcW w:w="180" w:type="dxa"/>
            <w:vAlign w:val="bottom"/>
          </w:tcPr>
          <w:p>
            <w:pPr>
              <w:spacing w:after="0"/>
              <w:rPr>
                <w:sz w:val="20"/>
                <w:szCs w:val="20"/>
                <w:color w:val="auto"/>
              </w:rPr>
            </w:pP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Contributions</w:t>
            </w:r>
          </w:p>
        </w:tc>
      </w:tr>
      <w:tr>
        <w:trPr>
          <w:trHeight w:val="256"/>
        </w:trPr>
        <w:tc>
          <w:tcPr>
            <w:tcW w:w="5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Three Months Ended</w:t>
            </w:r>
          </w:p>
        </w:tc>
        <w:tc>
          <w:tcPr>
            <w:tcW w:w="1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30"/>
        </w:trPr>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March 31, 2020</w:t>
            </w:r>
          </w:p>
        </w:tc>
        <w:tc>
          <w:tcPr>
            <w:tcW w:w="18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Anticipated for 2020</w:t>
            </w:r>
          </w:p>
        </w:tc>
        <w:tc>
          <w:tcPr>
            <w:tcW w:w="180" w:type="dxa"/>
            <w:vAlign w:val="bottom"/>
          </w:tcPr>
          <w:p>
            <w:pPr>
              <w:spacing w:after="0"/>
              <w:rPr>
                <w:sz w:val="20"/>
                <w:szCs w:val="20"/>
                <w:color w:val="auto"/>
              </w:rPr>
            </w:pPr>
          </w:p>
        </w:tc>
        <w:tc>
          <w:tcPr>
            <w:tcW w:w="1660" w:type="dxa"/>
            <w:vAlign w:val="bottom"/>
          </w:tcPr>
          <w:p>
            <w:pPr>
              <w:jc w:val="right"/>
              <w:ind w:right="50"/>
              <w:spacing w:after="0"/>
              <w:rPr>
                <w:sz w:val="20"/>
                <w:szCs w:val="20"/>
                <w:color w:val="auto"/>
              </w:rPr>
            </w:pPr>
            <w:r>
              <w:rPr>
                <w:rFonts w:ascii="Arial" w:cs="Arial" w:eastAsia="Arial" w:hAnsi="Arial"/>
                <w:sz w:val="18"/>
                <w:szCs w:val="18"/>
                <w:color w:val="auto"/>
                <w:w w:val="93"/>
              </w:rPr>
              <w:t>Anticipated for 2021</w:t>
            </w:r>
          </w:p>
        </w:tc>
      </w:tr>
      <w:tr>
        <w:trPr>
          <w:trHeight w:val="27"/>
        </w:trPr>
        <w:tc>
          <w:tcPr>
            <w:tcW w:w="5860" w:type="dxa"/>
            <w:vAlign w:val="bottom"/>
            <w:tcBorders>
              <w:bottom w:val="single" w:sz="8" w:color="CEFFE7"/>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3"/>
        </w:trPr>
        <w:tc>
          <w:tcPr>
            <w:tcW w:w="58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Defined Benefit Pension Plan</w:t>
            </w:r>
          </w:p>
        </w:tc>
        <w:tc>
          <w:tcPr>
            <w:tcW w:w="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12,700</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12,700</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Non-pension Defined Benefit Postretirement Healthcare Plans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1,335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4,006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5,364</w:t>
            </w:r>
          </w:p>
        </w:tc>
      </w:tr>
      <w:tr>
        <w:trPr>
          <w:trHeight w:val="27"/>
        </w:trPr>
        <w:tc>
          <w:tcPr>
            <w:tcW w:w="5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3"/>
        </w:trPr>
        <w:tc>
          <w:tcPr>
            <w:tcW w:w="5860" w:type="dxa"/>
            <w:vAlign w:val="bottom"/>
            <w:shd w:val="clear" w:color="auto" w:fill="CEFFE7"/>
          </w:tcPr>
          <w:p>
            <w:pPr>
              <w:ind w:left="40"/>
              <w:spacing w:after="0"/>
              <w:rPr>
                <w:sz w:val="20"/>
                <w:szCs w:val="20"/>
                <w:color w:val="auto"/>
              </w:rPr>
            </w:pPr>
            <w:r>
              <w:rPr>
                <w:rFonts w:ascii="Arial" w:cs="Arial" w:eastAsia="Arial" w:hAnsi="Arial"/>
                <w:sz w:val="18"/>
                <w:szCs w:val="18"/>
                <w:color w:val="auto"/>
                <w:w w:val="96"/>
              </w:rPr>
              <w:t>Supplemental Non-qualified Defined Benefit and Defined Contribution Plans</w:t>
            </w:r>
          </w:p>
        </w:tc>
        <w:tc>
          <w:tcPr>
            <w:tcW w:w="120" w:type="dxa"/>
            <w:vAlign w:val="bottom"/>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355</w:t>
            </w:r>
          </w:p>
        </w:tc>
        <w:tc>
          <w:tcPr>
            <w:tcW w:w="1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1,065</w:t>
            </w:r>
          </w:p>
        </w:tc>
        <w:tc>
          <w:tcPr>
            <w:tcW w:w="1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1,614</w:t>
            </w:r>
          </w:p>
        </w:tc>
      </w:tr>
      <w:tr>
        <w:trPr>
          <w:trHeight w:val="27"/>
        </w:trPr>
        <w:tc>
          <w:tcPr>
            <w:tcW w:w="5860" w:type="dxa"/>
            <w:vAlign w:val="bottom"/>
            <w:shd w:val="clear" w:color="auto" w:fill="CEFFE7"/>
          </w:tcPr>
          <w:p>
            <w:pPr>
              <w:spacing w:after="0"/>
              <w:rPr>
                <w:sz w:val="2"/>
                <w:szCs w:val="2"/>
                <w:color w:val="auto"/>
              </w:rPr>
            </w:pPr>
          </w:p>
        </w:tc>
        <w:tc>
          <w:tcPr>
            <w:tcW w:w="120" w:type="dxa"/>
            <w:vAlign w:val="bottom"/>
            <w:shd w:val="clear" w:color="auto" w:fill="CEFFE7"/>
          </w:tcPr>
          <w:p>
            <w:pPr>
              <w:spacing w:after="0"/>
              <w:rPr>
                <w:sz w:val="2"/>
                <w:szCs w:val="2"/>
                <w:color w:val="auto"/>
              </w:rPr>
            </w:pPr>
          </w:p>
        </w:tc>
        <w:tc>
          <w:tcPr>
            <w:tcW w:w="1620" w:type="dxa"/>
            <w:vAlign w:val="bottom"/>
            <w:shd w:val="clear" w:color="auto" w:fill="CEFFE7"/>
          </w:tcPr>
          <w:p>
            <w:pPr>
              <w:spacing w:after="0"/>
              <w:rPr>
                <w:sz w:val="2"/>
                <w:szCs w:val="2"/>
                <w:color w:val="auto"/>
              </w:rPr>
            </w:pPr>
          </w:p>
        </w:tc>
        <w:tc>
          <w:tcPr>
            <w:tcW w:w="180" w:type="dxa"/>
            <w:vAlign w:val="bottom"/>
            <w:shd w:val="clear" w:color="auto" w:fill="CEFFE7"/>
          </w:tcPr>
          <w:p>
            <w:pPr>
              <w:spacing w:after="0"/>
              <w:rPr>
                <w:sz w:val="2"/>
                <w:szCs w:val="2"/>
                <w:color w:val="auto"/>
              </w:rPr>
            </w:pPr>
          </w:p>
        </w:tc>
        <w:tc>
          <w:tcPr>
            <w:tcW w:w="1620" w:type="dxa"/>
            <w:vAlign w:val="bottom"/>
            <w:shd w:val="clear" w:color="auto" w:fill="CEFFE7"/>
          </w:tcPr>
          <w:p>
            <w:pPr>
              <w:spacing w:after="0"/>
              <w:rPr>
                <w:sz w:val="2"/>
                <w:szCs w:val="2"/>
                <w:color w:val="auto"/>
              </w:rPr>
            </w:pPr>
          </w:p>
        </w:tc>
        <w:tc>
          <w:tcPr>
            <w:tcW w:w="180" w:type="dxa"/>
            <w:vAlign w:val="bottom"/>
            <w:shd w:val="clear" w:color="auto" w:fill="CEFFE7"/>
          </w:tcPr>
          <w:p>
            <w:pPr>
              <w:spacing w:after="0"/>
              <w:rPr>
                <w:sz w:val="2"/>
                <w:szCs w:val="2"/>
                <w:color w:val="auto"/>
              </w:rPr>
            </w:pPr>
          </w:p>
        </w:tc>
        <w:tc>
          <w:tcPr>
            <w:tcW w:w="1660" w:type="dxa"/>
            <w:vAlign w:val="bottom"/>
            <w:shd w:val="clear" w:color="auto" w:fill="CEFFE7"/>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Commitments and Contingencies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There have been no significant changes to commitments and contingencies from those previously disclosed in Note 19 of our Notes to the Consolidated Financial Statements in our 2019 Annual Report on Form 10-K except for those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Future Purchase Agreement - Black Hills Wyoming and Wyoming Electric</w:t>
      </w:r>
    </w:p>
    <w:p>
      <w:pPr>
        <w:spacing w:after="0" w:line="225" w:lineRule="exact"/>
        <w:rPr>
          <w:sz w:val="20"/>
          <w:szCs w:val="20"/>
          <w:color w:val="auto"/>
        </w:rPr>
      </w:pPr>
    </w:p>
    <w:p>
      <w:pPr>
        <w:ind w:right="200"/>
        <w:spacing w:after="0" w:line="296" w:lineRule="auto"/>
        <w:rPr>
          <w:rFonts w:ascii="Arial" w:cs="Arial" w:eastAsia="Arial" w:hAnsi="Arial"/>
          <w:sz w:val="16"/>
          <w:szCs w:val="16"/>
          <w:color w:val="auto"/>
        </w:rPr>
      </w:pPr>
      <w:r>
        <w:rPr>
          <w:rFonts w:ascii="Arial" w:cs="Arial" w:eastAsia="Arial" w:hAnsi="Arial"/>
          <w:sz w:val="16"/>
          <w:szCs w:val="16"/>
          <w:color w:val="auto"/>
        </w:rPr>
        <w:t xml:space="preserve">Black Hills Wyoming has a PPA with Wyoming Electric expiring on December 31, 2022, which provides 60 MW of unit-contingent capacity and energy from Black Hills Wyoming’s Wygen I facility. On August 2, 2019, Black Hills Wyoming and Wyoming Electric jointly filed a request with FERC for approval of a new 60 MW PPA. On February 21, 2020, the FERC set this filing for hearing. However, the hearing has been placed in abeyance pending a FERC monitored settlement process. Settlement negotiations are ongoing among all parties. Any settlement would require FERC approval. To the extent the parties are unable to reach agreement, the next step in FERC’s process would be to set the matter for hearing. See </w:t>
      </w:r>
      <w:hyperlink w:anchor="page19">
        <w:r>
          <w:rPr>
            <w:rFonts w:ascii="Arial" w:cs="Arial" w:eastAsia="Arial" w:hAnsi="Arial"/>
            <w:sz w:val="16"/>
            <w:szCs w:val="16"/>
            <w:u w:val="single" w:color="auto"/>
            <w:color w:val="0000EE"/>
          </w:rPr>
          <w:t>Note 5</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additional information.</w:t>
      </w:r>
    </w:p>
    <w:p>
      <w:pPr>
        <w:spacing w:after="0" w:line="373" w:lineRule="exact"/>
        <w:rPr>
          <w:sz w:val="20"/>
          <w:szCs w:val="20"/>
          <w:color w:val="auto"/>
        </w:rPr>
      </w:pPr>
    </w:p>
    <w:p>
      <w:pPr>
        <w:ind w:right="9700" w:firstLine="8"/>
        <w:spacing w:after="0" w:line="503" w:lineRule="auto"/>
        <w:tabs>
          <w:tab w:leader="none" w:pos="4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 CARES Act</w:t>
      </w:r>
    </w:p>
    <w:p>
      <w:pPr>
        <w:jc w:val="both"/>
        <w:ind w:right="640"/>
        <w:spacing w:after="0" w:line="263" w:lineRule="auto"/>
        <w:rPr>
          <w:sz w:val="20"/>
          <w:szCs w:val="20"/>
          <w:color w:val="auto"/>
        </w:rPr>
      </w:pPr>
      <w:r>
        <w:rPr>
          <w:rFonts w:ascii="Arial" w:cs="Arial" w:eastAsia="Arial" w:hAnsi="Arial"/>
          <w:sz w:val="18"/>
          <w:szCs w:val="18"/>
          <w:color w:val="auto"/>
        </w:rPr>
        <w:t>On March 27, 2020, the President signed the Coronavirus Aid, Relief, and Economic Security Act (the “CARES Act”), which contained in part, an allowance for deferral of the employer portion of Social Security employment tax liabilities until 2021 and 2022, as well as a COVID-19 employee retention tax credit of up to $5,000 per eligible employee.</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Eligible employers are taxpayers experiencing either: (1) a full or partial suspension of business operations stemming from a government COVID-19-related order or (2) a more than 50% drop in gross receipts compared to the corresponding calendar quarter in 2019. This 50% employee retention tax credit applies to up to $10,000 in qualified wages paid between March 13, 2020 through December 31, 2020, and is refundable to the extent it exceeds the employer portion of payroll tax liability.</w:t>
      </w:r>
    </w:p>
    <w:p>
      <w:pPr>
        <w:spacing w:after="0" w:line="18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Eligible wages or employer-paid health benefits must be paid for the period of time during which an employee did not provide services. However, employees do not need to stop providing all services to the employer for the credit to potentially apply.</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Additionally, the CARES Act accelerates the amount of alternative minimum tax (“AMT”) credits that can be refunded for the 2018 and 2019 annual tax returns.</w:t>
      </w:r>
    </w:p>
    <w:p>
      <w:pPr>
        <w:spacing w:after="0" w:line="170"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Based on the timing of the CARES Act, for the three months ended March 31, 2020, the related tax benefits from the CARES Act were not material. We are currently reviewing the potential future benefits related to employee retention tax credits and the payroll tax deferral provision to assess the impact on our financial position, results of operations and cash flows.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26" w:right="339" w:bottom="1440" w:gutter="0" w:footer="0" w:header="0"/>
        </w:sectPr>
      </w:pPr>
    </w:p>
    <w:bookmarkStart w:id="30" w:name="page31"/>
    <w:bookmarkEnd w:id="3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 for the Three Months Ended March 31, 2020 Compared to the Three Months Ended March 31, 2019.</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Income tax benefit (expense) for the three months ended March 31, 2020 was $(16) million compared to $(17) million reported for the same period in 2019. For the three months ended March 31, 2020 the effective tax rate was 14.1% compared to 13.9% for the same period in 2019. The higher effective tax rate is primarily due to a discrete tax adjustment related to the impairment of our investment in equity securities of a privately held oil and gas company partially offset by increased tax benefits from forecasted federal production tax credits associated with new wind assets.</w:t>
      </w:r>
    </w:p>
    <w:p>
      <w:pPr>
        <w:spacing w:after="0" w:line="383" w:lineRule="exact"/>
        <w:rPr>
          <w:sz w:val="20"/>
          <w:szCs w:val="20"/>
          <w:color w:val="auto"/>
        </w:rPr>
      </w:pPr>
    </w:p>
    <w:p>
      <w:pPr>
        <w:ind w:left="540" w:hanging="532"/>
        <w:spacing w:after="0"/>
        <w:tabs>
          <w:tab w:leader="none" w:pos="5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In February 2018, we contributed $28 million of assets in exchange for equity securities in a privately held oil and gas company as we divested our Oil and Gas segment. The carrying value of our investment in the equity securities was recorded at cost. We review this investment on a periodic basis to determine whether a significant event or change in circumstances has occurred that may have an adverse effect on the value of the investment.</w:t>
      </w:r>
    </w:p>
    <w:p>
      <w:pPr>
        <w:spacing w:after="0" w:line="14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During the third quarter of 2019, we assessed our investment for impairment as a result of a deterioration in earnings performance of the privately held oil and gas company and an adverse change in future natural gas prices. We engaged a third-party valuation consultant to estimate the fair value of our investment. The valuation was primarily based on an income approach but also considered a market valuation approach. The significant inputs used to estimate the fair value were the oil and gas reserve quantities and values utilizing forward market price curves, industry standard reserve adjustment factors and a discount rate of 10%. Based on the results of the valuation, we concluded that the carrying value of the investment exceeded fair value. As a result, we recorded a pre-tax impairment loss of $20 million for the three months ended September 30, 2019, which was the difference between the carrying amount and the fair value of the investment at that time.</w:t>
      </w:r>
    </w:p>
    <w:p>
      <w:pPr>
        <w:spacing w:after="0" w:line="195"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During the first quarter of 2020, we assessed our investment for impairment as a result of continued adverse changes in future natural gas prices and liquidity concerns at the privately held oil and gas company. We performed an internal analysis to compute the fair value of our investment, utilizing a consistent methodology as applied during the third quarter of 2019. Based on the results of the valuation, we concluded that the carrying value of the investment exceeded fair value. As a result, we recorded a pre-tax impairment loss of $6.9 million for the three months ended March 31, 2020, which was the difference between the carrying amount and the fair value of the investment at March 31, 2020.</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w w:val="97"/>
              </w:rPr>
              <w:t>The following table presents the carrying value of our investments (in thousands) as of:</w:t>
            </w:r>
          </w:p>
        </w:tc>
        <w:tc>
          <w:tcPr>
            <w:tcW w:w="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378"/>
        </w:trPr>
        <w:tc>
          <w:tcPr>
            <w:tcW w:w="6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60" w:type="dxa"/>
            <w:vAlign w:val="bottom"/>
          </w:tcPr>
          <w:p>
            <w:pPr>
              <w:jc w:val="right"/>
              <w:ind w:right="410"/>
              <w:spacing w:after="0"/>
              <w:rPr>
                <w:sz w:val="20"/>
                <w:szCs w:val="20"/>
                <w:color w:val="auto"/>
              </w:rPr>
            </w:pPr>
            <w:r>
              <w:rPr>
                <w:rFonts w:ascii="Arial" w:cs="Arial" w:eastAsia="Arial" w:hAnsi="Arial"/>
                <w:sz w:val="18"/>
                <w:szCs w:val="18"/>
                <w:color w:val="auto"/>
              </w:rPr>
              <w:t>March 31, 2020</w:t>
            </w:r>
          </w:p>
        </w:tc>
        <w:tc>
          <w:tcPr>
            <w:tcW w:w="300" w:type="dxa"/>
            <w:vAlign w:val="bottom"/>
          </w:tcPr>
          <w:p>
            <w:pPr>
              <w:spacing w:after="0"/>
              <w:rPr>
                <w:sz w:val="24"/>
                <w:szCs w:val="24"/>
                <w:color w:val="auto"/>
              </w:rPr>
            </w:pPr>
          </w:p>
        </w:tc>
        <w:tc>
          <w:tcPr>
            <w:tcW w:w="1980" w:type="dxa"/>
            <w:vAlign w:val="bottom"/>
          </w:tcPr>
          <w:p>
            <w:pPr>
              <w:jc w:val="right"/>
              <w:ind w:right="330"/>
              <w:spacing w:after="0"/>
              <w:rPr>
                <w:sz w:val="20"/>
                <w:szCs w:val="20"/>
                <w:color w:val="auto"/>
              </w:rPr>
            </w:pPr>
            <w:r>
              <w:rPr>
                <w:rFonts w:ascii="Arial" w:cs="Arial" w:eastAsia="Arial" w:hAnsi="Arial"/>
                <w:sz w:val="18"/>
                <w:szCs w:val="18"/>
                <w:color w:val="auto"/>
                <w:w w:val="97"/>
              </w:rPr>
              <w:t>December 31, 2019</w:t>
            </w:r>
          </w:p>
        </w:tc>
      </w:tr>
      <w:tr>
        <w:trPr>
          <w:trHeight w:val="27"/>
        </w:trPr>
        <w:tc>
          <w:tcPr>
            <w:tcW w:w="6760" w:type="dxa"/>
            <w:vAlign w:val="bottom"/>
            <w:tcBorders>
              <w:bottom w:val="single" w:sz="8" w:color="CEFFE7"/>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3"/>
        </w:trPr>
        <w:tc>
          <w:tcPr>
            <w:tcW w:w="67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Investment in privately held oil and gas company</w:t>
            </w:r>
          </w:p>
        </w:tc>
        <w:tc>
          <w:tcPr>
            <w:tcW w:w="34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1,500</w:t>
            </w:r>
          </w:p>
        </w:tc>
        <w:tc>
          <w:tcPr>
            <w:tcW w:w="30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8,359</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Cash surrender value of life insurance contracts</w:t>
            </w:r>
          </w:p>
        </w:tc>
        <w:tc>
          <w:tcPr>
            <w:tcW w:w="34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13,235</w:t>
            </w:r>
          </w:p>
        </w:tc>
        <w:tc>
          <w:tcPr>
            <w:tcW w:w="30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13,056</w:t>
            </w: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67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Other investments</w:t>
            </w:r>
          </w:p>
        </w:tc>
        <w:tc>
          <w:tcPr>
            <w:tcW w:w="340" w:type="dxa"/>
            <w:vAlign w:val="bottom"/>
            <w:tcBorders>
              <w:bottom w:val="single" w:sz="8" w:color="CEFFE7"/>
            </w:tcBorders>
            <w:shd w:val="clear" w:color="auto" w:fill="CEFFE7"/>
          </w:tcPr>
          <w:p>
            <w:pPr>
              <w:spacing w:after="0"/>
              <w:rPr>
                <w:sz w:val="23"/>
                <w:szCs w:val="23"/>
                <w:color w:val="auto"/>
              </w:rPr>
            </w:pPr>
          </w:p>
        </w:tc>
        <w:tc>
          <w:tcPr>
            <w:tcW w:w="1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515</w:t>
            </w:r>
          </w:p>
        </w:tc>
        <w:tc>
          <w:tcPr>
            <w:tcW w:w="300" w:type="dxa"/>
            <w:vAlign w:val="bottom"/>
            <w:tcBorders>
              <w:bottom w:val="single" w:sz="8" w:color="CEFFE7"/>
            </w:tcBorders>
            <w:shd w:val="clear" w:color="auto" w:fill="CEFFE7"/>
          </w:tcPr>
          <w:p>
            <w:pPr>
              <w:spacing w:after="0"/>
              <w:rPr>
                <w:sz w:val="23"/>
                <w:szCs w:val="23"/>
                <w:color w:val="auto"/>
              </w:rPr>
            </w:pPr>
          </w:p>
        </w:tc>
        <w:tc>
          <w:tcPr>
            <w:tcW w:w="1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514</w:t>
            </w:r>
          </w:p>
        </w:tc>
      </w:tr>
      <w:tr>
        <w:trPr>
          <w:trHeight w:val="257"/>
        </w:trPr>
        <w:tc>
          <w:tcPr>
            <w:tcW w:w="6760" w:type="dxa"/>
            <w:vAlign w:val="bottom"/>
          </w:tcPr>
          <w:p>
            <w:pPr>
              <w:ind w:left="280"/>
              <w:spacing w:after="0"/>
              <w:rPr>
                <w:sz w:val="20"/>
                <w:szCs w:val="20"/>
                <w:color w:val="auto"/>
              </w:rPr>
            </w:pPr>
            <w:r>
              <w:rPr>
                <w:rFonts w:ascii="Arial" w:cs="Arial" w:eastAsia="Arial" w:hAnsi="Arial"/>
                <w:sz w:val="18"/>
                <w:szCs w:val="18"/>
                <w:color w:val="auto"/>
              </w:rPr>
              <w:t>Total investments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15,250</w:t>
            </w:r>
          </w:p>
        </w:tc>
        <w:tc>
          <w:tcPr>
            <w:tcW w:w="3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21,929</w:t>
            </w:r>
          </w:p>
        </w:tc>
      </w:tr>
      <w:tr>
        <w:trPr>
          <w:trHeight w:val="20"/>
        </w:trPr>
        <w:tc>
          <w:tcPr>
            <w:tcW w:w="6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5"/>
          <w:szCs w:val="15"/>
          <w:b w:val="1"/>
          <w:bCs w:val="1"/>
          <w:color w:val="auto"/>
        </w:rPr>
        <w:t>Subsequent Events</w:t>
      </w:r>
    </w:p>
    <w:p>
      <w:pPr>
        <w:spacing w:after="0" w:line="229"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We evaluated all subsequent event activity and concluded that no subsequent events have occurred that would require recognition in the condensed consolidated financial statements or disclosures, with the exception of the Note 5 disclosure surrounding Colorado Gas’ jurisdictional consolidation and rate review.</w:t>
      </w:r>
    </w:p>
    <w:p>
      <w:pPr>
        <w:spacing w:after="0" w:line="18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There are many uncertainties regarding the COVID-19 pandemic, and the Company is closely monitoring the impact of the pandemic on all aspects of its business, including how it will impact its customers, employees, suppliers, vendors, and business partners. We are unable to predict the impact that COVID-19 will have on our financial position and operating results due to numerous uncertainties. The Company expects to continue to assess the evolving impact of COVID-19 and intends to make adjustments to its responses accordingly.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26" w:right="339" w:bottom="1440" w:gutter="0" w:footer="0" w:header="0"/>
        </w:sectPr>
      </w:pPr>
    </w:p>
    <w:bookmarkStart w:id="31" w:name="page32"/>
    <w:bookmarkEnd w:id="3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are a customer-focused, growth-oriented utility company operating in the United States. We report our operations and results in the following financial segments:</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u w:val="single" w:color="auto"/>
          <w:color w:val="auto"/>
        </w:rPr>
        <w:t>Electric Utilities</w:t>
      </w:r>
      <w:r>
        <w:rPr>
          <w:rFonts w:ascii="Arial" w:cs="Arial" w:eastAsia="Arial" w:hAnsi="Arial"/>
          <w:sz w:val="18"/>
          <w:szCs w:val="18"/>
          <w:color w:val="auto"/>
        </w:rPr>
        <w:t>: Our Electric Utilities segment generates, transmits and distributes electricity to approximately 214,000 customers in Colorado, Montana, South Dakota and Wyoming. Our electric generating facilities and power purchase agreements provide for the supply of electricity principally to our distribution systems. Additionally, we sell excess power to other utilities and marketing companies, including our affiliates. We also provide non-regulated services through our Tech Services product lines.</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u w:val="single" w:color="auto"/>
          <w:color w:val="auto"/>
        </w:rPr>
        <w:t>Gas Utilities</w:t>
      </w:r>
      <w:r>
        <w:rPr>
          <w:rFonts w:ascii="Arial" w:cs="Arial" w:eastAsia="Arial" w:hAnsi="Arial"/>
          <w:sz w:val="18"/>
          <w:szCs w:val="18"/>
          <w:color w:val="auto"/>
        </w:rPr>
        <w:t>: Our Gas Utilities segment conducts natural gas utility operations through our Arkansas, Colorado, Iowa, Kansas, Nebraska and Wyoming subsidiaries. Our Gas Utilities segment distributes and transports natural gas through our pipeline network to approximately 1,066,000 natural gas customers. Additionally, we sell contractual pipeline capacity and gas commodities to other utilities and marketing companies, including our affiliates, on an as-available basis.</w:t>
      </w:r>
    </w:p>
    <w:p>
      <w:pPr>
        <w:spacing w:after="0" w:line="187"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Black Hills Energy Services provides natural gas supply to approximately 49,000 retail distribution customers under the Choice Gas Program in Nebraska and Wyoming. Additionally, we provide services under the Service Guard Comfort Plan and Tech Services and also offer HomeServe products.</w:t>
      </w:r>
    </w:p>
    <w:p>
      <w:pPr>
        <w:spacing w:after="0" w:line="12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u w:val="single" w:color="auto"/>
          <w:color w:val="auto"/>
        </w:rPr>
        <w:t>Power Generation</w:t>
      </w:r>
      <w:r>
        <w:rPr>
          <w:rFonts w:ascii="Arial" w:cs="Arial" w:eastAsia="Arial" w:hAnsi="Arial"/>
          <w:sz w:val="18"/>
          <w:szCs w:val="18"/>
          <w:color w:val="auto"/>
        </w:rPr>
        <w:t>: Our Power Generation segment produces electric power from its non-regulated generating plants and sells the electric capacity and energy primarily to our utilities under long-term contracts.</w:t>
      </w:r>
    </w:p>
    <w:p>
      <w:pPr>
        <w:spacing w:after="0" w:line="1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u w:val="single" w:color="auto"/>
          <w:color w:val="auto"/>
        </w:rPr>
        <w:t>Mining</w:t>
      </w:r>
      <w:r>
        <w:rPr>
          <w:rFonts w:ascii="Arial" w:cs="Arial" w:eastAsia="Arial" w:hAnsi="Arial"/>
          <w:sz w:val="18"/>
          <w:szCs w:val="18"/>
          <w:color w:val="auto"/>
        </w:rPr>
        <w:t>: Our Mining segment extracts coal at our mine near Gillette, Wyoming, and sells the coal primarily to on-site, mine-mouth power generation facilities.</w:t>
      </w:r>
    </w:p>
    <w:p>
      <w:pPr>
        <w:spacing w:after="0" w:line="170"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Our reportable segments are based on our method of internal reporting, which is generally segregated by differences in products, services and regulation. All of our operations and assets are located within the United States. All of our non-utility business segments support our utilities. Certain unallocated corporate expenses that support our operating segments are presented as Corporate and Other.</w:t>
      </w:r>
    </w:p>
    <w:p>
      <w:pPr>
        <w:spacing w:after="0" w:line="184" w:lineRule="exact"/>
        <w:rPr>
          <w:sz w:val="20"/>
          <w:szCs w:val="20"/>
          <w:color w:val="auto"/>
        </w:rPr>
      </w:pPr>
    </w:p>
    <w:p>
      <w:pPr>
        <w:jc w:val="both"/>
        <w:ind w:right="60"/>
        <w:spacing w:after="0" w:line="287" w:lineRule="auto"/>
        <w:rPr>
          <w:sz w:val="20"/>
          <w:szCs w:val="20"/>
          <w:color w:val="auto"/>
        </w:rPr>
      </w:pPr>
      <w:r>
        <w:rPr>
          <w:rFonts w:ascii="Arial" w:cs="Arial" w:eastAsia="Arial" w:hAnsi="Arial"/>
          <w:sz w:val="16"/>
          <w:szCs w:val="16"/>
          <w:color w:val="auto"/>
        </w:rPr>
        <w:t>Certain industries in which we operate are highly seasonal, and revenue from, and certain expenses for, such operations may fluctuate significantly among quarterly periods. Demand for electricity and natural gas is sensitive to seasonal cooling, heating and industrial load requirements. In particular, the normal peak usage season for our Electric Utilities is June through August while the normal peak usage season for our Gas Utilities is November through March.</w:t>
      </w:r>
    </w:p>
    <w:p>
      <w:pPr>
        <w:spacing w:after="0" w:line="2"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Significant earnings variances can be expected between the Gas Utilities segment’s peak and off-peak seasons. Due to this seasonal nature, our results of operations for the three months ended March 31, 2020 and 2019, and our financial condition as of March 31, 2020 and December 31, 2019, are not necessarily indicative of the results of operations and financial condition to be expected as of or for any other period or for the entire year.</w:t>
      </w:r>
    </w:p>
    <w:p>
      <w:pPr>
        <w:spacing w:after="0" w:line="317" w:lineRule="exact"/>
        <w:rPr>
          <w:sz w:val="20"/>
          <w:szCs w:val="20"/>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 xml:space="preserve">See </w:t>
      </w:r>
      <w:hyperlink w:anchor="page49">
        <w:r>
          <w:rPr>
            <w:rFonts w:ascii="Arial" w:cs="Arial" w:eastAsia="Arial" w:hAnsi="Arial"/>
            <w:sz w:val="18"/>
            <w:szCs w:val="18"/>
            <w:u w:val="single" w:color="auto"/>
            <w:color w:val="0000EE"/>
          </w:rPr>
          <w:t>Forward-Looking Information</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in the </w:t>
      </w:r>
      <w:hyperlink w:anchor="page45">
        <w:r>
          <w:rPr>
            <w:rFonts w:ascii="Arial" w:cs="Arial" w:eastAsia="Arial" w:hAnsi="Arial"/>
            <w:sz w:val="18"/>
            <w:szCs w:val="18"/>
            <w:u w:val="single" w:color="auto"/>
            <w:color w:val="0000EE"/>
          </w:rPr>
          <w:t>Liquidity and Capital Resources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section of this Item 2, beginning on Page </w:t>
      </w:r>
      <w:hyperlink w:anchor="page49">
        <w:r>
          <w:rPr>
            <w:rFonts w:ascii="Arial" w:cs="Arial" w:eastAsia="Arial" w:hAnsi="Arial"/>
            <w:sz w:val="18"/>
            <w:szCs w:val="18"/>
            <w:color w:val="0000EE"/>
          </w:rPr>
          <w:t>45</w:t>
        </w:r>
      </w:hyperlink>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spacing w:after="0" w:line="277" w:lineRule="auto"/>
        <w:rPr>
          <w:sz w:val="20"/>
          <w:szCs w:val="20"/>
          <w:color w:val="auto"/>
        </w:rPr>
      </w:pPr>
      <w:r>
        <w:rPr>
          <w:rFonts w:ascii="Arial" w:cs="Arial" w:eastAsia="Arial" w:hAnsi="Arial"/>
          <w:sz w:val="18"/>
          <w:szCs w:val="18"/>
          <w:i w:val="1"/>
          <w:iCs w:val="1"/>
          <w:color w:val="auto"/>
        </w:rPr>
        <w:t>The segment information does not include inter-company eliminations. Minor differences in amounts may result due to rounding. All amounts are presented on a pre-tax basis unless otherwise indicated.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2" w:lineRule="exact"/>
        <w:rPr>
          <w:rFonts w:ascii="Arial" w:cs="Arial" w:eastAsia="Arial" w:hAnsi="Arial"/>
          <w:sz w:val="18"/>
          <w:szCs w:val="18"/>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320" w:top="126" w:right="359" w:bottom="1440" w:gutter="0" w:footer="0" w:header="0"/>
        </w:sectPr>
      </w:pPr>
    </w:p>
    <w:bookmarkStart w:id="32" w:name="page33"/>
    <w:bookmarkEnd w:id="3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2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One of the Company’s core values is safety. The COVID-19 pandemic has given us an opportunity to demonstrate our commitment to the health and safety of our employees, customers, business partners and the communities we serve. We have executed our business continuity plans across all of our jurisdictions with the goal of continuing to provide safe and reliable service during the COVID-19 pandemic.</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March 31, 2020, we did not experience significant impacts to our financial results and operational activities due to COVID-19.</w:t>
      </w:r>
    </w:p>
    <w:p>
      <w:pPr>
        <w:spacing w:after="0" w:line="24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Decline in revenues and customer loads for the three months ended March 31, 2020, when compared to the same period in the prior year, were driven primarily by weather. We continue to closely monitor loads, particularly in states that have implemented more restrictive stay-at-home executive orders or recommendations. We have proactively communicated with various commercial and industrial customers in our service territories to understand their needs and forecast the potential financial implications. We did not experience a significant increase in bad debt expense for the three months ended March 31, 2020. </w:t>
      </w:r>
      <w:r>
        <w:rPr>
          <w:rFonts w:ascii="Arial" w:cs="Arial" w:eastAsia="Arial" w:hAnsi="Arial"/>
          <w:sz w:val="18"/>
          <w:szCs w:val="18"/>
          <w:color w:val="212529"/>
        </w:rPr>
        <w:t>We have informed both our customers and regulators that disconnections for non-payment will be temporarily suspended. We continue to monitor the</w:t>
      </w:r>
      <w:r>
        <w:rPr>
          <w:rFonts w:ascii="Arial" w:cs="Arial" w:eastAsia="Arial" w:hAnsi="Arial"/>
          <w:sz w:val="18"/>
          <w:szCs w:val="18"/>
          <w:color w:val="auto"/>
        </w:rPr>
        <w:t xml:space="preserve"> </w:t>
      </w:r>
      <w:r>
        <w:rPr>
          <w:rFonts w:ascii="Arial" w:cs="Arial" w:eastAsia="Arial" w:hAnsi="Arial"/>
          <w:sz w:val="18"/>
          <w:szCs w:val="18"/>
          <w:color w:val="212529"/>
        </w:rPr>
        <w:t>impacts of COVID-19 on our cash flows and bad debt expense.</w:t>
      </w:r>
    </w:p>
    <w:p>
      <w:pPr>
        <w:spacing w:after="0" w:line="19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continue to maintain adequate liquidity to operate our businesses and fund our capital investment program. In February 2020, the Company issued $100 million in equity to support its 2020 capital investment program. For the three months ended March 31, 2020, the Company utilized a combination of its $750 million Revolving Credit Facility and CP Program to meet its funding requirements. In recent weeks, the liquidity for A-2/P-2 rated issuers, which is the Company’s current Commercial Paper rating with S&amp;P and Moody’s, respectively, within the Commercial Paper market has improved which provides additional liquidity options under the Revolving Credit Facility. The Company has no material debt maturities until late 2023, and as of March 31, 2020, had $468 million of liquidity which included cash and available capacity on its Revolving Credit Facility. We also continue to monitor the funding status of our employee benefit plan obligations, which did not materially change during the first quarter 2020.</w:t>
      </w:r>
    </w:p>
    <w:p>
      <w:pPr>
        <w:spacing w:after="0" w:line="17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are monitoring supply chains, including lead times for key materials and supplies, availability of resources, and status of large capital projects. To date, there have been limited impacts to supply chains including availability of supplies and materials and lead times. Capital projects are ongoing without material disruption to schedules. Our third party resources continue to support our business plans without disruption. Contingency plans are ongoing due to the impacts of COVID-19, including the potential for rescheduling projects. We currently do not anticipate a significant impact on our capital investment plan for 2020.</w:t>
      </w:r>
    </w:p>
    <w:p>
      <w:pPr>
        <w:spacing w:after="0" w:line="188"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We continue to work closely with local health, public safety and government officials to minimize the spread of COVID-19 and minimize the impact to our employees and the service we provide to our customers. Some of the actions the Company has taken include implementing protocols for our field operations personnel to continue to safely and effectively interact with our customers, asking employees to work from home to the extent possible, quarantining employees if they had traveled to an at-risk area, limiting travel to only mission critical purposes and sequestering essential employees.</w:t>
      </w:r>
    </w:p>
    <w:p>
      <w:pPr>
        <w:spacing w:after="0" w:line="15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we look forward, we anticipate that our 2020 operating results could potentially be impacted as a result of COVID-19, including impact related to the following:</w:t>
      </w:r>
    </w:p>
    <w:p>
      <w:pPr>
        <w:spacing w:after="0" w:line="170"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residential load and decreased commercial and industrial demand;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Increased allowance for credit losses and bad debt expense as a result of suspending disconnections and delayed or non-payment from customers;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Disruption in our supply chains impacting our ability to timely execute our capital investment and maintenance project plans;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Volatility in cost of sales due to changes in commodity prices;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Rate actions from our regulators;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Decreased training, travel and outside services related expenses;</w:t>
      </w:r>
    </w:p>
    <w:p>
      <w:pPr>
        <w:spacing w:after="0" w:line="9" w:lineRule="exact"/>
        <w:rPr>
          <w:rFonts w:ascii="Arial" w:cs="Arial" w:eastAsia="Arial" w:hAnsi="Arial"/>
          <w:sz w:val="18"/>
          <w:szCs w:val="18"/>
          <w:color w:val="auto"/>
        </w:rPr>
      </w:pPr>
    </w:p>
    <w:p>
      <w:pPr>
        <w:ind w:left="660" w:right="2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operation and maintenance costs if we experience a shortage of labor availability which would lead to deferral of capital projects and sequestration costs for employees deemed critical at our generating facilities; and</w:t>
      </w:r>
    </w:p>
    <w:p>
      <w:pPr>
        <w:ind w:left="660" w:right="160" w:hanging="328"/>
        <w:spacing w:after="0" w:line="26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tax benefits for employee retention tax credits and reduced cash tax payments for the payroll tax deferral provision and acceleration of alternative minimum tax (“AMT”) credit refunds from the CARES Act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320" w:top="126" w:right="359" w:bottom="1440" w:gutter="0" w:footer="0" w:header="0"/>
        </w:sectPr>
      </w:pPr>
    </w:p>
    <w:bookmarkStart w:id="33" w:name="page34"/>
    <w:bookmarkEnd w:id="3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We provide recurring status updates and maintain ongoing dialogue with the regulatory commissions in our jurisdictions. We are working with regulators in each of our service territories to preserve our right for deferred regulatory treatment for certain COVID-19 related costs at a later date.</w:t>
      </w:r>
    </w:p>
    <w:p>
      <w:pPr>
        <w:spacing w:after="0" w:line="146"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During these uncertain times, we remain highly focused on the safety and health of our employees, customers, business partners and communities. We continue to monitor load, customers’ ability to pay, the potential for supply chain disruption that may impact our capital and maintenance project plans, the availability of resources to execute our plans and the capital markets to ensure we have the liquidity necessary to support our financial needs.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Consolidated Summary and Overview</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78"/>
        </w:trPr>
        <w:tc>
          <w:tcPr>
            <w:tcW w:w="8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380" w:type="dxa"/>
            <w:vAlign w:val="bottom"/>
            <w:gridSpan w:val="5"/>
          </w:tcPr>
          <w:p>
            <w:pPr>
              <w:ind w:left="60"/>
              <w:spacing w:after="0"/>
              <w:rPr>
                <w:sz w:val="20"/>
                <w:szCs w:val="20"/>
                <w:color w:val="auto"/>
              </w:rPr>
            </w:pPr>
            <w:r>
              <w:rPr>
                <w:rFonts w:ascii="Arial" w:cs="Arial" w:eastAsia="Arial" w:hAnsi="Arial"/>
                <w:sz w:val="18"/>
                <w:szCs w:val="18"/>
                <w:color w:val="auto"/>
                <w:w w:val="90"/>
              </w:rPr>
              <w:t>Three Months Ended March 31,</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70"/>
        </w:trPr>
        <w:tc>
          <w:tcPr>
            <w:tcW w:w="80" w:type="dxa"/>
            <w:vAlign w:val="bottom"/>
          </w:tcPr>
          <w:p>
            <w:pPr>
              <w:spacing w:after="0"/>
              <w:rPr>
                <w:sz w:val="23"/>
                <w:szCs w:val="23"/>
                <w:color w:val="auto"/>
              </w:rPr>
            </w:pPr>
          </w:p>
        </w:tc>
        <w:tc>
          <w:tcPr>
            <w:tcW w:w="6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gridSpan w:val="2"/>
          </w:tcPr>
          <w:p>
            <w:pPr>
              <w:jc w:val="right"/>
              <w:ind w:right="10"/>
              <w:spacing w:after="0"/>
              <w:rPr>
                <w:sz w:val="20"/>
                <w:szCs w:val="20"/>
                <w:color w:val="auto"/>
              </w:rPr>
            </w:pPr>
            <w:r>
              <w:rPr>
                <w:rFonts w:ascii="Arial" w:cs="Arial" w:eastAsia="Arial" w:hAnsi="Arial"/>
                <w:sz w:val="18"/>
                <w:szCs w:val="18"/>
                <w:color w:val="auto"/>
              </w:rPr>
              <w:t>2020</w:t>
            </w: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jc w:val="right"/>
              <w:ind w:right="10"/>
              <w:spacing w:after="0"/>
              <w:rPr>
                <w:sz w:val="20"/>
                <w:szCs w:val="20"/>
                <w:color w:val="auto"/>
              </w:rPr>
            </w:pPr>
            <w:r>
              <w:rPr>
                <w:rFonts w:ascii="Arial" w:cs="Arial" w:eastAsia="Arial" w:hAnsi="Arial"/>
                <w:sz w:val="18"/>
                <w:szCs w:val="18"/>
                <w:color w:val="auto"/>
              </w:rPr>
              <w:t>2019</w:t>
            </w:r>
          </w:p>
        </w:tc>
        <w:tc>
          <w:tcPr>
            <w:tcW w:w="820" w:type="dxa"/>
            <w:vAlign w:val="bottom"/>
          </w:tcPr>
          <w:p>
            <w:pPr>
              <w:spacing w:after="0"/>
              <w:rPr>
                <w:sz w:val="23"/>
                <w:szCs w:val="23"/>
                <w:color w:val="auto"/>
              </w:rPr>
            </w:pPr>
          </w:p>
        </w:tc>
      </w:tr>
      <w:tr>
        <w:trPr>
          <w:trHeight w:val="27"/>
        </w:trPr>
        <w:tc>
          <w:tcPr>
            <w:tcW w:w="80" w:type="dxa"/>
            <w:vAlign w:val="bottom"/>
          </w:tcPr>
          <w:p>
            <w:pPr>
              <w:spacing w:after="0"/>
              <w:rPr>
                <w:sz w:val="2"/>
                <w:szCs w:val="2"/>
                <w:color w:val="auto"/>
              </w:rPr>
            </w:pPr>
          </w:p>
        </w:tc>
        <w:tc>
          <w:tcPr>
            <w:tcW w:w="6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80" w:type="dxa"/>
            <w:vAlign w:val="bottom"/>
          </w:tcPr>
          <w:p>
            <w:pPr>
              <w:spacing w:after="0"/>
              <w:rPr>
                <w:sz w:val="20"/>
                <w:szCs w:val="20"/>
                <w:color w:val="auto"/>
              </w:rPr>
            </w:pPr>
          </w:p>
        </w:tc>
        <w:tc>
          <w:tcPr>
            <w:tcW w:w="6560" w:type="dxa"/>
            <w:vAlign w:val="bottom"/>
          </w:tcPr>
          <w:p>
            <w:pPr>
              <w:ind w:left="20"/>
              <w:spacing w:after="0"/>
              <w:rPr>
                <w:sz w:val="20"/>
                <w:szCs w:val="20"/>
                <w:color w:val="auto"/>
              </w:rPr>
            </w:pPr>
            <w:r>
              <w:rPr>
                <w:rFonts w:ascii="Arial" w:cs="Arial" w:eastAsia="Arial" w:hAnsi="Arial"/>
                <w:sz w:val="18"/>
                <w:szCs w:val="18"/>
                <w:i w:val="1"/>
                <w:iCs w:val="1"/>
                <w:color w:val="auto"/>
              </w:rPr>
              <w:t>(in millions, except per share amounts)</w:t>
            </w:r>
          </w:p>
        </w:tc>
        <w:tc>
          <w:tcPr>
            <w:tcW w:w="200" w:type="dxa"/>
            <w:vAlign w:val="bottom"/>
          </w:tcPr>
          <w:p>
            <w:pPr>
              <w:spacing w:after="0"/>
              <w:rPr>
                <w:sz w:val="20"/>
                <w:szCs w:val="20"/>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Income</w:t>
            </w:r>
          </w:p>
        </w:tc>
        <w:tc>
          <w:tcPr>
            <w:tcW w:w="340" w:type="dxa"/>
            <w:vAlign w:val="bottom"/>
          </w:tcPr>
          <w:p>
            <w:pPr>
              <w:spacing w:after="0"/>
              <w:rPr>
                <w:sz w:val="20"/>
                <w:szCs w:val="20"/>
                <w:color w:val="auto"/>
              </w:rPr>
            </w:pPr>
          </w:p>
        </w:tc>
        <w:tc>
          <w:tcPr>
            <w:tcW w:w="940" w:type="dxa"/>
            <w:vAlign w:val="bottom"/>
            <w:gridSpan w:val="2"/>
          </w:tcPr>
          <w:p>
            <w:pPr>
              <w:ind w:left="100"/>
              <w:spacing w:after="0"/>
              <w:rPr>
                <w:sz w:val="20"/>
                <w:szCs w:val="20"/>
                <w:color w:val="auto"/>
              </w:rPr>
            </w:pPr>
            <w:r>
              <w:rPr>
                <w:rFonts w:ascii="Arial" w:cs="Arial" w:eastAsia="Arial" w:hAnsi="Arial"/>
                <w:sz w:val="18"/>
                <w:szCs w:val="18"/>
                <w:color w:val="auto"/>
              </w:rPr>
              <w:t>EPS</w:t>
            </w:r>
          </w:p>
        </w:tc>
        <w:tc>
          <w:tcPr>
            <w:tcW w:w="180" w:type="dxa"/>
            <w:vAlign w:val="bottom"/>
          </w:tcPr>
          <w:p>
            <w:pPr>
              <w:spacing w:after="0"/>
              <w:rPr>
                <w:sz w:val="20"/>
                <w:szCs w:val="20"/>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Income</w:t>
            </w:r>
          </w:p>
        </w:tc>
        <w:tc>
          <w:tcPr>
            <w:tcW w:w="280" w:type="dxa"/>
            <w:vAlign w:val="bottom"/>
          </w:tcPr>
          <w:p>
            <w:pPr>
              <w:spacing w:after="0"/>
              <w:rPr>
                <w:sz w:val="20"/>
                <w:szCs w:val="20"/>
                <w:color w:val="auto"/>
              </w:rPr>
            </w:pPr>
          </w:p>
        </w:tc>
        <w:tc>
          <w:tcPr>
            <w:tcW w:w="820" w:type="dxa"/>
            <w:vAlign w:val="bottom"/>
          </w:tcPr>
          <w:p>
            <w:pPr>
              <w:jc w:val="right"/>
              <w:ind w:right="310"/>
              <w:spacing w:after="0"/>
              <w:rPr>
                <w:sz w:val="20"/>
                <w:szCs w:val="20"/>
                <w:color w:val="auto"/>
              </w:rPr>
            </w:pPr>
            <w:r>
              <w:rPr>
                <w:rFonts w:ascii="Arial" w:cs="Arial" w:eastAsia="Arial" w:hAnsi="Arial"/>
                <w:sz w:val="18"/>
                <w:szCs w:val="18"/>
                <w:color w:val="auto"/>
              </w:rPr>
              <w:t>EPS</w:t>
            </w:r>
          </w:p>
        </w:tc>
      </w:tr>
      <w:tr>
        <w:trPr>
          <w:trHeight w:val="27"/>
        </w:trPr>
        <w:tc>
          <w:tcPr>
            <w:tcW w:w="80" w:type="dxa"/>
            <w:vAlign w:val="bottom"/>
          </w:tcPr>
          <w:p>
            <w:pPr>
              <w:spacing w:after="0"/>
              <w:rPr>
                <w:sz w:val="2"/>
                <w:szCs w:val="2"/>
                <w:color w:val="auto"/>
              </w:rPr>
            </w:pPr>
          </w:p>
        </w:tc>
        <w:tc>
          <w:tcPr>
            <w:tcW w:w="6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90"/>
        </w:trPr>
        <w:tc>
          <w:tcPr>
            <w:tcW w:w="8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80" w:type="dxa"/>
            <w:vAlign w:val="bottom"/>
          </w:tcPr>
          <w:p>
            <w:pPr>
              <w:spacing w:after="0"/>
              <w:rPr>
                <w:sz w:val="22"/>
                <w:szCs w:val="22"/>
                <w:color w:val="auto"/>
              </w:rPr>
            </w:pPr>
          </w:p>
        </w:tc>
        <w:tc>
          <w:tcPr>
            <w:tcW w:w="65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Net income available for common stock</w:t>
            </w:r>
          </w:p>
        </w:tc>
        <w:tc>
          <w:tcPr>
            <w:tcW w:w="2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93.2</w:t>
            </w:r>
          </w:p>
        </w:tc>
        <w:tc>
          <w:tcPr>
            <w:tcW w:w="340" w:type="dxa"/>
            <w:vAlign w:val="bottom"/>
            <w:tcBorders>
              <w:bottom w:val="single" w:sz="8" w:color="auto"/>
            </w:tcBorders>
            <w:shd w:val="clear" w:color="auto" w:fill="CEFFE7"/>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EFFE7"/>
            </w:tcBorders>
            <w:shd w:val="clear" w:color="auto" w:fill="CEFFE7"/>
          </w:tcPr>
          <w:p>
            <w:pPr>
              <w:spacing w:after="0"/>
              <w:rPr>
                <w:sz w:val="22"/>
                <w:szCs w:val="22"/>
                <w:color w:val="auto"/>
              </w:rPr>
            </w:pPr>
          </w:p>
        </w:tc>
        <w:tc>
          <w:tcPr>
            <w:tcW w:w="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103.8</w:t>
            </w:r>
          </w:p>
        </w:tc>
        <w:tc>
          <w:tcPr>
            <w:tcW w:w="280" w:type="dxa"/>
            <w:vAlign w:val="bottom"/>
            <w:tcBorders>
              <w:bottom w:val="single" w:sz="8" w:color="auto"/>
            </w:tcBorders>
            <w:shd w:val="clear" w:color="auto" w:fill="CEFFE7"/>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1.73</w:t>
            </w:r>
          </w:p>
        </w:tc>
      </w:tr>
      <w:tr>
        <w:trPr>
          <w:trHeight w:val="20"/>
        </w:trPr>
        <w:tc>
          <w:tcPr>
            <w:tcW w:w="8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2020 Compared to Three Months Ended March 31,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variance to the prior year included the following:</w:t>
      </w:r>
    </w:p>
    <w:p>
      <w:pPr>
        <w:spacing w:after="0" w:line="225" w:lineRule="exact"/>
        <w:rPr>
          <w:sz w:val="20"/>
          <w:szCs w:val="20"/>
          <w:color w:val="auto"/>
        </w:rPr>
      </w:pPr>
    </w:p>
    <w:p>
      <w:pPr>
        <w:ind w:left="660" w:hanging="328"/>
        <w:spacing w:after="0" w:line="255"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Electric Utilities’ adjusted operating income decreased $5.4 million primarily due to lower heating demand from warmer winter weather, lower power marketing margins and higher operating expenses partially offset by increased mark-to-market on wholesale energy contracts and increased rider revenues;</w:t>
      </w:r>
    </w:p>
    <w:p>
      <w:pPr>
        <w:spacing w:after="0" w:line="2" w:lineRule="exact"/>
        <w:rPr>
          <w:rFonts w:ascii="Arial" w:cs="Arial" w:eastAsia="Arial" w:hAnsi="Arial"/>
          <w:sz w:val="18"/>
          <w:szCs w:val="18"/>
          <w:color w:val="auto"/>
        </w:rPr>
      </w:pPr>
    </w:p>
    <w:p>
      <w:pPr>
        <w:jc w:val="both"/>
        <w:ind w:left="660" w:right="14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Gas Utilities’ adjusted operating income decreased $0.4 million primarily due to lower heating demand from warmer winter weather and higher operating expenses mostly offset by new rates, prior year amortization of excess deferred income taxes, customer growth and increased mark-to-market on non-utility natural gas commodity contracts;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$6.9 million pre-tax non-cash impairment of our investment in equity securities of a privately held oil and gas company; and</w:t>
      </w:r>
    </w:p>
    <w:p>
      <w:pPr>
        <w:spacing w:after="0" w:line="9" w:lineRule="exact"/>
        <w:rPr>
          <w:rFonts w:ascii="Arial" w:cs="Arial" w:eastAsia="Arial" w:hAnsi="Arial"/>
          <w:sz w:val="18"/>
          <w:szCs w:val="18"/>
          <w:color w:val="auto"/>
        </w:rPr>
      </w:pPr>
    </w:p>
    <w:p>
      <w:pPr>
        <w:ind w:left="660" w:right="200" w:hanging="328"/>
        <w:spacing w:after="0" w:line="26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$3.1 million increase in other income primarily due to reduced costs for our non-qualified benefit plan driven by market performance on plan assets.</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00"/>
          </w:cols>
          <w:pgMar w:left="320" w:top="126" w:right="37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10"/>
        </w:trPr>
        <w:tc>
          <w:tcPr>
            <w:tcW w:w="5780" w:type="dxa"/>
            <w:vAlign w:val="bottom"/>
            <w:gridSpan w:val="4"/>
          </w:tcPr>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9320" w:type="dxa"/>
            <w:vAlign w:val="bottom"/>
            <w:gridSpan w:val="8"/>
          </w:tcPr>
          <w:p>
            <w:pPr>
              <w:spacing w:after="0"/>
              <w:rPr>
                <w:sz w:val="20"/>
                <w:szCs w:val="20"/>
                <w:color w:val="auto"/>
              </w:rPr>
            </w:pPr>
            <w:r>
              <w:rPr>
                <w:rFonts w:ascii="Arial" w:cs="Arial" w:eastAsia="Arial" w:hAnsi="Arial"/>
                <w:sz w:val="18"/>
                <w:szCs w:val="18"/>
                <w:color w:val="auto"/>
                <w:w w:val="96"/>
              </w:rPr>
              <w:t>The following table summarizes select financial results by operating segment and details significant items (in thousands):</w:t>
            </w: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900" w:type="dxa"/>
            <w:vAlign w:val="bottom"/>
            <w:gridSpan w:val="4"/>
          </w:tcPr>
          <w:p>
            <w:pPr>
              <w:jc w:val="right"/>
              <w:ind w:right="50"/>
              <w:spacing w:after="0"/>
              <w:rPr>
                <w:sz w:val="20"/>
                <w:szCs w:val="20"/>
                <w:color w:val="auto"/>
              </w:rPr>
            </w:pPr>
            <w:r>
              <w:rPr>
                <w:rFonts w:ascii="Arial" w:cs="Arial" w:eastAsia="Arial" w:hAnsi="Arial"/>
                <w:sz w:val="18"/>
                <w:szCs w:val="18"/>
                <w:color w:val="auto"/>
              </w:rPr>
              <w:t>Three Months Ended March 31,</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2020</w:t>
            </w:r>
          </w:p>
        </w:tc>
        <w:tc>
          <w:tcPr>
            <w:tcW w:w="6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color w:val="auto"/>
              </w:rPr>
              <w:t>2019</w:t>
            </w:r>
          </w:p>
        </w:tc>
        <w:tc>
          <w:tcPr>
            <w:tcW w:w="440" w:type="dxa"/>
            <w:vAlign w:val="bottom"/>
          </w:tcPr>
          <w:p>
            <w:pPr>
              <w:spacing w:after="0"/>
              <w:rPr>
                <w:sz w:val="23"/>
                <w:szCs w:val="23"/>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color w:val="auto"/>
              </w:rPr>
              <w:t>Variance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740" w:type="dxa"/>
            <w:vAlign w:val="bottom"/>
            <w:gridSpan w:val="3"/>
            <w:vMerge w:val="restart"/>
          </w:tcPr>
          <w:p>
            <w:pPr>
              <w:spacing w:after="0"/>
              <w:rPr>
                <w:sz w:val="20"/>
                <w:szCs w:val="20"/>
                <w:color w:val="auto"/>
              </w:rPr>
            </w:pPr>
            <w:r>
              <w:rPr>
                <w:rFonts w:ascii="Arial" w:cs="Arial" w:eastAsia="Arial" w:hAnsi="Arial"/>
                <w:sz w:val="18"/>
                <w:szCs w:val="18"/>
                <w:color w:val="auto"/>
              </w:rPr>
              <w:t>Revenue</w:t>
            </w: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740" w:type="dxa"/>
            <w:vAlign w:val="bottom"/>
            <w:gridSpan w:val="3"/>
            <w:vMerge w:val="continue"/>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1320" w:type="dxa"/>
            <w:vAlign w:val="bottom"/>
          </w:tcPr>
          <w:p>
            <w:pPr>
              <w:spacing w:after="0"/>
              <w:rPr>
                <w:sz w:val="4"/>
                <w:szCs w:val="4"/>
                <w:color w:val="auto"/>
              </w:rPr>
            </w:pPr>
          </w:p>
        </w:tc>
        <w:tc>
          <w:tcPr>
            <w:tcW w:w="3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EFFE7"/>
            </w:tcBorders>
            <w:shd w:val="clear" w:color="auto" w:fill="CEFFE7"/>
          </w:tcPr>
          <w:p>
            <w:pPr>
              <w:spacing w:after="0"/>
              <w:rPr>
                <w:sz w:val="21"/>
                <w:szCs w:val="21"/>
                <w:color w:val="auto"/>
              </w:rPr>
            </w:pPr>
          </w:p>
        </w:tc>
        <w:tc>
          <w:tcPr>
            <w:tcW w:w="5740" w:type="dxa"/>
            <w:vAlign w:val="bottom"/>
            <w:tcBorders>
              <w:bottom w:val="single" w:sz="8" w:color="CEFFE7"/>
            </w:tcBorders>
            <w:gridSpan w:val="3"/>
            <w:shd w:val="clear" w:color="auto" w:fill="CEFFE7"/>
          </w:tcPr>
          <w:p>
            <w:pPr>
              <w:spacing w:after="0"/>
              <w:rPr>
                <w:sz w:val="20"/>
                <w:szCs w:val="20"/>
                <w:color w:val="auto"/>
              </w:rPr>
            </w:pPr>
            <w:r>
              <w:rPr>
                <w:rFonts w:ascii="Arial" w:cs="Arial" w:eastAsia="Arial" w:hAnsi="Arial"/>
                <w:sz w:val="18"/>
                <w:szCs w:val="18"/>
                <w:color w:val="auto"/>
              </w:rPr>
              <w:t>Revenue</w:t>
            </w:r>
          </w:p>
        </w:tc>
        <w:tc>
          <w:tcPr>
            <w:tcW w:w="1080" w:type="dxa"/>
            <w:vAlign w:val="bottom"/>
            <w:tcBorders>
              <w:bottom w:val="single" w:sz="8" w:color="CEFFE7"/>
            </w:tcBorders>
            <w:shd w:val="clear" w:color="auto" w:fill="CEFFE7"/>
          </w:tcPr>
          <w:p>
            <w:pPr>
              <w:jc w:val="right"/>
              <w:ind w:right="89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86"/>
              </w:rPr>
              <w:t>576,083</w:t>
            </w:r>
          </w:p>
        </w:tc>
        <w:tc>
          <w:tcPr>
            <w:tcW w:w="42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635,681</w:t>
            </w:r>
          </w:p>
        </w:tc>
        <w:tc>
          <w:tcPr>
            <w:tcW w:w="440" w:type="dxa"/>
            <w:vAlign w:val="bottom"/>
            <w:tcBorders>
              <w:bottom w:val="single" w:sz="8" w:color="CEFFE7"/>
            </w:tcBorders>
            <w:shd w:val="clear" w:color="auto" w:fill="CEFFE7"/>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(59,598)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740" w:type="dxa"/>
            <w:vAlign w:val="bottom"/>
            <w:gridSpan w:val="3"/>
          </w:tcPr>
          <w:p>
            <w:pPr>
              <w:spacing w:after="0"/>
              <w:rPr>
                <w:sz w:val="20"/>
                <w:szCs w:val="20"/>
                <w:color w:val="auto"/>
              </w:rPr>
            </w:pPr>
            <w:r>
              <w:rPr>
                <w:rFonts w:ascii="Arial" w:cs="Arial" w:eastAsia="Arial" w:hAnsi="Arial"/>
                <w:sz w:val="18"/>
                <w:szCs w:val="18"/>
                <w:color w:val="auto"/>
              </w:rPr>
              <w:t>Inter-company eliminations</w:t>
            </w:r>
          </w:p>
        </w:tc>
        <w:tc>
          <w:tcPr>
            <w:tcW w:w="10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(39,033)</w:t>
            </w: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(37,871)</w:t>
            </w:r>
          </w:p>
        </w:tc>
        <w:tc>
          <w:tcPr>
            <w:tcW w:w="4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(1,162)</w:t>
            </w:r>
          </w:p>
        </w:tc>
        <w:tc>
          <w:tcPr>
            <w:tcW w:w="0" w:type="dxa"/>
            <w:vAlign w:val="bottom"/>
          </w:tcPr>
          <w:p>
            <w:pPr>
              <w:spacing w:after="0"/>
              <w:rPr>
                <w:sz w:val="1"/>
                <w:szCs w:val="1"/>
                <w:color w:val="auto"/>
              </w:rPr>
            </w:pPr>
          </w:p>
        </w:tc>
      </w:tr>
      <w:tr>
        <w:trPr>
          <w:trHeight w:val="27"/>
        </w:trPr>
        <w:tc>
          <w:tcPr>
            <w:tcW w:w="40" w:type="dxa"/>
            <w:vAlign w:val="bottom"/>
            <w:tcBorders>
              <w:bottom w:val="single" w:sz="8" w:color="CEFFE7"/>
            </w:tcBorders>
          </w:tcPr>
          <w:p>
            <w:pPr>
              <w:spacing w:after="0"/>
              <w:rPr>
                <w:sz w:val="2"/>
                <w:szCs w:val="2"/>
                <w:color w:val="auto"/>
              </w:rPr>
            </w:pPr>
          </w:p>
        </w:tc>
        <w:tc>
          <w:tcPr>
            <w:tcW w:w="620" w:type="dxa"/>
            <w:vAlign w:val="bottom"/>
            <w:tcBorders>
              <w:bottom w:val="single" w:sz="8" w:color="CEFFE7"/>
            </w:tcBorders>
          </w:tcPr>
          <w:p>
            <w:pPr>
              <w:spacing w:after="0"/>
              <w:rPr>
                <w:sz w:val="2"/>
                <w:szCs w:val="2"/>
                <w:color w:val="auto"/>
              </w:rPr>
            </w:pPr>
          </w:p>
        </w:tc>
        <w:tc>
          <w:tcPr>
            <w:tcW w:w="1320" w:type="dxa"/>
            <w:vAlign w:val="bottom"/>
            <w:tcBorders>
              <w:bottom w:val="single" w:sz="8" w:color="CEFFE7"/>
            </w:tcBorders>
          </w:tcPr>
          <w:p>
            <w:pPr>
              <w:spacing w:after="0"/>
              <w:rPr>
                <w:sz w:val="2"/>
                <w:szCs w:val="2"/>
                <w:color w:val="auto"/>
              </w:rPr>
            </w:pPr>
          </w:p>
        </w:tc>
        <w:tc>
          <w:tcPr>
            <w:tcW w:w="3800" w:type="dxa"/>
            <w:vAlign w:val="bottom"/>
            <w:tcBorders>
              <w:bottom w:val="single" w:sz="8" w:color="CEFFE7"/>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EFFE7"/>
            </w:tcBorders>
            <w:shd w:val="clear" w:color="auto" w:fill="CEFFE7"/>
          </w:tcPr>
          <w:p>
            <w:pPr>
              <w:spacing w:after="0"/>
              <w:rPr>
                <w:sz w:val="22"/>
                <w:szCs w:val="22"/>
                <w:color w:val="auto"/>
              </w:rPr>
            </w:pPr>
          </w:p>
        </w:tc>
        <w:tc>
          <w:tcPr>
            <w:tcW w:w="620" w:type="dxa"/>
            <w:vAlign w:val="bottom"/>
            <w:tcBorders>
              <w:bottom w:val="single" w:sz="8" w:color="CEFFE7"/>
            </w:tcBorders>
            <w:shd w:val="clear" w:color="auto" w:fill="CEFFE7"/>
          </w:tcPr>
          <w:p>
            <w:pPr>
              <w:spacing w:after="0"/>
              <w:rPr>
                <w:sz w:val="22"/>
                <w:szCs w:val="22"/>
                <w:color w:val="auto"/>
              </w:rPr>
            </w:pPr>
          </w:p>
        </w:tc>
        <w:tc>
          <w:tcPr>
            <w:tcW w:w="1320" w:type="dxa"/>
            <w:vAlign w:val="bottom"/>
            <w:tcBorders>
              <w:bottom w:val="single" w:sz="8" w:color="CEFFE7"/>
            </w:tcBorders>
            <w:shd w:val="clear" w:color="auto" w:fill="CEFFE7"/>
          </w:tcPr>
          <w:p>
            <w:pPr>
              <w:spacing w:after="0"/>
              <w:rPr>
                <w:sz w:val="22"/>
                <w:szCs w:val="22"/>
                <w:color w:val="auto"/>
              </w:rPr>
            </w:pPr>
          </w:p>
        </w:tc>
        <w:tc>
          <w:tcPr>
            <w:tcW w:w="3800" w:type="dxa"/>
            <w:vAlign w:val="bottom"/>
            <w:tcBorders>
              <w:bottom w:val="single" w:sz="8" w:color="CEFFE7"/>
            </w:tcBorders>
            <w:shd w:val="clear" w:color="auto" w:fill="CEFFE7"/>
          </w:tcPr>
          <w:p>
            <w:pPr>
              <w:spacing w:after="0"/>
              <w:rPr>
                <w:sz w:val="22"/>
                <w:szCs w:val="22"/>
                <w:color w:val="auto"/>
              </w:rPr>
            </w:pPr>
          </w:p>
        </w:tc>
        <w:tc>
          <w:tcPr>
            <w:tcW w:w="1080" w:type="dxa"/>
            <w:vAlign w:val="bottom"/>
            <w:tcBorders>
              <w:bottom w:val="single" w:sz="8" w:color="CEFFE7"/>
            </w:tcBorders>
            <w:shd w:val="clear" w:color="auto" w:fill="CEFFE7"/>
          </w:tcPr>
          <w:p>
            <w:pPr>
              <w:jc w:val="right"/>
              <w:ind w:right="89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86"/>
              </w:rPr>
              <w:t>537,050</w:t>
            </w:r>
          </w:p>
        </w:tc>
        <w:tc>
          <w:tcPr>
            <w:tcW w:w="42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597,810</w:t>
            </w:r>
          </w:p>
        </w:tc>
        <w:tc>
          <w:tcPr>
            <w:tcW w:w="440" w:type="dxa"/>
            <w:vAlign w:val="bottom"/>
            <w:tcBorders>
              <w:bottom w:val="single" w:sz="8" w:color="CEFFE7"/>
            </w:tcBorders>
            <w:shd w:val="clear" w:color="auto" w:fill="CEFFE7"/>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(60,760)</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740" w:type="dxa"/>
            <w:vAlign w:val="bottom"/>
            <w:gridSpan w:val="3"/>
          </w:tcPr>
          <w:p>
            <w:pPr>
              <w:spacing w:after="0" w:line="195" w:lineRule="exact"/>
              <w:rPr>
                <w:sz w:val="20"/>
                <w:szCs w:val="20"/>
                <w:color w:val="auto"/>
              </w:rPr>
            </w:pPr>
            <w:r>
              <w:rPr>
                <w:rFonts w:ascii="Arial" w:cs="Arial" w:eastAsia="Arial" w:hAnsi="Arial"/>
                <w:sz w:val="16"/>
                <w:szCs w:val="16"/>
                <w:color w:val="auto"/>
              </w:rPr>
              <w:t xml:space="preserve">Adjusted operating income </w:t>
            </w:r>
            <w:r>
              <w:rPr>
                <w:rFonts w:ascii="Arial" w:cs="Arial" w:eastAsia="Arial" w:hAnsi="Arial"/>
                <w:sz w:val="22"/>
                <w:szCs w:val="22"/>
                <w:color w:val="auto"/>
                <w:vertAlign w:val="superscript"/>
              </w:rPr>
              <w:t>(a)</w:t>
            </w:r>
          </w:p>
        </w:tc>
        <w:tc>
          <w:tcPr>
            <w:tcW w:w="10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1320" w:type="dxa"/>
            <w:vAlign w:val="bottom"/>
            <w:tcBorders>
              <w:top w:val="single" w:sz="8" w:color="auto"/>
            </w:tcBorders>
          </w:tcPr>
          <w:p>
            <w:pPr>
              <w:spacing w:after="0"/>
              <w:rPr>
                <w:sz w:val="4"/>
                <w:szCs w:val="4"/>
                <w:color w:val="auto"/>
              </w:rPr>
            </w:pPr>
          </w:p>
        </w:tc>
        <w:tc>
          <w:tcPr>
            <w:tcW w:w="3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EFFE7"/>
            </w:tcBorders>
            <w:shd w:val="clear" w:color="auto" w:fill="CEFFE7"/>
          </w:tcPr>
          <w:p>
            <w:pPr>
              <w:spacing w:after="0"/>
              <w:rPr>
                <w:sz w:val="21"/>
                <w:szCs w:val="21"/>
                <w:color w:val="auto"/>
              </w:rPr>
            </w:pPr>
          </w:p>
        </w:tc>
        <w:tc>
          <w:tcPr>
            <w:tcW w:w="5740" w:type="dxa"/>
            <w:vAlign w:val="bottom"/>
            <w:tcBorders>
              <w:bottom w:val="single" w:sz="8" w:color="CEFFE7"/>
            </w:tcBorders>
            <w:gridSpan w:val="3"/>
            <w:shd w:val="clear" w:color="auto" w:fill="CEFFE7"/>
          </w:tcPr>
          <w:p>
            <w:pPr>
              <w:ind w:left="140"/>
              <w:spacing w:after="0"/>
              <w:rPr>
                <w:sz w:val="20"/>
                <w:szCs w:val="20"/>
                <w:color w:val="auto"/>
              </w:rPr>
            </w:pPr>
            <w:r>
              <w:rPr>
                <w:rFonts w:ascii="Arial" w:cs="Arial" w:eastAsia="Arial" w:hAnsi="Arial"/>
                <w:sz w:val="18"/>
                <w:szCs w:val="18"/>
                <w:color w:val="auto"/>
              </w:rPr>
              <w:t>Electric Utilities</w:t>
            </w:r>
          </w:p>
        </w:tc>
        <w:tc>
          <w:tcPr>
            <w:tcW w:w="1080" w:type="dxa"/>
            <w:vAlign w:val="bottom"/>
            <w:tcBorders>
              <w:bottom w:val="single" w:sz="8" w:color="CEFFE7"/>
            </w:tcBorders>
            <w:shd w:val="clear" w:color="auto" w:fill="CEFFE7"/>
          </w:tcPr>
          <w:p>
            <w:pPr>
              <w:jc w:val="right"/>
              <w:ind w:right="89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35,650</w:t>
            </w:r>
          </w:p>
        </w:tc>
        <w:tc>
          <w:tcPr>
            <w:tcW w:w="42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41,020</w:t>
            </w:r>
          </w:p>
        </w:tc>
        <w:tc>
          <w:tcPr>
            <w:tcW w:w="440" w:type="dxa"/>
            <w:vAlign w:val="bottom"/>
            <w:tcBorders>
              <w:bottom w:val="single" w:sz="8" w:color="CEFFE7"/>
            </w:tcBorders>
            <w:shd w:val="clear" w:color="auto" w:fill="CEFFE7"/>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(5,370)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740" w:type="dxa"/>
            <w:vAlign w:val="bottom"/>
            <w:gridSpan w:val="3"/>
          </w:tcPr>
          <w:p>
            <w:pPr>
              <w:ind w:left="140"/>
              <w:spacing w:after="0"/>
              <w:rPr>
                <w:sz w:val="20"/>
                <w:szCs w:val="20"/>
                <w:color w:val="auto"/>
              </w:rPr>
            </w:pPr>
            <w:r>
              <w:rPr>
                <w:rFonts w:ascii="Arial" w:cs="Arial" w:eastAsia="Arial" w:hAnsi="Arial"/>
                <w:sz w:val="18"/>
                <w:szCs w:val="18"/>
                <w:color w:val="auto"/>
              </w:rPr>
              <w:t>Gas Utilities</w:t>
            </w:r>
          </w:p>
        </w:tc>
        <w:tc>
          <w:tcPr>
            <w:tcW w:w="10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w w:val="86"/>
              </w:rPr>
              <w:t>102,897</w:t>
            </w:r>
          </w:p>
        </w:tc>
        <w:tc>
          <w:tcPr>
            <w:tcW w:w="4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103,314</w:t>
            </w:r>
          </w:p>
        </w:tc>
        <w:tc>
          <w:tcPr>
            <w:tcW w:w="4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EFFE7"/>
            </w:tcBorders>
            <w:shd w:val="clear" w:color="auto" w:fill="CEFFE7"/>
          </w:tcPr>
          <w:p>
            <w:pPr>
              <w:spacing w:after="0"/>
              <w:rPr>
                <w:sz w:val="21"/>
                <w:szCs w:val="21"/>
                <w:color w:val="auto"/>
              </w:rPr>
            </w:pPr>
          </w:p>
        </w:tc>
        <w:tc>
          <w:tcPr>
            <w:tcW w:w="5740" w:type="dxa"/>
            <w:vAlign w:val="bottom"/>
            <w:tcBorders>
              <w:bottom w:val="single" w:sz="8" w:color="CEFFE7"/>
            </w:tcBorders>
            <w:gridSpan w:val="3"/>
            <w:shd w:val="clear" w:color="auto" w:fill="CEFFE7"/>
          </w:tcPr>
          <w:p>
            <w:pPr>
              <w:ind w:left="140"/>
              <w:spacing w:after="0"/>
              <w:rPr>
                <w:sz w:val="20"/>
                <w:szCs w:val="20"/>
                <w:color w:val="auto"/>
              </w:rPr>
            </w:pPr>
            <w:r>
              <w:rPr>
                <w:rFonts w:ascii="Arial" w:cs="Arial" w:eastAsia="Arial" w:hAnsi="Arial"/>
                <w:sz w:val="18"/>
                <w:szCs w:val="18"/>
                <w:color w:val="auto"/>
              </w:rPr>
              <w:t>Power Generation</w:t>
            </w:r>
          </w:p>
        </w:tc>
        <w:tc>
          <w:tcPr>
            <w:tcW w:w="1080" w:type="dxa"/>
            <w:vAlign w:val="bottom"/>
            <w:tcBorders>
              <w:bottom w:val="single" w:sz="8" w:color="CEFFE7"/>
            </w:tcBorders>
            <w:shd w:val="clear" w:color="auto" w:fill="CEFFE7"/>
          </w:tcPr>
          <w:p>
            <w:pPr>
              <w:spacing w:after="0"/>
              <w:rPr>
                <w:sz w:val="21"/>
                <w:szCs w:val="21"/>
                <w:color w:val="auto"/>
              </w:rPr>
            </w:pPr>
          </w:p>
        </w:tc>
        <w:tc>
          <w:tcPr>
            <w:tcW w:w="6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11,349</w:t>
            </w:r>
          </w:p>
        </w:tc>
        <w:tc>
          <w:tcPr>
            <w:tcW w:w="420" w:type="dxa"/>
            <w:vAlign w:val="bottom"/>
            <w:tcBorders>
              <w:bottom w:val="single" w:sz="8" w:color="CEFFE7"/>
            </w:tcBorders>
            <w:shd w:val="clear" w:color="auto" w:fill="CEFFE7"/>
          </w:tcPr>
          <w:p>
            <w:pPr>
              <w:spacing w:after="0"/>
              <w:rPr>
                <w:sz w:val="21"/>
                <w:szCs w:val="21"/>
                <w:color w:val="auto"/>
              </w:rPr>
            </w:pPr>
          </w:p>
        </w:tc>
        <w:tc>
          <w:tcPr>
            <w:tcW w:w="13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11,967</w:t>
            </w:r>
          </w:p>
        </w:tc>
        <w:tc>
          <w:tcPr>
            <w:tcW w:w="440" w:type="dxa"/>
            <w:vAlign w:val="bottom"/>
            <w:tcBorders>
              <w:bottom w:val="single" w:sz="8" w:color="CEFFE7"/>
            </w:tcBorders>
            <w:shd w:val="clear" w:color="auto" w:fill="CEFFE7"/>
          </w:tcPr>
          <w:p>
            <w:pPr>
              <w:spacing w:after="0"/>
              <w:rPr>
                <w:sz w:val="21"/>
                <w:szCs w:val="21"/>
                <w:color w:val="auto"/>
              </w:rPr>
            </w:pPr>
          </w:p>
        </w:tc>
        <w:tc>
          <w:tcPr>
            <w:tcW w:w="13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740" w:type="dxa"/>
            <w:vAlign w:val="bottom"/>
            <w:gridSpan w:val="3"/>
          </w:tcPr>
          <w:p>
            <w:pPr>
              <w:ind w:left="140"/>
              <w:spacing w:after="0"/>
              <w:rPr>
                <w:sz w:val="20"/>
                <w:szCs w:val="20"/>
                <w:color w:val="auto"/>
              </w:rPr>
            </w:pPr>
            <w:r>
              <w:rPr>
                <w:rFonts w:ascii="Arial" w:cs="Arial" w:eastAsia="Arial" w:hAnsi="Arial"/>
                <w:sz w:val="18"/>
                <w:szCs w:val="18"/>
                <w:color w:val="auto"/>
              </w:rPr>
              <w:t>Mining</w:t>
            </w:r>
          </w:p>
        </w:tc>
        <w:tc>
          <w:tcPr>
            <w:tcW w:w="10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3,129</w:t>
            </w:r>
          </w:p>
        </w:tc>
        <w:tc>
          <w:tcPr>
            <w:tcW w:w="4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4,337</w:t>
            </w:r>
          </w:p>
        </w:tc>
        <w:tc>
          <w:tcPr>
            <w:tcW w:w="4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EFFE7"/>
            </w:tcBorders>
            <w:shd w:val="clear" w:color="auto" w:fill="CEFFE7"/>
          </w:tcPr>
          <w:p>
            <w:pPr>
              <w:spacing w:after="0"/>
              <w:rPr>
                <w:sz w:val="23"/>
                <w:szCs w:val="23"/>
                <w:color w:val="auto"/>
              </w:rPr>
            </w:pPr>
          </w:p>
        </w:tc>
        <w:tc>
          <w:tcPr>
            <w:tcW w:w="5740" w:type="dxa"/>
            <w:vAlign w:val="bottom"/>
            <w:tcBorders>
              <w:bottom w:val="single" w:sz="8" w:color="CEFFE7"/>
            </w:tcBorders>
            <w:gridSpan w:val="3"/>
            <w:shd w:val="clear" w:color="auto" w:fill="CEFFE7"/>
          </w:tcPr>
          <w:p>
            <w:pPr>
              <w:ind w:left="140"/>
              <w:spacing w:after="0"/>
              <w:rPr>
                <w:sz w:val="20"/>
                <w:szCs w:val="20"/>
                <w:color w:val="auto"/>
              </w:rPr>
            </w:pPr>
            <w:r>
              <w:rPr>
                <w:rFonts w:ascii="Arial" w:cs="Arial" w:eastAsia="Arial" w:hAnsi="Arial"/>
                <w:sz w:val="18"/>
                <w:szCs w:val="18"/>
                <w:color w:val="auto"/>
              </w:rPr>
              <w:t>Corporate and Other</w:t>
            </w:r>
          </w:p>
        </w:tc>
        <w:tc>
          <w:tcPr>
            <w:tcW w:w="1080" w:type="dxa"/>
            <w:vAlign w:val="bottom"/>
            <w:tcBorders>
              <w:bottom w:val="single" w:sz="8" w:color="CEFFE7"/>
            </w:tcBorders>
            <w:shd w:val="clear" w:color="auto" w:fill="CEFFE7"/>
          </w:tcPr>
          <w:p>
            <w:pPr>
              <w:spacing w:after="0"/>
              <w:rPr>
                <w:sz w:val="23"/>
                <w:szCs w:val="23"/>
                <w:color w:val="auto"/>
              </w:rPr>
            </w:pPr>
          </w:p>
        </w:tc>
        <w:tc>
          <w:tcPr>
            <w:tcW w:w="6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160</w:t>
            </w:r>
          </w:p>
        </w:tc>
        <w:tc>
          <w:tcPr>
            <w:tcW w:w="420" w:type="dxa"/>
            <w:vAlign w:val="bottom"/>
            <w:tcBorders>
              <w:bottom w:val="single" w:sz="8" w:color="CEFFE7"/>
            </w:tcBorders>
            <w:shd w:val="clear" w:color="auto" w:fill="CEFFE7"/>
          </w:tcPr>
          <w:p>
            <w:pPr>
              <w:spacing w:after="0"/>
              <w:rPr>
                <w:sz w:val="23"/>
                <w:szCs w:val="23"/>
                <w:color w:val="auto"/>
              </w:rPr>
            </w:pPr>
          </w:p>
        </w:tc>
        <w:tc>
          <w:tcPr>
            <w:tcW w:w="13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(507)</w:t>
            </w:r>
          </w:p>
        </w:tc>
        <w:tc>
          <w:tcPr>
            <w:tcW w:w="440" w:type="dxa"/>
            <w:vAlign w:val="bottom"/>
            <w:tcBorders>
              <w:bottom w:val="single" w:sz="8" w:color="CEFFE7"/>
            </w:tcBorders>
            <w:shd w:val="clear" w:color="auto" w:fill="CEFFE7"/>
          </w:tcPr>
          <w:p>
            <w:pPr>
              <w:spacing w:after="0"/>
              <w:rPr>
                <w:sz w:val="23"/>
                <w:szCs w:val="23"/>
                <w:color w:val="auto"/>
              </w:rPr>
            </w:pPr>
          </w:p>
        </w:tc>
        <w:tc>
          <w:tcPr>
            <w:tcW w:w="13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740" w:type="dxa"/>
            <w:vAlign w:val="bottom"/>
            <w:gridSpan w:val="3"/>
          </w:tcPr>
          <w:p>
            <w:pPr>
              <w:spacing w:after="0"/>
              <w:rPr>
                <w:sz w:val="20"/>
                <w:szCs w:val="20"/>
                <w:color w:val="auto"/>
              </w:rPr>
            </w:pPr>
            <w:r>
              <w:rPr>
                <w:rFonts w:ascii="Arial" w:cs="Arial" w:eastAsia="Arial" w:hAnsi="Arial"/>
                <w:sz w:val="18"/>
                <w:szCs w:val="18"/>
                <w:color w:val="auto"/>
              </w:rPr>
              <w:t>Operating income</w:t>
            </w:r>
          </w:p>
        </w:tc>
        <w:tc>
          <w:tcPr>
            <w:tcW w:w="10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6"/>
              </w:rPr>
              <w:t>153,185</w:t>
            </w:r>
          </w:p>
        </w:tc>
        <w:tc>
          <w:tcPr>
            <w:tcW w:w="4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160,131</w:t>
            </w:r>
          </w:p>
        </w:tc>
        <w:tc>
          <w:tcPr>
            <w:tcW w:w="4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(6,946)</w:t>
            </w:r>
          </w:p>
        </w:tc>
        <w:tc>
          <w:tcPr>
            <w:tcW w:w="0" w:type="dxa"/>
            <w:vAlign w:val="bottom"/>
          </w:tcPr>
          <w:p>
            <w:pPr>
              <w:spacing w:after="0"/>
              <w:rPr>
                <w:sz w:val="1"/>
                <w:szCs w:val="1"/>
                <w:color w:val="auto"/>
              </w:rPr>
            </w:pPr>
          </w:p>
        </w:tc>
      </w:tr>
      <w:tr>
        <w:trPr>
          <w:trHeight w:val="27"/>
        </w:trPr>
        <w:tc>
          <w:tcPr>
            <w:tcW w:w="40" w:type="dxa"/>
            <w:vAlign w:val="bottom"/>
            <w:tcBorders>
              <w:bottom w:val="single" w:sz="8" w:color="CEFFE7"/>
            </w:tcBorders>
          </w:tcPr>
          <w:p>
            <w:pPr>
              <w:spacing w:after="0"/>
              <w:rPr>
                <w:sz w:val="2"/>
                <w:szCs w:val="2"/>
                <w:color w:val="auto"/>
              </w:rPr>
            </w:pPr>
          </w:p>
        </w:tc>
        <w:tc>
          <w:tcPr>
            <w:tcW w:w="620" w:type="dxa"/>
            <w:vAlign w:val="bottom"/>
            <w:tcBorders>
              <w:bottom w:val="single" w:sz="8" w:color="CEFFE7"/>
            </w:tcBorders>
          </w:tcPr>
          <w:p>
            <w:pPr>
              <w:spacing w:after="0"/>
              <w:rPr>
                <w:sz w:val="2"/>
                <w:szCs w:val="2"/>
                <w:color w:val="auto"/>
              </w:rPr>
            </w:pPr>
          </w:p>
        </w:tc>
        <w:tc>
          <w:tcPr>
            <w:tcW w:w="1320" w:type="dxa"/>
            <w:vAlign w:val="bottom"/>
            <w:tcBorders>
              <w:bottom w:val="single" w:sz="8" w:color="CEFFE7"/>
            </w:tcBorders>
          </w:tcPr>
          <w:p>
            <w:pPr>
              <w:spacing w:after="0"/>
              <w:rPr>
                <w:sz w:val="2"/>
                <w:szCs w:val="2"/>
                <w:color w:val="auto"/>
              </w:rPr>
            </w:pPr>
          </w:p>
        </w:tc>
        <w:tc>
          <w:tcPr>
            <w:tcW w:w="3800" w:type="dxa"/>
            <w:vAlign w:val="bottom"/>
            <w:tcBorders>
              <w:bottom w:val="single" w:sz="8" w:color="CEFFE7"/>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0" w:type="dxa"/>
            <w:vAlign w:val="bottom"/>
            <w:shd w:val="clear" w:color="auto" w:fill="CEFFE7"/>
          </w:tcPr>
          <w:p>
            <w:pPr>
              <w:spacing w:after="0"/>
              <w:rPr>
                <w:sz w:val="24"/>
                <w:szCs w:val="24"/>
                <w:color w:val="auto"/>
              </w:rPr>
            </w:pPr>
          </w:p>
        </w:tc>
        <w:tc>
          <w:tcPr>
            <w:tcW w:w="620" w:type="dxa"/>
            <w:vAlign w:val="bottom"/>
            <w:shd w:val="clear" w:color="auto" w:fill="CEFFE7"/>
          </w:tcPr>
          <w:p>
            <w:pPr>
              <w:spacing w:after="0"/>
              <w:rPr>
                <w:sz w:val="24"/>
                <w:szCs w:val="24"/>
                <w:color w:val="auto"/>
              </w:rPr>
            </w:pPr>
          </w:p>
        </w:tc>
        <w:tc>
          <w:tcPr>
            <w:tcW w:w="1320" w:type="dxa"/>
            <w:vAlign w:val="bottom"/>
            <w:shd w:val="clear" w:color="auto" w:fill="CEFFE7"/>
          </w:tcPr>
          <w:p>
            <w:pPr>
              <w:spacing w:after="0"/>
              <w:rPr>
                <w:sz w:val="24"/>
                <w:szCs w:val="24"/>
                <w:color w:val="auto"/>
              </w:rPr>
            </w:pPr>
          </w:p>
        </w:tc>
        <w:tc>
          <w:tcPr>
            <w:tcW w:w="3800" w:type="dxa"/>
            <w:vAlign w:val="bottom"/>
            <w:shd w:val="clear" w:color="auto" w:fill="CEFFE7"/>
          </w:tcPr>
          <w:p>
            <w:pPr>
              <w:spacing w:after="0"/>
              <w:rPr>
                <w:sz w:val="24"/>
                <w:szCs w:val="24"/>
                <w:color w:val="auto"/>
              </w:rPr>
            </w:pPr>
          </w:p>
        </w:tc>
        <w:tc>
          <w:tcPr>
            <w:tcW w:w="1080" w:type="dxa"/>
            <w:vAlign w:val="bottom"/>
            <w:shd w:val="clear" w:color="auto" w:fill="CEFFE7"/>
          </w:tcPr>
          <w:p>
            <w:pPr>
              <w:spacing w:after="0"/>
              <w:rPr>
                <w:sz w:val="24"/>
                <w:szCs w:val="24"/>
                <w:color w:val="auto"/>
              </w:rPr>
            </w:pPr>
          </w:p>
        </w:tc>
        <w:tc>
          <w:tcPr>
            <w:tcW w:w="680" w:type="dxa"/>
            <w:vAlign w:val="bottom"/>
            <w:shd w:val="clear" w:color="auto" w:fill="CEFFE7"/>
          </w:tcPr>
          <w:p>
            <w:pPr>
              <w:spacing w:after="0"/>
              <w:rPr>
                <w:sz w:val="24"/>
                <w:szCs w:val="24"/>
                <w:color w:val="auto"/>
              </w:rPr>
            </w:pPr>
          </w:p>
        </w:tc>
        <w:tc>
          <w:tcPr>
            <w:tcW w:w="420" w:type="dxa"/>
            <w:vAlign w:val="bottom"/>
            <w:shd w:val="clear" w:color="auto" w:fill="CEFFE7"/>
          </w:tcPr>
          <w:p>
            <w:pPr>
              <w:spacing w:after="0"/>
              <w:rPr>
                <w:sz w:val="24"/>
                <w:szCs w:val="24"/>
                <w:color w:val="auto"/>
              </w:rPr>
            </w:pPr>
          </w:p>
        </w:tc>
        <w:tc>
          <w:tcPr>
            <w:tcW w:w="1360" w:type="dxa"/>
            <w:vAlign w:val="bottom"/>
            <w:shd w:val="clear" w:color="auto" w:fill="CEFFE7"/>
          </w:tcPr>
          <w:p>
            <w:pPr>
              <w:spacing w:after="0"/>
              <w:rPr>
                <w:sz w:val="24"/>
                <w:szCs w:val="24"/>
                <w:color w:val="auto"/>
              </w:rPr>
            </w:pPr>
          </w:p>
        </w:tc>
        <w:tc>
          <w:tcPr>
            <w:tcW w:w="440" w:type="dxa"/>
            <w:vAlign w:val="bottom"/>
            <w:shd w:val="clear" w:color="auto" w:fill="CEFFE7"/>
          </w:tcPr>
          <w:p>
            <w:pPr>
              <w:spacing w:after="0"/>
              <w:rPr>
                <w:sz w:val="24"/>
                <w:szCs w:val="24"/>
                <w:color w:val="auto"/>
              </w:rPr>
            </w:pPr>
          </w:p>
        </w:tc>
        <w:tc>
          <w:tcPr>
            <w:tcW w:w="136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740" w:type="dxa"/>
            <w:vAlign w:val="bottom"/>
            <w:gridSpan w:val="3"/>
          </w:tcPr>
          <w:p>
            <w:pPr>
              <w:spacing w:after="0"/>
              <w:rPr>
                <w:sz w:val="20"/>
                <w:szCs w:val="20"/>
                <w:color w:val="auto"/>
              </w:rPr>
            </w:pPr>
            <w:r>
              <w:rPr>
                <w:rFonts w:ascii="Arial" w:cs="Arial" w:eastAsia="Arial" w:hAnsi="Arial"/>
                <w:sz w:val="18"/>
                <w:szCs w:val="18"/>
                <w:color w:val="auto"/>
              </w:rPr>
              <w:t>Interest expense, net</w:t>
            </w:r>
          </w:p>
        </w:tc>
        <w:tc>
          <w:tcPr>
            <w:tcW w:w="10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(35,453)</w:t>
            </w: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(34,717)</w:t>
            </w:r>
          </w:p>
        </w:tc>
        <w:tc>
          <w:tcPr>
            <w:tcW w:w="4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EFFE7"/>
            </w:tcBorders>
            <w:shd w:val="clear" w:color="auto" w:fill="CEFFE7"/>
          </w:tcPr>
          <w:p>
            <w:pPr>
              <w:spacing w:after="0"/>
              <w:rPr>
                <w:sz w:val="21"/>
                <w:szCs w:val="21"/>
                <w:color w:val="auto"/>
              </w:rPr>
            </w:pPr>
          </w:p>
        </w:tc>
        <w:tc>
          <w:tcPr>
            <w:tcW w:w="5740" w:type="dxa"/>
            <w:vAlign w:val="bottom"/>
            <w:tcBorders>
              <w:bottom w:val="single" w:sz="8" w:color="CEFFE7"/>
            </w:tcBorders>
            <w:gridSpan w:val="3"/>
            <w:shd w:val="clear" w:color="auto" w:fill="CEFFE7"/>
          </w:tcPr>
          <w:p>
            <w:pPr>
              <w:spacing w:after="0"/>
              <w:rPr>
                <w:sz w:val="20"/>
                <w:szCs w:val="20"/>
                <w:color w:val="auto"/>
              </w:rPr>
            </w:pPr>
            <w:r>
              <w:rPr>
                <w:rFonts w:ascii="Arial" w:cs="Arial" w:eastAsia="Arial" w:hAnsi="Arial"/>
                <w:sz w:val="18"/>
                <w:szCs w:val="18"/>
                <w:color w:val="auto"/>
              </w:rPr>
              <w:t>Impairment of investment</w:t>
            </w:r>
          </w:p>
        </w:tc>
        <w:tc>
          <w:tcPr>
            <w:tcW w:w="1080" w:type="dxa"/>
            <w:vAlign w:val="bottom"/>
            <w:tcBorders>
              <w:bottom w:val="single" w:sz="8" w:color="CEFFE7"/>
            </w:tcBorders>
            <w:shd w:val="clear" w:color="auto" w:fill="CEFFE7"/>
          </w:tcPr>
          <w:p>
            <w:pPr>
              <w:spacing w:after="0"/>
              <w:rPr>
                <w:sz w:val="21"/>
                <w:szCs w:val="21"/>
                <w:color w:val="auto"/>
              </w:rPr>
            </w:pPr>
          </w:p>
        </w:tc>
        <w:tc>
          <w:tcPr>
            <w:tcW w:w="6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(6,859)</w:t>
            </w:r>
          </w:p>
        </w:tc>
        <w:tc>
          <w:tcPr>
            <w:tcW w:w="420" w:type="dxa"/>
            <w:vAlign w:val="bottom"/>
            <w:tcBorders>
              <w:bottom w:val="single" w:sz="8" w:color="CEFFE7"/>
            </w:tcBorders>
            <w:shd w:val="clear" w:color="auto" w:fill="CEFFE7"/>
          </w:tcPr>
          <w:p>
            <w:pPr>
              <w:spacing w:after="0"/>
              <w:rPr>
                <w:sz w:val="21"/>
                <w:szCs w:val="21"/>
                <w:color w:val="auto"/>
              </w:rPr>
            </w:pPr>
          </w:p>
        </w:tc>
        <w:tc>
          <w:tcPr>
            <w:tcW w:w="13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EFFE7"/>
            </w:tcBorders>
            <w:shd w:val="clear" w:color="auto" w:fill="CEFFE7"/>
          </w:tcPr>
          <w:p>
            <w:pPr>
              <w:spacing w:after="0"/>
              <w:rPr>
                <w:sz w:val="21"/>
                <w:szCs w:val="21"/>
                <w:color w:val="auto"/>
              </w:rPr>
            </w:pPr>
          </w:p>
        </w:tc>
        <w:tc>
          <w:tcPr>
            <w:tcW w:w="13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(6,859)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740" w:type="dxa"/>
            <w:vAlign w:val="bottom"/>
            <w:gridSpan w:val="3"/>
          </w:tcPr>
          <w:p>
            <w:pPr>
              <w:spacing w:after="0"/>
              <w:rPr>
                <w:sz w:val="20"/>
                <w:szCs w:val="20"/>
                <w:color w:val="auto"/>
              </w:rPr>
            </w:pPr>
            <w:r>
              <w:rPr>
                <w:rFonts w:ascii="Arial" w:cs="Arial" w:eastAsia="Arial" w:hAnsi="Arial"/>
                <w:sz w:val="18"/>
                <w:szCs w:val="18"/>
                <w:color w:val="auto"/>
              </w:rPr>
              <w:t>Other income (expense), net</w:t>
            </w:r>
          </w:p>
        </w:tc>
        <w:tc>
          <w:tcPr>
            <w:tcW w:w="10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2,353</w:t>
            </w: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(789)</w:t>
            </w:r>
          </w:p>
        </w:tc>
        <w:tc>
          <w:tcPr>
            <w:tcW w:w="4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3,142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EFFE7"/>
            </w:tcBorders>
            <w:shd w:val="clear" w:color="auto" w:fill="CEFFE7"/>
          </w:tcPr>
          <w:p>
            <w:pPr>
              <w:spacing w:after="0"/>
              <w:rPr>
                <w:sz w:val="23"/>
                <w:szCs w:val="23"/>
                <w:color w:val="auto"/>
              </w:rPr>
            </w:pPr>
          </w:p>
        </w:tc>
        <w:tc>
          <w:tcPr>
            <w:tcW w:w="5740" w:type="dxa"/>
            <w:vAlign w:val="bottom"/>
            <w:tcBorders>
              <w:bottom w:val="single" w:sz="8" w:color="CEFFE7"/>
            </w:tcBorders>
            <w:gridSpan w:val="3"/>
            <w:shd w:val="clear" w:color="auto" w:fill="CEFFE7"/>
          </w:tcPr>
          <w:p>
            <w:pPr>
              <w:spacing w:after="0"/>
              <w:rPr>
                <w:sz w:val="20"/>
                <w:szCs w:val="20"/>
                <w:color w:val="auto"/>
              </w:rPr>
            </w:pPr>
            <w:r>
              <w:rPr>
                <w:rFonts w:ascii="Arial" w:cs="Arial" w:eastAsia="Arial" w:hAnsi="Arial"/>
                <w:sz w:val="18"/>
                <w:szCs w:val="18"/>
                <w:color w:val="auto"/>
              </w:rPr>
              <w:t>Income tax (expense)</w:t>
            </w:r>
          </w:p>
        </w:tc>
        <w:tc>
          <w:tcPr>
            <w:tcW w:w="1080" w:type="dxa"/>
            <w:vAlign w:val="bottom"/>
            <w:tcBorders>
              <w:bottom w:val="single" w:sz="8" w:color="CEFFE7"/>
            </w:tcBorders>
            <w:shd w:val="clear" w:color="auto" w:fill="CEFFE7"/>
          </w:tcPr>
          <w:p>
            <w:pPr>
              <w:spacing w:after="0"/>
              <w:rPr>
                <w:sz w:val="23"/>
                <w:szCs w:val="23"/>
                <w:color w:val="auto"/>
              </w:rPr>
            </w:pPr>
          </w:p>
        </w:tc>
        <w:tc>
          <w:tcPr>
            <w:tcW w:w="6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2"/>
              </w:rPr>
              <w:t>(16,002)</w:t>
            </w:r>
          </w:p>
        </w:tc>
        <w:tc>
          <w:tcPr>
            <w:tcW w:w="420" w:type="dxa"/>
            <w:vAlign w:val="bottom"/>
            <w:tcBorders>
              <w:bottom w:val="single" w:sz="8" w:color="CEFFE7"/>
            </w:tcBorders>
            <w:shd w:val="clear" w:color="auto" w:fill="CEFFE7"/>
          </w:tcPr>
          <w:p>
            <w:pPr>
              <w:spacing w:after="0"/>
              <w:rPr>
                <w:sz w:val="23"/>
                <w:szCs w:val="23"/>
                <w:color w:val="auto"/>
              </w:rPr>
            </w:pPr>
          </w:p>
        </w:tc>
        <w:tc>
          <w:tcPr>
            <w:tcW w:w="13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(17,263)</w:t>
            </w:r>
          </w:p>
        </w:tc>
        <w:tc>
          <w:tcPr>
            <w:tcW w:w="440" w:type="dxa"/>
            <w:vAlign w:val="bottom"/>
            <w:tcBorders>
              <w:bottom w:val="single" w:sz="8" w:color="CEFFE7"/>
            </w:tcBorders>
            <w:shd w:val="clear" w:color="auto" w:fill="CEFFE7"/>
          </w:tcPr>
          <w:p>
            <w:pPr>
              <w:spacing w:after="0"/>
              <w:rPr>
                <w:sz w:val="23"/>
                <w:szCs w:val="23"/>
                <w:color w:val="auto"/>
              </w:rPr>
            </w:pPr>
          </w:p>
        </w:tc>
        <w:tc>
          <w:tcPr>
            <w:tcW w:w="13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1,261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74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10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97,224</w:t>
            </w:r>
          </w:p>
        </w:tc>
        <w:tc>
          <w:tcPr>
            <w:tcW w:w="4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107,362</w:t>
            </w:r>
          </w:p>
        </w:tc>
        <w:tc>
          <w:tcPr>
            <w:tcW w:w="4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(10,138)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EFFE7"/>
            </w:tcBorders>
            <w:shd w:val="clear" w:color="auto" w:fill="CEFFE7"/>
          </w:tcPr>
          <w:p>
            <w:pPr>
              <w:spacing w:after="0"/>
              <w:rPr>
                <w:sz w:val="23"/>
                <w:szCs w:val="23"/>
                <w:color w:val="auto"/>
              </w:rPr>
            </w:pPr>
          </w:p>
        </w:tc>
        <w:tc>
          <w:tcPr>
            <w:tcW w:w="5740" w:type="dxa"/>
            <w:vAlign w:val="bottom"/>
            <w:tcBorders>
              <w:bottom w:val="single" w:sz="8" w:color="CEFFE7"/>
            </w:tcBorders>
            <w:gridSpan w:val="3"/>
            <w:shd w:val="clear" w:color="auto" w:fill="CEFFE7"/>
          </w:tcPr>
          <w:p>
            <w:pPr>
              <w:spacing w:after="0"/>
              <w:rPr>
                <w:sz w:val="20"/>
                <w:szCs w:val="20"/>
                <w:color w:val="auto"/>
              </w:rPr>
            </w:pPr>
            <w:r>
              <w:rPr>
                <w:rFonts w:ascii="Arial" w:cs="Arial" w:eastAsia="Arial" w:hAnsi="Arial"/>
                <w:sz w:val="18"/>
                <w:szCs w:val="18"/>
                <w:color w:val="auto"/>
              </w:rPr>
              <w:t>Net income attributable to noncontrolling interest</w:t>
            </w:r>
          </w:p>
        </w:tc>
        <w:tc>
          <w:tcPr>
            <w:tcW w:w="1080" w:type="dxa"/>
            <w:vAlign w:val="bottom"/>
            <w:tcBorders>
              <w:bottom w:val="single" w:sz="8" w:color="CEFFE7"/>
            </w:tcBorders>
            <w:shd w:val="clear" w:color="auto" w:fill="CEFFE7"/>
          </w:tcPr>
          <w:p>
            <w:pPr>
              <w:spacing w:after="0"/>
              <w:rPr>
                <w:sz w:val="23"/>
                <w:szCs w:val="23"/>
                <w:color w:val="auto"/>
              </w:rPr>
            </w:pPr>
          </w:p>
        </w:tc>
        <w:tc>
          <w:tcPr>
            <w:tcW w:w="6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(4,050)</w:t>
            </w:r>
          </w:p>
        </w:tc>
        <w:tc>
          <w:tcPr>
            <w:tcW w:w="420" w:type="dxa"/>
            <w:vAlign w:val="bottom"/>
            <w:tcBorders>
              <w:bottom w:val="single" w:sz="8" w:color="CEFFE7"/>
            </w:tcBorders>
            <w:shd w:val="clear" w:color="auto" w:fill="CEFFE7"/>
          </w:tcPr>
          <w:p>
            <w:pPr>
              <w:spacing w:after="0"/>
              <w:rPr>
                <w:sz w:val="23"/>
                <w:szCs w:val="23"/>
                <w:color w:val="auto"/>
              </w:rPr>
            </w:pPr>
          </w:p>
        </w:tc>
        <w:tc>
          <w:tcPr>
            <w:tcW w:w="13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(3,554)</w:t>
            </w:r>
          </w:p>
        </w:tc>
        <w:tc>
          <w:tcPr>
            <w:tcW w:w="440" w:type="dxa"/>
            <w:vAlign w:val="bottom"/>
            <w:tcBorders>
              <w:bottom w:val="single" w:sz="8" w:color="CEFFE7"/>
            </w:tcBorders>
            <w:shd w:val="clear" w:color="auto" w:fill="CEFFE7"/>
          </w:tcPr>
          <w:p>
            <w:pPr>
              <w:spacing w:after="0"/>
              <w:rPr>
                <w:sz w:val="23"/>
                <w:szCs w:val="23"/>
                <w:color w:val="auto"/>
              </w:rPr>
            </w:pPr>
          </w:p>
        </w:tc>
        <w:tc>
          <w:tcPr>
            <w:tcW w:w="13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740" w:type="dxa"/>
            <w:vAlign w:val="bottom"/>
            <w:gridSpan w:val="3"/>
          </w:tcPr>
          <w:p>
            <w:pPr>
              <w:spacing w:after="0"/>
              <w:rPr>
                <w:sz w:val="20"/>
                <w:szCs w:val="20"/>
                <w:color w:val="auto"/>
              </w:rPr>
            </w:pPr>
            <w:r>
              <w:rPr>
                <w:rFonts w:ascii="Arial" w:cs="Arial" w:eastAsia="Arial" w:hAnsi="Arial"/>
                <w:sz w:val="18"/>
                <w:szCs w:val="18"/>
                <w:color w:val="auto"/>
              </w:rPr>
              <w:t>Net income available for common stock</w:t>
            </w:r>
          </w:p>
        </w:tc>
        <w:tc>
          <w:tcPr>
            <w:tcW w:w="108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93,174</w:t>
            </w:r>
          </w:p>
        </w:tc>
        <w:tc>
          <w:tcPr>
            <w:tcW w:w="4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103,808</w:t>
            </w:r>
          </w:p>
        </w:tc>
        <w:tc>
          <w:tcPr>
            <w:tcW w:w="4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(10,634)</w:t>
            </w:r>
          </w:p>
        </w:tc>
        <w:tc>
          <w:tcPr>
            <w:tcW w:w="0" w:type="dxa"/>
            <w:vAlign w:val="bottom"/>
          </w:tcPr>
          <w:p>
            <w:pPr>
              <w:spacing w:after="0"/>
              <w:rPr>
                <w:sz w:val="1"/>
                <w:szCs w:val="1"/>
                <w:color w:val="auto"/>
              </w:rPr>
            </w:pPr>
          </w:p>
        </w:tc>
      </w:tr>
      <w:tr>
        <w:trPr>
          <w:trHeight w:val="20"/>
        </w:trPr>
        <w:tc>
          <w:tcPr>
            <w:tcW w:w="1980" w:type="dxa"/>
            <w:vAlign w:val="bottom"/>
            <w:gridSpan w:val="3"/>
            <w:vMerge w:val="restart"/>
          </w:tcPr>
          <w:p>
            <w:pPr>
              <w:spacing w:after="0"/>
              <w:rPr>
                <w:sz w:val="20"/>
                <w:szCs w:val="20"/>
                <w:color w:val="auto"/>
              </w:rPr>
            </w:pPr>
            <w:r>
              <w:rPr>
                <w:rFonts w:ascii="Arial" w:cs="Arial" w:eastAsia="Arial" w:hAnsi="Arial"/>
                <w:sz w:val="16"/>
                <w:szCs w:val="16"/>
                <w:color w:val="auto"/>
              </w:rPr>
              <w:t>__________</w:t>
            </w:r>
          </w:p>
        </w:tc>
        <w:tc>
          <w:tcPr>
            <w:tcW w:w="38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980" w:type="dxa"/>
            <w:vAlign w:val="bottom"/>
            <w:gridSpan w:val="3"/>
            <w:vMerge w:val="continue"/>
          </w:tcPr>
          <w:p>
            <w:pPr>
              <w:spacing w:after="0"/>
              <w:rPr>
                <w:sz w:val="15"/>
                <w:szCs w:val="15"/>
                <w:color w:val="auto"/>
              </w:rPr>
            </w:pPr>
          </w:p>
        </w:tc>
        <w:tc>
          <w:tcPr>
            <w:tcW w:w="3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100" w:hanging="332"/>
        <w:spacing w:after="0" w:line="257"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Adjusted operating income recognizes intersegment revenues and costs for Colorado Electric’s PPA with Black Hills Colorado IPP on an accrual basis rather than as a finance lease. This presentation of segment information does not impact consolidated financial results.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 Highlights and Corporate Activity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Electric Utilities Segment</w:t>
      </w:r>
    </w:p>
    <w:p>
      <w:pPr>
        <w:spacing w:after="0" w:line="225" w:lineRule="exact"/>
        <w:rPr>
          <w:sz w:val="20"/>
          <w:szCs w:val="20"/>
          <w:color w:val="auto"/>
        </w:rPr>
      </w:pPr>
    </w:p>
    <w:p>
      <w:pPr>
        <w:ind w:left="660" w:right="60" w:hanging="328"/>
        <w:spacing w:after="0" w:line="255"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April 14, 2020, Colorado Electric submitted its 30-day report to the CPUC summarizing the first milestone in the Renewable Advantage Plan which is expected to provide cost savings to customers and double its renewable energy portfolio. The bidding process for new renewable energy projects concluded on February 15, 2020, attracting interest from developers in southern Colorado and across the U.S. In total, Colorado Electric received 54 bids from 25 bidders for renewable energy projects at varying sizes, prices, technology types and locations, with the majority of projects to be sited in Pueblo and Pueblo County. The winning bid(s) and pricing will be determined in June 2020 when Colorado Electric files its 120-day report to the CPUC.</w:t>
      </w:r>
    </w:p>
    <w:p>
      <w:pPr>
        <w:spacing w:after="0" w:line="192" w:lineRule="exact"/>
        <w:rPr>
          <w:rFonts w:ascii="Arial" w:cs="Arial" w:eastAsia="Arial" w:hAnsi="Arial"/>
          <w:sz w:val="18"/>
          <w:szCs w:val="18"/>
          <w:color w:val="auto"/>
        </w:rPr>
      </w:pPr>
    </w:p>
    <w:p>
      <w:pPr>
        <w:ind w:left="660" w:hanging="328"/>
        <w:spacing w:after="0" w:line="25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Construction continues on the $79 million Corriedale project, which is expected to be placed in service by year-end 2020. As a result of COVID-19, we regularly communicate with our key suppliers to maintain visibility into any disruptions they are experiencing in the receipt of supplies and materials from their suppliers. At this time, we have not experienced significant disruption in our supply chain due to COVID-19 which would cause us to adjust the in-service date for this project. If significant disruptions occur and we were unable to complete the project by December 31, 2020, we could experience loss of production tax credits.</w:t>
      </w:r>
    </w:p>
    <w:p>
      <w:pPr>
        <w:spacing w:after="0" w:line="187" w:lineRule="exact"/>
        <w:rPr>
          <w:rFonts w:ascii="Arial" w:cs="Arial" w:eastAsia="Arial" w:hAnsi="Arial"/>
          <w:sz w:val="18"/>
          <w:szCs w:val="18"/>
          <w:color w:val="auto"/>
        </w:rPr>
      </w:pPr>
    </w:p>
    <w:p>
      <w:pPr>
        <w:ind w:left="660" w:right="60" w:hanging="328"/>
        <w:spacing w:after="0" w:line="255"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August 2, 2019, Black Hills Wyoming and Wyoming Electric jointly filed a request with FERC for approval of a new 60 MW PPA. If approved, Wyoming Electric will continue to receive 60 MW of energy from the Wygen I power plant starting January 1, 2023, and for 20 additional years. On February 21, 2020, the FERC set this filing for hearing. However, the hearing has been placed in abeyance pending a FERC monitored settlement process. Settlement negotiations are ongoing among all parties. Any settlement would require FERC approval. To the extent the parties are unable to reach agreement, the next step in FERC’s process would be to set the matter for hearing. We will continue to evaluate our options to fulfill our 60 MW capacity need.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320" w:top="126" w:right="359" w:bottom="1440" w:gutter="0" w:footer="0" w:header="0"/>
        </w:sectPr>
      </w:pPr>
    </w:p>
    <w:bookmarkStart w:id="35" w:name="page36"/>
    <w:bookmarkEnd w:id="3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Gas Utilities Segment</w:t>
      </w:r>
    </w:p>
    <w:p>
      <w:pPr>
        <w:spacing w:after="0" w:line="225" w:lineRule="exact"/>
        <w:rPr>
          <w:sz w:val="20"/>
          <w:szCs w:val="20"/>
          <w:color w:val="auto"/>
        </w:rPr>
      </w:pPr>
    </w:p>
    <w:p>
      <w:pPr>
        <w:ind w:left="660" w:hanging="328"/>
        <w:spacing w:after="0" w:line="272"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On February 1, 2019, Colorado Gas filed a rate review with the CPUC requesting approval to consolidate rates, tariffs, and services of its two existing gas distribution territories. The rate review requested $2.5 million in new revenue to recover investments in safety, reliability and system integrity. Colorado Gas also requested a new rider mechanism to recover future safety and integrity investments in its system. On December 27, 2019, the ALJ issued a recommended decision denying the company’s plan to consolidate rate territories and rider mechanism and also recommended a rate decrease. On April 14, 2020, the CPUC deliberated on the ALJ’s recommended decision and filed exceptions to that decision. The CPUC essentially accepted the ALJ’s recommended decisions, except for return on equity, which they lowered from 9.5% to 9.2%. A final order and new rates are anticipated to be effective in the second quarter of 2020.</w:t>
      </w:r>
    </w:p>
    <w:p>
      <w:pPr>
        <w:spacing w:after="0" w:line="177" w:lineRule="exact"/>
        <w:rPr>
          <w:rFonts w:ascii="Arial" w:cs="Arial" w:eastAsia="Arial" w:hAnsi="Arial"/>
          <w:sz w:val="17"/>
          <w:szCs w:val="17"/>
          <w:color w:val="auto"/>
        </w:rPr>
      </w:pPr>
    </w:p>
    <w:p>
      <w:pPr>
        <w:ind w:left="660" w:right="120" w:hanging="328"/>
        <w:spacing w:after="0" w:line="259"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Wyoming Gas’s new single statewide rate structure was effective March 1, 2020. On December 11, 2019, Wyoming Gas received approval from the WPSC to consolidate the rates, tariffs and services of its four existing gas distribution territories. New rates are expected to generate $13 million in new revenue based on a return on equity of 9.40% and a capital structure of 50.23% equity and 49.77% debt. The approval also allows for a rider to recover integrity investments for system safety and reliability.</w:t>
      </w:r>
    </w:p>
    <w:p>
      <w:pPr>
        <w:spacing w:after="0" w:line="186" w:lineRule="exact"/>
        <w:rPr>
          <w:rFonts w:ascii="Arial" w:cs="Arial" w:eastAsia="Arial" w:hAnsi="Arial"/>
          <w:sz w:val="18"/>
          <w:szCs w:val="18"/>
          <w:color w:val="auto"/>
        </w:rPr>
      </w:pPr>
    </w:p>
    <w:p>
      <w:pPr>
        <w:ind w:left="660" w:right="160" w:hanging="328"/>
        <w:spacing w:after="0" w:line="342"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On January 1, 2020, Nebraska Gas completed the legal consolidation of its two natural gas utilities, having received approval from the NPSC on October 29, 2019. A rate review is expected to be filed mid-year 2020 to consolidate the rates, tariffs and services of its two utilities.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Power Generation Segment</w:t>
      </w:r>
    </w:p>
    <w:p>
      <w:pPr>
        <w:spacing w:after="0" w:line="225" w:lineRule="exact"/>
        <w:rPr>
          <w:sz w:val="20"/>
          <w:szCs w:val="20"/>
          <w:color w:val="auto"/>
        </w:rPr>
      </w:pPr>
    </w:p>
    <w:p>
      <w:pPr>
        <w:ind w:left="660" w:right="120" w:hanging="328"/>
        <w:spacing w:after="0" w:line="279"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On August 2, 2019, Black Hills Wyoming and Wyoming Electric jointly filed a request with FERC for approval of a new 60 MW PPA. If approved, Black Hills Wyoming will continue to deliver 60 MW of energy to Wyoming Electric from its Wygen I power plant starting January 1, 2023, and for 20 additional years. On February 21, 2020, the FERC set this filing for hearing. However, the hearing has been placed in abeyance pending a FERC monitored settlement process. See additional information in the Electric Utilities Segment highlights above.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Corporate and Other</w:t>
      </w:r>
    </w:p>
    <w:p>
      <w:pPr>
        <w:spacing w:after="0" w:line="225"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April 16, 2020, S&amp;P affirmed South Dakota Electric’s credit rating at 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April 10, 2020, S&amp;P affirmed our BBB+ rating and maintained a stable outlook.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February 27, 2020, we issued 1.2 million shares of common stock at a price of $81.77 per share for net proceeds of $99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229" w:lineRule="exact"/>
        <w:rPr>
          <w:sz w:val="20"/>
          <w:szCs w:val="20"/>
          <w:color w:val="auto"/>
        </w:rPr>
      </w:pPr>
    </w:p>
    <w:p>
      <w:pPr>
        <w:ind w:right="10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A discussion of operating results from our segments and Corporate activities follows in the sections below. Revenues for operating segments in the following sections are presented in total and by retail class. For disaggregation of revenue by contract type and operating segment, see </w:t>
      </w:r>
      <w:hyperlink w:anchor="page15">
        <w:r>
          <w:rPr>
            <w:rFonts w:ascii="Arial" w:cs="Arial" w:eastAsia="Arial" w:hAnsi="Arial"/>
            <w:sz w:val="18"/>
            <w:szCs w:val="18"/>
            <w:u w:val="single" w:color="auto"/>
            <w:color w:val="0000EE"/>
          </w:rPr>
          <w:t>Note 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Notes to Condensed Consolidated Financial Statements for more information.</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w:t>
      </w:r>
    </w:p>
    <w:p>
      <w:pPr>
        <w:spacing w:after="0" w:line="90"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The following discussion includes financial information prepared in accordance with GAAP, as well as another financial measure, gross margin, that is considered a “non-GAAP financial measure.” Generally, a non-GAAP financial measure is a numerical measure of a company’s financial performance, financial position or cash flows that excludes (or includes) amounts that are included in (or excluded from) the most directly comparable measure calculated and presented in accordance with GAAP. Gross margin (revenue less cost of sales) is a non-GAAP financial measure due to the exclusion of depreciation and amortization from the measure. The presentation of gross margin is intended to supplement investors’ understanding of our operating performance.</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320" w:top="126" w:right="359" w:bottom="1440" w:gutter="0" w:footer="0" w:header="0"/>
        </w:sectPr>
      </w:pPr>
    </w:p>
    <w:bookmarkStart w:id="36" w:name="page37"/>
    <w:bookmarkEnd w:id="3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Gross margin for our Electric Utilities is calculated as operating revenue less cost of fuel and purchased power. Gross margin for our Gas Utilities is calculated as operating revenue less cost of natural gas sold. Our gross margin is impacted by the fluctuations in power and natural gas purchases and other fuel supply costs. However, while these fluctuating costs impact gross margin as a percentage of revenue, they only impact total gross margin if the costs cannot be passed through to our customers.</w:t>
      </w:r>
    </w:p>
    <w:p>
      <w:pPr>
        <w:spacing w:after="0" w:line="18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For the three months ended March 31, 2020, we did not experience significant impacts to gross margin for any business segment as a result of COVID-19. Prudently incurred fuel, purchased power, and natural gas costs to serve our customers are recovered through cost adjustment mechanisms at each of our regulated utilities.</w:t>
      </w:r>
    </w:p>
    <w:p>
      <w:pPr>
        <w:spacing w:after="0" w:line="184"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Our gross margin measure may not be comparable to other companies’ gross margin measure. Furthermore, this measure is not intended to replace operating income, as determined in accordance with GAAP, as an indicator of operating performance.</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Electric Utilities</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615"/>
        </w:trPr>
        <w:tc>
          <w:tcPr>
            <w:tcW w:w="1220" w:type="dxa"/>
            <w:vAlign w:val="bottom"/>
            <w:tcBorders>
              <w:top w:val="single" w:sz="8" w:color="auto"/>
            </w:tcBorders>
          </w:tcPr>
          <w:p>
            <w:pPr>
              <w:spacing w:after="0"/>
              <w:rPr>
                <w:sz w:val="24"/>
                <w:szCs w:val="24"/>
                <w:color w:val="auto"/>
              </w:rPr>
            </w:pPr>
          </w:p>
        </w:tc>
        <w:tc>
          <w:tcPr>
            <w:tcW w:w="5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40" w:type="dxa"/>
            <w:vAlign w:val="bottom"/>
            <w:gridSpan w:val="5"/>
          </w:tcPr>
          <w:p>
            <w:pPr>
              <w:jc w:val="center"/>
              <w:ind w:right="190"/>
              <w:spacing w:after="0"/>
              <w:rPr>
                <w:sz w:val="20"/>
                <w:szCs w:val="20"/>
                <w:color w:val="auto"/>
              </w:rPr>
            </w:pPr>
            <w:r>
              <w:rPr>
                <w:rFonts w:ascii="Arial" w:cs="Arial" w:eastAsia="Arial" w:hAnsi="Arial"/>
                <w:sz w:val="18"/>
                <w:szCs w:val="18"/>
                <w:color w:val="auto"/>
                <w:w w:val="90"/>
              </w:rPr>
              <w:t>Three Months Ended March 31,</w:t>
            </w:r>
          </w:p>
        </w:tc>
      </w:tr>
      <w:tr>
        <w:trPr>
          <w:trHeight w:val="270"/>
        </w:trPr>
        <w:tc>
          <w:tcPr>
            <w:tcW w:w="1220" w:type="dxa"/>
            <w:vAlign w:val="bottom"/>
          </w:tcPr>
          <w:p>
            <w:pPr>
              <w:spacing w:after="0"/>
              <w:rPr>
                <w:sz w:val="23"/>
                <w:szCs w:val="23"/>
                <w:color w:val="auto"/>
              </w:rPr>
            </w:pPr>
          </w:p>
        </w:tc>
        <w:tc>
          <w:tcPr>
            <w:tcW w:w="59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280" w:type="dxa"/>
            <w:vAlign w:val="bottom"/>
          </w:tcPr>
          <w:p>
            <w:pPr>
              <w:spacing w:after="0"/>
              <w:rPr>
                <w:sz w:val="23"/>
                <w:szCs w:val="23"/>
                <w:color w:val="auto"/>
              </w:rPr>
            </w:pPr>
          </w:p>
        </w:tc>
        <w:tc>
          <w:tcPr>
            <w:tcW w:w="1120" w:type="dxa"/>
            <w:vAlign w:val="bottom"/>
          </w:tcPr>
          <w:p>
            <w:pPr>
              <w:jc w:val="right"/>
              <w:ind w:right="270"/>
              <w:spacing w:after="0"/>
              <w:rPr>
                <w:sz w:val="20"/>
                <w:szCs w:val="20"/>
                <w:color w:val="auto"/>
              </w:rPr>
            </w:pPr>
            <w:r>
              <w:rPr>
                <w:rFonts w:ascii="Arial" w:cs="Arial" w:eastAsia="Arial" w:hAnsi="Arial"/>
                <w:sz w:val="18"/>
                <w:szCs w:val="18"/>
                <w:color w:val="auto"/>
              </w:rPr>
              <w:t>Variance</w:t>
            </w:r>
          </w:p>
        </w:tc>
      </w:tr>
      <w:tr>
        <w:trPr>
          <w:trHeight w:val="27"/>
        </w:trPr>
        <w:tc>
          <w:tcPr>
            <w:tcW w:w="12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12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(in thousands)</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12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1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174,139</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182,927</w:t>
            </w:r>
          </w:p>
        </w:tc>
        <w:tc>
          <w:tcPr>
            <w:tcW w:w="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(8,788)</w:t>
            </w:r>
          </w:p>
        </w:tc>
      </w:tr>
      <w:tr>
        <w:trPr>
          <w:trHeight w:val="318"/>
        </w:trPr>
        <w:tc>
          <w:tcPr>
            <w:tcW w:w="12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70"/>
        </w:trPr>
        <w:tc>
          <w:tcPr>
            <w:tcW w:w="71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Total fuel and purchased power</w:t>
            </w:r>
          </w:p>
        </w:tc>
        <w:tc>
          <w:tcPr>
            <w:tcW w:w="320" w:type="dxa"/>
            <w:vAlign w:val="bottom"/>
            <w:tcBorders>
              <w:bottom w:val="single" w:sz="8" w:color="CEFFE7"/>
            </w:tcBorders>
            <w:shd w:val="clear" w:color="auto" w:fill="CEFFE7"/>
          </w:tcPr>
          <w:p>
            <w:pPr>
              <w:spacing w:after="0"/>
              <w:rPr>
                <w:sz w:val="23"/>
                <w:szCs w:val="23"/>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64,460</w:t>
            </w:r>
          </w:p>
        </w:tc>
        <w:tc>
          <w:tcPr>
            <w:tcW w:w="180" w:type="dxa"/>
            <w:vAlign w:val="bottom"/>
            <w:tcBorders>
              <w:bottom w:val="single" w:sz="8" w:color="CEFFE7"/>
            </w:tcBorders>
            <w:shd w:val="clear" w:color="auto" w:fill="CEFFE7"/>
          </w:tcPr>
          <w:p>
            <w:pPr>
              <w:spacing w:after="0"/>
              <w:rPr>
                <w:sz w:val="23"/>
                <w:szCs w:val="23"/>
                <w:color w:val="auto"/>
              </w:rPr>
            </w:pP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73,283</w:t>
            </w:r>
          </w:p>
        </w:tc>
        <w:tc>
          <w:tcPr>
            <w:tcW w:w="280" w:type="dxa"/>
            <w:vAlign w:val="bottom"/>
            <w:tcBorders>
              <w:bottom w:val="single" w:sz="8" w:color="CEFFE7"/>
            </w:tcBorders>
            <w:shd w:val="clear" w:color="auto" w:fill="CEFFE7"/>
          </w:tcPr>
          <w:p>
            <w:pPr>
              <w:spacing w:after="0"/>
              <w:rPr>
                <w:sz w:val="23"/>
                <w:szCs w:val="23"/>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(8,823)</w:t>
            </w:r>
          </w:p>
        </w:tc>
      </w:tr>
      <w:tr>
        <w:trPr>
          <w:trHeight w:val="318"/>
        </w:trPr>
        <w:tc>
          <w:tcPr>
            <w:tcW w:w="1220" w:type="dxa"/>
            <w:vAlign w:val="bottom"/>
            <w:tcBorders>
              <w:bottom w:val="single" w:sz="8" w:color="CEFFE7"/>
            </w:tcBorders>
          </w:tcPr>
          <w:p>
            <w:pPr>
              <w:spacing w:after="0"/>
              <w:rPr>
                <w:sz w:val="24"/>
                <w:szCs w:val="24"/>
                <w:color w:val="auto"/>
              </w:rPr>
            </w:pPr>
          </w:p>
        </w:tc>
        <w:tc>
          <w:tcPr>
            <w:tcW w:w="5960" w:type="dxa"/>
            <w:vAlign w:val="bottom"/>
            <w:tcBorders>
              <w:bottom w:val="single" w:sz="8" w:color="CEFFE7"/>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r>
      <w:tr>
        <w:trPr>
          <w:trHeight w:val="263"/>
        </w:trPr>
        <w:tc>
          <w:tcPr>
            <w:tcW w:w="71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Gross margin (non-GAAP)</w:t>
            </w:r>
          </w:p>
        </w:tc>
        <w:tc>
          <w:tcPr>
            <w:tcW w:w="320" w:type="dxa"/>
            <w:vAlign w:val="bottom"/>
            <w:tcBorders>
              <w:bottom w:val="single" w:sz="8" w:color="CEFFE7"/>
            </w:tcBorders>
            <w:shd w:val="clear" w:color="auto" w:fill="CEFFE7"/>
          </w:tcPr>
          <w:p>
            <w:pPr>
              <w:spacing w:after="0"/>
              <w:rPr>
                <w:sz w:val="22"/>
                <w:szCs w:val="22"/>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109,679</w:t>
            </w:r>
          </w:p>
        </w:tc>
        <w:tc>
          <w:tcPr>
            <w:tcW w:w="180" w:type="dxa"/>
            <w:vAlign w:val="bottom"/>
            <w:tcBorders>
              <w:bottom w:val="single" w:sz="8" w:color="CEFFE7"/>
            </w:tcBorders>
            <w:shd w:val="clear" w:color="auto" w:fill="CEFFE7"/>
          </w:tcPr>
          <w:p>
            <w:pPr>
              <w:spacing w:after="0"/>
              <w:rPr>
                <w:sz w:val="22"/>
                <w:szCs w:val="22"/>
                <w:color w:val="auto"/>
              </w:rPr>
            </w:pP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109,644</w:t>
            </w:r>
          </w:p>
        </w:tc>
        <w:tc>
          <w:tcPr>
            <w:tcW w:w="280" w:type="dxa"/>
            <w:vAlign w:val="bottom"/>
            <w:tcBorders>
              <w:bottom w:val="single" w:sz="8" w:color="CEFFE7"/>
            </w:tcBorders>
            <w:shd w:val="clear" w:color="auto" w:fill="CEFFE7"/>
          </w:tcPr>
          <w:p>
            <w:pPr>
              <w:spacing w:after="0"/>
              <w:rPr>
                <w:sz w:val="22"/>
                <w:szCs w:val="22"/>
                <w:color w:val="auto"/>
              </w:rPr>
            </w:pP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35</w:t>
            </w:r>
          </w:p>
        </w:tc>
      </w:tr>
      <w:tr>
        <w:trPr>
          <w:trHeight w:val="318"/>
        </w:trPr>
        <w:tc>
          <w:tcPr>
            <w:tcW w:w="12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71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Operations and maintenance</w:t>
            </w:r>
          </w:p>
        </w:tc>
        <w:tc>
          <w:tcPr>
            <w:tcW w:w="32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50,499</w:t>
            </w:r>
          </w:p>
        </w:tc>
        <w:tc>
          <w:tcPr>
            <w:tcW w:w="18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47,144</w:t>
            </w:r>
          </w:p>
        </w:tc>
        <w:tc>
          <w:tcPr>
            <w:tcW w:w="28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3,355</w:t>
            </w:r>
          </w:p>
        </w:tc>
      </w:tr>
      <w:tr>
        <w:trPr>
          <w:trHeight w:val="243"/>
        </w:trPr>
        <w:tc>
          <w:tcPr>
            <w:tcW w:w="718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23,530</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21,480</w:t>
            </w:r>
          </w:p>
        </w:tc>
        <w:tc>
          <w:tcPr>
            <w:tcW w:w="2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2,050</w:t>
            </w:r>
          </w:p>
        </w:tc>
      </w:tr>
      <w:tr>
        <w:trPr>
          <w:trHeight w:val="27"/>
        </w:trPr>
        <w:tc>
          <w:tcPr>
            <w:tcW w:w="1220" w:type="dxa"/>
            <w:vAlign w:val="bottom"/>
            <w:tcBorders>
              <w:bottom w:val="single" w:sz="8" w:color="CEFFE7"/>
            </w:tcBorders>
          </w:tcPr>
          <w:p>
            <w:pPr>
              <w:spacing w:after="0"/>
              <w:rPr>
                <w:sz w:val="2"/>
                <w:szCs w:val="2"/>
                <w:color w:val="auto"/>
              </w:rPr>
            </w:pPr>
          </w:p>
        </w:tc>
        <w:tc>
          <w:tcPr>
            <w:tcW w:w="5960" w:type="dxa"/>
            <w:vAlign w:val="bottom"/>
            <w:tcBorders>
              <w:bottom w:val="single" w:sz="8" w:color="CEFFE7"/>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3"/>
        </w:trPr>
        <w:tc>
          <w:tcPr>
            <w:tcW w:w="7180" w:type="dxa"/>
            <w:vAlign w:val="bottom"/>
            <w:tcBorders>
              <w:bottom w:val="single" w:sz="8" w:color="CEFFE7"/>
            </w:tcBorders>
            <w:gridSpan w:val="2"/>
            <w:shd w:val="clear" w:color="auto" w:fill="CEFFE7"/>
          </w:tcPr>
          <w:p>
            <w:pPr>
              <w:ind w:left="2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CEFFE7"/>
            </w:tcBorders>
            <w:shd w:val="clear" w:color="auto" w:fill="CEFFE7"/>
          </w:tcPr>
          <w:p>
            <w:pPr>
              <w:spacing w:after="0"/>
              <w:rPr>
                <w:sz w:val="22"/>
                <w:szCs w:val="22"/>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74,029</w:t>
            </w:r>
          </w:p>
        </w:tc>
        <w:tc>
          <w:tcPr>
            <w:tcW w:w="180" w:type="dxa"/>
            <w:vAlign w:val="bottom"/>
            <w:tcBorders>
              <w:bottom w:val="single" w:sz="8" w:color="CEFFE7"/>
            </w:tcBorders>
            <w:shd w:val="clear" w:color="auto" w:fill="CEFFE7"/>
          </w:tcPr>
          <w:p>
            <w:pPr>
              <w:spacing w:after="0"/>
              <w:rPr>
                <w:sz w:val="22"/>
                <w:szCs w:val="22"/>
                <w:color w:val="auto"/>
              </w:rPr>
            </w:pP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68,624</w:t>
            </w:r>
          </w:p>
        </w:tc>
        <w:tc>
          <w:tcPr>
            <w:tcW w:w="280" w:type="dxa"/>
            <w:vAlign w:val="bottom"/>
            <w:tcBorders>
              <w:bottom w:val="single" w:sz="8" w:color="CEFFE7"/>
            </w:tcBorders>
            <w:shd w:val="clear" w:color="auto" w:fill="CEFFE7"/>
          </w:tcPr>
          <w:p>
            <w:pPr>
              <w:spacing w:after="0"/>
              <w:rPr>
                <w:sz w:val="22"/>
                <w:szCs w:val="22"/>
                <w:color w:val="auto"/>
              </w:rPr>
            </w:pP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5,405</w:t>
            </w:r>
          </w:p>
        </w:tc>
      </w:tr>
      <w:tr>
        <w:trPr>
          <w:trHeight w:val="318"/>
        </w:trPr>
        <w:tc>
          <w:tcPr>
            <w:tcW w:w="1220" w:type="dxa"/>
            <w:vAlign w:val="bottom"/>
            <w:tcBorders>
              <w:bottom w:val="single" w:sz="8" w:color="CEFFE7"/>
            </w:tcBorders>
          </w:tcPr>
          <w:p>
            <w:pPr>
              <w:spacing w:after="0"/>
              <w:rPr>
                <w:sz w:val="24"/>
                <w:szCs w:val="24"/>
                <w:color w:val="auto"/>
              </w:rPr>
            </w:pPr>
          </w:p>
        </w:tc>
        <w:tc>
          <w:tcPr>
            <w:tcW w:w="5960" w:type="dxa"/>
            <w:vAlign w:val="bottom"/>
            <w:tcBorders>
              <w:bottom w:val="single" w:sz="8" w:color="CEFFE7"/>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r>
      <w:tr>
        <w:trPr>
          <w:trHeight w:val="257"/>
        </w:trPr>
        <w:tc>
          <w:tcPr>
            <w:tcW w:w="71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Adjusted operating income</w:t>
            </w:r>
          </w:p>
        </w:tc>
        <w:tc>
          <w:tcPr>
            <w:tcW w:w="320" w:type="dxa"/>
            <w:vAlign w:val="bottom"/>
            <w:tcBorders>
              <w:bottom w:val="single" w:sz="8" w:color="auto"/>
            </w:tcBorders>
            <w:shd w:val="clear" w:color="auto" w:fill="CEFFE7"/>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35,650</w:t>
            </w:r>
          </w:p>
        </w:tc>
        <w:tc>
          <w:tcPr>
            <w:tcW w:w="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41,020</w:t>
            </w:r>
          </w:p>
        </w:tc>
        <w:tc>
          <w:tcPr>
            <w:tcW w:w="28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(5,370)</w:t>
            </w:r>
          </w:p>
        </w:tc>
      </w:tr>
      <w:tr>
        <w:trPr>
          <w:trHeight w:val="20"/>
        </w:trPr>
        <w:tc>
          <w:tcPr>
            <w:tcW w:w="12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Results of Operations for the Electric Utilities for the Three Months Ended March 31, 2020 Compared to the Three Months Ended March 31,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Gross margin</w:t>
      </w:r>
      <w:r>
        <w:rPr>
          <w:rFonts w:ascii="Arial" w:cs="Arial" w:eastAsia="Arial" w:hAnsi="Arial"/>
          <w:sz w:val="18"/>
          <w:szCs w:val="18"/>
          <w:color w:val="auto"/>
        </w:rPr>
        <w:t xml:space="preserve"> for the three months ended March 31, 2020 did not change as a result of the following:</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8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60" w:type="dxa"/>
            <w:vAlign w:val="bottom"/>
          </w:tcPr>
          <w:p>
            <w:pPr>
              <w:jc w:val="right"/>
              <w:ind w:right="590"/>
              <w:spacing w:after="0"/>
              <w:rPr>
                <w:sz w:val="20"/>
                <w:szCs w:val="20"/>
                <w:color w:val="auto"/>
              </w:rPr>
            </w:pPr>
            <w:r>
              <w:rPr>
                <w:rFonts w:ascii="Arial" w:cs="Arial" w:eastAsia="Arial" w:hAnsi="Arial"/>
                <w:sz w:val="18"/>
                <w:szCs w:val="18"/>
                <w:color w:val="auto"/>
              </w:rPr>
              <w:t>(in millions)</w:t>
            </w:r>
          </w:p>
        </w:tc>
      </w:tr>
      <w:tr>
        <w:trPr>
          <w:trHeight w:val="27"/>
        </w:trPr>
        <w:tc>
          <w:tcPr>
            <w:tcW w:w="8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3"/>
        </w:trPr>
        <w:tc>
          <w:tcPr>
            <w:tcW w:w="89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Increased mark-to-market on wholesale energy contracts</w:t>
            </w:r>
          </w:p>
        </w:tc>
        <w:tc>
          <w:tcPr>
            <w:tcW w:w="38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1.4</w:t>
            </w:r>
          </w:p>
        </w:tc>
      </w:tr>
      <w:tr>
        <w:trPr>
          <w:trHeight w:val="243"/>
        </w:trPr>
        <w:tc>
          <w:tcPr>
            <w:tcW w:w="8980" w:type="dxa"/>
            <w:vAlign w:val="bottom"/>
          </w:tcPr>
          <w:p>
            <w:pPr>
              <w:ind w:left="20"/>
              <w:spacing w:after="0"/>
              <w:rPr>
                <w:sz w:val="20"/>
                <w:szCs w:val="20"/>
                <w:color w:val="auto"/>
              </w:rPr>
            </w:pPr>
            <w:r>
              <w:rPr>
                <w:rFonts w:ascii="Arial" w:cs="Arial" w:eastAsia="Arial" w:hAnsi="Arial"/>
                <w:sz w:val="18"/>
                <w:szCs w:val="18"/>
                <w:color w:val="auto"/>
              </w:rPr>
              <w:t>Rider recovery</w:t>
            </w:r>
          </w:p>
        </w:tc>
        <w:tc>
          <w:tcPr>
            <w:tcW w:w="38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1.0</w:t>
            </w:r>
          </w:p>
        </w:tc>
      </w:tr>
      <w:tr>
        <w:trPr>
          <w:trHeight w:val="27"/>
        </w:trPr>
        <w:tc>
          <w:tcPr>
            <w:tcW w:w="8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89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Weather</w:t>
            </w:r>
          </w:p>
        </w:tc>
        <w:tc>
          <w:tcPr>
            <w:tcW w:w="380" w:type="dxa"/>
            <w:vAlign w:val="bottom"/>
            <w:tcBorders>
              <w:bottom w:val="single" w:sz="8" w:color="CEFFE7"/>
            </w:tcBorders>
            <w:shd w:val="clear" w:color="auto" w:fill="CEFFE7"/>
          </w:tcPr>
          <w:p>
            <w:pPr>
              <w:spacing w:after="0"/>
              <w:rPr>
                <w:sz w:val="21"/>
                <w:szCs w:val="21"/>
                <w:color w:val="auto"/>
              </w:rPr>
            </w:pPr>
          </w:p>
        </w:tc>
        <w:tc>
          <w:tcPr>
            <w:tcW w:w="1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8980" w:type="dxa"/>
            <w:vAlign w:val="bottom"/>
          </w:tcPr>
          <w:p>
            <w:pPr>
              <w:ind w:left="20"/>
              <w:spacing w:after="0"/>
              <w:rPr>
                <w:sz w:val="20"/>
                <w:szCs w:val="20"/>
                <w:color w:val="auto"/>
              </w:rPr>
            </w:pPr>
            <w:r>
              <w:rPr>
                <w:rFonts w:ascii="Arial" w:cs="Arial" w:eastAsia="Arial" w:hAnsi="Arial"/>
                <w:sz w:val="18"/>
                <w:szCs w:val="18"/>
                <w:color w:val="auto"/>
              </w:rPr>
              <w:t>Off-system power marketing</w:t>
            </w:r>
          </w:p>
        </w:tc>
        <w:tc>
          <w:tcPr>
            <w:tcW w:w="3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8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89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EFFE7"/>
            </w:tcBorders>
            <w:shd w:val="clear" w:color="auto" w:fill="CEFFE7"/>
          </w:tcPr>
          <w:p>
            <w:pPr>
              <w:spacing w:after="0"/>
              <w:rPr>
                <w:sz w:val="23"/>
                <w:szCs w:val="23"/>
                <w:color w:val="auto"/>
              </w:rPr>
            </w:pPr>
          </w:p>
        </w:tc>
        <w:tc>
          <w:tcPr>
            <w:tcW w:w="18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0.6</w:t>
            </w:r>
          </w:p>
        </w:tc>
      </w:tr>
      <w:tr>
        <w:trPr>
          <w:trHeight w:val="257"/>
        </w:trPr>
        <w:tc>
          <w:tcPr>
            <w:tcW w:w="8980" w:type="dxa"/>
            <w:vAlign w:val="bottom"/>
          </w:tcPr>
          <w:p>
            <w:pPr>
              <w:ind w:left="20"/>
              <w:spacing w:after="0"/>
              <w:rPr>
                <w:sz w:val="20"/>
                <w:szCs w:val="20"/>
                <w:color w:val="auto"/>
              </w:rPr>
            </w:pPr>
            <w:r>
              <w:rPr>
                <w:rFonts w:ascii="Arial" w:cs="Arial" w:eastAsia="Arial" w:hAnsi="Arial"/>
                <w:sz w:val="18"/>
                <w:szCs w:val="18"/>
                <w:color w:val="auto"/>
              </w:rPr>
              <w:t>Total change in Gross margin (non-GAAP)</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0"/>
        </w:trPr>
        <w:tc>
          <w:tcPr>
            <w:tcW w:w="8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u w:val="single" w:color="auto"/>
          <w:color w:val="auto"/>
        </w:rPr>
        <w:t>Operations and maintenance expense</w:t>
      </w:r>
      <w:r>
        <w:rPr>
          <w:rFonts w:ascii="Arial" w:cs="Arial" w:eastAsia="Arial" w:hAnsi="Arial"/>
          <w:sz w:val="18"/>
          <w:szCs w:val="18"/>
          <w:color w:val="auto"/>
        </w:rPr>
        <w:t xml:space="preserve"> increased primarily due to higher employee-related costs and higher generation expenses driven by timing of planned outages.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increased primarily due to a higher asset base driven by prior year capital expenditures.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26" w:right="339" w:bottom="1440" w:gutter="0" w:footer="0" w:header="0"/>
        </w:sectPr>
      </w:pPr>
    </w:p>
    <w:bookmarkStart w:id="37" w:name="page38"/>
    <w:bookmarkEnd w:id="3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Statistics</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206"/>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40" w:type="dxa"/>
            <w:vAlign w:val="bottom"/>
            <w:gridSpan w:val="4"/>
          </w:tcPr>
          <w:p>
            <w:pPr>
              <w:jc w:val="center"/>
              <w:spacing w:after="0"/>
              <w:rPr>
                <w:sz w:val="20"/>
                <w:szCs w:val="20"/>
                <w:color w:val="auto"/>
              </w:rPr>
            </w:pPr>
            <w:r>
              <w:rPr>
                <w:rFonts w:ascii="Arial" w:cs="Arial" w:eastAsia="Arial" w:hAnsi="Arial"/>
                <w:sz w:val="16"/>
                <w:szCs w:val="16"/>
                <w:color w:val="auto"/>
                <w:w w:val="92"/>
              </w:rPr>
              <w:t>Electric Revenue</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gridSpan w:val="2"/>
          </w:tcPr>
          <w:p>
            <w:pPr>
              <w:jc w:val="center"/>
              <w:ind w:right="319"/>
              <w:spacing w:after="0"/>
              <w:rPr>
                <w:sz w:val="20"/>
                <w:szCs w:val="20"/>
                <w:color w:val="auto"/>
              </w:rPr>
            </w:pPr>
            <w:r>
              <w:rPr>
                <w:rFonts w:ascii="Arial" w:cs="Arial" w:eastAsia="Arial" w:hAnsi="Arial"/>
                <w:sz w:val="16"/>
                <w:szCs w:val="16"/>
                <w:color w:val="auto"/>
                <w:w w:val="92"/>
              </w:rPr>
              <w:t>Quantities Sold</w:t>
            </w:r>
          </w:p>
        </w:tc>
        <w:tc>
          <w:tcPr>
            <w:tcW w:w="0" w:type="dxa"/>
            <w:vAlign w:val="bottom"/>
          </w:tcPr>
          <w:p>
            <w:pPr>
              <w:spacing w:after="0"/>
              <w:rPr>
                <w:sz w:val="1"/>
                <w:szCs w:val="1"/>
                <w:color w:val="auto"/>
              </w:rPr>
            </w:pPr>
          </w:p>
        </w:tc>
      </w:tr>
      <w:tr>
        <w:trPr>
          <w:trHeight w:val="270"/>
        </w:trPr>
        <w:tc>
          <w:tcPr>
            <w:tcW w:w="3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gridSpan w:val="3"/>
          </w:tcPr>
          <w:p>
            <w:pPr>
              <w:jc w:val="center"/>
              <w:spacing w:after="0"/>
              <w:rPr>
                <w:sz w:val="20"/>
                <w:szCs w:val="20"/>
                <w:color w:val="auto"/>
              </w:rPr>
            </w:pPr>
            <w:r>
              <w:rPr>
                <w:rFonts w:ascii="Arial" w:cs="Arial" w:eastAsia="Arial" w:hAnsi="Arial"/>
                <w:sz w:val="16"/>
                <w:szCs w:val="16"/>
                <w:color w:val="auto"/>
                <w:w w:val="90"/>
              </w:rPr>
              <w:t>(in thousands)</w:t>
            </w: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jc w:val="center"/>
              <w:ind w:left="399"/>
              <w:spacing w:after="0"/>
              <w:rPr>
                <w:sz w:val="20"/>
                <w:szCs w:val="20"/>
                <w:color w:val="auto"/>
              </w:rPr>
            </w:pPr>
            <w:r>
              <w:rPr>
                <w:rFonts w:ascii="Arial" w:cs="Arial" w:eastAsia="Arial" w:hAnsi="Arial"/>
                <w:sz w:val="16"/>
                <w:szCs w:val="16"/>
                <w:color w:val="auto"/>
                <w:w w:val="99"/>
              </w:rPr>
              <w:t>(MWh)</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60" w:type="dxa"/>
            <w:vAlign w:val="bottom"/>
            <w:gridSpan w:val="6"/>
          </w:tcPr>
          <w:p>
            <w:pPr>
              <w:jc w:val="center"/>
              <w:ind w:left="439"/>
              <w:spacing w:after="0"/>
              <w:rPr>
                <w:sz w:val="20"/>
                <w:szCs w:val="20"/>
                <w:color w:val="auto"/>
              </w:rPr>
            </w:pPr>
            <w:r>
              <w:rPr>
                <w:rFonts w:ascii="Arial" w:cs="Arial" w:eastAsia="Arial" w:hAnsi="Arial"/>
                <w:sz w:val="16"/>
                <w:szCs w:val="16"/>
                <w:color w:val="auto"/>
                <w:w w:val="90"/>
              </w:rPr>
              <w:t>Three Months Ended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2"/>
          </w:tcPr>
          <w:p>
            <w:pPr>
              <w:jc w:val="center"/>
              <w:ind w:right="319"/>
              <w:spacing w:after="0"/>
              <w:rPr>
                <w:sz w:val="20"/>
                <w:szCs w:val="20"/>
                <w:color w:val="auto"/>
              </w:rPr>
            </w:pPr>
            <w:r>
              <w:rPr>
                <w:rFonts w:ascii="Arial" w:cs="Arial" w:eastAsia="Arial" w:hAnsi="Arial"/>
                <w:sz w:val="16"/>
                <w:szCs w:val="16"/>
                <w:color w:val="auto"/>
                <w:w w:val="90"/>
              </w:rPr>
              <w:t>Three Months Ended</w:t>
            </w:r>
          </w:p>
        </w:tc>
        <w:tc>
          <w:tcPr>
            <w:tcW w:w="0" w:type="dxa"/>
            <w:vAlign w:val="bottom"/>
          </w:tcPr>
          <w:p>
            <w:pPr>
              <w:spacing w:after="0"/>
              <w:rPr>
                <w:sz w:val="1"/>
                <w:szCs w:val="1"/>
                <w:color w:val="auto"/>
              </w:rPr>
            </w:pPr>
          </w:p>
        </w:tc>
      </w:tr>
      <w:tr>
        <w:trPr>
          <w:trHeight w:val="206"/>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99"/>
              <w:spacing w:after="0"/>
              <w:rPr>
                <w:sz w:val="20"/>
                <w:szCs w:val="20"/>
                <w:color w:val="auto"/>
              </w:rPr>
            </w:pPr>
            <w:r>
              <w:rPr>
                <w:rFonts w:ascii="Arial" w:cs="Arial" w:eastAsia="Arial" w:hAnsi="Arial"/>
                <w:sz w:val="16"/>
                <w:szCs w:val="16"/>
                <w:color w:val="auto"/>
                <w:w w:val="95"/>
              </w:rPr>
              <w:t>March 31,</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center"/>
              <w:ind w:left="399"/>
              <w:spacing w:after="0"/>
              <w:rPr>
                <w:sz w:val="20"/>
                <w:szCs w:val="20"/>
                <w:color w:val="auto"/>
              </w:rPr>
            </w:pPr>
            <w:r>
              <w:rPr>
                <w:rFonts w:ascii="Arial" w:cs="Arial" w:eastAsia="Arial" w:hAnsi="Arial"/>
                <w:sz w:val="16"/>
                <w:szCs w:val="16"/>
                <w:color w:val="auto"/>
                <w:w w:val="95"/>
              </w:rPr>
              <w:t>March 31,</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2020</w:t>
            </w:r>
          </w:p>
        </w:tc>
        <w:tc>
          <w:tcPr>
            <w:tcW w:w="340" w:type="dxa"/>
            <w:vAlign w:val="bottom"/>
          </w:tcPr>
          <w:p>
            <w:pPr>
              <w:spacing w:after="0"/>
              <w:rPr>
                <w:sz w:val="23"/>
                <w:szCs w:val="23"/>
                <w:color w:val="auto"/>
              </w:rPr>
            </w:pPr>
          </w:p>
        </w:tc>
        <w:tc>
          <w:tcPr>
            <w:tcW w:w="900" w:type="dxa"/>
            <w:vAlign w:val="bottom"/>
            <w:gridSpan w:val="2"/>
          </w:tcPr>
          <w:p>
            <w:pPr>
              <w:jc w:val="center"/>
              <w:ind w:left="499"/>
              <w:spacing w:after="0"/>
              <w:rPr>
                <w:sz w:val="20"/>
                <w:szCs w:val="20"/>
                <w:color w:val="auto"/>
              </w:rPr>
            </w:pPr>
            <w:r>
              <w:rPr>
                <w:rFonts w:ascii="Arial" w:cs="Arial" w:eastAsia="Arial" w:hAnsi="Arial"/>
                <w:sz w:val="16"/>
                <w:szCs w:val="16"/>
                <w:color w:val="auto"/>
                <w:w w:val="89"/>
              </w:rPr>
              <w:t>2019</w:t>
            </w: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jc w:val="right"/>
              <w:ind w:right="819"/>
              <w:spacing w:after="0"/>
              <w:rPr>
                <w:sz w:val="20"/>
                <w:szCs w:val="20"/>
                <w:color w:val="auto"/>
              </w:rPr>
            </w:pPr>
            <w:r>
              <w:rPr>
                <w:rFonts w:ascii="Arial" w:cs="Arial" w:eastAsia="Arial" w:hAnsi="Arial"/>
                <w:sz w:val="16"/>
                <w:szCs w:val="16"/>
                <w:color w:val="auto"/>
              </w:rPr>
              <w:t>2020</w:t>
            </w:r>
          </w:p>
        </w:tc>
        <w:tc>
          <w:tcPr>
            <w:tcW w:w="880" w:type="dxa"/>
            <w:vAlign w:val="bottom"/>
          </w:tcPr>
          <w:p>
            <w:pPr>
              <w:jc w:val="right"/>
              <w:ind w:right="399"/>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33"/>
        </w:trPr>
        <w:tc>
          <w:tcPr>
            <w:tcW w:w="3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94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Residential</w:t>
            </w:r>
          </w:p>
        </w:tc>
        <w:tc>
          <w:tcPr>
            <w:tcW w:w="280" w:type="dxa"/>
            <w:vAlign w:val="bottom"/>
            <w:tcBorders>
              <w:bottom w:val="single" w:sz="8" w:color="CEFFE7"/>
            </w:tcBorders>
            <w:shd w:val="clear" w:color="auto" w:fill="CEFFE7"/>
          </w:tcPr>
          <w:p>
            <w:pPr>
              <w:spacing w:after="0"/>
              <w:rPr>
                <w:sz w:val="21"/>
                <w:szCs w:val="21"/>
                <w:color w:val="auto"/>
              </w:rPr>
            </w:pPr>
          </w:p>
        </w:tc>
        <w:tc>
          <w:tcPr>
            <w:tcW w:w="900" w:type="dxa"/>
            <w:vAlign w:val="bottom"/>
            <w:tcBorders>
              <w:bottom w:val="single" w:sz="8" w:color="CEFFE7"/>
            </w:tcBorders>
            <w:shd w:val="clear" w:color="auto" w:fill="CEFFE7"/>
          </w:tcPr>
          <w:p>
            <w:pPr>
              <w:spacing w:after="0"/>
              <w:rPr>
                <w:sz w:val="21"/>
                <w:szCs w:val="21"/>
                <w:color w:val="auto"/>
              </w:rPr>
            </w:pPr>
          </w:p>
        </w:tc>
        <w:tc>
          <w:tcPr>
            <w:tcW w:w="440" w:type="dxa"/>
            <w:vAlign w:val="bottom"/>
            <w:tcBorders>
              <w:bottom w:val="single" w:sz="8" w:color="CEFFE7"/>
            </w:tcBorders>
            <w:shd w:val="clear" w:color="auto" w:fill="CEFFE7"/>
          </w:tcPr>
          <w:p>
            <w:pPr>
              <w:spacing w:after="0"/>
              <w:rPr>
                <w:sz w:val="21"/>
                <w:szCs w:val="21"/>
                <w:color w:val="auto"/>
              </w:rPr>
            </w:pPr>
          </w:p>
        </w:tc>
        <w:tc>
          <w:tcPr>
            <w:tcW w:w="7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EFFE7"/>
            </w:tcBorders>
            <w:gridSpan w:val="3"/>
            <w:shd w:val="clear" w:color="auto" w:fill="CEFFE7"/>
          </w:tcPr>
          <w:p>
            <w:pPr>
              <w:jc w:val="right"/>
              <w:spacing w:after="0"/>
              <w:rPr>
                <w:sz w:val="20"/>
                <w:szCs w:val="20"/>
                <w:color w:val="auto"/>
              </w:rPr>
            </w:pPr>
            <w:r>
              <w:rPr>
                <w:rFonts w:ascii="Arial" w:cs="Arial" w:eastAsia="Arial" w:hAnsi="Arial"/>
                <w:sz w:val="16"/>
                <w:szCs w:val="16"/>
                <w:color w:val="auto"/>
              </w:rPr>
              <w:t>54,505</w:t>
            </w:r>
          </w:p>
        </w:tc>
        <w:tc>
          <w:tcPr>
            <w:tcW w:w="680" w:type="dxa"/>
            <w:vAlign w:val="bottom"/>
            <w:tcBorders>
              <w:bottom w:val="single" w:sz="8" w:color="CEFFE7"/>
            </w:tcBorders>
            <w:shd w:val="clear" w:color="auto" w:fill="CEFFE7"/>
          </w:tcPr>
          <w:p>
            <w:pPr>
              <w:jc w:val="right"/>
              <w:ind w:right="39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EFFE7"/>
            </w:tcBorders>
            <w:gridSpan w:val="2"/>
            <w:shd w:val="clear" w:color="auto" w:fill="CEFFE7"/>
          </w:tcPr>
          <w:p>
            <w:pPr>
              <w:jc w:val="right"/>
              <w:ind w:right="19"/>
              <w:spacing w:after="0"/>
              <w:rPr>
                <w:sz w:val="20"/>
                <w:szCs w:val="20"/>
                <w:color w:val="auto"/>
              </w:rPr>
            </w:pPr>
            <w:r>
              <w:rPr>
                <w:rFonts w:ascii="Arial" w:cs="Arial" w:eastAsia="Arial" w:hAnsi="Arial"/>
                <w:sz w:val="16"/>
                <w:szCs w:val="16"/>
                <w:color w:val="auto"/>
              </w:rPr>
              <w:t>57,638</w:t>
            </w:r>
          </w:p>
        </w:tc>
        <w:tc>
          <w:tcPr>
            <w:tcW w:w="10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0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jc w:val="right"/>
              <w:ind w:right="439"/>
              <w:spacing w:after="0"/>
              <w:rPr>
                <w:sz w:val="20"/>
                <w:szCs w:val="20"/>
                <w:color w:val="auto"/>
              </w:rPr>
            </w:pPr>
            <w:r>
              <w:rPr>
                <w:rFonts w:ascii="Arial" w:cs="Arial" w:eastAsia="Arial" w:hAnsi="Arial"/>
                <w:sz w:val="16"/>
                <w:szCs w:val="16"/>
                <w:color w:val="auto"/>
              </w:rPr>
              <w:t>373,150</w:t>
            </w:r>
          </w:p>
        </w:tc>
        <w:tc>
          <w:tcPr>
            <w:tcW w:w="8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389,178</w:t>
            </w:r>
          </w:p>
        </w:tc>
        <w:tc>
          <w:tcPr>
            <w:tcW w:w="0" w:type="dxa"/>
            <w:vAlign w:val="bottom"/>
          </w:tcPr>
          <w:p>
            <w:pPr>
              <w:spacing w:after="0"/>
              <w:rPr>
                <w:sz w:val="1"/>
                <w:szCs w:val="1"/>
                <w:color w:val="auto"/>
              </w:rPr>
            </w:pPr>
          </w:p>
        </w:tc>
      </w:tr>
      <w:tr>
        <w:trPr>
          <w:trHeight w:val="237"/>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Commercial</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gridSpan w:val="3"/>
          </w:tcPr>
          <w:p>
            <w:pPr>
              <w:jc w:val="right"/>
              <w:spacing w:after="0"/>
              <w:rPr>
                <w:sz w:val="20"/>
                <w:szCs w:val="20"/>
                <w:color w:val="auto"/>
              </w:rPr>
            </w:pPr>
            <w:r>
              <w:rPr>
                <w:rFonts w:ascii="Arial" w:cs="Arial" w:eastAsia="Arial" w:hAnsi="Arial"/>
                <w:sz w:val="16"/>
                <w:szCs w:val="16"/>
                <w:color w:val="auto"/>
              </w:rPr>
              <w:t>57,823</w:t>
            </w:r>
          </w:p>
        </w:tc>
        <w:tc>
          <w:tcPr>
            <w:tcW w:w="680" w:type="dxa"/>
            <w:vAlign w:val="bottom"/>
          </w:tcPr>
          <w:p>
            <w:pPr>
              <w:spacing w:after="0"/>
              <w:rPr>
                <w:sz w:val="20"/>
                <w:szCs w:val="20"/>
                <w:color w:val="auto"/>
              </w:rPr>
            </w:pPr>
          </w:p>
        </w:tc>
        <w:tc>
          <w:tcPr>
            <w:tcW w:w="700" w:type="dxa"/>
            <w:vAlign w:val="bottom"/>
            <w:gridSpan w:val="2"/>
          </w:tcPr>
          <w:p>
            <w:pPr>
              <w:jc w:val="right"/>
              <w:ind w:right="19"/>
              <w:spacing w:after="0"/>
              <w:rPr>
                <w:sz w:val="20"/>
                <w:szCs w:val="20"/>
                <w:color w:val="auto"/>
              </w:rPr>
            </w:pPr>
            <w:r>
              <w:rPr>
                <w:rFonts w:ascii="Arial" w:cs="Arial" w:eastAsia="Arial" w:hAnsi="Arial"/>
                <w:sz w:val="16"/>
                <w:szCs w:val="16"/>
                <w:color w:val="auto"/>
              </w:rPr>
              <w:t>60,963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ind w:right="439"/>
              <w:spacing w:after="0"/>
              <w:rPr>
                <w:sz w:val="20"/>
                <w:szCs w:val="20"/>
                <w:color w:val="auto"/>
              </w:rPr>
            </w:pPr>
            <w:r>
              <w:rPr>
                <w:rFonts w:ascii="Arial" w:cs="Arial" w:eastAsia="Arial" w:hAnsi="Arial"/>
                <w:sz w:val="16"/>
                <w:szCs w:val="16"/>
                <w:color w:val="auto"/>
              </w:rPr>
              <w:t>494,308</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505,573</w:t>
            </w: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Industrial</w:t>
            </w:r>
          </w:p>
        </w:tc>
        <w:tc>
          <w:tcPr>
            <w:tcW w:w="280" w:type="dxa"/>
            <w:vAlign w:val="bottom"/>
            <w:tcBorders>
              <w:bottom w:val="single" w:sz="8" w:color="CEFFE7"/>
            </w:tcBorders>
            <w:shd w:val="clear" w:color="auto" w:fill="CEFFE7"/>
          </w:tcPr>
          <w:p>
            <w:pPr>
              <w:spacing w:after="0"/>
              <w:rPr>
                <w:sz w:val="21"/>
                <w:szCs w:val="21"/>
                <w:color w:val="auto"/>
              </w:rPr>
            </w:pPr>
          </w:p>
        </w:tc>
        <w:tc>
          <w:tcPr>
            <w:tcW w:w="900" w:type="dxa"/>
            <w:vAlign w:val="bottom"/>
            <w:tcBorders>
              <w:bottom w:val="single" w:sz="8" w:color="CEFFE7"/>
            </w:tcBorders>
            <w:shd w:val="clear" w:color="auto" w:fill="CEFFE7"/>
          </w:tcPr>
          <w:p>
            <w:pPr>
              <w:spacing w:after="0"/>
              <w:rPr>
                <w:sz w:val="21"/>
                <w:szCs w:val="21"/>
                <w:color w:val="auto"/>
              </w:rPr>
            </w:pPr>
          </w:p>
        </w:tc>
        <w:tc>
          <w:tcPr>
            <w:tcW w:w="440" w:type="dxa"/>
            <w:vAlign w:val="bottom"/>
            <w:tcBorders>
              <w:bottom w:val="single" w:sz="8" w:color="CEFFE7"/>
            </w:tcBorders>
            <w:shd w:val="clear" w:color="auto" w:fill="CEFFE7"/>
          </w:tcPr>
          <w:p>
            <w:pPr>
              <w:spacing w:after="0"/>
              <w:rPr>
                <w:sz w:val="21"/>
                <w:szCs w:val="21"/>
                <w:color w:val="auto"/>
              </w:rPr>
            </w:pPr>
          </w:p>
        </w:tc>
        <w:tc>
          <w:tcPr>
            <w:tcW w:w="700" w:type="dxa"/>
            <w:vAlign w:val="bottom"/>
            <w:tcBorders>
              <w:bottom w:val="single" w:sz="8" w:color="CEFFE7"/>
            </w:tcBorders>
            <w:shd w:val="clear" w:color="auto" w:fill="CEFFE7"/>
          </w:tcPr>
          <w:p>
            <w:pPr>
              <w:spacing w:after="0"/>
              <w:rPr>
                <w:sz w:val="21"/>
                <w:szCs w:val="21"/>
                <w:color w:val="auto"/>
              </w:rPr>
            </w:pPr>
          </w:p>
        </w:tc>
        <w:tc>
          <w:tcPr>
            <w:tcW w:w="560" w:type="dxa"/>
            <w:vAlign w:val="bottom"/>
            <w:tcBorders>
              <w:bottom w:val="single" w:sz="8" w:color="CEFFE7"/>
            </w:tcBorders>
            <w:gridSpan w:val="3"/>
            <w:shd w:val="clear" w:color="auto" w:fill="CEFFE7"/>
          </w:tcPr>
          <w:p>
            <w:pPr>
              <w:jc w:val="right"/>
              <w:spacing w:after="0"/>
              <w:rPr>
                <w:sz w:val="20"/>
                <w:szCs w:val="20"/>
                <w:color w:val="auto"/>
              </w:rPr>
            </w:pPr>
            <w:r>
              <w:rPr>
                <w:rFonts w:ascii="Arial" w:cs="Arial" w:eastAsia="Arial" w:hAnsi="Arial"/>
                <w:sz w:val="16"/>
                <w:szCs w:val="16"/>
                <w:color w:val="auto"/>
              </w:rPr>
              <w:t>32,169</w:t>
            </w:r>
          </w:p>
        </w:tc>
        <w:tc>
          <w:tcPr>
            <w:tcW w:w="680" w:type="dxa"/>
            <w:vAlign w:val="bottom"/>
            <w:tcBorders>
              <w:bottom w:val="single" w:sz="8" w:color="CEFFE7"/>
            </w:tcBorders>
            <w:shd w:val="clear" w:color="auto" w:fill="CEFFE7"/>
          </w:tcPr>
          <w:p>
            <w:pPr>
              <w:spacing w:after="0"/>
              <w:rPr>
                <w:sz w:val="21"/>
                <w:szCs w:val="21"/>
                <w:color w:val="auto"/>
              </w:rPr>
            </w:pPr>
          </w:p>
        </w:tc>
        <w:tc>
          <w:tcPr>
            <w:tcW w:w="700" w:type="dxa"/>
            <w:vAlign w:val="bottom"/>
            <w:tcBorders>
              <w:bottom w:val="single" w:sz="8" w:color="CEFFE7"/>
            </w:tcBorders>
            <w:gridSpan w:val="2"/>
            <w:shd w:val="clear" w:color="auto" w:fill="CEFFE7"/>
          </w:tcPr>
          <w:p>
            <w:pPr>
              <w:jc w:val="right"/>
              <w:ind w:right="19"/>
              <w:spacing w:after="0"/>
              <w:rPr>
                <w:sz w:val="20"/>
                <w:szCs w:val="20"/>
                <w:color w:val="auto"/>
              </w:rPr>
            </w:pPr>
            <w:r>
              <w:rPr>
                <w:rFonts w:ascii="Arial" w:cs="Arial" w:eastAsia="Arial" w:hAnsi="Arial"/>
                <w:sz w:val="16"/>
                <w:szCs w:val="16"/>
                <w:color w:val="auto"/>
              </w:rPr>
              <w:t>32,440</w:t>
            </w:r>
          </w:p>
        </w:tc>
        <w:tc>
          <w:tcPr>
            <w:tcW w:w="10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0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jc w:val="right"/>
              <w:ind w:right="439"/>
              <w:spacing w:after="0"/>
              <w:rPr>
                <w:sz w:val="20"/>
                <w:szCs w:val="20"/>
                <w:color w:val="auto"/>
              </w:rPr>
            </w:pPr>
            <w:r>
              <w:rPr>
                <w:rFonts w:ascii="Arial" w:cs="Arial" w:eastAsia="Arial" w:hAnsi="Arial"/>
                <w:sz w:val="16"/>
                <w:szCs w:val="16"/>
                <w:color w:val="auto"/>
              </w:rPr>
              <w:t>460,632</w:t>
            </w:r>
          </w:p>
        </w:tc>
        <w:tc>
          <w:tcPr>
            <w:tcW w:w="8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426,614</w:t>
            </w:r>
          </w:p>
        </w:tc>
        <w:tc>
          <w:tcPr>
            <w:tcW w:w="0" w:type="dxa"/>
            <w:vAlign w:val="bottom"/>
          </w:tcPr>
          <w:p>
            <w:pPr>
              <w:spacing w:after="0"/>
              <w:rPr>
                <w:sz w:val="1"/>
                <w:szCs w:val="1"/>
                <w:color w:val="auto"/>
              </w:rPr>
            </w:pPr>
          </w:p>
        </w:tc>
      </w:tr>
      <w:tr>
        <w:trPr>
          <w:trHeight w:val="237"/>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Municipal</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gridSpan w:val="3"/>
          </w:tcPr>
          <w:p>
            <w:pPr>
              <w:jc w:val="right"/>
              <w:spacing w:after="0"/>
              <w:rPr>
                <w:sz w:val="20"/>
                <w:szCs w:val="20"/>
                <w:color w:val="auto"/>
              </w:rPr>
            </w:pPr>
            <w:r>
              <w:rPr>
                <w:rFonts w:ascii="Arial" w:cs="Arial" w:eastAsia="Arial" w:hAnsi="Arial"/>
                <w:sz w:val="16"/>
                <w:szCs w:val="16"/>
                <w:color w:val="auto"/>
              </w:rPr>
              <w:t>3,878</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w w:val="89"/>
              </w:rPr>
              <w:t>4,139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ind w:right="439"/>
              <w:spacing w:after="0"/>
              <w:rPr>
                <w:sz w:val="20"/>
                <w:szCs w:val="20"/>
                <w:color w:val="auto"/>
              </w:rPr>
            </w:pPr>
            <w:r>
              <w:rPr>
                <w:rFonts w:ascii="Arial" w:cs="Arial" w:eastAsia="Arial" w:hAnsi="Arial"/>
                <w:sz w:val="16"/>
                <w:szCs w:val="16"/>
                <w:color w:val="auto"/>
              </w:rPr>
              <w:t>36,399</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36,636</w:t>
            </w:r>
          </w:p>
        </w:tc>
        <w:tc>
          <w:tcPr>
            <w:tcW w:w="0" w:type="dxa"/>
            <w:vAlign w:val="bottom"/>
          </w:tcPr>
          <w:p>
            <w:pPr>
              <w:spacing w:after="0"/>
              <w:rPr>
                <w:sz w:val="1"/>
                <w:szCs w:val="1"/>
                <w:color w:val="auto"/>
              </w:rPr>
            </w:pPr>
          </w:p>
        </w:tc>
      </w:tr>
      <w:tr>
        <w:trPr>
          <w:trHeight w:val="33"/>
        </w:trPr>
        <w:tc>
          <w:tcPr>
            <w:tcW w:w="3820" w:type="dxa"/>
            <w:vAlign w:val="bottom"/>
            <w:tcBorders>
              <w:bottom w:val="single" w:sz="8" w:color="CEFFE7"/>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280" w:type="dxa"/>
            <w:vAlign w:val="bottom"/>
            <w:tcBorders>
              <w:bottom w:val="single" w:sz="8" w:color="CEFFE7"/>
            </w:tcBorders>
          </w:tcPr>
          <w:p>
            <w:pPr>
              <w:spacing w:after="0"/>
              <w:rPr>
                <w:sz w:val="2"/>
                <w:szCs w:val="2"/>
                <w:color w:val="auto"/>
              </w:rPr>
            </w:pPr>
          </w:p>
        </w:tc>
        <w:tc>
          <w:tcPr>
            <w:tcW w:w="900" w:type="dxa"/>
            <w:vAlign w:val="bottom"/>
            <w:tcBorders>
              <w:bottom w:val="single" w:sz="8" w:color="CEFFE7"/>
            </w:tcBorders>
          </w:tcPr>
          <w:p>
            <w:pPr>
              <w:spacing w:after="0"/>
              <w:rPr>
                <w:sz w:val="2"/>
                <w:szCs w:val="2"/>
                <w:color w:val="auto"/>
              </w:rPr>
            </w:pPr>
          </w:p>
        </w:tc>
        <w:tc>
          <w:tcPr>
            <w:tcW w:w="440" w:type="dxa"/>
            <w:vAlign w:val="bottom"/>
            <w:tcBorders>
              <w:bottom w:val="single" w:sz="8" w:color="CEFFE7"/>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EFFE7"/>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940" w:type="dxa"/>
            <w:vAlign w:val="bottom"/>
            <w:tcBorders>
              <w:bottom w:val="single" w:sz="8" w:color="CEFFE7"/>
            </w:tcBorders>
            <w:gridSpan w:val="2"/>
            <w:shd w:val="clear" w:color="auto" w:fill="CEFFE7"/>
          </w:tcPr>
          <w:p>
            <w:pPr>
              <w:ind w:left="260"/>
              <w:spacing w:after="0"/>
              <w:rPr>
                <w:sz w:val="20"/>
                <w:szCs w:val="20"/>
                <w:color w:val="auto"/>
              </w:rPr>
            </w:pPr>
            <w:r>
              <w:rPr>
                <w:rFonts w:ascii="Arial" w:cs="Arial" w:eastAsia="Arial" w:hAnsi="Arial"/>
                <w:sz w:val="16"/>
                <w:szCs w:val="16"/>
                <w:color w:val="auto"/>
              </w:rPr>
              <w:t>Subtotal Retail Revenue - Electric</w:t>
            </w:r>
          </w:p>
        </w:tc>
        <w:tc>
          <w:tcPr>
            <w:tcW w:w="280" w:type="dxa"/>
            <w:vAlign w:val="bottom"/>
            <w:tcBorders>
              <w:bottom w:val="single" w:sz="8" w:color="CEFFE7"/>
            </w:tcBorders>
            <w:shd w:val="clear" w:color="auto" w:fill="CEFFE7"/>
          </w:tcPr>
          <w:p>
            <w:pPr>
              <w:spacing w:after="0"/>
              <w:rPr>
                <w:sz w:val="21"/>
                <w:szCs w:val="21"/>
                <w:color w:val="auto"/>
              </w:rPr>
            </w:pPr>
          </w:p>
        </w:tc>
        <w:tc>
          <w:tcPr>
            <w:tcW w:w="900" w:type="dxa"/>
            <w:vAlign w:val="bottom"/>
            <w:tcBorders>
              <w:bottom w:val="single" w:sz="8" w:color="CEFFE7"/>
            </w:tcBorders>
            <w:shd w:val="clear" w:color="auto" w:fill="CEFFE7"/>
          </w:tcPr>
          <w:p>
            <w:pPr>
              <w:spacing w:after="0"/>
              <w:rPr>
                <w:sz w:val="21"/>
                <w:szCs w:val="21"/>
                <w:color w:val="auto"/>
              </w:rPr>
            </w:pPr>
          </w:p>
        </w:tc>
        <w:tc>
          <w:tcPr>
            <w:tcW w:w="440" w:type="dxa"/>
            <w:vAlign w:val="bottom"/>
            <w:tcBorders>
              <w:bottom w:val="single" w:sz="8" w:color="CEFFE7"/>
            </w:tcBorders>
            <w:shd w:val="clear" w:color="auto" w:fill="CEFFE7"/>
          </w:tcPr>
          <w:p>
            <w:pPr>
              <w:spacing w:after="0"/>
              <w:rPr>
                <w:sz w:val="21"/>
                <w:szCs w:val="21"/>
                <w:color w:val="auto"/>
              </w:rPr>
            </w:pPr>
          </w:p>
        </w:tc>
        <w:tc>
          <w:tcPr>
            <w:tcW w:w="700" w:type="dxa"/>
            <w:vAlign w:val="bottom"/>
            <w:tcBorders>
              <w:bottom w:val="single" w:sz="8" w:color="CEFFE7"/>
            </w:tcBorders>
            <w:shd w:val="clear" w:color="auto" w:fill="CEFFE7"/>
          </w:tcPr>
          <w:p>
            <w:pPr>
              <w:spacing w:after="0"/>
              <w:rPr>
                <w:sz w:val="21"/>
                <w:szCs w:val="21"/>
                <w:color w:val="auto"/>
              </w:rPr>
            </w:pPr>
          </w:p>
        </w:tc>
        <w:tc>
          <w:tcPr>
            <w:tcW w:w="560" w:type="dxa"/>
            <w:vAlign w:val="bottom"/>
            <w:tcBorders>
              <w:bottom w:val="single" w:sz="8" w:color="CEFFE7"/>
            </w:tcBorders>
            <w:gridSpan w:val="3"/>
            <w:shd w:val="clear" w:color="auto" w:fill="CEFFE7"/>
          </w:tcPr>
          <w:p>
            <w:pPr>
              <w:jc w:val="right"/>
              <w:spacing w:after="0"/>
              <w:rPr>
                <w:sz w:val="20"/>
                <w:szCs w:val="20"/>
                <w:color w:val="auto"/>
              </w:rPr>
            </w:pPr>
            <w:r>
              <w:rPr>
                <w:rFonts w:ascii="Arial" w:cs="Arial" w:eastAsia="Arial" w:hAnsi="Arial"/>
                <w:sz w:val="16"/>
                <w:szCs w:val="16"/>
                <w:color w:val="auto"/>
                <w:w w:val="86"/>
              </w:rPr>
              <w:t>148,375</w:t>
            </w:r>
          </w:p>
        </w:tc>
        <w:tc>
          <w:tcPr>
            <w:tcW w:w="680" w:type="dxa"/>
            <w:vAlign w:val="bottom"/>
            <w:tcBorders>
              <w:bottom w:val="single" w:sz="8" w:color="CEFFE7"/>
            </w:tcBorders>
            <w:shd w:val="clear" w:color="auto" w:fill="CEFFE7"/>
          </w:tcPr>
          <w:p>
            <w:pPr>
              <w:spacing w:after="0"/>
              <w:rPr>
                <w:sz w:val="21"/>
                <w:szCs w:val="21"/>
                <w:color w:val="auto"/>
              </w:rPr>
            </w:pPr>
          </w:p>
        </w:tc>
        <w:tc>
          <w:tcPr>
            <w:tcW w:w="700" w:type="dxa"/>
            <w:vAlign w:val="bottom"/>
            <w:tcBorders>
              <w:bottom w:val="single" w:sz="8" w:color="CEFFE7"/>
            </w:tcBorders>
            <w:gridSpan w:val="2"/>
            <w:shd w:val="clear" w:color="auto" w:fill="CEFFE7"/>
          </w:tcPr>
          <w:p>
            <w:pPr>
              <w:jc w:val="right"/>
              <w:ind w:right="19"/>
              <w:spacing w:after="0"/>
              <w:rPr>
                <w:sz w:val="20"/>
                <w:szCs w:val="20"/>
                <w:color w:val="auto"/>
              </w:rPr>
            </w:pPr>
            <w:r>
              <w:rPr>
                <w:rFonts w:ascii="Arial" w:cs="Arial" w:eastAsia="Arial" w:hAnsi="Arial"/>
                <w:sz w:val="16"/>
                <w:szCs w:val="16"/>
                <w:color w:val="auto"/>
              </w:rPr>
              <w:t>155,180</w:t>
            </w:r>
          </w:p>
        </w:tc>
        <w:tc>
          <w:tcPr>
            <w:tcW w:w="10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0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jc w:val="right"/>
              <w:ind w:right="439"/>
              <w:spacing w:after="0"/>
              <w:rPr>
                <w:sz w:val="20"/>
                <w:szCs w:val="20"/>
                <w:color w:val="auto"/>
              </w:rPr>
            </w:pPr>
            <w:r>
              <w:rPr>
                <w:rFonts w:ascii="Arial" w:cs="Arial" w:eastAsia="Arial" w:hAnsi="Arial"/>
                <w:sz w:val="16"/>
                <w:szCs w:val="16"/>
                <w:color w:val="auto"/>
              </w:rPr>
              <w:t>1,364,489</w:t>
            </w:r>
          </w:p>
        </w:tc>
        <w:tc>
          <w:tcPr>
            <w:tcW w:w="8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1,358,001</w:t>
            </w:r>
          </w:p>
        </w:tc>
        <w:tc>
          <w:tcPr>
            <w:tcW w:w="0" w:type="dxa"/>
            <w:vAlign w:val="bottom"/>
          </w:tcPr>
          <w:p>
            <w:pPr>
              <w:spacing w:after="0"/>
              <w:rPr>
                <w:sz w:val="1"/>
                <w:szCs w:val="1"/>
                <w:color w:val="auto"/>
              </w:rPr>
            </w:pPr>
          </w:p>
        </w:tc>
      </w:tr>
      <w:tr>
        <w:trPr>
          <w:trHeight w:val="250"/>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 xml:space="preserve">Contract Wholesale </w:t>
            </w:r>
            <w:r>
              <w:rPr>
                <w:rFonts w:ascii="Arial" w:cs="Arial" w:eastAsia="Arial" w:hAnsi="Arial"/>
                <w:sz w:val="21"/>
                <w:szCs w:val="21"/>
                <w:color w:val="auto"/>
                <w:vertAlign w:val="superscript"/>
              </w:rPr>
              <w:t>(a)</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rPr>
              <w:t>5,553</w:t>
            </w:r>
          </w:p>
        </w:tc>
        <w:tc>
          <w:tcPr>
            <w:tcW w:w="68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8,343</w:t>
            </w: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color w:val="auto"/>
              </w:rPr>
              <w:t>131,778</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223,020</w:t>
            </w:r>
          </w:p>
        </w:tc>
        <w:tc>
          <w:tcPr>
            <w:tcW w:w="0" w:type="dxa"/>
            <w:vAlign w:val="bottom"/>
          </w:tcPr>
          <w:p>
            <w:pPr>
              <w:spacing w:after="0"/>
              <w:rPr>
                <w:sz w:val="1"/>
                <w:szCs w:val="1"/>
                <w:color w:val="auto"/>
              </w:rPr>
            </w:pPr>
          </w:p>
        </w:tc>
      </w:tr>
      <w:tr>
        <w:trPr>
          <w:trHeight w:val="250"/>
        </w:trPr>
        <w:tc>
          <w:tcPr>
            <w:tcW w:w="394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Off-system/Power Marketing Wholesale</w:t>
            </w:r>
          </w:p>
        </w:tc>
        <w:tc>
          <w:tcPr>
            <w:tcW w:w="280" w:type="dxa"/>
            <w:vAlign w:val="bottom"/>
            <w:tcBorders>
              <w:bottom w:val="single" w:sz="8" w:color="CEFFE7"/>
            </w:tcBorders>
            <w:shd w:val="clear" w:color="auto" w:fill="CEFFE7"/>
          </w:tcPr>
          <w:p>
            <w:pPr>
              <w:spacing w:after="0"/>
              <w:rPr>
                <w:sz w:val="21"/>
                <w:szCs w:val="21"/>
                <w:color w:val="auto"/>
              </w:rPr>
            </w:pPr>
          </w:p>
        </w:tc>
        <w:tc>
          <w:tcPr>
            <w:tcW w:w="900" w:type="dxa"/>
            <w:vAlign w:val="bottom"/>
            <w:tcBorders>
              <w:bottom w:val="single" w:sz="8" w:color="CEFFE7"/>
            </w:tcBorders>
            <w:shd w:val="clear" w:color="auto" w:fill="CEFFE7"/>
          </w:tcPr>
          <w:p>
            <w:pPr>
              <w:spacing w:after="0"/>
              <w:rPr>
                <w:sz w:val="21"/>
                <w:szCs w:val="21"/>
                <w:color w:val="auto"/>
              </w:rPr>
            </w:pPr>
          </w:p>
        </w:tc>
        <w:tc>
          <w:tcPr>
            <w:tcW w:w="440" w:type="dxa"/>
            <w:vAlign w:val="bottom"/>
            <w:tcBorders>
              <w:bottom w:val="single" w:sz="8" w:color="CEFFE7"/>
            </w:tcBorders>
            <w:shd w:val="clear" w:color="auto" w:fill="CEFFE7"/>
          </w:tcPr>
          <w:p>
            <w:pPr>
              <w:spacing w:after="0"/>
              <w:rPr>
                <w:sz w:val="21"/>
                <w:szCs w:val="21"/>
                <w:color w:val="auto"/>
              </w:rPr>
            </w:pPr>
          </w:p>
        </w:tc>
        <w:tc>
          <w:tcPr>
            <w:tcW w:w="700" w:type="dxa"/>
            <w:vAlign w:val="bottom"/>
            <w:tcBorders>
              <w:bottom w:val="single" w:sz="8" w:color="CEFFE7"/>
            </w:tcBorders>
            <w:shd w:val="clear" w:color="auto" w:fill="CEFFE7"/>
          </w:tcPr>
          <w:p>
            <w:pPr>
              <w:spacing w:after="0"/>
              <w:rPr>
                <w:sz w:val="21"/>
                <w:szCs w:val="21"/>
                <w:color w:val="auto"/>
              </w:rPr>
            </w:pPr>
          </w:p>
        </w:tc>
        <w:tc>
          <w:tcPr>
            <w:tcW w:w="560" w:type="dxa"/>
            <w:vAlign w:val="bottom"/>
            <w:tcBorders>
              <w:bottom w:val="single" w:sz="8" w:color="CEFFE7"/>
            </w:tcBorders>
            <w:gridSpan w:val="3"/>
            <w:shd w:val="clear" w:color="auto" w:fill="CEFFE7"/>
          </w:tcPr>
          <w:p>
            <w:pPr>
              <w:jc w:val="right"/>
              <w:spacing w:after="0"/>
              <w:rPr>
                <w:sz w:val="20"/>
                <w:szCs w:val="20"/>
                <w:color w:val="auto"/>
              </w:rPr>
            </w:pPr>
            <w:r>
              <w:rPr>
                <w:rFonts w:ascii="Arial" w:cs="Arial" w:eastAsia="Arial" w:hAnsi="Arial"/>
                <w:sz w:val="16"/>
                <w:szCs w:val="16"/>
                <w:color w:val="auto"/>
              </w:rPr>
              <w:t>4,867</w:t>
            </w:r>
          </w:p>
        </w:tc>
        <w:tc>
          <w:tcPr>
            <w:tcW w:w="68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4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w w:val="89"/>
              </w:rPr>
              <w:t>6,692</w:t>
            </w:r>
          </w:p>
        </w:tc>
        <w:tc>
          <w:tcPr>
            <w:tcW w:w="10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0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jc w:val="right"/>
              <w:ind w:right="439"/>
              <w:spacing w:after="0"/>
              <w:rPr>
                <w:sz w:val="20"/>
                <w:szCs w:val="20"/>
                <w:color w:val="auto"/>
              </w:rPr>
            </w:pPr>
            <w:r>
              <w:rPr>
                <w:rFonts w:ascii="Arial" w:cs="Arial" w:eastAsia="Arial" w:hAnsi="Arial"/>
                <w:sz w:val="16"/>
                <w:szCs w:val="16"/>
                <w:color w:val="auto"/>
              </w:rPr>
              <w:t>165,785</w:t>
            </w:r>
          </w:p>
        </w:tc>
        <w:tc>
          <w:tcPr>
            <w:tcW w:w="8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140,850</w:t>
            </w:r>
          </w:p>
        </w:tc>
        <w:tc>
          <w:tcPr>
            <w:tcW w:w="0" w:type="dxa"/>
            <w:vAlign w:val="bottom"/>
          </w:tcPr>
          <w:p>
            <w:pPr>
              <w:spacing w:after="0"/>
              <w:rPr>
                <w:sz w:val="1"/>
                <w:szCs w:val="1"/>
                <w:color w:val="auto"/>
              </w:rPr>
            </w:pPr>
          </w:p>
        </w:tc>
      </w:tr>
      <w:tr>
        <w:trPr>
          <w:trHeight w:val="237"/>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Other</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gridSpan w:val="3"/>
          </w:tcPr>
          <w:p>
            <w:pPr>
              <w:jc w:val="right"/>
              <w:spacing w:after="0"/>
              <w:rPr>
                <w:sz w:val="20"/>
                <w:szCs w:val="20"/>
                <w:color w:val="auto"/>
              </w:rPr>
            </w:pPr>
            <w:r>
              <w:rPr>
                <w:rFonts w:ascii="Arial" w:cs="Arial" w:eastAsia="Arial" w:hAnsi="Arial"/>
                <w:sz w:val="16"/>
                <w:szCs w:val="16"/>
                <w:color w:val="auto"/>
              </w:rPr>
              <w:t>15,344</w:t>
            </w:r>
          </w:p>
        </w:tc>
        <w:tc>
          <w:tcPr>
            <w:tcW w:w="680" w:type="dxa"/>
            <w:vAlign w:val="bottom"/>
          </w:tcPr>
          <w:p>
            <w:pPr>
              <w:spacing w:after="0"/>
              <w:rPr>
                <w:sz w:val="20"/>
                <w:szCs w:val="20"/>
                <w:color w:val="auto"/>
              </w:rPr>
            </w:pPr>
          </w:p>
        </w:tc>
        <w:tc>
          <w:tcPr>
            <w:tcW w:w="700" w:type="dxa"/>
            <w:vAlign w:val="bottom"/>
            <w:gridSpan w:val="2"/>
          </w:tcPr>
          <w:p>
            <w:pPr>
              <w:jc w:val="right"/>
              <w:ind w:right="19"/>
              <w:spacing w:after="0"/>
              <w:rPr>
                <w:sz w:val="20"/>
                <w:szCs w:val="20"/>
                <w:color w:val="auto"/>
              </w:rPr>
            </w:pPr>
            <w:r>
              <w:rPr>
                <w:rFonts w:ascii="Arial" w:cs="Arial" w:eastAsia="Arial" w:hAnsi="Arial"/>
                <w:sz w:val="16"/>
                <w:szCs w:val="16"/>
                <w:color w:val="auto"/>
              </w:rPr>
              <w:t>12,712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820" w:type="dxa"/>
            <w:vAlign w:val="bottom"/>
            <w:tcBorders>
              <w:bottom w:val="single" w:sz="8" w:color="CEFFE7"/>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280" w:type="dxa"/>
            <w:vAlign w:val="bottom"/>
            <w:tcBorders>
              <w:bottom w:val="single" w:sz="8" w:color="CEFFE7"/>
            </w:tcBorders>
          </w:tcPr>
          <w:p>
            <w:pPr>
              <w:spacing w:after="0"/>
              <w:rPr>
                <w:sz w:val="2"/>
                <w:szCs w:val="2"/>
                <w:color w:val="auto"/>
              </w:rPr>
            </w:pPr>
          </w:p>
        </w:tc>
        <w:tc>
          <w:tcPr>
            <w:tcW w:w="900" w:type="dxa"/>
            <w:vAlign w:val="bottom"/>
            <w:tcBorders>
              <w:bottom w:val="single" w:sz="8" w:color="CEFFE7"/>
            </w:tcBorders>
          </w:tcPr>
          <w:p>
            <w:pPr>
              <w:spacing w:after="0"/>
              <w:rPr>
                <w:sz w:val="2"/>
                <w:szCs w:val="2"/>
                <w:color w:val="auto"/>
              </w:rPr>
            </w:pPr>
          </w:p>
        </w:tc>
        <w:tc>
          <w:tcPr>
            <w:tcW w:w="440" w:type="dxa"/>
            <w:vAlign w:val="bottom"/>
            <w:tcBorders>
              <w:bottom w:val="single" w:sz="8" w:color="CEFFE7"/>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EFFE7"/>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940" w:type="dxa"/>
            <w:vAlign w:val="bottom"/>
            <w:tcBorders>
              <w:bottom w:val="single" w:sz="8" w:color="CEFFE7"/>
            </w:tcBorders>
            <w:gridSpan w:val="2"/>
            <w:shd w:val="clear" w:color="auto" w:fill="CEFFE7"/>
          </w:tcPr>
          <w:p>
            <w:pPr>
              <w:ind w:left="260"/>
              <w:spacing w:after="0"/>
              <w:rPr>
                <w:sz w:val="20"/>
                <w:szCs w:val="20"/>
                <w:color w:val="auto"/>
              </w:rPr>
            </w:pPr>
            <w:r>
              <w:rPr>
                <w:rFonts w:ascii="Arial" w:cs="Arial" w:eastAsia="Arial" w:hAnsi="Arial"/>
                <w:sz w:val="16"/>
                <w:szCs w:val="16"/>
                <w:color w:val="auto"/>
              </w:rPr>
              <w:t>Total Revenue and Energy Sold</w:t>
            </w:r>
          </w:p>
        </w:tc>
        <w:tc>
          <w:tcPr>
            <w:tcW w:w="280" w:type="dxa"/>
            <w:vAlign w:val="bottom"/>
            <w:tcBorders>
              <w:bottom w:val="single" w:sz="8" w:color="CEFFE7"/>
            </w:tcBorders>
            <w:shd w:val="clear" w:color="auto" w:fill="CEFFE7"/>
          </w:tcPr>
          <w:p>
            <w:pPr>
              <w:spacing w:after="0"/>
              <w:rPr>
                <w:sz w:val="20"/>
                <w:szCs w:val="20"/>
                <w:color w:val="auto"/>
              </w:rPr>
            </w:pPr>
          </w:p>
        </w:tc>
        <w:tc>
          <w:tcPr>
            <w:tcW w:w="900" w:type="dxa"/>
            <w:vAlign w:val="bottom"/>
            <w:tcBorders>
              <w:bottom w:val="single" w:sz="8" w:color="CEFFE7"/>
            </w:tcBorders>
            <w:shd w:val="clear" w:color="auto" w:fill="CEFFE7"/>
          </w:tcPr>
          <w:p>
            <w:pPr>
              <w:spacing w:after="0"/>
              <w:rPr>
                <w:sz w:val="20"/>
                <w:szCs w:val="20"/>
                <w:color w:val="auto"/>
              </w:rPr>
            </w:pPr>
          </w:p>
        </w:tc>
        <w:tc>
          <w:tcPr>
            <w:tcW w:w="440" w:type="dxa"/>
            <w:vAlign w:val="bottom"/>
            <w:tcBorders>
              <w:bottom w:val="single" w:sz="8" w:color="CEFFE7"/>
            </w:tcBorders>
            <w:shd w:val="clear" w:color="auto" w:fill="CEFFE7"/>
          </w:tcPr>
          <w:p>
            <w:pPr>
              <w:spacing w:after="0"/>
              <w:rPr>
                <w:sz w:val="20"/>
                <w:szCs w:val="20"/>
                <w:color w:val="auto"/>
              </w:rPr>
            </w:pPr>
          </w:p>
        </w:tc>
        <w:tc>
          <w:tcPr>
            <w:tcW w:w="700" w:type="dxa"/>
            <w:vAlign w:val="bottom"/>
            <w:tcBorders>
              <w:bottom w:val="single" w:sz="8" w:color="CEFFE7"/>
            </w:tcBorders>
            <w:shd w:val="clear" w:color="auto" w:fill="CEFFE7"/>
          </w:tcPr>
          <w:p>
            <w:pPr>
              <w:spacing w:after="0"/>
              <w:rPr>
                <w:sz w:val="20"/>
                <w:szCs w:val="20"/>
                <w:color w:val="auto"/>
              </w:rPr>
            </w:pPr>
          </w:p>
        </w:tc>
        <w:tc>
          <w:tcPr>
            <w:tcW w:w="560" w:type="dxa"/>
            <w:vAlign w:val="bottom"/>
            <w:tcBorders>
              <w:bottom w:val="single" w:sz="8" w:color="CEFFE7"/>
            </w:tcBorders>
            <w:gridSpan w:val="3"/>
            <w:shd w:val="clear" w:color="auto" w:fill="CEFFE7"/>
          </w:tcPr>
          <w:p>
            <w:pPr>
              <w:jc w:val="right"/>
              <w:spacing w:after="0"/>
              <w:rPr>
                <w:sz w:val="20"/>
                <w:szCs w:val="20"/>
                <w:color w:val="auto"/>
              </w:rPr>
            </w:pPr>
            <w:r>
              <w:rPr>
                <w:rFonts w:ascii="Arial" w:cs="Arial" w:eastAsia="Arial" w:hAnsi="Arial"/>
                <w:sz w:val="16"/>
                <w:szCs w:val="16"/>
                <w:color w:val="auto"/>
                <w:w w:val="86"/>
              </w:rPr>
              <w:t>174,139</w:t>
            </w:r>
          </w:p>
        </w:tc>
        <w:tc>
          <w:tcPr>
            <w:tcW w:w="680" w:type="dxa"/>
            <w:vAlign w:val="bottom"/>
            <w:tcBorders>
              <w:bottom w:val="single" w:sz="8" w:color="CEFFE7"/>
            </w:tcBorders>
            <w:shd w:val="clear" w:color="auto" w:fill="CEFFE7"/>
          </w:tcPr>
          <w:p>
            <w:pPr>
              <w:spacing w:after="0"/>
              <w:rPr>
                <w:sz w:val="20"/>
                <w:szCs w:val="20"/>
                <w:color w:val="auto"/>
              </w:rPr>
            </w:pPr>
          </w:p>
        </w:tc>
        <w:tc>
          <w:tcPr>
            <w:tcW w:w="700" w:type="dxa"/>
            <w:vAlign w:val="bottom"/>
            <w:tcBorders>
              <w:bottom w:val="single" w:sz="8" w:color="CEFFE7"/>
            </w:tcBorders>
            <w:gridSpan w:val="2"/>
            <w:shd w:val="clear" w:color="auto" w:fill="CEFFE7"/>
          </w:tcPr>
          <w:p>
            <w:pPr>
              <w:jc w:val="right"/>
              <w:ind w:right="19"/>
              <w:spacing w:after="0"/>
              <w:rPr>
                <w:sz w:val="20"/>
                <w:szCs w:val="20"/>
                <w:color w:val="auto"/>
              </w:rPr>
            </w:pPr>
            <w:r>
              <w:rPr>
                <w:rFonts w:ascii="Arial" w:cs="Arial" w:eastAsia="Arial" w:hAnsi="Arial"/>
                <w:sz w:val="16"/>
                <w:szCs w:val="16"/>
                <w:color w:val="auto"/>
              </w:rPr>
              <w:t>182,927</w:t>
            </w:r>
          </w:p>
        </w:tc>
        <w:tc>
          <w:tcPr>
            <w:tcW w:w="100" w:type="dxa"/>
            <w:vAlign w:val="bottom"/>
            <w:tcBorders>
              <w:bottom w:val="single" w:sz="8" w:color="CEFFE7"/>
            </w:tcBorders>
            <w:shd w:val="clear" w:color="auto" w:fill="CEFFE7"/>
          </w:tcPr>
          <w:p>
            <w:pPr>
              <w:spacing w:after="0"/>
              <w:rPr>
                <w:sz w:val="20"/>
                <w:szCs w:val="20"/>
                <w:color w:val="auto"/>
              </w:rPr>
            </w:pPr>
          </w:p>
        </w:tc>
        <w:tc>
          <w:tcPr>
            <w:tcW w:w="340" w:type="dxa"/>
            <w:vAlign w:val="bottom"/>
            <w:tcBorders>
              <w:bottom w:val="single" w:sz="8" w:color="CEFFE7"/>
            </w:tcBorders>
            <w:shd w:val="clear" w:color="auto" w:fill="CEFFE7"/>
          </w:tcPr>
          <w:p>
            <w:pPr>
              <w:spacing w:after="0"/>
              <w:rPr>
                <w:sz w:val="20"/>
                <w:szCs w:val="20"/>
                <w:color w:val="auto"/>
              </w:rPr>
            </w:pPr>
          </w:p>
        </w:tc>
        <w:tc>
          <w:tcPr>
            <w:tcW w:w="100" w:type="dxa"/>
            <w:vAlign w:val="bottom"/>
            <w:tcBorders>
              <w:bottom w:val="single" w:sz="8" w:color="CEFFE7"/>
            </w:tcBorders>
            <w:shd w:val="clear" w:color="auto" w:fill="CEFFE7"/>
          </w:tcPr>
          <w:p>
            <w:pPr>
              <w:spacing w:after="0"/>
              <w:rPr>
                <w:sz w:val="20"/>
                <w:szCs w:val="20"/>
                <w:color w:val="auto"/>
              </w:rPr>
            </w:pPr>
          </w:p>
        </w:tc>
        <w:tc>
          <w:tcPr>
            <w:tcW w:w="1280" w:type="dxa"/>
            <w:vAlign w:val="bottom"/>
            <w:tcBorders>
              <w:bottom w:val="single" w:sz="8" w:color="CEFFE7"/>
            </w:tcBorders>
            <w:shd w:val="clear" w:color="auto" w:fill="CEFFE7"/>
          </w:tcPr>
          <w:p>
            <w:pPr>
              <w:jc w:val="right"/>
              <w:ind w:right="439"/>
              <w:spacing w:after="0"/>
              <w:rPr>
                <w:sz w:val="20"/>
                <w:szCs w:val="20"/>
                <w:color w:val="auto"/>
              </w:rPr>
            </w:pPr>
            <w:r>
              <w:rPr>
                <w:rFonts w:ascii="Arial" w:cs="Arial" w:eastAsia="Arial" w:hAnsi="Arial"/>
                <w:sz w:val="16"/>
                <w:szCs w:val="16"/>
                <w:color w:val="auto"/>
              </w:rPr>
              <w:t>1,662,052</w:t>
            </w:r>
          </w:p>
        </w:tc>
        <w:tc>
          <w:tcPr>
            <w:tcW w:w="8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1,721,871</w:t>
            </w:r>
          </w:p>
        </w:tc>
        <w:tc>
          <w:tcPr>
            <w:tcW w:w="0" w:type="dxa"/>
            <w:vAlign w:val="bottom"/>
          </w:tcPr>
          <w:p>
            <w:pPr>
              <w:spacing w:after="0"/>
              <w:rPr>
                <w:sz w:val="1"/>
                <w:szCs w:val="1"/>
                <w:color w:val="auto"/>
              </w:rPr>
            </w:pPr>
          </w:p>
        </w:tc>
      </w:tr>
      <w:tr>
        <w:trPr>
          <w:trHeight w:val="270"/>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 xml:space="preserve">Other Uses, Losses or Generation, net </w:t>
            </w:r>
            <w:r>
              <w:rPr>
                <w:rFonts w:ascii="Arial" w:cs="Arial" w:eastAsia="Arial" w:hAnsi="Arial"/>
                <w:sz w:val="21"/>
                <w:szCs w:val="21"/>
                <w:color w:val="auto"/>
                <w:vertAlign w:val="superscript"/>
              </w:rPr>
              <w:t>(b)</w:t>
            </w: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gridSpan w:val="4"/>
          </w:tcPr>
          <w:p>
            <w:pPr>
              <w:jc w:val="right"/>
              <w:ind w:right="64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39"/>
              <w:spacing w:after="0"/>
              <w:rPr>
                <w:sz w:val="20"/>
                <w:szCs w:val="20"/>
                <w:color w:val="auto"/>
              </w:rPr>
            </w:pPr>
            <w:r>
              <w:rPr>
                <w:rFonts w:ascii="Arial" w:cs="Arial" w:eastAsia="Arial" w:hAnsi="Arial"/>
                <w:sz w:val="16"/>
                <w:szCs w:val="16"/>
                <w:color w:val="auto"/>
              </w:rPr>
              <w:t>90,871</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97,000</w:t>
            </w:r>
          </w:p>
        </w:tc>
        <w:tc>
          <w:tcPr>
            <w:tcW w:w="0" w:type="dxa"/>
            <w:vAlign w:val="bottom"/>
          </w:tcPr>
          <w:p>
            <w:pPr>
              <w:spacing w:after="0"/>
              <w:rPr>
                <w:sz w:val="1"/>
                <w:szCs w:val="1"/>
                <w:color w:val="auto"/>
              </w:rPr>
            </w:pPr>
          </w:p>
        </w:tc>
      </w:tr>
      <w:tr>
        <w:trPr>
          <w:trHeight w:val="243"/>
        </w:trPr>
        <w:tc>
          <w:tcPr>
            <w:tcW w:w="3940" w:type="dxa"/>
            <w:vAlign w:val="bottom"/>
            <w:tcBorders>
              <w:top w:val="single" w:sz="8" w:color="CEFFE7"/>
              <w:bottom w:val="single" w:sz="8" w:color="CEFFE7"/>
            </w:tcBorders>
            <w:gridSpan w:val="2"/>
            <w:shd w:val="clear" w:color="auto" w:fill="CEFFE7"/>
          </w:tcPr>
          <w:p>
            <w:pPr>
              <w:ind w:left="260"/>
              <w:spacing w:after="0"/>
              <w:rPr>
                <w:sz w:val="20"/>
                <w:szCs w:val="20"/>
                <w:color w:val="auto"/>
              </w:rPr>
            </w:pPr>
            <w:r>
              <w:rPr>
                <w:rFonts w:ascii="Arial" w:cs="Arial" w:eastAsia="Arial" w:hAnsi="Arial"/>
                <w:sz w:val="16"/>
                <w:szCs w:val="16"/>
                <w:color w:val="auto"/>
              </w:rPr>
              <w:t>Total Revenue and Energy</w:t>
            </w:r>
          </w:p>
        </w:tc>
        <w:tc>
          <w:tcPr>
            <w:tcW w:w="280" w:type="dxa"/>
            <w:vAlign w:val="bottom"/>
            <w:tcBorders>
              <w:top w:val="single" w:sz="8" w:color="CEFFE7"/>
              <w:bottom w:val="single" w:sz="8" w:color="CEFFE7"/>
            </w:tcBorders>
            <w:shd w:val="clear" w:color="auto" w:fill="CEFFE7"/>
          </w:tcPr>
          <w:p>
            <w:pPr>
              <w:spacing w:after="0"/>
              <w:rPr>
                <w:sz w:val="21"/>
                <w:szCs w:val="21"/>
                <w:color w:val="auto"/>
              </w:rPr>
            </w:pPr>
          </w:p>
        </w:tc>
        <w:tc>
          <w:tcPr>
            <w:tcW w:w="900" w:type="dxa"/>
            <w:vAlign w:val="bottom"/>
            <w:tcBorders>
              <w:top w:val="single" w:sz="8" w:color="CEFFE7"/>
              <w:bottom w:val="single" w:sz="8" w:color="CEFFE7"/>
            </w:tcBorders>
            <w:shd w:val="clear" w:color="auto" w:fill="CEFFE7"/>
          </w:tcPr>
          <w:p>
            <w:pPr>
              <w:spacing w:after="0"/>
              <w:rPr>
                <w:sz w:val="21"/>
                <w:szCs w:val="21"/>
                <w:color w:val="auto"/>
              </w:rPr>
            </w:pPr>
          </w:p>
        </w:tc>
        <w:tc>
          <w:tcPr>
            <w:tcW w:w="440" w:type="dxa"/>
            <w:vAlign w:val="bottom"/>
            <w:tcBorders>
              <w:top w:val="single" w:sz="8" w:color="CEFFE7"/>
              <w:bottom w:val="single" w:sz="8" w:color="CEFFE7"/>
            </w:tcBorders>
            <w:shd w:val="clear" w:color="auto" w:fill="CEFFE7"/>
          </w:tcPr>
          <w:p>
            <w:pPr>
              <w:spacing w:after="0"/>
              <w:rPr>
                <w:sz w:val="21"/>
                <w:szCs w:val="21"/>
                <w:color w:val="auto"/>
              </w:rPr>
            </w:pPr>
          </w:p>
        </w:tc>
        <w:tc>
          <w:tcPr>
            <w:tcW w:w="700" w:type="dxa"/>
            <w:vAlign w:val="bottom"/>
            <w:tcBorders>
              <w:top w:val="single" w:sz="8" w:color="auto"/>
              <w:bottom w:val="single" w:sz="8" w:color="CEFFE7"/>
            </w:tcBorders>
            <w:shd w:val="clear" w:color="auto" w:fill="CEFFE7"/>
          </w:tcPr>
          <w:p>
            <w:pPr>
              <w:spacing w:after="0"/>
              <w:rPr>
                <w:sz w:val="21"/>
                <w:szCs w:val="21"/>
                <w:color w:val="auto"/>
              </w:rPr>
            </w:pPr>
          </w:p>
        </w:tc>
        <w:tc>
          <w:tcPr>
            <w:tcW w:w="560" w:type="dxa"/>
            <w:vAlign w:val="bottom"/>
            <w:tcBorders>
              <w:top w:val="single" w:sz="8" w:color="auto"/>
              <w:bottom w:val="single" w:sz="8" w:color="CEFFE7"/>
            </w:tcBorders>
            <w:gridSpan w:val="3"/>
            <w:shd w:val="clear" w:color="auto" w:fill="CEFFE7"/>
          </w:tcPr>
          <w:p>
            <w:pPr>
              <w:jc w:val="right"/>
              <w:spacing w:after="0"/>
              <w:rPr>
                <w:sz w:val="20"/>
                <w:szCs w:val="20"/>
                <w:color w:val="auto"/>
              </w:rPr>
            </w:pPr>
            <w:r>
              <w:rPr>
                <w:rFonts w:ascii="Arial" w:cs="Arial" w:eastAsia="Arial" w:hAnsi="Arial"/>
                <w:sz w:val="16"/>
                <w:szCs w:val="16"/>
                <w:color w:val="auto"/>
                <w:w w:val="86"/>
              </w:rPr>
              <w:t>174,139</w:t>
            </w:r>
          </w:p>
        </w:tc>
        <w:tc>
          <w:tcPr>
            <w:tcW w:w="680" w:type="dxa"/>
            <w:vAlign w:val="bottom"/>
            <w:tcBorders>
              <w:top w:val="single" w:sz="8" w:color="auto"/>
              <w:bottom w:val="single" w:sz="8" w:color="CEFFE7"/>
            </w:tcBorders>
            <w:shd w:val="clear" w:color="auto" w:fill="CEFFE7"/>
          </w:tcPr>
          <w:p>
            <w:pPr>
              <w:spacing w:after="0"/>
              <w:rPr>
                <w:sz w:val="21"/>
                <w:szCs w:val="21"/>
                <w:color w:val="auto"/>
              </w:rPr>
            </w:pPr>
          </w:p>
        </w:tc>
        <w:tc>
          <w:tcPr>
            <w:tcW w:w="700" w:type="dxa"/>
            <w:vAlign w:val="bottom"/>
            <w:tcBorders>
              <w:top w:val="single" w:sz="8" w:color="auto"/>
              <w:bottom w:val="single" w:sz="8" w:color="CEFFE7"/>
            </w:tcBorders>
            <w:gridSpan w:val="2"/>
            <w:shd w:val="clear" w:color="auto" w:fill="CEFFE7"/>
          </w:tcPr>
          <w:p>
            <w:pPr>
              <w:jc w:val="right"/>
              <w:ind w:right="19"/>
              <w:spacing w:after="0"/>
              <w:rPr>
                <w:sz w:val="20"/>
                <w:szCs w:val="20"/>
                <w:color w:val="auto"/>
              </w:rPr>
            </w:pPr>
            <w:r>
              <w:rPr>
                <w:rFonts w:ascii="Arial" w:cs="Arial" w:eastAsia="Arial" w:hAnsi="Arial"/>
                <w:sz w:val="16"/>
                <w:szCs w:val="16"/>
                <w:color w:val="auto"/>
              </w:rPr>
              <w:t>182,927</w:t>
            </w:r>
          </w:p>
        </w:tc>
        <w:tc>
          <w:tcPr>
            <w:tcW w:w="100" w:type="dxa"/>
            <w:vAlign w:val="bottom"/>
            <w:tcBorders>
              <w:top w:val="single" w:sz="8" w:color="CEFFE7"/>
              <w:bottom w:val="single" w:sz="8" w:color="CEFFE7"/>
            </w:tcBorders>
            <w:shd w:val="clear" w:color="auto" w:fill="CEFFE7"/>
          </w:tcPr>
          <w:p>
            <w:pPr>
              <w:spacing w:after="0"/>
              <w:rPr>
                <w:sz w:val="21"/>
                <w:szCs w:val="21"/>
                <w:color w:val="auto"/>
              </w:rPr>
            </w:pPr>
          </w:p>
        </w:tc>
        <w:tc>
          <w:tcPr>
            <w:tcW w:w="340" w:type="dxa"/>
            <w:vAlign w:val="bottom"/>
            <w:tcBorders>
              <w:top w:val="single" w:sz="8" w:color="auto"/>
              <w:bottom w:val="single" w:sz="8" w:color="auto"/>
            </w:tcBorders>
            <w:shd w:val="clear" w:color="auto" w:fill="CEFFE7"/>
          </w:tcPr>
          <w:p>
            <w:pPr>
              <w:spacing w:after="0"/>
              <w:rPr>
                <w:sz w:val="21"/>
                <w:szCs w:val="21"/>
                <w:color w:val="auto"/>
              </w:rPr>
            </w:pPr>
          </w:p>
        </w:tc>
        <w:tc>
          <w:tcPr>
            <w:tcW w:w="100" w:type="dxa"/>
            <w:vAlign w:val="bottom"/>
            <w:tcBorders>
              <w:top w:val="single" w:sz="8" w:color="auto"/>
              <w:bottom w:val="single" w:sz="8" w:color="auto"/>
            </w:tcBorders>
            <w:shd w:val="clear" w:color="auto" w:fill="CEFFE7"/>
          </w:tcPr>
          <w:p>
            <w:pPr>
              <w:spacing w:after="0"/>
              <w:rPr>
                <w:sz w:val="21"/>
                <w:szCs w:val="21"/>
                <w:color w:val="auto"/>
              </w:rPr>
            </w:pPr>
          </w:p>
        </w:tc>
        <w:tc>
          <w:tcPr>
            <w:tcW w:w="1280" w:type="dxa"/>
            <w:vAlign w:val="bottom"/>
            <w:tcBorders>
              <w:top w:val="single" w:sz="8" w:color="auto"/>
              <w:bottom w:val="single" w:sz="8" w:color="auto"/>
            </w:tcBorders>
            <w:shd w:val="clear" w:color="auto" w:fill="CEFFE7"/>
          </w:tcPr>
          <w:p>
            <w:pPr>
              <w:jc w:val="right"/>
              <w:ind w:right="439"/>
              <w:spacing w:after="0"/>
              <w:rPr>
                <w:sz w:val="20"/>
                <w:szCs w:val="20"/>
                <w:color w:val="auto"/>
              </w:rPr>
            </w:pPr>
            <w:r>
              <w:rPr>
                <w:rFonts w:ascii="Arial" w:cs="Arial" w:eastAsia="Arial" w:hAnsi="Arial"/>
                <w:sz w:val="16"/>
                <w:szCs w:val="16"/>
                <w:color w:val="auto"/>
              </w:rPr>
              <w:t>1,752,923</w:t>
            </w:r>
          </w:p>
        </w:tc>
        <w:tc>
          <w:tcPr>
            <w:tcW w:w="880" w:type="dxa"/>
            <w:vAlign w:val="bottom"/>
            <w:tcBorders>
              <w:top w:val="single" w:sz="8" w:color="auto"/>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1,818,871</w:t>
            </w:r>
          </w:p>
        </w:tc>
        <w:tc>
          <w:tcPr>
            <w:tcW w:w="0" w:type="dxa"/>
            <w:vAlign w:val="bottom"/>
          </w:tcPr>
          <w:p>
            <w:pPr>
              <w:spacing w:after="0"/>
              <w:rPr>
                <w:sz w:val="1"/>
                <w:szCs w:val="1"/>
                <w:color w:val="auto"/>
              </w:rPr>
            </w:pPr>
          </w:p>
        </w:tc>
      </w:tr>
      <w:tr>
        <w:trPr>
          <w:trHeight w:val="20"/>
        </w:trPr>
        <w:tc>
          <w:tcPr>
            <w:tcW w:w="3940" w:type="dxa"/>
            <w:vAlign w:val="bottom"/>
            <w:gridSpan w:val="2"/>
            <w:vMerge w:val="restart"/>
          </w:tcPr>
          <w:p>
            <w:pPr>
              <w:ind w:left="20"/>
              <w:spacing w:after="0"/>
              <w:rPr>
                <w:sz w:val="20"/>
                <w:szCs w:val="20"/>
                <w:color w:val="auto"/>
              </w:rPr>
            </w:pPr>
            <w:r>
              <w:rPr>
                <w:rFonts w:ascii="Arial" w:cs="Arial" w:eastAsia="Arial" w:hAnsi="Arial"/>
                <w:sz w:val="16"/>
                <w:szCs w:val="16"/>
                <w:color w:val="auto"/>
              </w:rPr>
              <w:t>Less cost of fuel and purchased power</w:t>
            </w: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gridSpan w:val="3"/>
            <w:vMerge w:val="restart"/>
          </w:tcPr>
          <w:p>
            <w:pPr>
              <w:jc w:val="right"/>
              <w:spacing w:after="0"/>
              <w:rPr>
                <w:sz w:val="20"/>
                <w:szCs w:val="20"/>
                <w:color w:val="auto"/>
              </w:rPr>
            </w:pPr>
            <w:r>
              <w:rPr>
                <w:rFonts w:ascii="Arial" w:cs="Arial" w:eastAsia="Arial" w:hAnsi="Arial"/>
                <w:sz w:val="16"/>
                <w:szCs w:val="16"/>
                <w:color w:val="auto"/>
              </w:rPr>
              <w:t>64,460</w:t>
            </w:r>
          </w:p>
        </w:tc>
        <w:tc>
          <w:tcPr>
            <w:tcW w:w="680" w:type="dxa"/>
            <w:vAlign w:val="bottom"/>
          </w:tcPr>
          <w:p>
            <w:pPr>
              <w:spacing w:after="0" w:line="20" w:lineRule="exact"/>
              <w:rPr>
                <w:sz w:val="1"/>
                <w:szCs w:val="1"/>
                <w:color w:val="auto"/>
              </w:rPr>
            </w:pPr>
          </w:p>
        </w:tc>
        <w:tc>
          <w:tcPr>
            <w:tcW w:w="700" w:type="dxa"/>
            <w:vAlign w:val="bottom"/>
            <w:gridSpan w:val="2"/>
            <w:vMerge w:val="restart"/>
          </w:tcPr>
          <w:p>
            <w:pPr>
              <w:jc w:val="right"/>
              <w:ind w:right="19"/>
              <w:spacing w:after="0"/>
              <w:rPr>
                <w:sz w:val="20"/>
                <w:szCs w:val="20"/>
                <w:color w:val="auto"/>
              </w:rPr>
            </w:pPr>
            <w:r>
              <w:rPr>
                <w:rFonts w:ascii="Arial" w:cs="Arial" w:eastAsia="Arial" w:hAnsi="Arial"/>
                <w:sz w:val="16"/>
                <w:szCs w:val="16"/>
                <w:color w:val="auto"/>
              </w:rPr>
              <w:t>73,283</w:t>
            </w: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94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gridSpan w:val="3"/>
            <w:vMerge w:val="continue"/>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820" w:type="dxa"/>
            <w:vAlign w:val="bottom"/>
            <w:tcBorders>
              <w:bottom w:val="single" w:sz="8" w:color="CEFFE7"/>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280" w:type="dxa"/>
            <w:vAlign w:val="bottom"/>
            <w:tcBorders>
              <w:bottom w:val="single" w:sz="8" w:color="CEFFE7"/>
            </w:tcBorders>
          </w:tcPr>
          <w:p>
            <w:pPr>
              <w:spacing w:after="0"/>
              <w:rPr>
                <w:sz w:val="2"/>
                <w:szCs w:val="2"/>
                <w:color w:val="auto"/>
              </w:rPr>
            </w:pPr>
          </w:p>
        </w:tc>
        <w:tc>
          <w:tcPr>
            <w:tcW w:w="900" w:type="dxa"/>
            <w:vAlign w:val="bottom"/>
            <w:tcBorders>
              <w:bottom w:val="single" w:sz="8" w:color="CEFFE7"/>
            </w:tcBorders>
          </w:tcPr>
          <w:p>
            <w:pPr>
              <w:spacing w:after="0"/>
              <w:rPr>
                <w:sz w:val="2"/>
                <w:szCs w:val="2"/>
                <w:color w:val="auto"/>
              </w:rPr>
            </w:pPr>
          </w:p>
        </w:tc>
        <w:tc>
          <w:tcPr>
            <w:tcW w:w="440" w:type="dxa"/>
            <w:vAlign w:val="bottom"/>
            <w:tcBorders>
              <w:bottom w:val="single" w:sz="8" w:color="CEFFE7"/>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EFFE7"/>
            </w:tcBorders>
          </w:tcPr>
          <w:p>
            <w:pPr>
              <w:spacing w:after="0"/>
              <w:rPr>
                <w:sz w:val="2"/>
                <w:szCs w:val="2"/>
                <w:color w:val="auto"/>
              </w:rPr>
            </w:pPr>
          </w:p>
        </w:tc>
        <w:tc>
          <w:tcPr>
            <w:tcW w:w="340" w:type="dxa"/>
            <w:vAlign w:val="bottom"/>
            <w:tcBorders>
              <w:bottom w:val="single" w:sz="8" w:color="CEFFE7"/>
            </w:tcBorders>
          </w:tcPr>
          <w:p>
            <w:pPr>
              <w:spacing w:after="0"/>
              <w:rPr>
                <w:sz w:val="2"/>
                <w:szCs w:val="2"/>
                <w:color w:val="auto"/>
              </w:rPr>
            </w:pPr>
          </w:p>
        </w:tc>
        <w:tc>
          <w:tcPr>
            <w:tcW w:w="100" w:type="dxa"/>
            <w:vAlign w:val="bottom"/>
            <w:tcBorders>
              <w:bottom w:val="single" w:sz="8" w:color="CEFFE7"/>
            </w:tcBorders>
          </w:tcPr>
          <w:p>
            <w:pPr>
              <w:spacing w:after="0"/>
              <w:rPr>
                <w:sz w:val="2"/>
                <w:szCs w:val="2"/>
                <w:color w:val="auto"/>
              </w:rPr>
            </w:pPr>
          </w:p>
        </w:tc>
        <w:tc>
          <w:tcPr>
            <w:tcW w:w="1280" w:type="dxa"/>
            <w:vAlign w:val="bottom"/>
            <w:tcBorders>
              <w:bottom w:val="single" w:sz="8" w:color="CEFFE7"/>
            </w:tcBorders>
          </w:tcPr>
          <w:p>
            <w:pPr>
              <w:spacing w:after="0"/>
              <w:rPr>
                <w:sz w:val="2"/>
                <w:szCs w:val="2"/>
                <w:color w:val="auto"/>
              </w:rPr>
            </w:pPr>
          </w:p>
        </w:tc>
        <w:tc>
          <w:tcPr>
            <w:tcW w:w="880" w:type="dxa"/>
            <w:vAlign w:val="bottom"/>
            <w:tcBorders>
              <w:bottom w:val="single" w:sz="8" w:color="CEFFE7"/>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940" w:type="dxa"/>
            <w:vAlign w:val="bottom"/>
            <w:tcBorders>
              <w:bottom w:val="single" w:sz="8" w:color="CEFFE7"/>
            </w:tcBorders>
            <w:gridSpan w:val="2"/>
            <w:shd w:val="clear" w:color="auto" w:fill="CEFFE7"/>
          </w:tcPr>
          <w:p>
            <w:pPr>
              <w:ind w:left="260"/>
              <w:spacing w:after="0"/>
              <w:rPr>
                <w:sz w:val="20"/>
                <w:szCs w:val="20"/>
                <w:color w:val="auto"/>
              </w:rPr>
            </w:pPr>
            <w:r>
              <w:rPr>
                <w:rFonts w:ascii="Arial" w:cs="Arial" w:eastAsia="Arial" w:hAnsi="Arial"/>
                <w:sz w:val="16"/>
                <w:szCs w:val="16"/>
                <w:color w:val="auto"/>
              </w:rPr>
              <w:t>Gross Margin (non-GAAP)</w:t>
            </w:r>
          </w:p>
        </w:tc>
        <w:tc>
          <w:tcPr>
            <w:tcW w:w="280" w:type="dxa"/>
            <w:vAlign w:val="bottom"/>
            <w:tcBorders>
              <w:bottom w:val="single" w:sz="8" w:color="CEFFE7"/>
            </w:tcBorders>
            <w:shd w:val="clear" w:color="auto" w:fill="CEFFE7"/>
          </w:tcPr>
          <w:p>
            <w:pPr>
              <w:spacing w:after="0"/>
              <w:rPr>
                <w:sz w:val="21"/>
                <w:szCs w:val="21"/>
                <w:color w:val="auto"/>
              </w:rPr>
            </w:pPr>
          </w:p>
        </w:tc>
        <w:tc>
          <w:tcPr>
            <w:tcW w:w="900" w:type="dxa"/>
            <w:vAlign w:val="bottom"/>
            <w:tcBorders>
              <w:bottom w:val="single" w:sz="8" w:color="CEFFE7"/>
            </w:tcBorders>
            <w:shd w:val="clear" w:color="auto" w:fill="CEFFE7"/>
          </w:tcPr>
          <w:p>
            <w:pPr>
              <w:spacing w:after="0"/>
              <w:rPr>
                <w:sz w:val="21"/>
                <w:szCs w:val="21"/>
                <w:color w:val="auto"/>
              </w:rPr>
            </w:pPr>
          </w:p>
        </w:tc>
        <w:tc>
          <w:tcPr>
            <w:tcW w:w="440" w:type="dxa"/>
            <w:vAlign w:val="bottom"/>
            <w:tcBorders>
              <w:bottom w:val="single" w:sz="8" w:color="CEFFE7"/>
            </w:tcBorders>
            <w:shd w:val="clear" w:color="auto" w:fill="CEFFE7"/>
          </w:tcPr>
          <w:p>
            <w:pPr>
              <w:spacing w:after="0"/>
              <w:rPr>
                <w:sz w:val="21"/>
                <w:szCs w:val="21"/>
                <w:color w:val="auto"/>
              </w:rPr>
            </w:pPr>
          </w:p>
        </w:tc>
        <w:tc>
          <w:tcPr>
            <w:tcW w:w="700" w:type="dxa"/>
            <w:vAlign w:val="bottom"/>
            <w:tcBorders>
              <w:bottom w:val="single" w:sz="8" w:color="auto"/>
            </w:tcBorders>
            <w:shd w:val="clear" w:color="auto" w:fill="CEFFE7"/>
          </w:tcPr>
          <w:p>
            <w:pPr>
              <w:ind w:left="4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gridSpan w:val="3"/>
            <w:shd w:val="clear" w:color="auto" w:fill="CEFFE7"/>
          </w:tcPr>
          <w:p>
            <w:pPr>
              <w:jc w:val="right"/>
              <w:spacing w:after="0"/>
              <w:rPr>
                <w:sz w:val="20"/>
                <w:szCs w:val="20"/>
                <w:color w:val="auto"/>
              </w:rPr>
            </w:pPr>
            <w:r>
              <w:rPr>
                <w:rFonts w:ascii="Arial" w:cs="Arial" w:eastAsia="Arial" w:hAnsi="Arial"/>
                <w:sz w:val="16"/>
                <w:szCs w:val="16"/>
                <w:color w:val="auto"/>
                <w:w w:val="86"/>
              </w:rPr>
              <w:t>109,679</w:t>
            </w:r>
          </w:p>
        </w:tc>
        <w:tc>
          <w:tcPr>
            <w:tcW w:w="680" w:type="dxa"/>
            <w:vAlign w:val="bottom"/>
            <w:tcBorders>
              <w:bottom w:val="single" w:sz="8" w:color="auto"/>
            </w:tcBorders>
            <w:shd w:val="clear" w:color="auto" w:fill="CEFFE7"/>
          </w:tcPr>
          <w:p>
            <w:pPr>
              <w:jc w:val="right"/>
              <w:ind w:right="39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gridSpan w:val="2"/>
            <w:shd w:val="clear" w:color="auto" w:fill="CEFFE7"/>
          </w:tcPr>
          <w:p>
            <w:pPr>
              <w:jc w:val="right"/>
              <w:ind w:right="19"/>
              <w:spacing w:after="0"/>
              <w:rPr>
                <w:sz w:val="20"/>
                <w:szCs w:val="20"/>
                <w:color w:val="auto"/>
              </w:rPr>
            </w:pPr>
            <w:r>
              <w:rPr>
                <w:rFonts w:ascii="Arial" w:cs="Arial" w:eastAsia="Arial" w:hAnsi="Arial"/>
                <w:sz w:val="16"/>
                <w:szCs w:val="16"/>
                <w:color w:val="auto"/>
              </w:rPr>
              <w:t>109,644</w:t>
            </w:r>
          </w:p>
        </w:tc>
        <w:tc>
          <w:tcPr>
            <w:tcW w:w="10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0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0"/>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40" w:type="dxa"/>
            <w:vAlign w:val="bottom"/>
            <w:gridSpan w:val="3"/>
          </w:tcPr>
          <w:p>
            <w:pPr>
              <w:jc w:val="right"/>
              <w:ind w:right="459"/>
              <w:spacing w:after="0"/>
              <w:rPr>
                <w:sz w:val="20"/>
                <w:szCs w:val="20"/>
                <w:color w:val="auto"/>
              </w:rPr>
            </w:pPr>
            <w:r>
              <w:rPr>
                <w:rFonts w:ascii="Arial" w:cs="Arial" w:eastAsia="Arial" w:hAnsi="Arial"/>
                <w:sz w:val="16"/>
                <w:szCs w:val="16"/>
                <w:color w:val="auto"/>
              </w:rPr>
              <w:t>Electric Revenue</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gridSpan w:val="7"/>
          </w:tcPr>
          <w:p>
            <w:pPr>
              <w:jc w:val="center"/>
              <w:ind w:right="100"/>
              <w:spacing w:after="0"/>
              <w:rPr>
                <w:sz w:val="20"/>
                <w:szCs w:val="20"/>
                <w:color w:val="auto"/>
              </w:rPr>
            </w:pPr>
            <w:r>
              <w:rPr>
                <w:rFonts w:ascii="Arial" w:cs="Arial" w:eastAsia="Arial" w:hAnsi="Arial"/>
                <w:sz w:val="16"/>
                <w:szCs w:val="16"/>
                <w:color w:val="auto"/>
                <w:w w:val="95"/>
              </w:rPr>
              <w:t>Gross Margin (non-GAAP) (in</w:t>
            </w:r>
          </w:p>
        </w:tc>
        <w:tc>
          <w:tcPr>
            <w:tcW w:w="1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Three Months Ended March 31,</w:t>
            </w:r>
          </w:p>
        </w:tc>
        <w:tc>
          <w:tcPr>
            <w:tcW w:w="280" w:type="dxa"/>
            <w:vAlign w:val="bottom"/>
          </w:tcPr>
          <w:p>
            <w:pPr>
              <w:spacing w:after="0"/>
              <w:rPr>
                <w:sz w:val="20"/>
                <w:szCs w:val="20"/>
                <w:color w:val="auto"/>
              </w:rPr>
            </w:pPr>
          </w:p>
        </w:tc>
        <w:tc>
          <w:tcPr>
            <w:tcW w:w="2040" w:type="dxa"/>
            <w:vAlign w:val="bottom"/>
            <w:gridSpan w:val="3"/>
          </w:tcPr>
          <w:p>
            <w:pPr>
              <w:jc w:val="right"/>
              <w:ind w:right="559"/>
              <w:spacing w:after="0"/>
              <w:rPr>
                <w:sz w:val="20"/>
                <w:szCs w:val="20"/>
                <w:color w:val="auto"/>
              </w:rPr>
            </w:pPr>
            <w:r>
              <w:rPr>
                <w:rFonts w:ascii="Arial" w:cs="Arial" w:eastAsia="Arial" w:hAnsi="Arial"/>
                <w:sz w:val="16"/>
                <w:szCs w:val="16"/>
                <w:color w:val="auto"/>
              </w:rPr>
              <w:t>(in 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gridSpan w:val="6"/>
          </w:tcPr>
          <w:p>
            <w:pPr>
              <w:jc w:val="center"/>
              <w:ind w:right="420"/>
              <w:spacing w:after="0"/>
              <w:rPr>
                <w:sz w:val="20"/>
                <w:szCs w:val="20"/>
                <w:color w:val="auto"/>
              </w:rPr>
            </w:pPr>
            <w:r>
              <w:rPr>
                <w:rFonts w:ascii="Arial" w:cs="Arial" w:eastAsia="Arial" w:hAnsi="Arial"/>
                <w:sz w:val="16"/>
                <w:szCs w:val="16"/>
                <w:color w:val="auto"/>
                <w:w w:val="88"/>
              </w:rPr>
              <w:t>thousands)</w:t>
            </w:r>
          </w:p>
        </w:tc>
        <w:tc>
          <w:tcPr>
            <w:tcW w:w="2160" w:type="dxa"/>
            <w:vAlign w:val="bottom"/>
            <w:gridSpan w:val="2"/>
          </w:tcPr>
          <w:p>
            <w:pPr>
              <w:jc w:val="right"/>
              <w:ind w:right="139"/>
              <w:spacing w:after="0" w:line="239" w:lineRule="exact"/>
              <w:rPr>
                <w:sz w:val="20"/>
                <w:szCs w:val="20"/>
                <w:color w:val="auto"/>
              </w:rPr>
            </w:pPr>
            <w:r>
              <w:rPr>
                <w:rFonts w:ascii="Arial" w:cs="Arial" w:eastAsia="Arial" w:hAnsi="Arial"/>
                <w:sz w:val="16"/>
                <w:szCs w:val="16"/>
                <w:color w:val="auto"/>
              </w:rPr>
              <w:t xml:space="preserve">Quantities Sold (MWh) </w:t>
            </w:r>
            <w:r>
              <w:rPr>
                <w:rFonts w:ascii="Arial" w:cs="Arial" w:eastAsia="Arial" w:hAnsi="Arial"/>
                <w:sz w:val="21"/>
                <w:szCs w:val="21"/>
                <w:color w:val="auto"/>
                <w:vertAlign w:val="superscript"/>
              </w:rPr>
              <w:t>(b)</w:t>
            </w: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rPr>
              <w:t>2020</w:t>
            </w:r>
          </w:p>
        </w:tc>
        <w:tc>
          <w:tcPr>
            <w:tcW w:w="4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2019</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95"/>
              </w:rPr>
              <w:t>2020</w:t>
            </w:r>
          </w:p>
        </w:tc>
        <w:tc>
          <w:tcPr>
            <w:tcW w:w="2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2019</w:t>
            </w:r>
          </w:p>
        </w:tc>
        <w:tc>
          <w:tcPr>
            <w:tcW w:w="3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499"/>
              <w:spacing w:after="0"/>
              <w:rPr>
                <w:sz w:val="20"/>
                <w:szCs w:val="20"/>
                <w:color w:val="auto"/>
              </w:rPr>
            </w:pPr>
            <w:r>
              <w:rPr>
                <w:rFonts w:ascii="Arial" w:cs="Arial" w:eastAsia="Arial" w:hAnsi="Arial"/>
                <w:sz w:val="16"/>
                <w:szCs w:val="16"/>
                <w:color w:val="auto"/>
              </w:rPr>
              <w:t>2020</w:t>
            </w:r>
          </w:p>
        </w:tc>
        <w:tc>
          <w:tcPr>
            <w:tcW w:w="88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Colorado Electric</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58,558</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59,847</w:t>
            </w:r>
          </w:p>
        </w:tc>
        <w:tc>
          <w:tcPr>
            <w:tcW w:w="560" w:type="dxa"/>
            <w:vAlign w:val="bottom"/>
            <w:gridSpan w:val="3"/>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32,270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ind w:right="120"/>
              <w:spacing w:after="0"/>
              <w:rPr>
                <w:sz w:val="20"/>
                <w:szCs w:val="20"/>
                <w:color w:val="auto"/>
              </w:rPr>
            </w:pPr>
            <w:r>
              <w:rPr>
                <w:rFonts w:ascii="Arial" w:cs="Arial" w:eastAsia="Arial" w:hAnsi="Arial"/>
                <w:sz w:val="16"/>
                <w:szCs w:val="16"/>
                <w:color w:val="auto"/>
              </w:rPr>
              <w:t>31,444</w:t>
            </w:r>
          </w:p>
        </w:tc>
        <w:tc>
          <w:tcPr>
            <w:tcW w:w="100" w:type="dxa"/>
            <w:vAlign w:val="bottom"/>
          </w:tcPr>
          <w:p>
            <w:pPr>
              <w:spacing w:after="0"/>
              <w:rPr>
                <w:sz w:val="20"/>
                <w:szCs w:val="20"/>
                <w:color w:val="auto"/>
              </w:rPr>
            </w:pPr>
          </w:p>
        </w:tc>
        <w:tc>
          <w:tcPr>
            <w:tcW w:w="1280" w:type="dxa"/>
            <w:vAlign w:val="bottom"/>
          </w:tcPr>
          <w:p>
            <w:pPr>
              <w:jc w:val="right"/>
              <w:ind w:right="219"/>
              <w:spacing w:after="0"/>
              <w:rPr>
                <w:sz w:val="20"/>
                <w:szCs w:val="20"/>
                <w:color w:val="auto"/>
              </w:rPr>
            </w:pPr>
            <w:r>
              <w:rPr>
                <w:rFonts w:ascii="Arial" w:cs="Arial" w:eastAsia="Arial" w:hAnsi="Arial"/>
                <w:sz w:val="16"/>
                <w:szCs w:val="16"/>
                <w:color w:val="auto"/>
              </w:rPr>
              <w:t>550,771</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491,682</w:t>
            </w: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4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 xml:space="preserve">South Dakota Electric </w:t>
            </w:r>
            <w:r>
              <w:rPr>
                <w:rFonts w:ascii="Arial" w:cs="Arial" w:eastAsia="Arial" w:hAnsi="Arial"/>
                <w:sz w:val="21"/>
                <w:szCs w:val="21"/>
                <w:color w:val="auto"/>
                <w:vertAlign w:val="superscript"/>
              </w:rPr>
              <w:t>(a)</w:t>
            </w:r>
          </w:p>
        </w:tc>
        <w:tc>
          <w:tcPr>
            <w:tcW w:w="280" w:type="dxa"/>
            <w:vAlign w:val="bottom"/>
            <w:shd w:val="clear" w:color="auto" w:fill="CEFFE7"/>
          </w:tcPr>
          <w:p>
            <w:pPr>
              <w:spacing w:after="0"/>
              <w:rPr>
                <w:sz w:val="23"/>
                <w:szCs w:val="23"/>
                <w:color w:val="auto"/>
              </w:rPr>
            </w:pPr>
          </w:p>
        </w:tc>
        <w:tc>
          <w:tcPr>
            <w:tcW w:w="9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71,611</w:t>
            </w:r>
          </w:p>
        </w:tc>
        <w:tc>
          <w:tcPr>
            <w:tcW w:w="440" w:type="dxa"/>
            <w:vAlign w:val="bottom"/>
            <w:shd w:val="clear" w:color="auto" w:fill="CEFFE7"/>
          </w:tcPr>
          <w:p>
            <w:pPr>
              <w:spacing w:after="0"/>
              <w:rPr>
                <w:sz w:val="23"/>
                <w:szCs w:val="23"/>
                <w:color w:val="auto"/>
              </w:rPr>
            </w:pPr>
          </w:p>
        </w:tc>
        <w:tc>
          <w:tcPr>
            <w:tcW w:w="7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79,041</w:t>
            </w:r>
          </w:p>
        </w:tc>
        <w:tc>
          <w:tcPr>
            <w:tcW w:w="100" w:type="dxa"/>
            <w:vAlign w:val="bottom"/>
            <w:shd w:val="clear" w:color="auto" w:fill="CEFFE7"/>
          </w:tcPr>
          <w:p>
            <w:pPr>
              <w:spacing w:after="0"/>
              <w:rPr>
                <w:sz w:val="23"/>
                <w:szCs w:val="23"/>
                <w:color w:val="auto"/>
              </w:rPr>
            </w:pPr>
          </w:p>
        </w:tc>
        <w:tc>
          <w:tcPr>
            <w:tcW w:w="120" w:type="dxa"/>
            <w:vAlign w:val="bottom"/>
            <w:shd w:val="clear" w:color="auto" w:fill="CEFFE7"/>
          </w:tcPr>
          <w:p>
            <w:pPr>
              <w:spacing w:after="0"/>
              <w:rPr>
                <w:sz w:val="23"/>
                <w:szCs w:val="23"/>
                <w:color w:val="auto"/>
              </w:rPr>
            </w:pPr>
          </w:p>
        </w:tc>
        <w:tc>
          <w:tcPr>
            <w:tcW w:w="340" w:type="dxa"/>
            <w:vAlign w:val="bottom"/>
            <w:shd w:val="clear" w:color="auto" w:fill="CEFFE7"/>
          </w:tcPr>
          <w:p>
            <w:pPr>
              <w:spacing w:after="0"/>
              <w:rPr>
                <w:sz w:val="23"/>
                <w:szCs w:val="23"/>
                <w:color w:val="auto"/>
              </w:rPr>
            </w:pPr>
          </w:p>
        </w:tc>
        <w:tc>
          <w:tcPr>
            <w:tcW w:w="6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55,624</w:t>
            </w:r>
          </w:p>
        </w:tc>
        <w:tc>
          <w:tcPr>
            <w:tcW w:w="220" w:type="dxa"/>
            <w:vAlign w:val="bottom"/>
            <w:shd w:val="clear" w:color="auto" w:fill="CEFFE7"/>
          </w:tcPr>
          <w:p>
            <w:pPr>
              <w:spacing w:after="0"/>
              <w:rPr>
                <w:sz w:val="23"/>
                <w:szCs w:val="23"/>
                <w:color w:val="auto"/>
              </w:rPr>
            </w:pPr>
          </w:p>
        </w:tc>
        <w:tc>
          <w:tcPr>
            <w:tcW w:w="920" w:type="dxa"/>
            <w:vAlign w:val="bottom"/>
            <w:gridSpan w:val="3"/>
            <w:shd w:val="clear" w:color="auto" w:fill="CEFFE7"/>
          </w:tcPr>
          <w:p>
            <w:pPr>
              <w:jc w:val="right"/>
              <w:ind w:right="120"/>
              <w:spacing w:after="0"/>
              <w:rPr>
                <w:sz w:val="20"/>
                <w:szCs w:val="20"/>
                <w:color w:val="auto"/>
              </w:rPr>
            </w:pPr>
            <w:r>
              <w:rPr>
                <w:rFonts w:ascii="Arial" w:cs="Arial" w:eastAsia="Arial" w:hAnsi="Arial"/>
                <w:sz w:val="16"/>
                <w:szCs w:val="16"/>
                <w:color w:val="auto"/>
              </w:rPr>
              <w:t>56,308</w:t>
            </w:r>
          </w:p>
        </w:tc>
        <w:tc>
          <w:tcPr>
            <w:tcW w:w="100" w:type="dxa"/>
            <w:vAlign w:val="bottom"/>
            <w:shd w:val="clear" w:color="auto" w:fill="CEFFE7"/>
          </w:tcPr>
          <w:p>
            <w:pPr>
              <w:spacing w:after="0"/>
              <w:rPr>
                <w:sz w:val="23"/>
                <w:szCs w:val="23"/>
                <w:color w:val="auto"/>
              </w:rPr>
            </w:pPr>
          </w:p>
        </w:tc>
        <w:tc>
          <w:tcPr>
            <w:tcW w:w="1280" w:type="dxa"/>
            <w:vAlign w:val="bottom"/>
            <w:shd w:val="clear" w:color="auto" w:fill="CEFFE7"/>
          </w:tcPr>
          <w:p>
            <w:pPr>
              <w:jc w:val="right"/>
              <w:ind w:right="219"/>
              <w:spacing w:after="0"/>
              <w:rPr>
                <w:sz w:val="20"/>
                <w:szCs w:val="20"/>
                <w:color w:val="auto"/>
              </w:rPr>
            </w:pPr>
            <w:r>
              <w:rPr>
                <w:rFonts w:ascii="Arial" w:cs="Arial" w:eastAsia="Arial" w:hAnsi="Arial"/>
                <w:sz w:val="16"/>
                <w:szCs w:val="16"/>
                <w:color w:val="auto"/>
              </w:rPr>
              <w:t>685,224</w:t>
            </w:r>
          </w:p>
        </w:tc>
        <w:tc>
          <w:tcPr>
            <w:tcW w:w="88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845,001</w:t>
            </w:r>
          </w:p>
        </w:tc>
        <w:tc>
          <w:tcPr>
            <w:tcW w:w="0" w:type="dxa"/>
            <w:vAlign w:val="bottom"/>
          </w:tcPr>
          <w:p>
            <w:pPr>
              <w:spacing w:after="0"/>
              <w:rPr>
                <w:sz w:val="1"/>
                <w:szCs w:val="1"/>
                <w:color w:val="auto"/>
              </w:rPr>
            </w:pPr>
          </w:p>
        </w:tc>
      </w:tr>
      <w:tr>
        <w:trPr>
          <w:trHeight w:val="237"/>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Wyoming Electric</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43,970</w:t>
            </w:r>
          </w:p>
        </w:tc>
        <w:tc>
          <w:tcPr>
            <w:tcW w:w="4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44,039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21,785</w:t>
            </w:r>
          </w:p>
        </w:tc>
        <w:tc>
          <w:tcPr>
            <w:tcW w:w="220" w:type="dxa"/>
            <w:vAlign w:val="bottom"/>
          </w:tcPr>
          <w:p>
            <w:pPr>
              <w:spacing w:after="0"/>
              <w:rPr>
                <w:sz w:val="20"/>
                <w:szCs w:val="20"/>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6"/>
                <w:szCs w:val="16"/>
                <w:color w:val="auto"/>
              </w:rPr>
              <w:t>21,892</w:t>
            </w:r>
          </w:p>
        </w:tc>
        <w:tc>
          <w:tcPr>
            <w:tcW w:w="100" w:type="dxa"/>
            <w:vAlign w:val="bottom"/>
          </w:tcPr>
          <w:p>
            <w:pPr>
              <w:spacing w:after="0"/>
              <w:rPr>
                <w:sz w:val="20"/>
                <w:szCs w:val="20"/>
                <w:color w:val="auto"/>
              </w:rPr>
            </w:pPr>
          </w:p>
        </w:tc>
        <w:tc>
          <w:tcPr>
            <w:tcW w:w="1280" w:type="dxa"/>
            <w:vAlign w:val="bottom"/>
          </w:tcPr>
          <w:p>
            <w:pPr>
              <w:jc w:val="right"/>
              <w:ind w:right="219"/>
              <w:spacing w:after="0"/>
              <w:rPr>
                <w:sz w:val="20"/>
                <w:szCs w:val="20"/>
                <w:color w:val="auto"/>
              </w:rPr>
            </w:pPr>
            <w:r>
              <w:rPr>
                <w:rFonts w:ascii="Arial" w:cs="Arial" w:eastAsia="Arial" w:hAnsi="Arial"/>
                <w:sz w:val="16"/>
                <w:szCs w:val="16"/>
                <w:color w:val="auto"/>
              </w:rPr>
              <w:t>516,928</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482,188</w:t>
            </w:r>
          </w:p>
        </w:tc>
        <w:tc>
          <w:tcPr>
            <w:tcW w:w="0" w:type="dxa"/>
            <w:vAlign w:val="bottom"/>
          </w:tcPr>
          <w:p>
            <w:pPr>
              <w:spacing w:after="0"/>
              <w:rPr>
                <w:sz w:val="1"/>
                <w:szCs w:val="1"/>
                <w:color w:val="auto"/>
              </w:rPr>
            </w:pPr>
          </w:p>
        </w:tc>
      </w:tr>
      <w:tr>
        <w:trPr>
          <w:trHeight w:val="33"/>
        </w:trPr>
        <w:tc>
          <w:tcPr>
            <w:tcW w:w="3820" w:type="dxa"/>
            <w:vAlign w:val="bottom"/>
            <w:tcBorders>
              <w:bottom w:val="single" w:sz="8" w:color="CEFFE7"/>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EFFE7"/>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940" w:type="dxa"/>
            <w:vAlign w:val="bottom"/>
            <w:gridSpan w:val="2"/>
            <w:shd w:val="clear" w:color="auto" w:fill="CEFFE7"/>
          </w:tcPr>
          <w:p>
            <w:pPr>
              <w:ind w:left="260"/>
              <w:spacing w:after="0"/>
              <w:rPr>
                <w:sz w:val="20"/>
                <w:szCs w:val="20"/>
                <w:color w:val="auto"/>
              </w:rPr>
            </w:pPr>
            <w:r>
              <w:rPr>
                <w:rFonts w:ascii="Arial" w:cs="Arial" w:eastAsia="Arial" w:hAnsi="Arial"/>
                <w:sz w:val="16"/>
                <w:szCs w:val="16"/>
                <w:color w:val="auto"/>
              </w:rPr>
              <w:t>Total Electric Revenue, Gross Margin (non-GAAP),</w:t>
            </w:r>
          </w:p>
        </w:tc>
        <w:tc>
          <w:tcPr>
            <w:tcW w:w="280" w:type="dxa"/>
            <w:vAlign w:val="bottom"/>
            <w:vMerge w:val="restart"/>
            <w:shd w:val="clear" w:color="auto" w:fill="CEFFE7"/>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174,139</w:t>
            </w:r>
          </w:p>
        </w:tc>
        <w:tc>
          <w:tcPr>
            <w:tcW w:w="440" w:type="dxa"/>
            <w:vAlign w:val="bottom"/>
            <w:vMerge w:val="restart"/>
            <w:shd w:val="clear" w:color="auto" w:fill="CEFFE7"/>
          </w:tcPr>
          <w:p>
            <w:pPr>
              <w:jc w:val="right"/>
              <w:ind w:right="199"/>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182,927</w:t>
            </w:r>
          </w:p>
        </w:tc>
        <w:tc>
          <w:tcPr>
            <w:tcW w:w="560" w:type="dxa"/>
            <w:vAlign w:val="bottom"/>
            <w:gridSpan w:val="3"/>
            <w:vMerge w:val="restart"/>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109,679</w:t>
            </w:r>
          </w:p>
        </w:tc>
        <w:tc>
          <w:tcPr>
            <w:tcW w:w="22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3"/>
            <w:vMerge w:val="restart"/>
            <w:shd w:val="clear" w:color="auto" w:fill="CEFFE7"/>
          </w:tcPr>
          <w:p>
            <w:pPr>
              <w:jc w:val="right"/>
              <w:ind w:right="120"/>
              <w:spacing w:after="0"/>
              <w:rPr>
                <w:sz w:val="20"/>
                <w:szCs w:val="20"/>
                <w:color w:val="auto"/>
              </w:rPr>
            </w:pPr>
            <w:r>
              <w:rPr>
                <w:rFonts w:ascii="Arial" w:cs="Arial" w:eastAsia="Arial" w:hAnsi="Arial"/>
                <w:sz w:val="16"/>
                <w:szCs w:val="16"/>
                <w:color w:val="auto"/>
              </w:rPr>
              <w:t>109,644</w:t>
            </w:r>
          </w:p>
        </w:tc>
        <w:tc>
          <w:tcPr>
            <w:tcW w:w="100" w:type="dxa"/>
            <w:vAlign w:val="bottom"/>
            <w:shd w:val="clear" w:color="auto" w:fill="CEFFE7"/>
          </w:tcPr>
          <w:p>
            <w:pPr>
              <w:spacing w:after="0"/>
              <w:rPr>
                <w:sz w:val="17"/>
                <w:szCs w:val="17"/>
                <w:color w:val="auto"/>
              </w:rPr>
            </w:pPr>
          </w:p>
        </w:tc>
        <w:tc>
          <w:tcPr>
            <w:tcW w:w="1280" w:type="dxa"/>
            <w:vAlign w:val="bottom"/>
            <w:vMerge w:val="restart"/>
            <w:shd w:val="clear" w:color="auto" w:fill="CEFFE7"/>
          </w:tcPr>
          <w:p>
            <w:pPr>
              <w:jc w:val="right"/>
              <w:ind w:right="219"/>
              <w:spacing w:after="0"/>
              <w:rPr>
                <w:sz w:val="20"/>
                <w:szCs w:val="20"/>
                <w:color w:val="auto"/>
              </w:rPr>
            </w:pPr>
            <w:r>
              <w:rPr>
                <w:rFonts w:ascii="Arial" w:cs="Arial" w:eastAsia="Arial" w:hAnsi="Arial"/>
                <w:sz w:val="16"/>
                <w:szCs w:val="16"/>
                <w:color w:val="auto"/>
              </w:rPr>
              <w:t>1,752,923</w:t>
            </w:r>
          </w:p>
        </w:tc>
        <w:tc>
          <w:tcPr>
            <w:tcW w:w="880" w:type="dxa"/>
            <w:vAlign w:val="bottom"/>
            <w:vMerge w:val="restart"/>
            <w:shd w:val="clear" w:color="auto" w:fill="CEFFE7"/>
          </w:tcPr>
          <w:p>
            <w:pPr>
              <w:jc w:val="right"/>
              <w:ind w:right="19"/>
              <w:spacing w:after="0"/>
              <w:rPr>
                <w:sz w:val="20"/>
                <w:szCs w:val="20"/>
                <w:color w:val="auto"/>
              </w:rPr>
            </w:pPr>
            <w:r>
              <w:rPr>
                <w:rFonts w:ascii="Arial" w:cs="Arial" w:eastAsia="Arial" w:hAnsi="Arial"/>
                <w:sz w:val="16"/>
                <w:szCs w:val="16"/>
                <w:color w:val="auto"/>
              </w:rPr>
              <w:t>1,818,871</w:t>
            </w:r>
          </w:p>
        </w:tc>
        <w:tc>
          <w:tcPr>
            <w:tcW w:w="0" w:type="dxa"/>
            <w:vAlign w:val="bottom"/>
          </w:tcPr>
          <w:p>
            <w:pPr>
              <w:spacing w:after="0"/>
              <w:rPr>
                <w:sz w:val="1"/>
                <w:szCs w:val="1"/>
                <w:color w:val="auto"/>
              </w:rPr>
            </w:pPr>
          </w:p>
        </w:tc>
      </w:tr>
      <w:tr>
        <w:trPr>
          <w:trHeight w:val="219"/>
        </w:trPr>
        <w:tc>
          <w:tcPr>
            <w:tcW w:w="3940" w:type="dxa"/>
            <w:vAlign w:val="bottom"/>
            <w:gridSpan w:val="2"/>
            <w:shd w:val="clear" w:color="auto" w:fill="CEFFE7"/>
          </w:tcPr>
          <w:p>
            <w:pPr>
              <w:ind w:left="260"/>
              <w:spacing w:after="0"/>
              <w:rPr>
                <w:sz w:val="20"/>
                <w:szCs w:val="20"/>
                <w:color w:val="auto"/>
              </w:rPr>
            </w:pPr>
            <w:r>
              <w:rPr>
                <w:rFonts w:ascii="Arial" w:cs="Arial" w:eastAsia="Arial" w:hAnsi="Arial"/>
                <w:sz w:val="16"/>
                <w:szCs w:val="16"/>
                <w:color w:val="auto"/>
              </w:rPr>
              <w:t>and Quantities Sold</w:t>
            </w:r>
          </w:p>
        </w:tc>
        <w:tc>
          <w:tcPr>
            <w:tcW w:w="280" w:type="dxa"/>
            <w:vAlign w:val="bottom"/>
            <w:vMerge w:val="continue"/>
            <w:shd w:val="clear" w:color="auto" w:fill="CEFFE7"/>
          </w:tcPr>
          <w:p>
            <w:pPr>
              <w:spacing w:after="0"/>
              <w:rPr>
                <w:sz w:val="19"/>
                <w:szCs w:val="19"/>
                <w:color w:val="auto"/>
              </w:rPr>
            </w:pPr>
          </w:p>
        </w:tc>
        <w:tc>
          <w:tcPr>
            <w:tcW w:w="900" w:type="dxa"/>
            <w:vAlign w:val="bottom"/>
            <w:vMerge w:val="continue"/>
            <w:shd w:val="clear" w:color="auto" w:fill="CEFFE7"/>
          </w:tcPr>
          <w:p>
            <w:pPr>
              <w:spacing w:after="0"/>
              <w:rPr>
                <w:sz w:val="19"/>
                <w:szCs w:val="19"/>
                <w:color w:val="auto"/>
              </w:rPr>
            </w:pPr>
          </w:p>
        </w:tc>
        <w:tc>
          <w:tcPr>
            <w:tcW w:w="440" w:type="dxa"/>
            <w:vAlign w:val="bottom"/>
            <w:vMerge w:val="continue"/>
            <w:shd w:val="clear" w:color="auto" w:fill="CEFFE7"/>
          </w:tcPr>
          <w:p>
            <w:pPr>
              <w:spacing w:after="0"/>
              <w:rPr>
                <w:sz w:val="19"/>
                <w:szCs w:val="19"/>
                <w:color w:val="auto"/>
              </w:rPr>
            </w:pPr>
          </w:p>
        </w:tc>
        <w:tc>
          <w:tcPr>
            <w:tcW w:w="700" w:type="dxa"/>
            <w:vAlign w:val="bottom"/>
            <w:vMerge w:val="continue"/>
            <w:shd w:val="clear" w:color="auto" w:fill="CEFFE7"/>
          </w:tcPr>
          <w:p>
            <w:pPr>
              <w:spacing w:after="0"/>
              <w:rPr>
                <w:sz w:val="19"/>
                <w:szCs w:val="19"/>
                <w:color w:val="auto"/>
              </w:rPr>
            </w:pPr>
          </w:p>
        </w:tc>
        <w:tc>
          <w:tcPr>
            <w:tcW w:w="560" w:type="dxa"/>
            <w:vAlign w:val="bottom"/>
            <w:gridSpan w:val="3"/>
            <w:vMerge w:val="continue"/>
            <w:shd w:val="clear" w:color="auto" w:fill="CEFFE7"/>
          </w:tcPr>
          <w:p>
            <w:pPr>
              <w:spacing w:after="0"/>
              <w:rPr>
                <w:sz w:val="19"/>
                <w:szCs w:val="19"/>
                <w:color w:val="auto"/>
              </w:rPr>
            </w:pPr>
          </w:p>
        </w:tc>
        <w:tc>
          <w:tcPr>
            <w:tcW w:w="680" w:type="dxa"/>
            <w:vAlign w:val="bottom"/>
            <w:vMerge w:val="continue"/>
            <w:shd w:val="clear" w:color="auto" w:fill="CEFFE7"/>
          </w:tcPr>
          <w:p>
            <w:pPr>
              <w:spacing w:after="0"/>
              <w:rPr>
                <w:sz w:val="19"/>
                <w:szCs w:val="19"/>
                <w:color w:val="auto"/>
              </w:rPr>
            </w:pPr>
          </w:p>
        </w:tc>
        <w:tc>
          <w:tcPr>
            <w:tcW w:w="220" w:type="dxa"/>
            <w:vAlign w:val="bottom"/>
            <w:vMerge w:val="continue"/>
            <w:shd w:val="clear" w:color="auto" w:fill="CEFFE7"/>
          </w:tcPr>
          <w:p>
            <w:pPr>
              <w:spacing w:after="0"/>
              <w:rPr>
                <w:sz w:val="19"/>
                <w:szCs w:val="19"/>
                <w:color w:val="auto"/>
              </w:rPr>
            </w:pPr>
          </w:p>
        </w:tc>
        <w:tc>
          <w:tcPr>
            <w:tcW w:w="920" w:type="dxa"/>
            <w:vAlign w:val="bottom"/>
            <w:gridSpan w:val="3"/>
            <w:vMerge w:val="continue"/>
            <w:shd w:val="clear" w:color="auto" w:fill="CEFFE7"/>
          </w:tcPr>
          <w:p>
            <w:pPr>
              <w:spacing w:after="0"/>
              <w:rPr>
                <w:sz w:val="19"/>
                <w:szCs w:val="19"/>
                <w:color w:val="auto"/>
              </w:rPr>
            </w:pPr>
          </w:p>
        </w:tc>
        <w:tc>
          <w:tcPr>
            <w:tcW w:w="100" w:type="dxa"/>
            <w:vAlign w:val="bottom"/>
            <w:shd w:val="clear" w:color="auto" w:fill="CEFFE7"/>
          </w:tcPr>
          <w:p>
            <w:pPr>
              <w:spacing w:after="0"/>
              <w:rPr>
                <w:sz w:val="19"/>
                <w:szCs w:val="19"/>
                <w:color w:val="auto"/>
              </w:rPr>
            </w:pPr>
          </w:p>
        </w:tc>
        <w:tc>
          <w:tcPr>
            <w:tcW w:w="1280" w:type="dxa"/>
            <w:vAlign w:val="bottom"/>
            <w:vMerge w:val="continue"/>
            <w:shd w:val="clear" w:color="auto" w:fill="CEFFE7"/>
          </w:tcPr>
          <w:p>
            <w:pPr>
              <w:spacing w:after="0"/>
              <w:rPr>
                <w:sz w:val="19"/>
                <w:szCs w:val="19"/>
                <w:color w:val="auto"/>
              </w:rPr>
            </w:pPr>
          </w:p>
        </w:tc>
        <w:tc>
          <w:tcPr>
            <w:tcW w:w="880" w:type="dxa"/>
            <w:vAlign w:val="bottom"/>
            <w:vMerge w:val="continue"/>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tcBorders>
              <w:top w:val="single" w:sz="8" w:color="CEFFE7"/>
            </w:tcBorders>
          </w:tcPr>
          <w:p>
            <w:pPr>
              <w:spacing w:after="0" w:line="20" w:lineRule="exact"/>
              <w:rPr>
                <w:sz w:val="1"/>
                <w:szCs w:val="1"/>
                <w:color w:val="auto"/>
              </w:rPr>
            </w:pPr>
          </w:p>
        </w:tc>
        <w:tc>
          <w:tcPr>
            <w:tcW w:w="120" w:type="dxa"/>
            <w:vAlign w:val="bottom"/>
            <w:tcBorders>
              <w:top w:val="single" w:sz="8" w:color="CEFFE7"/>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EFFE7"/>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EFFE7"/>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w:t>
      </w:r>
    </w:p>
    <w:p>
      <w:pPr>
        <w:spacing w:after="0" w:line="9" w:lineRule="exact"/>
        <w:rPr>
          <w:sz w:val="20"/>
          <w:szCs w:val="20"/>
          <w:color w:val="auto"/>
        </w:rPr>
      </w:pPr>
    </w:p>
    <w:p>
      <w:pPr>
        <w:ind w:left="340" w:right="20" w:hanging="332"/>
        <w:spacing w:after="0" w:line="248"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Revenue and purchased power for the three months ended March 31, 2020, as well as associated quantities, for certain wholesale contracts have been presented on a net basis. Amounts for the three months ended March 31, 2019 were presented on a gross basis and, due to their immaterial nature, were not revised. This presentation change has no impact on Gross margin.</w:t>
      </w:r>
    </w:p>
    <w:p>
      <w:pPr>
        <w:ind w:left="340" w:hanging="332"/>
        <w:spacing w:after="0"/>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Includes company uses, line losses, and excess exchange production.</w:t>
      </w:r>
    </w:p>
    <w:p>
      <w:pPr>
        <w:spacing w:after="0" w:line="342"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7420" w:type="dxa"/>
            <w:vAlign w:val="bottom"/>
          </w:tcPr>
          <w:p>
            <w:pPr>
              <w:spacing w:after="0"/>
              <w:rPr>
                <w:sz w:val="17"/>
                <w:szCs w:val="17"/>
                <w:color w:val="auto"/>
              </w:rPr>
            </w:pPr>
          </w:p>
        </w:tc>
        <w:tc>
          <w:tcPr>
            <w:tcW w:w="2440" w:type="dxa"/>
            <w:vAlign w:val="bottom"/>
          </w:tcPr>
          <w:p>
            <w:pPr>
              <w:jc w:val="right"/>
              <w:spacing w:after="0"/>
              <w:rPr>
                <w:sz w:val="20"/>
                <w:szCs w:val="20"/>
                <w:color w:val="auto"/>
              </w:rPr>
            </w:pPr>
            <w:r>
              <w:rPr>
                <w:rFonts w:ascii="Arial" w:cs="Arial" w:eastAsia="Arial" w:hAnsi="Arial"/>
                <w:sz w:val="16"/>
                <w:szCs w:val="16"/>
                <w:color w:val="auto"/>
              </w:rPr>
              <w:t>Three Months Ended</w:t>
            </w:r>
          </w:p>
        </w:tc>
        <w:tc>
          <w:tcPr>
            <w:tcW w:w="1040" w:type="dxa"/>
            <w:vAlign w:val="bottom"/>
          </w:tcPr>
          <w:p>
            <w:pPr>
              <w:spacing w:after="0"/>
              <w:rPr>
                <w:sz w:val="17"/>
                <w:szCs w:val="17"/>
                <w:color w:val="auto"/>
              </w:rPr>
            </w:pPr>
          </w:p>
        </w:tc>
      </w:tr>
      <w:tr>
        <w:trPr>
          <w:trHeight w:val="206"/>
        </w:trPr>
        <w:tc>
          <w:tcPr>
            <w:tcW w:w="7420" w:type="dxa"/>
            <w:vAlign w:val="bottom"/>
          </w:tcPr>
          <w:p>
            <w:pPr>
              <w:spacing w:after="0"/>
              <w:rPr>
                <w:sz w:val="17"/>
                <w:szCs w:val="17"/>
                <w:color w:val="auto"/>
              </w:rPr>
            </w:pPr>
          </w:p>
        </w:tc>
        <w:tc>
          <w:tcPr>
            <w:tcW w:w="2440" w:type="dxa"/>
            <w:vAlign w:val="bottom"/>
          </w:tcPr>
          <w:p>
            <w:pPr>
              <w:jc w:val="right"/>
              <w:ind w:right="279"/>
              <w:spacing w:after="0"/>
              <w:rPr>
                <w:sz w:val="20"/>
                <w:szCs w:val="20"/>
                <w:color w:val="auto"/>
              </w:rPr>
            </w:pPr>
            <w:r>
              <w:rPr>
                <w:rFonts w:ascii="Arial" w:cs="Arial" w:eastAsia="Arial" w:hAnsi="Arial"/>
                <w:sz w:val="16"/>
                <w:szCs w:val="16"/>
                <w:color w:val="auto"/>
              </w:rPr>
              <w:t>March 31,</w:t>
            </w:r>
          </w:p>
        </w:tc>
        <w:tc>
          <w:tcPr>
            <w:tcW w:w="1040" w:type="dxa"/>
            <w:vAlign w:val="bottom"/>
          </w:tcPr>
          <w:p>
            <w:pPr>
              <w:spacing w:after="0"/>
              <w:rPr>
                <w:sz w:val="17"/>
                <w:szCs w:val="17"/>
                <w:color w:val="auto"/>
              </w:rPr>
            </w:pPr>
          </w:p>
        </w:tc>
      </w:tr>
      <w:tr>
        <w:trPr>
          <w:trHeight w:val="257"/>
        </w:trPr>
        <w:tc>
          <w:tcPr>
            <w:tcW w:w="7420" w:type="dxa"/>
            <w:vAlign w:val="bottom"/>
          </w:tcPr>
          <w:p>
            <w:pPr>
              <w:ind w:left="20"/>
              <w:spacing w:after="0"/>
              <w:rPr>
                <w:sz w:val="20"/>
                <w:szCs w:val="20"/>
                <w:color w:val="auto"/>
              </w:rPr>
            </w:pPr>
            <w:r>
              <w:rPr>
                <w:rFonts w:ascii="Arial" w:cs="Arial" w:eastAsia="Arial" w:hAnsi="Arial"/>
                <w:sz w:val="16"/>
                <w:szCs w:val="16"/>
                <w:color w:val="auto"/>
              </w:rPr>
              <w:t>Quantities Generated and Purchased (MWh)</w:t>
            </w:r>
          </w:p>
        </w:tc>
        <w:tc>
          <w:tcPr>
            <w:tcW w:w="2440" w:type="dxa"/>
            <w:vAlign w:val="bottom"/>
          </w:tcPr>
          <w:p>
            <w:pPr>
              <w:jc w:val="right"/>
              <w:ind w:right="1339"/>
              <w:spacing w:after="0"/>
              <w:rPr>
                <w:sz w:val="20"/>
                <w:szCs w:val="20"/>
                <w:color w:val="auto"/>
              </w:rPr>
            </w:pPr>
            <w:r>
              <w:rPr>
                <w:rFonts w:ascii="Arial" w:cs="Arial" w:eastAsia="Arial" w:hAnsi="Arial"/>
                <w:sz w:val="16"/>
                <w:szCs w:val="16"/>
                <w:color w:val="auto"/>
              </w:rPr>
              <w:t>2020</w:t>
            </w:r>
          </w:p>
        </w:tc>
        <w:tc>
          <w:tcPr>
            <w:tcW w:w="1040" w:type="dxa"/>
            <w:vAlign w:val="bottom"/>
          </w:tcPr>
          <w:p>
            <w:pPr>
              <w:jc w:val="right"/>
              <w:ind w:right="619"/>
              <w:spacing w:after="0"/>
              <w:rPr>
                <w:sz w:val="20"/>
                <w:szCs w:val="20"/>
                <w:color w:val="auto"/>
              </w:rPr>
            </w:pPr>
            <w:r>
              <w:rPr>
                <w:rFonts w:ascii="Arial" w:cs="Arial" w:eastAsia="Arial" w:hAnsi="Arial"/>
                <w:sz w:val="16"/>
                <w:szCs w:val="16"/>
                <w:color w:val="auto"/>
                <w:w w:val="89"/>
              </w:rPr>
              <w:t>2019</w:t>
            </w:r>
          </w:p>
        </w:tc>
      </w:tr>
      <w:tr>
        <w:trPr>
          <w:trHeight w:val="33"/>
        </w:trPr>
        <w:tc>
          <w:tcPr>
            <w:tcW w:w="74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74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7"/>
        </w:trPr>
        <w:tc>
          <w:tcPr>
            <w:tcW w:w="74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Coal-fired</w:t>
            </w:r>
          </w:p>
        </w:tc>
        <w:tc>
          <w:tcPr>
            <w:tcW w:w="2440" w:type="dxa"/>
            <w:vAlign w:val="bottom"/>
            <w:tcBorders>
              <w:bottom w:val="single" w:sz="8" w:color="CEFFE7"/>
            </w:tcBorders>
            <w:shd w:val="clear" w:color="auto" w:fill="CEFFE7"/>
          </w:tcPr>
          <w:p>
            <w:pPr>
              <w:jc w:val="right"/>
              <w:ind w:right="719"/>
              <w:spacing w:after="0"/>
              <w:rPr>
                <w:sz w:val="20"/>
                <w:szCs w:val="20"/>
                <w:color w:val="auto"/>
              </w:rPr>
            </w:pPr>
            <w:r>
              <w:rPr>
                <w:rFonts w:ascii="Arial" w:cs="Arial" w:eastAsia="Arial" w:hAnsi="Arial"/>
                <w:sz w:val="16"/>
                <w:szCs w:val="16"/>
                <w:color w:val="auto"/>
              </w:rPr>
              <w:t>547,829</w:t>
            </w:r>
          </w:p>
        </w:tc>
        <w:tc>
          <w:tcPr>
            <w:tcW w:w="10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585,295</w:t>
            </w:r>
          </w:p>
        </w:tc>
      </w:tr>
      <w:tr>
        <w:trPr>
          <w:trHeight w:val="223"/>
        </w:trPr>
        <w:tc>
          <w:tcPr>
            <w:tcW w:w="7420" w:type="dxa"/>
            <w:vAlign w:val="bottom"/>
          </w:tcPr>
          <w:p>
            <w:pPr>
              <w:ind w:left="20"/>
              <w:spacing w:after="0"/>
              <w:rPr>
                <w:sz w:val="20"/>
                <w:szCs w:val="20"/>
                <w:color w:val="auto"/>
              </w:rPr>
            </w:pPr>
            <w:r>
              <w:rPr>
                <w:rFonts w:ascii="Arial" w:cs="Arial" w:eastAsia="Arial" w:hAnsi="Arial"/>
                <w:sz w:val="16"/>
                <w:szCs w:val="16"/>
                <w:color w:val="auto"/>
              </w:rPr>
              <w:t>Natural Gas and Oil</w:t>
            </w:r>
          </w:p>
        </w:tc>
        <w:tc>
          <w:tcPr>
            <w:tcW w:w="2440" w:type="dxa"/>
            <w:vAlign w:val="bottom"/>
          </w:tcPr>
          <w:p>
            <w:pPr>
              <w:jc w:val="right"/>
              <w:ind w:right="719"/>
              <w:spacing w:after="0"/>
              <w:rPr>
                <w:sz w:val="20"/>
                <w:szCs w:val="20"/>
                <w:color w:val="auto"/>
              </w:rPr>
            </w:pPr>
            <w:r>
              <w:rPr>
                <w:rFonts w:ascii="Arial" w:cs="Arial" w:eastAsia="Arial" w:hAnsi="Arial"/>
                <w:sz w:val="16"/>
                <w:szCs w:val="16"/>
                <w:color w:val="auto"/>
              </w:rPr>
              <w:t>167,744</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124,657</w:t>
            </w:r>
          </w:p>
        </w:tc>
      </w:tr>
      <w:tr>
        <w:trPr>
          <w:trHeight w:val="33"/>
        </w:trPr>
        <w:tc>
          <w:tcPr>
            <w:tcW w:w="74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6"/>
        </w:trPr>
        <w:tc>
          <w:tcPr>
            <w:tcW w:w="74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Wind</w:t>
            </w:r>
          </w:p>
        </w:tc>
        <w:tc>
          <w:tcPr>
            <w:tcW w:w="2440" w:type="dxa"/>
            <w:vAlign w:val="bottom"/>
            <w:tcBorders>
              <w:bottom w:val="single" w:sz="8" w:color="CEFFE7"/>
            </w:tcBorders>
            <w:shd w:val="clear" w:color="auto" w:fill="CEFFE7"/>
          </w:tcPr>
          <w:p>
            <w:pPr>
              <w:jc w:val="right"/>
              <w:ind w:right="719"/>
              <w:spacing w:after="0"/>
              <w:rPr>
                <w:sz w:val="20"/>
                <w:szCs w:val="20"/>
                <w:color w:val="auto"/>
              </w:rPr>
            </w:pPr>
            <w:r>
              <w:rPr>
                <w:rFonts w:ascii="Arial" w:cs="Arial" w:eastAsia="Arial" w:hAnsi="Arial"/>
                <w:sz w:val="16"/>
                <w:szCs w:val="16"/>
                <w:color w:val="auto"/>
              </w:rPr>
              <w:t>73,550</w:t>
            </w:r>
          </w:p>
        </w:tc>
        <w:tc>
          <w:tcPr>
            <w:tcW w:w="10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55,419</w:t>
            </w:r>
          </w:p>
        </w:tc>
      </w:tr>
      <w:tr>
        <w:trPr>
          <w:trHeight w:val="217"/>
        </w:trPr>
        <w:tc>
          <w:tcPr>
            <w:tcW w:w="7420" w:type="dxa"/>
            <w:vAlign w:val="bottom"/>
          </w:tcPr>
          <w:p>
            <w:pPr>
              <w:ind w:left="260"/>
              <w:spacing w:after="0"/>
              <w:rPr>
                <w:sz w:val="20"/>
                <w:szCs w:val="20"/>
                <w:color w:val="auto"/>
              </w:rPr>
            </w:pPr>
            <w:r>
              <w:rPr>
                <w:rFonts w:ascii="Arial" w:cs="Arial" w:eastAsia="Arial" w:hAnsi="Arial"/>
                <w:sz w:val="16"/>
                <w:szCs w:val="16"/>
                <w:color w:val="auto"/>
              </w:rPr>
              <w:t>Total Generated</w:t>
            </w:r>
          </w:p>
        </w:tc>
        <w:tc>
          <w:tcPr>
            <w:tcW w:w="2440" w:type="dxa"/>
            <w:vAlign w:val="bottom"/>
            <w:tcBorders>
              <w:top w:val="single" w:sz="8" w:color="auto"/>
            </w:tcBorders>
          </w:tcPr>
          <w:p>
            <w:pPr>
              <w:jc w:val="right"/>
              <w:ind w:right="719"/>
              <w:spacing w:after="0"/>
              <w:rPr>
                <w:sz w:val="20"/>
                <w:szCs w:val="20"/>
                <w:color w:val="auto"/>
              </w:rPr>
            </w:pPr>
            <w:r>
              <w:rPr>
                <w:rFonts w:ascii="Arial" w:cs="Arial" w:eastAsia="Arial" w:hAnsi="Arial"/>
                <w:sz w:val="16"/>
                <w:szCs w:val="16"/>
                <w:color w:val="auto"/>
              </w:rPr>
              <w:t>789,123</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765,371</w:t>
            </w:r>
          </w:p>
        </w:tc>
      </w:tr>
      <w:tr>
        <w:trPr>
          <w:trHeight w:val="33"/>
        </w:trPr>
        <w:tc>
          <w:tcPr>
            <w:tcW w:w="74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6"/>
        </w:trPr>
        <w:tc>
          <w:tcPr>
            <w:tcW w:w="7420" w:type="dxa"/>
            <w:vAlign w:val="bottom"/>
            <w:shd w:val="clear" w:color="auto" w:fill="CEFFE7"/>
          </w:tcPr>
          <w:p>
            <w:pPr>
              <w:ind w:left="20"/>
              <w:spacing w:after="0"/>
              <w:rPr>
                <w:sz w:val="20"/>
                <w:szCs w:val="20"/>
                <w:color w:val="auto"/>
              </w:rPr>
            </w:pPr>
            <w:r>
              <w:rPr>
                <w:rFonts w:ascii="Arial" w:cs="Arial" w:eastAsia="Arial" w:hAnsi="Arial"/>
                <w:sz w:val="16"/>
                <w:szCs w:val="16"/>
                <w:color w:val="auto"/>
              </w:rPr>
              <w:t xml:space="preserve">Purchased </w:t>
            </w:r>
            <w:r>
              <w:rPr>
                <w:rFonts w:ascii="Arial" w:cs="Arial" w:eastAsia="Arial" w:hAnsi="Arial"/>
                <w:sz w:val="21"/>
                <w:szCs w:val="21"/>
                <w:color w:val="auto"/>
                <w:vertAlign w:val="superscript"/>
              </w:rPr>
              <w:t>(a)</w:t>
            </w:r>
          </w:p>
        </w:tc>
        <w:tc>
          <w:tcPr>
            <w:tcW w:w="2440" w:type="dxa"/>
            <w:vAlign w:val="bottom"/>
            <w:tcBorders>
              <w:bottom w:val="single" w:sz="8" w:color="auto"/>
            </w:tcBorders>
            <w:shd w:val="clear" w:color="auto" w:fill="CEFFE7"/>
          </w:tcPr>
          <w:p>
            <w:pPr>
              <w:jc w:val="right"/>
              <w:ind w:right="719"/>
              <w:spacing w:after="0"/>
              <w:rPr>
                <w:sz w:val="20"/>
                <w:szCs w:val="20"/>
                <w:color w:val="auto"/>
              </w:rPr>
            </w:pPr>
            <w:r>
              <w:rPr>
                <w:rFonts w:ascii="Arial" w:cs="Arial" w:eastAsia="Arial" w:hAnsi="Arial"/>
                <w:sz w:val="16"/>
                <w:szCs w:val="16"/>
                <w:color w:val="auto"/>
              </w:rPr>
              <w:t>963,800</w:t>
            </w:r>
          </w:p>
        </w:tc>
        <w:tc>
          <w:tcPr>
            <w:tcW w:w="104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1,053,500</w:t>
            </w:r>
          </w:p>
        </w:tc>
      </w:tr>
      <w:tr>
        <w:trPr>
          <w:trHeight w:val="244"/>
        </w:trPr>
        <w:tc>
          <w:tcPr>
            <w:tcW w:w="7420" w:type="dxa"/>
            <w:vAlign w:val="bottom"/>
          </w:tcPr>
          <w:p>
            <w:pPr>
              <w:ind w:left="260"/>
              <w:spacing w:after="0"/>
              <w:rPr>
                <w:sz w:val="20"/>
                <w:szCs w:val="20"/>
                <w:color w:val="auto"/>
              </w:rPr>
            </w:pPr>
            <w:r>
              <w:rPr>
                <w:rFonts w:ascii="Arial" w:cs="Arial" w:eastAsia="Arial" w:hAnsi="Arial"/>
                <w:sz w:val="16"/>
                <w:szCs w:val="16"/>
                <w:color w:val="auto"/>
              </w:rPr>
              <w:t>Total Generated and Purchased</w:t>
            </w:r>
          </w:p>
        </w:tc>
        <w:tc>
          <w:tcPr>
            <w:tcW w:w="244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rPr>
              <w:t>1,752,923</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1,818,871</w:t>
            </w:r>
          </w:p>
        </w:tc>
      </w:tr>
      <w:tr>
        <w:trPr>
          <w:trHeight w:val="20"/>
        </w:trPr>
        <w:tc>
          <w:tcPr>
            <w:tcW w:w="7420" w:type="dxa"/>
            <w:vAlign w:val="bottom"/>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26"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10"/>
        </w:trPr>
        <w:tc>
          <w:tcPr>
            <w:tcW w:w="7760" w:type="dxa"/>
            <w:vAlign w:val="bottom"/>
            <w:gridSpan w:val="2"/>
          </w:tcPr>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tc>
        <w:tc>
          <w:tcPr>
            <w:tcW w:w="2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3"/>
        </w:trPr>
        <w:tc>
          <w:tcPr>
            <w:tcW w:w="34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16"/>
                <w:szCs w:val="16"/>
                <w:color w:val="auto"/>
              </w:rPr>
              <w:t>Three Months Ended</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4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2440" w:type="dxa"/>
            <w:vAlign w:val="bottom"/>
          </w:tcPr>
          <w:p>
            <w:pPr>
              <w:jc w:val="right"/>
              <w:ind w:right="279"/>
              <w:spacing w:after="0"/>
              <w:rPr>
                <w:sz w:val="20"/>
                <w:szCs w:val="20"/>
                <w:color w:val="auto"/>
              </w:rPr>
            </w:pPr>
            <w:r>
              <w:rPr>
                <w:rFonts w:ascii="Arial" w:cs="Arial" w:eastAsia="Arial" w:hAnsi="Arial"/>
                <w:sz w:val="16"/>
                <w:szCs w:val="16"/>
                <w:color w:val="auto"/>
              </w:rPr>
              <w:t>March 31,</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340" w:type="dxa"/>
            <w:vAlign w:val="bottom"/>
          </w:tcPr>
          <w:p>
            <w:pPr>
              <w:spacing w:after="0"/>
              <w:rPr>
                <w:sz w:val="22"/>
                <w:szCs w:val="22"/>
                <w:color w:val="auto"/>
              </w:rPr>
            </w:pPr>
          </w:p>
        </w:tc>
        <w:tc>
          <w:tcPr>
            <w:tcW w:w="7420" w:type="dxa"/>
            <w:vAlign w:val="bottom"/>
          </w:tcPr>
          <w:p>
            <w:pPr>
              <w:ind w:left="20"/>
              <w:spacing w:after="0"/>
              <w:rPr>
                <w:sz w:val="20"/>
                <w:szCs w:val="20"/>
                <w:color w:val="auto"/>
              </w:rPr>
            </w:pPr>
            <w:r>
              <w:rPr>
                <w:rFonts w:ascii="Arial" w:cs="Arial" w:eastAsia="Arial" w:hAnsi="Arial"/>
                <w:sz w:val="16"/>
                <w:szCs w:val="16"/>
                <w:color w:val="auto"/>
              </w:rPr>
              <w:t>Quantities Generated and Purchased (MWh)</w:t>
            </w:r>
          </w:p>
        </w:tc>
        <w:tc>
          <w:tcPr>
            <w:tcW w:w="2440" w:type="dxa"/>
            <w:vAlign w:val="bottom"/>
          </w:tcPr>
          <w:p>
            <w:pPr>
              <w:jc w:val="right"/>
              <w:ind w:right="1339"/>
              <w:spacing w:after="0"/>
              <w:rPr>
                <w:sz w:val="20"/>
                <w:szCs w:val="20"/>
                <w:color w:val="auto"/>
              </w:rPr>
            </w:pPr>
            <w:r>
              <w:rPr>
                <w:rFonts w:ascii="Arial" w:cs="Arial" w:eastAsia="Arial" w:hAnsi="Arial"/>
                <w:sz w:val="16"/>
                <w:szCs w:val="16"/>
                <w:color w:val="auto"/>
              </w:rPr>
              <w:t>2020</w:t>
            </w:r>
          </w:p>
        </w:tc>
        <w:tc>
          <w:tcPr>
            <w:tcW w:w="1040" w:type="dxa"/>
            <w:vAlign w:val="bottom"/>
          </w:tcPr>
          <w:p>
            <w:pPr>
              <w:jc w:val="right"/>
              <w:ind w:right="619"/>
              <w:spacing w:after="0"/>
              <w:rPr>
                <w:sz w:val="20"/>
                <w:szCs w:val="20"/>
                <w:color w:val="auto"/>
              </w:rPr>
            </w:pPr>
            <w:r>
              <w:rPr>
                <w:rFonts w:ascii="Arial" w:cs="Arial" w:eastAsia="Arial" w:hAnsi="Arial"/>
                <w:sz w:val="16"/>
                <w:szCs w:val="16"/>
                <w:color w:val="auto"/>
                <w:w w:val="89"/>
              </w:rPr>
              <w:t>2019</w:t>
            </w: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40" w:type="dxa"/>
            <w:vAlign w:val="bottom"/>
          </w:tcPr>
          <w:p>
            <w:pPr>
              <w:spacing w:after="0"/>
              <w:rPr>
                <w:sz w:val="20"/>
                <w:szCs w:val="20"/>
                <w:color w:val="auto"/>
              </w:rPr>
            </w:pPr>
          </w:p>
        </w:tc>
        <w:tc>
          <w:tcPr>
            <w:tcW w:w="7420" w:type="dxa"/>
            <w:vAlign w:val="bottom"/>
          </w:tcPr>
          <w:p>
            <w:pPr>
              <w:ind w:left="20"/>
              <w:spacing w:after="0"/>
              <w:rPr>
                <w:sz w:val="20"/>
                <w:szCs w:val="20"/>
                <w:color w:val="auto"/>
              </w:rPr>
            </w:pPr>
            <w:r>
              <w:rPr>
                <w:rFonts w:ascii="Arial" w:cs="Arial" w:eastAsia="Arial" w:hAnsi="Arial"/>
                <w:sz w:val="16"/>
                <w:szCs w:val="16"/>
                <w:color w:val="auto"/>
              </w:rPr>
              <w:t>Generated:</w:t>
            </w:r>
          </w:p>
        </w:tc>
        <w:tc>
          <w:tcPr>
            <w:tcW w:w="2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74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40" w:type="dxa"/>
            <w:vAlign w:val="bottom"/>
          </w:tcPr>
          <w:p>
            <w:pPr>
              <w:spacing w:after="0"/>
              <w:rPr>
                <w:sz w:val="20"/>
                <w:szCs w:val="20"/>
                <w:color w:val="auto"/>
              </w:rPr>
            </w:pPr>
          </w:p>
        </w:tc>
        <w:tc>
          <w:tcPr>
            <w:tcW w:w="7420" w:type="dxa"/>
            <w:vAlign w:val="bottom"/>
            <w:tcBorders>
              <w:bottom w:val="single" w:sz="8" w:color="CEFFE7"/>
            </w:tcBorders>
            <w:shd w:val="clear" w:color="auto" w:fill="CEFFE7"/>
          </w:tcPr>
          <w:p>
            <w:pPr>
              <w:ind w:left="260"/>
              <w:spacing w:after="0"/>
              <w:rPr>
                <w:sz w:val="20"/>
                <w:szCs w:val="20"/>
                <w:color w:val="auto"/>
              </w:rPr>
            </w:pPr>
            <w:r>
              <w:rPr>
                <w:rFonts w:ascii="Arial" w:cs="Arial" w:eastAsia="Arial" w:hAnsi="Arial"/>
                <w:sz w:val="16"/>
                <w:szCs w:val="16"/>
                <w:color w:val="auto"/>
              </w:rPr>
              <w:t>Colorado Electric</w:t>
            </w:r>
          </w:p>
        </w:tc>
        <w:tc>
          <w:tcPr>
            <w:tcW w:w="2440" w:type="dxa"/>
            <w:vAlign w:val="bottom"/>
            <w:tcBorders>
              <w:bottom w:val="single" w:sz="8" w:color="CEFFE7"/>
            </w:tcBorders>
            <w:shd w:val="clear" w:color="auto" w:fill="CEFFE7"/>
          </w:tcPr>
          <w:p>
            <w:pPr>
              <w:jc w:val="right"/>
              <w:ind w:right="719"/>
              <w:spacing w:after="0"/>
              <w:rPr>
                <w:sz w:val="20"/>
                <w:szCs w:val="20"/>
                <w:color w:val="auto"/>
              </w:rPr>
            </w:pPr>
            <w:r>
              <w:rPr>
                <w:rFonts w:ascii="Arial" w:cs="Arial" w:eastAsia="Arial" w:hAnsi="Arial"/>
                <w:sz w:val="16"/>
                <w:szCs w:val="16"/>
                <w:color w:val="auto"/>
              </w:rPr>
              <w:t>94,051</w:t>
            </w:r>
          </w:p>
        </w:tc>
        <w:tc>
          <w:tcPr>
            <w:tcW w:w="10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100,530</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420" w:type="dxa"/>
            <w:vAlign w:val="bottom"/>
          </w:tcPr>
          <w:p>
            <w:pPr>
              <w:ind w:left="260"/>
              <w:spacing w:after="0"/>
              <w:rPr>
                <w:sz w:val="20"/>
                <w:szCs w:val="20"/>
                <w:color w:val="auto"/>
              </w:rPr>
            </w:pPr>
            <w:r>
              <w:rPr>
                <w:rFonts w:ascii="Arial" w:cs="Arial" w:eastAsia="Arial" w:hAnsi="Arial"/>
                <w:sz w:val="16"/>
                <w:szCs w:val="16"/>
                <w:color w:val="auto"/>
              </w:rPr>
              <w:t>South Dakota Electric</w:t>
            </w:r>
          </w:p>
        </w:tc>
        <w:tc>
          <w:tcPr>
            <w:tcW w:w="2440" w:type="dxa"/>
            <w:vAlign w:val="bottom"/>
          </w:tcPr>
          <w:p>
            <w:pPr>
              <w:jc w:val="right"/>
              <w:ind w:right="719"/>
              <w:spacing w:after="0"/>
              <w:rPr>
                <w:sz w:val="20"/>
                <w:szCs w:val="20"/>
                <w:color w:val="auto"/>
              </w:rPr>
            </w:pPr>
            <w:r>
              <w:rPr>
                <w:rFonts w:ascii="Arial" w:cs="Arial" w:eastAsia="Arial" w:hAnsi="Arial"/>
                <w:sz w:val="16"/>
                <w:szCs w:val="16"/>
                <w:color w:val="auto"/>
              </w:rPr>
              <w:t>472,966</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457,369</w:t>
            </w: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74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340" w:type="dxa"/>
            <w:vAlign w:val="bottom"/>
          </w:tcPr>
          <w:p>
            <w:pPr>
              <w:spacing w:after="0"/>
              <w:rPr>
                <w:sz w:val="22"/>
                <w:szCs w:val="22"/>
                <w:color w:val="auto"/>
              </w:rPr>
            </w:pPr>
          </w:p>
        </w:tc>
        <w:tc>
          <w:tcPr>
            <w:tcW w:w="7420" w:type="dxa"/>
            <w:vAlign w:val="bottom"/>
            <w:tcBorders>
              <w:bottom w:val="single" w:sz="8" w:color="CEFFE7"/>
            </w:tcBorders>
            <w:shd w:val="clear" w:color="auto" w:fill="CEFFE7"/>
          </w:tcPr>
          <w:p>
            <w:pPr>
              <w:ind w:left="260"/>
              <w:spacing w:after="0"/>
              <w:rPr>
                <w:sz w:val="20"/>
                <w:szCs w:val="20"/>
                <w:color w:val="auto"/>
              </w:rPr>
            </w:pPr>
            <w:r>
              <w:rPr>
                <w:rFonts w:ascii="Arial" w:cs="Arial" w:eastAsia="Arial" w:hAnsi="Arial"/>
                <w:sz w:val="16"/>
                <w:szCs w:val="16"/>
                <w:color w:val="auto"/>
              </w:rPr>
              <w:t>Wyoming Electric</w:t>
            </w:r>
          </w:p>
        </w:tc>
        <w:tc>
          <w:tcPr>
            <w:tcW w:w="2440" w:type="dxa"/>
            <w:vAlign w:val="bottom"/>
            <w:tcBorders>
              <w:bottom w:val="single" w:sz="8" w:color="CEFFE7"/>
            </w:tcBorders>
            <w:shd w:val="clear" w:color="auto" w:fill="CEFFE7"/>
          </w:tcPr>
          <w:p>
            <w:pPr>
              <w:jc w:val="right"/>
              <w:ind w:right="719"/>
              <w:spacing w:after="0"/>
              <w:rPr>
                <w:sz w:val="20"/>
                <w:szCs w:val="20"/>
                <w:color w:val="auto"/>
              </w:rPr>
            </w:pPr>
            <w:r>
              <w:rPr>
                <w:rFonts w:ascii="Arial" w:cs="Arial" w:eastAsia="Arial" w:hAnsi="Arial"/>
                <w:sz w:val="16"/>
                <w:szCs w:val="16"/>
                <w:color w:val="auto"/>
              </w:rPr>
              <w:t>222,106</w:t>
            </w:r>
          </w:p>
        </w:tc>
        <w:tc>
          <w:tcPr>
            <w:tcW w:w="10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207,472</w:t>
            </w: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7420" w:type="dxa"/>
            <w:vAlign w:val="bottom"/>
          </w:tcPr>
          <w:p>
            <w:pPr>
              <w:ind w:left="480"/>
              <w:spacing w:after="0"/>
              <w:rPr>
                <w:sz w:val="20"/>
                <w:szCs w:val="20"/>
                <w:color w:val="auto"/>
              </w:rPr>
            </w:pPr>
            <w:r>
              <w:rPr>
                <w:rFonts w:ascii="Arial" w:cs="Arial" w:eastAsia="Arial" w:hAnsi="Arial"/>
                <w:sz w:val="16"/>
                <w:szCs w:val="16"/>
                <w:color w:val="auto"/>
              </w:rPr>
              <w:t>Total Generated</w:t>
            </w:r>
          </w:p>
        </w:tc>
        <w:tc>
          <w:tcPr>
            <w:tcW w:w="2440" w:type="dxa"/>
            <w:vAlign w:val="bottom"/>
            <w:tcBorders>
              <w:top w:val="single" w:sz="8" w:color="auto"/>
            </w:tcBorders>
          </w:tcPr>
          <w:p>
            <w:pPr>
              <w:jc w:val="right"/>
              <w:ind w:right="719"/>
              <w:spacing w:after="0"/>
              <w:rPr>
                <w:sz w:val="20"/>
                <w:szCs w:val="20"/>
                <w:color w:val="auto"/>
              </w:rPr>
            </w:pPr>
            <w:r>
              <w:rPr>
                <w:rFonts w:ascii="Arial" w:cs="Arial" w:eastAsia="Arial" w:hAnsi="Arial"/>
                <w:sz w:val="16"/>
                <w:szCs w:val="16"/>
                <w:color w:val="auto"/>
              </w:rPr>
              <w:t>789,123</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765,371</w:t>
            </w: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7420" w:type="dxa"/>
            <w:vAlign w:val="bottom"/>
            <w:tcBorders>
              <w:bottom w:val="single" w:sz="8" w:color="CEFFE7"/>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74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Purchased:</w:t>
            </w:r>
          </w:p>
        </w:tc>
        <w:tc>
          <w:tcPr>
            <w:tcW w:w="244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7420" w:type="dxa"/>
            <w:vAlign w:val="bottom"/>
          </w:tcPr>
          <w:p>
            <w:pPr>
              <w:ind w:left="260"/>
              <w:spacing w:after="0"/>
              <w:rPr>
                <w:sz w:val="20"/>
                <w:szCs w:val="20"/>
                <w:color w:val="auto"/>
              </w:rPr>
            </w:pPr>
            <w:r>
              <w:rPr>
                <w:rFonts w:ascii="Arial" w:cs="Arial" w:eastAsia="Arial" w:hAnsi="Arial"/>
                <w:sz w:val="16"/>
                <w:szCs w:val="16"/>
                <w:color w:val="auto"/>
              </w:rPr>
              <w:t>Colorado Electric</w:t>
            </w:r>
          </w:p>
        </w:tc>
        <w:tc>
          <w:tcPr>
            <w:tcW w:w="2440" w:type="dxa"/>
            <w:vAlign w:val="bottom"/>
          </w:tcPr>
          <w:p>
            <w:pPr>
              <w:jc w:val="right"/>
              <w:ind w:right="719"/>
              <w:spacing w:after="0"/>
              <w:rPr>
                <w:sz w:val="20"/>
                <w:szCs w:val="20"/>
                <w:color w:val="auto"/>
              </w:rPr>
            </w:pPr>
            <w:r>
              <w:rPr>
                <w:rFonts w:ascii="Arial" w:cs="Arial" w:eastAsia="Arial" w:hAnsi="Arial"/>
                <w:sz w:val="16"/>
                <w:szCs w:val="16"/>
                <w:color w:val="auto"/>
              </w:rPr>
              <w:t>456,720</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391,152</w:t>
            </w: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74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40" w:type="dxa"/>
            <w:vAlign w:val="bottom"/>
          </w:tcPr>
          <w:p>
            <w:pPr>
              <w:spacing w:after="0"/>
              <w:rPr>
                <w:sz w:val="22"/>
                <w:szCs w:val="22"/>
                <w:color w:val="auto"/>
              </w:rPr>
            </w:pPr>
          </w:p>
        </w:tc>
        <w:tc>
          <w:tcPr>
            <w:tcW w:w="7420" w:type="dxa"/>
            <w:vAlign w:val="bottom"/>
            <w:shd w:val="clear" w:color="auto" w:fill="CEFFE7"/>
          </w:tcPr>
          <w:p>
            <w:pPr>
              <w:ind w:left="260"/>
              <w:spacing w:after="0"/>
              <w:rPr>
                <w:sz w:val="20"/>
                <w:szCs w:val="20"/>
                <w:color w:val="auto"/>
              </w:rPr>
            </w:pPr>
            <w:r>
              <w:rPr>
                <w:rFonts w:ascii="Arial" w:cs="Arial" w:eastAsia="Arial" w:hAnsi="Arial"/>
                <w:sz w:val="16"/>
                <w:szCs w:val="16"/>
                <w:color w:val="auto"/>
              </w:rPr>
              <w:t xml:space="preserve">South Dakota Electric </w:t>
            </w:r>
            <w:r>
              <w:rPr>
                <w:rFonts w:ascii="Arial" w:cs="Arial" w:eastAsia="Arial" w:hAnsi="Arial"/>
                <w:sz w:val="21"/>
                <w:szCs w:val="21"/>
                <w:color w:val="auto"/>
                <w:vertAlign w:val="superscript"/>
              </w:rPr>
              <w:t>(a)</w:t>
            </w:r>
          </w:p>
        </w:tc>
        <w:tc>
          <w:tcPr>
            <w:tcW w:w="2440" w:type="dxa"/>
            <w:vAlign w:val="bottom"/>
            <w:shd w:val="clear" w:color="auto" w:fill="CEFFE7"/>
          </w:tcPr>
          <w:p>
            <w:pPr>
              <w:jc w:val="right"/>
              <w:ind w:right="719"/>
              <w:spacing w:after="0"/>
              <w:rPr>
                <w:sz w:val="20"/>
                <w:szCs w:val="20"/>
                <w:color w:val="auto"/>
              </w:rPr>
            </w:pPr>
            <w:r>
              <w:rPr>
                <w:rFonts w:ascii="Arial" w:cs="Arial" w:eastAsia="Arial" w:hAnsi="Arial"/>
                <w:sz w:val="16"/>
                <w:szCs w:val="16"/>
                <w:color w:val="auto"/>
              </w:rPr>
              <w:t>212,258</w:t>
            </w:r>
          </w:p>
        </w:tc>
        <w:tc>
          <w:tcPr>
            <w:tcW w:w="104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387,632</w:t>
            </w: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7420" w:type="dxa"/>
            <w:vAlign w:val="bottom"/>
          </w:tcPr>
          <w:p>
            <w:pPr>
              <w:ind w:left="260"/>
              <w:spacing w:after="0"/>
              <w:rPr>
                <w:sz w:val="20"/>
                <w:szCs w:val="20"/>
                <w:color w:val="auto"/>
              </w:rPr>
            </w:pPr>
            <w:r>
              <w:rPr>
                <w:rFonts w:ascii="Arial" w:cs="Arial" w:eastAsia="Arial" w:hAnsi="Arial"/>
                <w:sz w:val="16"/>
                <w:szCs w:val="16"/>
                <w:color w:val="auto"/>
              </w:rPr>
              <w:t>Wyoming Electric</w:t>
            </w:r>
          </w:p>
        </w:tc>
        <w:tc>
          <w:tcPr>
            <w:tcW w:w="2440" w:type="dxa"/>
            <w:vAlign w:val="bottom"/>
          </w:tcPr>
          <w:p>
            <w:pPr>
              <w:jc w:val="right"/>
              <w:ind w:right="719"/>
              <w:spacing w:after="0"/>
              <w:rPr>
                <w:sz w:val="20"/>
                <w:szCs w:val="20"/>
                <w:color w:val="auto"/>
              </w:rPr>
            </w:pPr>
            <w:r>
              <w:rPr>
                <w:rFonts w:ascii="Arial" w:cs="Arial" w:eastAsia="Arial" w:hAnsi="Arial"/>
                <w:sz w:val="16"/>
                <w:szCs w:val="16"/>
                <w:color w:val="auto"/>
              </w:rPr>
              <w:t>294,822</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274,716</w:t>
            </w: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7420" w:type="dxa"/>
            <w:vAlign w:val="bottom"/>
            <w:tcBorders>
              <w:bottom w:val="single" w:sz="8" w:color="CEFFE7"/>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7420" w:type="dxa"/>
            <w:vAlign w:val="bottom"/>
            <w:tcBorders>
              <w:bottom w:val="single" w:sz="8" w:color="CEFFE7"/>
            </w:tcBorders>
            <w:shd w:val="clear" w:color="auto" w:fill="CEFFE7"/>
          </w:tcPr>
          <w:p>
            <w:pPr>
              <w:ind w:left="480"/>
              <w:spacing w:after="0"/>
              <w:rPr>
                <w:sz w:val="20"/>
                <w:szCs w:val="20"/>
                <w:color w:val="auto"/>
              </w:rPr>
            </w:pPr>
            <w:r>
              <w:rPr>
                <w:rFonts w:ascii="Arial" w:cs="Arial" w:eastAsia="Arial" w:hAnsi="Arial"/>
                <w:sz w:val="16"/>
                <w:szCs w:val="16"/>
                <w:color w:val="auto"/>
              </w:rPr>
              <w:t>Total Purchased</w:t>
            </w:r>
          </w:p>
        </w:tc>
        <w:tc>
          <w:tcPr>
            <w:tcW w:w="2440" w:type="dxa"/>
            <w:vAlign w:val="bottom"/>
            <w:tcBorders>
              <w:bottom w:val="single" w:sz="8" w:color="CEFFE7"/>
            </w:tcBorders>
            <w:shd w:val="clear" w:color="auto" w:fill="CEFFE7"/>
          </w:tcPr>
          <w:p>
            <w:pPr>
              <w:jc w:val="right"/>
              <w:ind w:right="719"/>
              <w:spacing w:after="0"/>
              <w:rPr>
                <w:sz w:val="20"/>
                <w:szCs w:val="20"/>
                <w:color w:val="auto"/>
              </w:rPr>
            </w:pPr>
            <w:r>
              <w:rPr>
                <w:rFonts w:ascii="Arial" w:cs="Arial" w:eastAsia="Arial" w:hAnsi="Arial"/>
                <w:sz w:val="16"/>
                <w:szCs w:val="16"/>
                <w:color w:val="auto"/>
              </w:rPr>
              <w:t>963,800</w:t>
            </w:r>
          </w:p>
        </w:tc>
        <w:tc>
          <w:tcPr>
            <w:tcW w:w="10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1,053,500</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4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7420" w:type="dxa"/>
            <w:vAlign w:val="bottom"/>
            <w:tcBorders>
              <w:bottom w:val="single" w:sz="8" w:color="CEFFE7"/>
            </w:tcBorders>
            <w:shd w:val="clear" w:color="auto" w:fill="CEFFE7"/>
          </w:tcPr>
          <w:p>
            <w:pPr>
              <w:ind w:left="260"/>
              <w:spacing w:after="0"/>
              <w:rPr>
                <w:sz w:val="20"/>
                <w:szCs w:val="20"/>
                <w:color w:val="auto"/>
              </w:rPr>
            </w:pPr>
            <w:r>
              <w:rPr>
                <w:rFonts w:ascii="Arial" w:cs="Arial" w:eastAsia="Arial" w:hAnsi="Arial"/>
                <w:sz w:val="16"/>
                <w:szCs w:val="16"/>
                <w:color w:val="auto"/>
              </w:rPr>
              <w:t>Total Generated and Purchased</w:t>
            </w:r>
          </w:p>
        </w:tc>
        <w:tc>
          <w:tcPr>
            <w:tcW w:w="2440" w:type="dxa"/>
            <w:vAlign w:val="bottom"/>
            <w:tcBorders>
              <w:bottom w:val="single" w:sz="8" w:color="auto"/>
            </w:tcBorders>
            <w:shd w:val="clear" w:color="auto" w:fill="CEFFE7"/>
          </w:tcPr>
          <w:p>
            <w:pPr>
              <w:jc w:val="right"/>
              <w:ind w:right="719"/>
              <w:spacing w:after="0"/>
              <w:rPr>
                <w:sz w:val="20"/>
                <w:szCs w:val="20"/>
                <w:color w:val="auto"/>
              </w:rPr>
            </w:pPr>
            <w:r>
              <w:rPr>
                <w:rFonts w:ascii="Arial" w:cs="Arial" w:eastAsia="Arial" w:hAnsi="Arial"/>
                <w:sz w:val="16"/>
                <w:szCs w:val="16"/>
                <w:color w:val="auto"/>
              </w:rPr>
              <w:t>1,752,923</w:t>
            </w:r>
          </w:p>
        </w:tc>
        <w:tc>
          <w:tcPr>
            <w:tcW w:w="104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1,818,871</w:t>
            </w:r>
          </w:p>
        </w:tc>
        <w:tc>
          <w:tcPr>
            <w:tcW w:w="0" w:type="dxa"/>
            <w:vAlign w:val="bottom"/>
          </w:tcPr>
          <w:p>
            <w:pPr>
              <w:spacing w:after="0"/>
              <w:rPr>
                <w:sz w:val="1"/>
                <w:szCs w:val="1"/>
                <w:color w:val="auto"/>
              </w:rPr>
            </w:pPr>
          </w:p>
        </w:tc>
      </w:tr>
      <w:tr>
        <w:trPr>
          <w:trHeight w:val="20"/>
        </w:trPr>
        <w:tc>
          <w:tcPr>
            <w:tcW w:w="7760" w:type="dxa"/>
            <w:vAlign w:val="bottom"/>
            <w:gridSpan w:val="2"/>
            <w:vMerge w:val="restart"/>
          </w:tcPr>
          <w:p>
            <w:pPr>
              <w:spacing w:after="0"/>
              <w:rPr>
                <w:sz w:val="20"/>
                <w:szCs w:val="20"/>
                <w:color w:val="auto"/>
              </w:rPr>
            </w:pPr>
            <w:r>
              <w:rPr>
                <w:rFonts w:ascii="Arial" w:cs="Arial" w:eastAsia="Arial" w:hAnsi="Arial"/>
                <w:sz w:val="18"/>
                <w:szCs w:val="18"/>
                <w:color w:val="auto"/>
              </w:rPr>
              <w:t>________________</w:t>
            </w:r>
          </w:p>
        </w:tc>
        <w:tc>
          <w:tcPr>
            <w:tcW w:w="2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60" w:type="dxa"/>
            <w:vAlign w:val="bottom"/>
            <w:gridSpan w:val="2"/>
            <w:vMerge w:val="continue"/>
          </w:tcPr>
          <w:p>
            <w:pPr>
              <w:spacing w:after="0"/>
              <w:rPr>
                <w:sz w:val="17"/>
                <w:szCs w:val="17"/>
                <w:color w:val="auto"/>
              </w:rPr>
            </w:pPr>
          </w:p>
        </w:tc>
        <w:tc>
          <w:tcPr>
            <w:tcW w:w="2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120" w:hanging="332"/>
        <w:spacing w:after="0" w:line="254"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Purchased power quantities for the three months ended March 31, 2020, for certain wholesale contracts have been presented on a net basis. Amounts for the three months ended March 31, 2019 were presented on a gross basis and, due to their immaterial nature, were not revised. This presentation change has no impact on Gross margin.</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640" w:type="dxa"/>
            <w:vAlign w:val="bottom"/>
            <w:gridSpan w:val="3"/>
          </w:tcPr>
          <w:p>
            <w:pPr>
              <w:jc w:val="center"/>
              <w:spacing w:after="0"/>
              <w:rPr>
                <w:sz w:val="20"/>
                <w:szCs w:val="20"/>
                <w:color w:val="auto"/>
              </w:rPr>
            </w:pPr>
            <w:r>
              <w:rPr>
                <w:rFonts w:ascii="Arial" w:cs="Arial" w:eastAsia="Arial" w:hAnsi="Arial"/>
                <w:sz w:val="16"/>
                <w:szCs w:val="16"/>
                <w:color w:val="auto"/>
                <w:w w:val="91"/>
              </w:rPr>
              <w:t>Three Months Ended March 31,</w:t>
            </w:r>
          </w:p>
        </w:tc>
        <w:tc>
          <w:tcPr>
            <w:tcW w:w="16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70"/>
        </w:trPr>
        <w:tc>
          <w:tcPr>
            <w:tcW w:w="2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00" w:type="dxa"/>
            <w:vAlign w:val="bottom"/>
          </w:tcPr>
          <w:p>
            <w:pPr>
              <w:jc w:val="right"/>
              <w:ind w:right="1099"/>
              <w:spacing w:after="0"/>
              <w:rPr>
                <w:sz w:val="20"/>
                <w:szCs w:val="20"/>
                <w:color w:val="auto"/>
              </w:rPr>
            </w:pPr>
            <w:r>
              <w:rPr>
                <w:rFonts w:ascii="Arial" w:cs="Arial" w:eastAsia="Arial" w:hAnsi="Arial"/>
                <w:sz w:val="16"/>
                <w:szCs w:val="16"/>
                <w:color w:val="auto"/>
              </w:rPr>
              <w:t>2020</w:t>
            </w:r>
          </w:p>
        </w:tc>
        <w:tc>
          <w:tcPr>
            <w:tcW w:w="4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2019</w:t>
            </w: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33"/>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13"/>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Variance from</w:t>
            </w:r>
          </w:p>
        </w:tc>
        <w:tc>
          <w:tcPr>
            <w:tcW w:w="460" w:type="dxa"/>
            <w:vAlign w:val="bottom"/>
          </w:tcPr>
          <w:p>
            <w:pPr>
              <w:spacing w:after="0"/>
              <w:rPr>
                <w:sz w:val="18"/>
                <w:szCs w:val="18"/>
                <w:color w:val="auto"/>
              </w:rPr>
            </w:pPr>
          </w:p>
        </w:tc>
        <w:tc>
          <w:tcPr>
            <w:tcW w:w="2180" w:type="dxa"/>
            <w:vAlign w:val="bottom"/>
            <w:gridSpan w:val="2"/>
          </w:tcPr>
          <w:p>
            <w:pPr>
              <w:jc w:val="center"/>
              <w:ind w:right="440"/>
              <w:spacing w:after="0"/>
              <w:rPr>
                <w:sz w:val="20"/>
                <w:szCs w:val="20"/>
                <w:color w:val="auto"/>
              </w:rPr>
            </w:pPr>
            <w:r>
              <w:rPr>
                <w:rFonts w:ascii="Arial" w:cs="Arial" w:eastAsia="Arial" w:hAnsi="Arial"/>
                <w:sz w:val="16"/>
                <w:szCs w:val="16"/>
                <w:color w:val="auto"/>
                <w:w w:val="93"/>
              </w:rPr>
              <w:t>Actual Variance to Prior</w:t>
            </w:r>
          </w:p>
        </w:tc>
        <w:tc>
          <w:tcPr>
            <w:tcW w:w="168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6"/>
                <w:szCs w:val="16"/>
                <w:color w:val="auto"/>
                <w:w w:val="94"/>
              </w:rPr>
              <w:t>Variance from</w:t>
            </w:r>
          </w:p>
        </w:tc>
      </w:tr>
      <w:tr>
        <w:trPr>
          <w:trHeight w:val="206"/>
        </w:trPr>
        <w:tc>
          <w:tcPr>
            <w:tcW w:w="20" w:type="dxa"/>
            <w:vAlign w:val="bottom"/>
          </w:tcPr>
          <w:p>
            <w:pPr>
              <w:spacing w:after="0"/>
              <w:rPr>
                <w:sz w:val="17"/>
                <w:szCs w:val="17"/>
                <w:color w:val="auto"/>
              </w:rPr>
            </w:pPr>
          </w:p>
        </w:tc>
        <w:tc>
          <w:tcPr>
            <w:tcW w:w="2900" w:type="dxa"/>
            <w:vAlign w:val="bottom"/>
            <w:gridSpan w:val="2"/>
          </w:tcPr>
          <w:p>
            <w:pPr>
              <w:ind w:left="20"/>
              <w:spacing w:after="0"/>
              <w:rPr>
                <w:sz w:val="20"/>
                <w:szCs w:val="20"/>
                <w:color w:val="auto"/>
              </w:rPr>
            </w:pPr>
            <w:r>
              <w:rPr>
                <w:rFonts w:ascii="Arial" w:cs="Arial" w:eastAsia="Arial" w:hAnsi="Arial"/>
                <w:sz w:val="16"/>
                <w:szCs w:val="16"/>
                <w:color w:val="auto"/>
              </w:rPr>
              <w:t>Heating Degree Days</w:t>
            </w:r>
          </w:p>
        </w:tc>
        <w:tc>
          <w:tcPr>
            <w:tcW w:w="520" w:type="dxa"/>
            <w:vAlign w:val="bottom"/>
          </w:tcPr>
          <w:p>
            <w:pPr>
              <w:ind w:left="20"/>
              <w:spacing w:after="0"/>
              <w:rPr>
                <w:sz w:val="20"/>
                <w:szCs w:val="20"/>
                <w:color w:val="auto"/>
              </w:rPr>
            </w:pPr>
            <w:r>
              <w:rPr>
                <w:rFonts w:ascii="Arial" w:cs="Arial" w:eastAsia="Arial" w:hAnsi="Arial"/>
                <w:sz w:val="16"/>
                <w:szCs w:val="16"/>
                <w:color w:val="auto"/>
              </w:rPr>
              <w:t>Actual</w:t>
            </w:r>
          </w:p>
        </w:tc>
        <w:tc>
          <w:tcPr>
            <w:tcW w:w="2000" w:type="dxa"/>
            <w:vAlign w:val="bottom"/>
          </w:tcPr>
          <w:p>
            <w:pPr>
              <w:jc w:val="right"/>
              <w:ind w:right="159"/>
              <w:spacing w:after="0"/>
              <w:rPr>
                <w:sz w:val="20"/>
                <w:szCs w:val="20"/>
                <w:color w:val="auto"/>
              </w:rPr>
            </w:pPr>
            <w:r>
              <w:rPr>
                <w:rFonts w:ascii="Arial" w:cs="Arial" w:eastAsia="Arial" w:hAnsi="Arial"/>
                <w:sz w:val="16"/>
                <w:szCs w:val="16"/>
                <w:color w:val="auto"/>
              </w:rPr>
              <w:t>Normal</w:t>
            </w:r>
          </w:p>
        </w:tc>
        <w:tc>
          <w:tcPr>
            <w:tcW w:w="460" w:type="dxa"/>
            <w:vAlign w:val="bottom"/>
          </w:tcPr>
          <w:p>
            <w:pPr>
              <w:spacing w:after="0"/>
              <w:rPr>
                <w:sz w:val="17"/>
                <w:szCs w:val="17"/>
                <w:color w:val="auto"/>
              </w:rPr>
            </w:pPr>
          </w:p>
        </w:tc>
        <w:tc>
          <w:tcPr>
            <w:tcW w:w="2180" w:type="dxa"/>
            <w:vAlign w:val="bottom"/>
            <w:gridSpan w:val="2"/>
          </w:tcPr>
          <w:p>
            <w:pPr>
              <w:jc w:val="center"/>
              <w:ind w:right="440"/>
              <w:spacing w:after="0"/>
              <w:rPr>
                <w:sz w:val="20"/>
                <w:szCs w:val="20"/>
                <w:color w:val="auto"/>
              </w:rPr>
            </w:pPr>
            <w:r>
              <w:rPr>
                <w:rFonts w:ascii="Arial" w:cs="Arial" w:eastAsia="Arial" w:hAnsi="Arial"/>
                <w:sz w:val="16"/>
                <w:szCs w:val="16"/>
                <w:color w:val="auto"/>
                <w:w w:val="88"/>
              </w:rPr>
              <w:t>Year</w:t>
            </w:r>
          </w:p>
        </w:tc>
        <w:tc>
          <w:tcPr>
            <w:tcW w:w="1680" w:type="dxa"/>
            <w:vAlign w:val="bottom"/>
          </w:tcPr>
          <w:p>
            <w:pPr>
              <w:ind w:left="240"/>
              <w:spacing w:after="0"/>
              <w:rPr>
                <w:sz w:val="20"/>
                <w:szCs w:val="20"/>
                <w:color w:val="auto"/>
              </w:rPr>
            </w:pPr>
            <w:r>
              <w:rPr>
                <w:rFonts w:ascii="Arial" w:cs="Arial" w:eastAsia="Arial" w:hAnsi="Arial"/>
                <w:sz w:val="16"/>
                <w:szCs w:val="16"/>
                <w:color w:val="auto"/>
              </w:rPr>
              <w:t>Actual</w:t>
            </w:r>
          </w:p>
        </w:tc>
        <w:tc>
          <w:tcPr>
            <w:tcW w:w="1480" w:type="dxa"/>
            <w:vAlign w:val="bottom"/>
            <w:gridSpan w:val="2"/>
          </w:tcPr>
          <w:p>
            <w:pPr>
              <w:jc w:val="center"/>
              <w:ind w:right="300"/>
              <w:spacing w:after="0"/>
              <w:rPr>
                <w:sz w:val="20"/>
                <w:szCs w:val="20"/>
                <w:color w:val="auto"/>
              </w:rPr>
            </w:pPr>
            <w:r>
              <w:rPr>
                <w:rFonts w:ascii="Arial" w:cs="Arial" w:eastAsia="Arial" w:hAnsi="Arial"/>
                <w:sz w:val="16"/>
                <w:szCs w:val="16"/>
                <w:color w:val="auto"/>
                <w:w w:val="96"/>
              </w:rPr>
              <w:t>Normal</w:t>
            </w:r>
          </w:p>
        </w:tc>
      </w:tr>
      <w:tr>
        <w:trPr>
          <w:trHeight w:val="33"/>
        </w:trPr>
        <w:tc>
          <w:tcPr>
            <w:tcW w:w="2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318"/>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2900" w:type="dxa"/>
            <w:vAlign w:val="bottom"/>
            <w:tcBorders>
              <w:bottom w:val="single" w:sz="8" w:color="CEFFE7"/>
            </w:tcBorders>
            <w:gridSpan w:val="2"/>
            <w:shd w:val="clear" w:color="auto" w:fill="CEFFE7"/>
          </w:tcPr>
          <w:p>
            <w:pPr>
              <w:ind w:left="300"/>
              <w:spacing w:after="0"/>
              <w:rPr>
                <w:sz w:val="20"/>
                <w:szCs w:val="20"/>
                <w:color w:val="auto"/>
              </w:rPr>
            </w:pPr>
            <w:r>
              <w:rPr>
                <w:rFonts w:ascii="Arial" w:cs="Arial" w:eastAsia="Arial" w:hAnsi="Arial"/>
                <w:sz w:val="16"/>
                <w:szCs w:val="16"/>
                <w:color w:val="auto"/>
              </w:rPr>
              <w:t>Colorado Electric</w:t>
            </w:r>
          </w:p>
        </w:tc>
        <w:tc>
          <w:tcPr>
            <w:tcW w:w="520" w:type="dxa"/>
            <w:vAlign w:val="bottom"/>
            <w:tcBorders>
              <w:bottom w:val="single" w:sz="8" w:color="CEFFE7"/>
            </w:tcBorders>
            <w:shd w:val="clear" w:color="auto" w:fill="CEFFE7"/>
          </w:tcPr>
          <w:p>
            <w:pPr>
              <w:spacing w:after="0"/>
              <w:rPr>
                <w:sz w:val="21"/>
                <w:szCs w:val="21"/>
                <w:color w:val="auto"/>
              </w:rPr>
            </w:pPr>
          </w:p>
        </w:tc>
        <w:tc>
          <w:tcPr>
            <w:tcW w:w="2000" w:type="dxa"/>
            <w:vAlign w:val="bottom"/>
            <w:tcBorders>
              <w:bottom w:val="single" w:sz="8" w:color="CEFFE7"/>
            </w:tcBorders>
            <w:shd w:val="clear" w:color="auto" w:fill="CEFFE7"/>
          </w:tcPr>
          <w:p>
            <w:pPr>
              <w:jc w:val="right"/>
              <w:ind w:right="1499"/>
              <w:spacing w:after="0"/>
              <w:rPr>
                <w:sz w:val="20"/>
                <w:szCs w:val="20"/>
                <w:color w:val="auto"/>
              </w:rPr>
            </w:pPr>
            <w:r>
              <w:rPr>
                <w:rFonts w:ascii="Arial" w:cs="Arial" w:eastAsia="Arial" w:hAnsi="Arial"/>
                <w:sz w:val="16"/>
                <w:szCs w:val="16"/>
                <w:color w:val="auto"/>
                <w:w w:val="99"/>
              </w:rPr>
              <w:t>2,456</w:t>
            </w:r>
          </w:p>
        </w:tc>
        <w:tc>
          <w:tcPr>
            <w:tcW w:w="4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(7)%</w:t>
            </w:r>
          </w:p>
        </w:tc>
        <w:tc>
          <w:tcPr>
            <w:tcW w:w="166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6"/>
                <w:szCs w:val="16"/>
                <w:color w:val="auto"/>
              </w:rPr>
              <w:t>(4)%</w:t>
            </w:r>
          </w:p>
        </w:tc>
        <w:tc>
          <w:tcPr>
            <w:tcW w:w="520" w:type="dxa"/>
            <w:vAlign w:val="bottom"/>
            <w:tcBorders>
              <w:bottom w:val="single" w:sz="8" w:color="CEFFE7"/>
            </w:tcBorders>
            <w:shd w:val="clear" w:color="auto" w:fill="CEFFE7"/>
          </w:tcPr>
          <w:p>
            <w:pPr>
              <w:spacing w:after="0"/>
              <w:rPr>
                <w:sz w:val="21"/>
                <w:szCs w:val="21"/>
                <w:color w:val="auto"/>
              </w:rPr>
            </w:pPr>
          </w:p>
        </w:tc>
        <w:tc>
          <w:tcPr>
            <w:tcW w:w="1680" w:type="dxa"/>
            <w:vAlign w:val="bottom"/>
            <w:tcBorders>
              <w:bottom w:val="single" w:sz="8" w:color="CEFFE7"/>
            </w:tcBorders>
            <w:shd w:val="clear" w:color="auto" w:fill="CEFFE7"/>
          </w:tcPr>
          <w:p>
            <w:pPr>
              <w:jc w:val="right"/>
              <w:ind w:right="439"/>
              <w:spacing w:after="0"/>
              <w:rPr>
                <w:sz w:val="20"/>
                <w:szCs w:val="20"/>
                <w:color w:val="auto"/>
              </w:rPr>
            </w:pPr>
            <w:r>
              <w:rPr>
                <w:rFonts w:ascii="Arial" w:cs="Arial" w:eastAsia="Arial" w:hAnsi="Arial"/>
                <w:sz w:val="16"/>
                <w:szCs w:val="16"/>
                <w:color w:val="auto"/>
              </w:rPr>
              <w:t>2,549</w:t>
            </w:r>
          </w:p>
        </w:tc>
        <w:tc>
          <w:tcPr>
            <w:tcW w:w="14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w:t>
            </w:r>
          </w:p>
        </w:tc>
        <w:tc>
          <w:tcPr>
            <w:tcW w:w="20" w:type="dxa"/>
            <w:vAlign w:val="bottom"/>
            <w:tcBorders>
              <w:bottom w:val="single" w:sz="8" w:color="CEFFE7"/>
            </w:tcBorders>
            <w:shd w:val="clear" w:color="auto" w:fill="CEFFE7"/>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2900" w:type="dxa"/>
            <w:vAlign w:val="bottom"/>
            <w:gridSpan w:val="2"/>
          </w:tcPr>
          <w:p>
            <w:pPr>
              <w:ind w:left="300"/>
              <w:spacing w:after="0"/>
              <w:rPr>
                <w:sz w:val="20"/>
                <w:szCs w:val="20"/>
                <w:color w:val="auto"/>
              </w:rPr>
            </w:pPr>
            <w:r>
              <w:rPr>
                <w:rFonts w:ascii="Arial" w:cs="Arial" w:eastAsia="Arial" w:hAnsi="Arial"/>
                <w:sz w:val="16"/>
                <w:szCs w:val="16"/>
                <w:color w:val="auto"/>
              </w:rPr>
              <w:t>South Dakota Electric</w:t>
            </w:r>
          </w:p>
        </w:tc>
        <w:tc>
          <w:tcPr>
            <w:tcW w:w="520" w:type="dxa"/>
            <w:vAlign w:val="bottom"/>
          </w:tcPr>
          <w:p>
            <w:pPr>
              <w:spacing w:after="0"/>
              <w:rPr>
                <w:sz w:val="20"/>
                <w:szCs w:val="20"/>
                <w:color w:val="auto"/>
              </w:rPr>
            </w:pPr>
          </w:p>
        </w:tc>
        <w:tc>
          <w:tcPr>
            <w:tcW w:w="2000" w:type="dxa"/>
            <w:vAlign w:val="bottom"/>
          </w:tcPr>
          <w:p>
            <w:pPr>
              <w:jc w:val="right"/>
              <w:ind w:right="1499"/>
              <w:spacing w:after="0"/>
              <w:rPr>
                <w:sz w:val="20"/>
                <w:szCs w:val="20"/>
                <w:color w:val="auto"/>
              </w:rPr>
            </w:pPr>
            <w:r>
              <w:rPr>
                <w:rFonts w:ascii="Arial" w:cs="Arial" w:eastAsia="Arial" w:hAnsi="Arial"/>
                <w:sz w:val="16"/>
                <w:szCs w:val="16"/>
                <w:color w:val="auto"/>
                <w:w w:val="99"/>
              </w:rPr>
              <w:t>3,111</w:t>
            </w: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660" w:type="dxa"/>
            <w:vAlign w:val="bottom"/>
          </w:tcPr>
          <w:p>
            <w:pPr>
              <w:jc w:val="center"/>
              <w:spacing w:after="0"/>
              <w:rPr>
                <w:sz w:val="20"/>
                <w:szCs w:val="20"/>
                <w:color w:val="auto"/>
              </w:rPr>
            </w:pPr>
            <w:r>
              <w:rPr>
                <w:rFonts w:ascii="Arial" w:cs="Arial" w:eastAsia="Arial" w:hAnsi="Arial"/>
                <w:sz w:val="16"/>
                <w:szCs w:val="16"/>
                <w:color w:val="auto"/>
                <w:w w:val="98"/>
              </w:rPr>
              <w:t>(21)%</w:t>
            </w:r>
          </w:p>
        </w:tc>
        <w:tc>
          <w:tcPr>
            <w:tcW w:w="520" w:type="dxa"/>
            <w:vAlign w:val="bottom"/>
          </w:tcPr>
          <w:p>
            <w:pPr>
              <w:spacing w:after="0"/>
              <w:rPr>
                <w:sz w:val="20"/>
                <w:szCs w:val="20"/>
                <w:color w:val="auto"/>
              </w:rPr>
            </w:pPr>
          </w:p>
        </w:tc>
        <w:tc>
          <w:tcPr>
            <w:tcW w:w="1680" w:type="dxa"/>
            <w:vAlign w:val="bottom"/>
          </w:tcPr>
          <w:p>
            <w:pPr>
              <w:jc w:val="right"/>
              <w:ind w:right="439"/>
              <w:spacing w:after="0"/>
              <w:rPr>
                <w:sz w:val="20"/>
                <w:szCs w:val="20"/>
                <w:color w:val="auto"/>
              </w:rPr>
            </w:pPr>
            <w:r>
              <w:rPr>
                <w:rFonts w:ascii="Arial" w:cs="Arial" w:eastAsia="Arial" w:hAnsi="Arial"/>
                <w:sz w:val="16"/>
                <w:szCs w:val="16"/>
                <w:color w:val="auto"/>
              </w:rPr>
              <w:t>3,916</w:t>
            </w:r>
          </w:p>
        </w:tc>
        <w:tc>
          <w:tcPr>
            <w:tcW w:w="1460" w:type="dxa"/>
            <w:vAlign w:val="bottom"/>
          </w:tcPr>
          <w:p>
            <w:pPr>
              <w:jc w:val="right"/>
              <w:spacing w:after="0"/>
              <w:rPr>
                <w:sz w:val="20"/>
                <w:szCs w:val="20"/>
                <w:color w:val="auto"/>
              </w:rPr>
            </w:pPr>
            <w:r>
              <w:rPr>
                <w:rFonts w:ascii="Arial" w:cs="Arial" w:eastAsia="Arial" w:hAnsi="Arial"/>
                <w:sz w:val="16"/>
                <w:szCs w:val="16"/>
                <w:color w:val="auto"/>
              </w:rPr>
              <w:t>22 %</w:t>
            </w:r>
          </w:p>
        </w:tc>
        <w:tc>
          <w:tcPr>
            <w:tcW w:w="2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2900" w:type="dxa"/>
            <w:vAlign w:val="bottom"/>
            <w:tcBorders>
              <w:bottom w:val="single" w:sz="8" w:color="CEFFE7"/>
            </w:tcBorders>
            <w:gridSpan w:val="2"/>
            <w:shd w:val="clear" w:color="auto" w:fill="CEFFE7"/>
          </w:tcPr>
          <w:p>
            <w:pPr>
              <w:ind w:left="300"/>
              <w:spacing w:after="0"/>
              <w:rPr>
                <w:sz w:val="20"/>
                <w:szCs w:val="20"/>
                <w:color w:val="auto"/>
              </w:rPr>
            </w:pPr>
            <w:r>
              <w:rPr>
                <w:rFonts w:ascii="Arial" w:cs="Arial" w:eastAsia="Arial" w:hAnsi="Arial"/>
                <w:sz w:val="16"/>
                <w:szCs w:val="16"/>
                <w:color w:val="auto"/>
              </w:rPr>
              <w:t>Wyoming Electric</w:t>
            </w:r>
          </w:p>
        </w:tc>
        <w:tc>
          <w:tcPr>
            <w:tcW w:w="520" w:type="dxa"/>
            <w:vAlign w:val="bottom"/>
            <w:tcBorders>
              <w:bottom w:val="single" w:sz="8" w:color="CEFFE7"/>
            </w:tcBorders>
            <w:shd w:val="clear" w:color="auto" w:fill="CEFFE7"/>
          </w:tcPr>
          <w:p>
            <w:pPr>
              <w:spacing w:after="0"/>
              <w:rPr>
                <w:sz w:val="21"/>
                <w:szCs w:val="21"/>
                <w:color w:val="auto"/>
              </w:rPr>
            </w:pPr>
          </w:p>
        </w:tc>
        <w:tc>
          <w:tcPr>
            <w:tcW w:w="2000" w:type="dxa"/>
            <w:vAlign w:val="bottom"/>
            <w:tcBorders>
              <w:bottom w:val="single" w:sz="8" w:color="CEFFE7"/>
            </w:tcBorders>
            <w:shd w:val="clear" w:color="auto" w:fill="CEFFE7"/>
          </w:tcPr>
          <w:p>
            <w:pPr>
              <w:jc w:val="right"/>
              <w:ind w:right="1499"/>
              <w:spacing w:after="0"/>
              <w:rPr>
                <w:sz w:val="20"/>
                <w:szCs w:val="20"/>
                <w:color w:val="auto"/>
              </w:rPr>
            </w:pPr>
            <w:r>
              <w:rPr>
                <w:rFonts w:ascii="Arial" w:cs="Arial" w:eastAsia="Arial" w:hAnsi="Arial"/>
                <w:sz w:val="16"/>
                <w:szCs w:val="16"/>
                <w:color w:val="auto"/>
                <w:w w:val="99"/>
              </w:rPr>
              <w:t>2,999</w:t>
            </w:r>
          </w:p>
        </w:tc>
        <w:tc>
          <w:tcPr>
            <w:tcW w:w="4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w:t>
            </w:r>
          </w:p>
        </w:tc>
        <w:tc>
          <w:tcPr>
            <w:tcW w:w="166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6"/>
                <w:szCs w:val="16"/>
                <w:color w:val="auto"/>
              </w:rPr>
              <w:t>(6)%</w:t>
            </w:r>
          </w:p>
        </w:tc>
        <w:tc>
          <w:tcPr>
            <w:tcW w:w="520" w:type="dxa"/>
            <w:vAlign w:val="bottom"/>
            <w:tcBorders>
              <w:bottom w:val="single" w:sz="8" w:color="CEFFE7"/>
            </w:tcBorders>
            <w:shd w:val="clear" w:color="auto" w:fill="CEFFE7"/>
          </w:tcPr>
          <w:p>
            <w:pPr>
              <w:spacing w:after="0"/>
              <w:rPr>
                <w:sz w:val="21"/>
                <w:szCs w:val="21"/>
                <w:color w:val="auto"/>
              </w:rPr>
            </w:pPr>
          </w:p>
        </w:tc>
        <w:tc>
          <w:tcPr>
            <w:tcW w:w="1680" w:type="dxa"/>
            <w:vAlign w:val="bottom"/>
            <w:tcBorders>
              <w:bottom w:val="single" w:sz="8" w:color="CEFFE7"/>
            </w:tcBorders>
            <w:shd w:val="clear" w:color="auto" w:fill="CEFFE7"/>
          </w:tcPr>
          <w:p>
            <w:pPr>
              <w:jc w:val="right"/>
              <w:ind w:right="439"/>
              <w:spacing w:after="0"/>
              <w:rPr>
                <w:sz w:val="20"/>
                <w:szCs w:val="20"/>
                <w:color w:val="auto"/>
              </w:rPr>
            </w:pPr>
            <w:r>
              <w:rPr>
                <w:rFonts w:ascii="Arial" w:cs="Arial" w:eastAsia="Arial" w:hAnsi="Arial"/>
                <w:sz w:val="16"/>
                <w:szCs w:val="16"/>
                <w:color w:val="auto"/>
              </w:rPr>
              <w:t>3,198</w:t>
            </w:r>
          </w:p>
        </w:tc>
        <w:tc>
          <w:tcPr>
            <w:tcW w:w="1480" w:type="dxa"/>
            <w:vAlign w:val="bottom"/>
            <w:tcBorders>
              <w:bottom w:val="single" w:sz="8" w:color="CEFFE7"/>
            </w:tcBorders>
            <w:gridSpan w:val="2"/>
            <w:shd w:val="clear" w:color="auto" w:fill="CEFFE7"/>
          </w:tcPr>
          <w:p>
            <w:pPr>
              <w:jc w:val="right"/>
              <w:ind w:right="40"/>
              <w:spacing w:after="0"/>
              <w:rPr>
                <w:sz w:val="20"/>
                <w:szCs w:val="20"/>
                <w:color w:val="auto"/>
              </w:rPr>
            </w:pPr>
            <w:r>
              <w:rPr>
                <w:rFonts w:ascii="Arial" w:cs="Arial" w:eastAsia="Arial" w:hAnsi="Arial"/>
                <w:sz w:val="16"/>
                <w:szCs w:val="16"/>
                <w:color w:val="auto"/>
              </w:rPr>
              <w:t>— %</w:t>
            </w:r>
          </w:p>
        </w:tc>
      </w:tr>
      <w:tr>
        <w:trPr>
          <w:trHeight w:val="260"/>
        </w:trPr>
        <w:tc>
          <w:tcPr>
            <w:tcW w:w="20" w:type="dxa"/>
            <w:vAlign w:val="bottom"/>
          </w:tcPr>
          <w:p>
            <w:pPr>
              <w:spacing w:after="0"/>
              <w:rPr>
                <w:sz w:val="22"/>
                <w:szCs w:val="22"/>
                <w:color w:val="auto"/>
              </w:rPr>
            </w:pPr>
          </w:p>
        </w:tc>
        <w:tc>
          <w:tcPr>
            <w:tcW w:w="2900" w:type="dxa"/>
            <w:vAlign w:val="bottom"/>
            <w:gridSpan w:val="2"/>
          </w:tcPr>
          <w:p>
            <w:pPr>
              <w:ind w:left="480"/>
              <w:spacing w:after="0"/>
              <w:rPr>
                <w:sz w:val="20"/>
                <w:szCs w:val="20"/>
                <w:color w:val="auto"/>
              </w:rPr>
            </w:pPr>
            <w:r>
              <w:rPr>
                <w:rFonts w:ascii="Arial" w:cs="Arial" w:eastAsia="Arial" w:hAnsi="Arial"/>
                <w:sz w:val="16"/>
                <w:szCs w:val="16"/>
                <w:color w:val="auto"/>
              </w:rPr>
              <w:t xml:space="preserve">Combined </w:t>
            </w:r>
            <w:r>
              <w:rPr>
                <w:rFonts w:ascii="Arial" w:cs="Arial" w:eastAsia="Arial" w:hAnsi="Arial"/>
                <w:sz w:val="21"/>
                <w:szCs w:val="21"/>
                <w:color w:val="auto"/>
                <w:vertAlign w:val="superscript"/>
              </w:rPr>
              <w:t>(a)</w:t>
            </w:r>
          </w:p>
        </w:tc>
        <w:tc>
          <w:tcPr>
            <w:tcW w:w="520" w:type="dxa"/>
            <w:vAlign w:val="bottom"/>
          </w:tcPr>
          <w:p>
            <w:pPr>
              <w:spacing w:after="0"/>
              <w:rPr>
                <w:sz w:val="22"/>
                <w:szCs w:val="22"/>
                <w:color w:val="auto"/>
              </w:rPr>
            </w:pPr>
          </w:p>
        </w:tc>
        <w:tc>
          <w:tcPr>
            <w:tcW w:w="2000" w:type="dxa"/>
            <w:vAlign w:val="bottom"/>
          </w:tcPr>
          <w:p>
            <w:pPr>
              <w:jc w:val="right"/>
              <w:ind w:right="1499"/>
              <w:spacing w:after="0"/>
              <w:rPr>
                <w:sz w:val="20"/>
                <w:szCs w:val="20"/>
                <w:color w:val="auto"/>
              </w:rPr>
            </w:pPr>
            <w:r>
              <w:rPr>
                <w:rFonts w:ascii="Arial" w:cs="Arial" w:eastAsia="Arial" w:hAnsi="Arial"/>
                <w:sz w:val="16"/>
                <w:szCs w:val="16"/>
                <w:color w:val="auto"/>
                <w:w w:val="99"/>
              </w:rPr>
              <w:t>2,789</w:t>
            </w: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660" w:type="dxa"/>
            <w:vAlign w:val="bottom"/>
          </w:tcPr>
          <w:p>
            <w:pPr>
              <w:jc w:val="center"/>
              <w:ind w:left="19"/>
              <w:spacing w:after="0"/>
              <w:rPr>
                <w:sz w:val="20"/>
                <w:szCs w:val="20"/>
                <w:color w:val="auto"/>
              </w:rPr>
            </w:pPr>
            <w:r>
              <w:rPr>
                <w:rFonts w:ascii="Arial" w:cs="Arial" w:eastAsia="Arial" w:hAnsi="Arial"/>
                <w:sz w:val="16"/>
                <w:szCs w:val="16"/>
                <w:color w:val="auto"/>
                <w:w w:val="93"/>
              </w:rPr>
              <w:t>(11)%</w:t>
            </w:r>
          </w:p>
        </w:tc>
        <w:tc>
          <w:tcPr>
            <w:tcW w:w="520" w:type="dxa"/>
            <w:vAlign w:val="bottom"/>
          </w:tcPr>
          <w:p>
            <w:pPr>
              <w:spacing w:after="0"/>
              <w:rPr>
                <w:sz w:val="22"/>
                <w:szCs w:val="22"/>
                <w:color w:val="auto"/>
              </w:rPr>
            </w:pPr>
          </w:p>
        </w:tc>
        <w:tc>
          <w:tcPr>
            <w:tcW w:w="1680" w:type="dxa"/>
            <w:vAlign w:val="bottom"/>
          </w:tcPr>
          <w:p>
            <w:pPr>
              <w:jc w:val="right"/>
              <w:ind w:right="439"/>
              <w:spacing w:after="0"/>
              <w:rPr>
                <w:sz w:val="20"/>
                <w:szCs w:val="20"/>
                <w:color w:val="auto"/>
              </w:rPr>
            </w:pPr>
            <w:r>
              <w:rPr>
                <w:rFonts w:ascii="Arial" w:cs="Arial" w:eastAsia="Arial" w:hAnsi="Arial"/>
                <w:sz w:val="16"/>
                <w:szCs w:val="16"/>
                <w:color w:val="auto"/>
              </w:rPr>
              <w:t>3,147</w:t>
            </w:r>
          </w:p>
        </w:tc>
        <w:tc>
          <w:tcPr>
            <w:tcW w:w="1460" w:type="dxa"/>
            <w:vAlign w:val="bottom"/>
          </w:tcPr>
          <w:p>
            <w:pPr>
              <w:jc w:val="right"/>
              <w:spacing w:after="0"/>
              <w:rPr>
                <w:sz w:val="20"/>
                <w:szCs w:val="20"/>
                <w:color w:val="auto"/>
              </w:rPr>
            </w:pPr>
            <w:r>
              <w:rPr>
                <w:rFonts w:ascii="Arial" w:cs="Arial" w:eastAsia="Arial" w:hAnsi="Arial"/>
                <w:sz w:val="16"/>
                <w:szCs w:val="16"/>
                <w:color w:val="auto"/>
              </w:rPr>
              <w:t>7 %</w:t>
            </w:r>
          </w:p>
        </w:tc>
        <w:tc>
          <w:tcPr>
            <w:tcW w:w="20" w:type="dxa"/>
            <w:vAlign w:val="bottom"/>
          </w:tcPr>
          <w:p>
            <w:pPr>
              <w:spacing w:after="0"/>
              <w:rPr>
                <w:sz w:val="22"/>
                <w:szCs w:val="22"/>
                <w:color w:val="auto"/>
              </w:rPr>
            </w:pPr>
          </w:p>
        </w:tc>
      </w:tr>
      <w:tr>
        <w:trPr>
          <w:trHeight w:val="189"/>
        </w:trPr>
        <w:tc>
          <w:tcPr>
            <w:tcW w:w="2320" w:type="dxa"/>
            <w:vAlign w:val="bottom"/>
            <w:gridSpan w:val="2"/>
          </w:tcPr>
          <w:p>
            <w:pPr>
              <w:spacing w:after="0"/>
              <w:rPr>
                <w:sz w:val="20"/>
                <w:szCs w:val="20"/>
                <w:color w:val="auto"/>
              </w:rPr>
            </w:pPr>
            <w:r>
              <w:rPr>
                <w:rFonts w:ascii="Arial" w:cs="Arial" w:eastAsia="Arial" w:hAnsi="Arial"/>
                <w:sz w:val="16"/>
                <w:szCs w:val="16"/>
                <w:color w:val="auto"/>
              </w:rPr>
              <w:t>____________________</w:t>
            </w: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6"/>
        </w:trPr>
        <w:tc>
          <w:tcPr>
            <w:tcW w:w="8080" w:type="dxa"/>
            <w:vAlign w:val="bottom"/>
            <w:gridSpan w:val="8"/>
          </w:tcPr>
          <w:p>
            <w:pPr>
              <w:spacing w:after="0"/>
              <w:rPr>
                <w:sz w:val="20"/>
                <w:szCs w:val="20"/>
                <w:color w:val="auto"/>
              </w:rPr>
            </w:pPr>
            <w:r>
              <w:rPr>
                <w:rFonts w:ascii="Arial" w:cs="Arial" w:eastAsia="Arial" w:hAnsi="Arial"/>
                <w:sz w:val="16"/>
                <w:szCs w:val="16"/>
                <w:color w:val="auto"/>
              </w:rPr>
              <w:t>(a)  Combined actuals are calculated based on the weighted average number of total customers by state.</w:t>
            </w:r>
          </w:p>
        </w:tc>
        <w:tc>
          <w:tcPr>
            <w:tcW w:w="16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53"/>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160" w:type="dxa"/>
            <w:vAlign w:val="bottom"/>
            <w:gridSpan w:val="3"/>
          </w:tcPr>
          <w:p>
            <w:pPr>
              <w:ind w:left="300"/>
              <w:spacing w:after="0"/>
              <w:rPr>
                <w:sz w:val="20"/>
                <w:szCs w:val="20"/>
                <w:color w:val="auto"/>
              </w:rPr>
            </w:pPr>
            <w:r>
              <w:rPr>
                <w:rFonts w:ascii="Arial" w:cs="Arial" w:eastAsia="Arial" w:hAnsi="Arial"/>
                <w:sz w:val="16"/>
                <w:szCs w:val="16"/>
                <w:color w:val="auto"/>
              </w:rPr>
              <w:t>Three Months Ended March 31,</w:t>
            </w:r>
          </w:p>
        </w:tc>
      </w:tr>
      <w:tr>
        <w:trPr>
          <w:trHeight w:val="33"/>
        </w:trPr>
        <w:tc>
          <w:tcPr>
            <w:tcW w:w="20" w:type="dxa"/>
            <w:vAlign w:val="bottom"/>
          </w:tcPr>
          <w:p>
            <w:pPr>
              <w:spacing w:after="0"/>
              <w:rPr>
                <w:sz w:val="2"/>
                <w:szCs w:val="2"/>
                <w:color w:val="auto"/>
              </w:rPr>
            </w:pPr>
          </w:p>
        </w:tc>
        <w:tc>
          <w:tcPr>
            <w:tcW w:w="290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w w:val="92"/>
              </w:rPr>
              <w:t xml:space="preserve">Contracted Power Plant Fleet Availability </w:t>
            </w:r>
            <w:r>
              <w:rPr>
                <w:rFonts w:ascii="Arial" w:cs="Arial" w:eastAsia="Arial" w:hAnsi="Arial"/>
                <w:sz w:val="21"/>
                <w:szCs w:val="21"/>
                <w:color w:val="auto"/>
                <w:w w:val="92"/>
                <w:vertAlign w:val="superscript"/>
              </w:rPr>
              <w:t>(a)</w:t>
            </w:r>
          </w:p>
        </w:tc>
        <w:tc>
          <w:tcPr>
            <w:tcW w:w="52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2020</w:t>
            </w:r>
          </w:p>
        </w:tc>
        <w:tc>
          <w:tcPr>
            <w:tcW w:w="146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2019</w:t>
            </w:r>
          </w:p>
        </w:tc>
        <w:tc>
          <w:tcPr>
            <w:tcW w:w="20" w:type="dxa"/>
            <w:vAlign w:val="bottom"/>
          </w:tcPr>
          <w:p>
            <w:pPr>
              <w:spacing w:after="0"/>
              <w:rPr>
                <w:sz w:val="21"/>
                <w:szCs w:val="21"/>
                <w:color w:val="auto"/>
              </w:rPr>
            </w:pPr>
          </w:p>
        </w:tc>
      </w:tr>
      <w:tr>
        <w:trPr>
          <w:trHeight w:val="230"/>
        </w:trPr>
        <w:tc>
          <w:tcPr>
            <w:tcW w:w="20" w:type="dxa"/>
            <w:vAlign w:val="bottom"/>
            <w:tcBorders>
              <w:bottom w:val="single" w:sz="8" w:color="CEFFE7"/>
            </w:tcBorders>
            <w:shd w:val="clear" w:color="auto" w:fill="CEFFE7"/>
          </w:tcPr>
          <w:p>
            <w:pPr>
              <w:spacing w:after="0"/>
              <w:rPr>
                <w:sz w:val="20"/>
                <w:szCs w:val="20"/>
                <w:color w:val="auto"/>
              </w:rPr>
            </w:pPr>
          </w:p>
        </w:tc>
        <w:tc>
          <w:tcPr>
            <w:tcW w:w="290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Coal-fired plants</w:t>
            </w:r>
          </w:p>
        </w:tc>
        <w:tc>
          <w:tcPr>
            <w:tcW w:w="520" w:type="dxa"/>
            <w:vAlign w:val="bottom"/>
            <w:tcBorders>
              <w:bottom w:val="single" w:sz="8" w:color="CEFFE7"/>
            </w:tcBorders>
            <w:shd w:val="clear" w:color="auto" w:fill="CEFFE7"/>
          </w:tcPr>
          <w:p>
            <w:pPr>
              <w:spacing w:after="0"/>
              <w:rPr>
                <w:sz w:val="20"/>
                <w:szCs w:val="20"/>
                <w:color w:val="auto"/>
              </w:rPr>
            </w:pPr>
          </w:p>
        </w:tc>
        <w:tc>
          <w:tcPr>
            <w:tcW w:w="2000" w:type="dxa"/>
            <w:vAlign w:val="bottom"/>
            <w:tcBorders>
              <w:bottom w:val="single" w:sz="8" w:color="CEFFE7"/>
            </w:tcBorders>
            <w:shd w:val="clear" w:color="auto" w:fill="CEFFE7"/>
          </w:tcPr>
          <w:p>
            <w:pPr>
              <w:spacing w:after="0"/>
              <w:rPr>
                <w:sz w:val="20"/>
                <w:szCs w:val="20"/>
                <w:color w:val="auto"/>
              </w:rPr>
            </w:pPr>
          </w:p>
        </w:tc>
        <w:tc>
          <w:tcPr>
            <w:tcW w:w="460" w:type="dxa"/>
            <w:vAlign w:val="bottom"/>
            <w:tcBorders>
              <w:bottom w:val="single" w:sz="8" w:color="CEFFE7"/>
            </w:tcBorders>
            <w:shd w:val="clear" w:color="auto" w:fill="CEFFE7"/>
          </w:tcPr>
          <w:p>
            <w:pPr>
              <w:spacing w:after="0"/>
              <w:rPr>
                <w:sz w:val="20"/>
                <w:szCs w:val="20"/>
                <w:color w:val="auto"/>
              </w:rPr>
            </w:pPr>
          </w:p>
        </w:tc>
        <w:tc>
          <w:tcPr>
            <w:tcW w:w="1660" w:type="dxa"/>
            <w:vAlign w:val="bottom"/>
            <w:tcBorders>
              <w:bottom w:val="single" w:sz="8" w:color="CEFFE7"/>
            </w:tcBorders>
            <w:shd w:val="clear" w:color="auto" w:fill="CEFFE7"/>
          </w:tcPr>
          <w:p>
            <w:pPr>
              <w:spacing w:after="0"/>
              <w:rPr>
                <w:sz w:val="20"/>
                <w:szCs w:val="20"/>
                <w:color w:val="auto"/>
              </w:rPr>
            </w:pPr>
          </w:p>
        </w:tc>
        <w:tc>
          <w:tcPr>
            <w:tcW w:w="520" w:type="dxa"/>
            <w:vAlign w:val="bottom"/>
            <w:tcBorders>
              <w:bottom w:val="single" w:sz="8" w:color="CEFFE7"/>
            </w:tcBorders>
            <w:shd w:val="clear" w:color="auto" w:fill="CEFFE7"/>
          </w:tcPr>
          <w:p>
            <w:pPr>
              <w:spacing w:after="0"/>
              <w:rPr>
                <w:sz w:val="20"/>
                <w:szCs w:val="20"/>
                <w:color w:val="auto"/>
              </w:rPr>
            </w:pPr>
          </w:p>
        </w:tc>
        <w:tc>
          <w:tcPr>
            <w:tcW w:w="1680" w:type="dxa"/>
            <w:vAlign w:val="bottom"/>
            <w:tcBorders>
              <w:bottom w:val="single" w:sz="8" w:color="CEFFE7"/>
            </w:tcBorders>
            <w:shd w:val="clear" w:color="auto" w:fill="CEFFE7"/>
          </w:tcPr>
          <w:p>
            <w:pPr>
              <w:jc w:val="right"/>
              <w:ind w:right="319"/>
              <w:spacing w:after="0"/>
              <w:rPr>
                <w:sz w:val="20"/>
                <w:szCs w:val="20"/>
                <w:color w:val="auto"/>
              </w:rPr>
            </w:pPr>
            <w:r>
              <w:rPr>
                <w:rFonts w:ascii="Arial" w:cs="Arial" w:eastAsia="Arial" w:hAnsi="Arial"/>
                <w:sz w:val="16"/>
                <w:szCs w:val="16"/>
                <w:color w:val="auto"/>
              </w:rPr>
              <w:t>90.8%</w:t>
            </w:r>
          </w:p>
        </w:tc>
        <w:tc>
          <w:tcPr>
            <w:tcW w:w="14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96.2%</w:t>
            </w:r>
          </w:p>
        </w:tc>
        <w:tc>
          <w:tcPr>
            <w:tcW w:w="2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2900" w:type="dxa"/>
            <w:vAlign w:val="bottom"/>
            <w:gridSpan w:val="2"/>
          </w:tcPr>
          <w:p>
            <w:pPr>
              <w:ind w:left="20"/>
              <w:spacing w:after="0"/>
              <w:rPr>
                <w:sz w:val="20"/>
                <w:szCs w:val="20"/>
                <w:color w:val="auto"/>
              </w:rPr>
            </w:pPr>
            <w:r>
              <w:rPr>
                <w:rFonts w:ascii="Arial" w:cs="Arial" w:eastAsia="Arial" w:hAnsi="Arial"/>
                <w:sz w:val="16"/>
                <w:szCs w:val="16"/>
                <w:color w:val="auto"/>
                <w:w w:val="92"/>
              </w:rPr>
              <w:t xml:space="preserve">Natural gas-fired plants and Other plants </w:t>
            </w:r>
            <w:r>
              <w:rPr>
                <w:rFonts w:ascii="Arial" w:cs="Arial" w:eastAsia="Arial" w:hAnsi="Arial"/>
                <w:sz w:val="21"/>
                <w:szCs w:val="21"/>
                <w:color w:val="auto"/>
                <w:w w:val="92"/>
                <w:vertAlign w:val="superscript"/>
              </w:rPr>
              <w:t>(b)</w:t>
            </w:r>
          </w:p>
        </w:tc>
        <w:tc>
          <w:tcPr>
            <w:tcW w:w="52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80" w:type="dxa"/>
            <w:vAlign w:val="bottom"/>
          </w:tcPr>
          <w:p>
            <w:pPr>
              <w:jc w:val="right"/>
              <w:ind w:right="319"/>
              <w:spacing w:after="0"/>
              <w:rPr>
                <w:sz w:val="20"/>
                <w:szCs w:val="20"/>
                <w:color w:val="auto"/>
              </w:rPr>
            </w:pPr>
            <w:r>
              <w:rPr>
                <w:rFonts w:ascii="Arial" w:cs="Arial" w:eastAsia="Arial" w:hAnsi="Arial"/>
                <w:sz w:val="16"/>
                <w:szCs w:val="16"/>
                <w:color w:val="auto"/>
              </w:rPr>
              <w:t>83.5%</w:t>
            </w:r>
          </w:p>
        </w:tc>
        <w:tc>
          <w:tcPr>
            <w:tcW w:w="1460" w:type="dxa"/>
            <w:vAlign w:val="bottom"/>
          </w:tcPr>
          <w:p>
            <w:pPr>
              <w:jc w:val="right"/>
              <w:spacing w:after="0"/>
              <w:rPr>
                <w:sz w:val="20"/>
                <w:szCs w:val="20"/>
                <w:color w:val="auto"/>
              </w:rPr>
            </w:pPr>
            <w:r>
              <w:rPr>
                <w:rFonts w:ascii="Arial" w:cs="Arial" w:eastAsia="Arial" w:hAnsi="Arial"/>
                <w:sz w:val="16"/>
                <w:szCs w:val="16"/>
                <w:color w:val="auto"/>
              </w:rPr>
              <w:t>90.7%</w:t>
            </w:r>
          </w:p>
        </w:tc>
        <w:tc>
          <w:tcPr>
            <w:tcW w:w="20" w:type="dxa"/>
            <w:vAlign w:val="bottom"/>
          </w:tcPr>
          <w:p>
            <w:pPr>
              <w:spacing w:after="0"/>
              <w:rPr>
                <w:sz w:val="22"/>
                <w:szCs w:val="22"/>
                <w:color w:val="auto"/>
              </w:rPr>
            </w:pPr>
          </w:p>
        </w:tc>
      </w:tr>
      <w:tr>
        <w:trPr>
          <w:trHeight w:val="237"/>
        </w:trPr>
        <w:tc>
          <w:tcPr>
            <w:tcW w:w="20" w:type="dxa"/>
            <w:vAlign w:val="bottom"/>
            <w:tcBorders>
              <w:bottom w:val="single" w:sz="8" w:color="CEFFE7"/>
            </w:tcBorders>
            <w:shd w:val="clear" w:color="auto" w:fill="CEFFE7"/>
          </w:tcPr>
          <w:p>
            <w:pPr>
              <w:spacing w:after="0"/>
              <w:rPr>
                <w:sz w:val="20"/>
                <w:szCs w:val="20"/>
                <w:color w:val="auto"/>
              </w:rPr>
            </w:pPr>
          </w:p>
        </w:tc>
        <w:tc>
          <w:tcPr>
            <w:tcW w:w="290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Wind</w:t>
            </w:r>
          </w:p>
        </w:tc>
        <w:tc>
          <w:tcPr>
            <w:tcW w:w="520" w:type="dxa"/>
            <w:vAlign w:val="bottom"/>
            <w:tcBorders>
              <w:bottom w:val="single" w:sz="8" w:color="CEFFE7"/>
            </w:tcBorders>
            <w:shd w:val="clear" w:color="auto" w:fill="CEFFE7"/>
          </w:tcPr>
          <w:p>
            <w:pPr>
              <w:spacing w:after="0"/>
              <w:rPr>
                <w:sz w:val="20"/>
                <w:szCs w:val="20"/>
                <w:color w:val="auto"/>
              </w:rPr>
            </w:pPr>
          </w:p>
        </w:tc>
        <w:tc>
          <w:tcPr>
            <w:tcW w:w="2000" w:type="dxa"/>
            <w:vAlign w:val="bottom"/>
            <w:tcBorders>
              <w:bottom w:val="single" w:sz="8" w:color="CEFFE7"/>
            </w:tcBorders>
            <w:shd w:val="clear" w:color="auto" w:fill="CEFFE7"/>
          </w:tcPr>
          <w:p>
            <w:pPr>
              <w:spacing w:after="0"/>
              <w:rPr>
                <w:sz w:val="20"/>
                <w:szCs w:val="20"/>
                <w:color w:val="auto"/>
              </w:rPr>
            </w:pPr>
          </w:p>
        </w:tc>
        <w:tc>
          <w:tcPr>
            <w:tcW w:w="460" w:type="dxa"/>
            <w:vAlign w:val="bottom"/>
            <w:tcBorders>
              <w:bottom w:val="single" w:sz="8" w:color="CEFFE7"/>
            </w:tcBorders>
            <w:shd w:val="clear" w:color="auto" w:fill="CEFFE7"/>
          </w:tcPr>
          <w:p>
            <w:pPr>
              <w:spacing w:after="0"/>
              <w:rPr>
                <w:sz w:val="20"/>
                <w:szCs w:val="20"/>
                <w:color w:val="auto"/>
              </w:rPr>
            </w:pPr>
          </w:p>
        </w:tc>
        <w:tc>
          <w:tcPr>
            <w:tcW w:w="1660" w:type="dxa"/>
            <w:vAlign w:val="bottom"/>
            <w:tcBorders>
              <w:bottom w:val="single" w:sz="8" w:color="CEFFE7"/>
            </w:tcBorders>
            <w:shd w:val="clear" w:color="auto" w:fill="CEFFE7"/>
          </w:tcPr>
          <w:p>
            <w:pPr>
              <w:spacing w:after="0"/>
              <w:rPr>
                <w:sz w:val="20"/>
                <w:szCs w:val="20"/>
                <w:color w:val="auto"/>
              </w:rPr>
            </w:pPr>
          </w:p>
        </w:tc>
        <w:tc>
          <w:tcPr>
            <w:tcW w:w="520" w:type="dxa"/>
            <w:vAlign w:val="bottom"/>
            <w:tcBorders>
              <w:bottom w:val="single" w:sz="8" w:color="CEFFE7"/>
            </w:tcBorders>
            <w:shd w:val="clear" w:color="auto" w:fill="CEFFE7"/>
          </w:tcPr>
          <w:p>
            <w:pPr>
              <w:spacing w:after="0"/>
              <w:rPr>
                <w:sz w:val="20"/>
                <w:szCs w:val="20"/>
                <w:color w:val="auto"/>
              </w:rPr>
            </w:pPr>
          </w:p>
        </w:tc>
        <w:tc>
          <w:tcPr>
            <w:tcW w:w="1680" w:type="dxa"/>
            <w:vAlign w:val="bottom"/>
            <w:tcBorders>
              <w:bottom w:val="single" w:sz="8" w:color="CEFFE7"/>
            </w:tcBorders>
            <w:shd w:val="clear" w:color="auto" w:fill="CEFFE7"/>
          </w:tcPr>
          <w:p>
            <w:pPr>
              <w:jc w:val="right"/>
              <w:ind w:right="319"/>
              <w:spacing w:after="0"/>
              <w:rPr>
                <w:sz w:val="20"/>
                <w:szCs w:val="20"/>
                <w:color w:val="auto"/>
              </w:rPr>
            </w:pPr>
            <w:r>
              <w:rPr>
                <w:rFonts w:ascii="Arial" w:cs="Arial" w:eastAsia="Arial" w:hAnsi="Arial"/>
                <w:sz w:val="16"/>
                <w:szCs w:val="16"/>
                <w:color w:val="auto"/>
              </w:rPr>
              <w:t>99.0%</w:t>
            </w:r>
          </w:p>
        </w:tc>
        <w:tc>
          <w:tcPr>
            <w:tcW w:w="14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96.8%</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900" w:type="dxa"/>
            <w:vAlign w:val="bottom"/>
            <w:gridSpan w:val="2"/>
          </w:tcPr>
          <w:p>
            <w:pPr>
              <w:ind w:left="20"/>
              <w:spacing w:after="0"/>
              <w:rPr>
                <w:sz w:val="20"/>
                <w:szCs w:val="20"/>
                <w:color w:val="auto"/>
              </w:rPr>
            </w:pPr>
            <w:r>
              <w:rPr>
                <w:rFonts w:ascii="Arial" w:cs="Arial" w:eastAsia="Arial" w:hAnsi="Arial"/>
                <w:sz w:val="16"/>
                <w:szCs w:val="16"/>
                <w:color w:val="auto"/>
              </w:rPr>
              <w:t>Total Availability</w:t>
            </w:r>
          </w:p>
        </w:tc>
        <w:tc>
          <w:tcPr>
            <w:tcW w:w="5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80" w:type="dxa"/>
            <w:vAlign w:val="bottom"/>
          </w:tcPr>
          <w:p>
            <w:pPr>
              <w:jc w:val="right"/>
              <w:ind w:right="319"/>
              <w:spacing w:after="0"/>
              <w:rPr>
                <w:sz w:val="20"/>
                <w:szCs w:val="20"/>
                <w:color w:val="auto"/>
              </w:rPr>
            </w:pPr>
            <w:r>
              <w:rPr>
                <w:rFonts w:ascii="Arial" w:cs="Arial" w:eastAsia="Arial" w:hAnsi="Arial"/>
                <w:sz w:val="16"/>
                <w:szCs w:val="16"/>
                <w:color w:val="auto"/>
              </w:rPr>
              <w:t>87.1%</w:t>
            </w:r>
          </w:p>
        </w:tc>
        <w:tc>
          <w:tcPr>
            <w:tcW w:w="1460" w:type="dxa"/>
            <w:vAlign w:val="bottom"/>
          </w:tcPr>
          <w:p>
            <w:pPr>
              <w:jc w:val="right"/>
              <w:spacing w:after="0"/>
              <w:rPr>
                <w:sz w:val="20"/>
                <w:szCs w:val="20"/>
                <w:color w:val="auto"/>
              </w:rPr>
            </w:pPr>
            <w:r>
              <w:rPr>
                <w:rFonts w:ascii="Arial" w:cs="Arial" w:eastAsia="Arial" w:hAnsi="Arial"/>
                <w:sz w:val="16"/>
                <w:szCs w:val="16"/>
                <w:color w:val="auto"/>
              </w:rPr>
              <w:t>92.9%</w:t>
            </w:r>
          </w:p>
        </w:tc>
        <w:tc>
          <w:tcPr>
            <w:tcW w:w="20" w:type="dxa"/>
            <w:vAlign w:val="bottom"/>
          </w:tcPr>
          <w:p>
            <w:pPr>
              <w:spacing w:after="0"/>
              <w:rPr>
                <w:sz w:val="19"/>
                <w:szCs w:val="19"/>
                <w:color w:val="auto"/>
              </w:rPr>
            </w:pPr>
          </w:p>
        </w:tc>
      </w:tr>
      <w:tr>
        <w:trPr>
          <w:trHeight w:val="33"/>
        </w:trPr>
        <w:tc>
          <w:tcPr>
            <w:tcW w:w="20" w:type="dxa"/>
            <w:vAlign w:val="bottom"/>
          </w:tcPr>
          <w:p>
            <w:pPr>
              <w:spacing w:after="0"/>
              <w:rPr>
                <w:sz w:val="2"/>
                <w:szCs w:val="2"/>
                <w:color w:val="auto"/>
              </w:rPr>
            </w:pPr>
          </w:p>
        </w:tc>
        <w:tc>
          <w:tcPr>
            <w:tcW w:w="290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0"/>
        </w:trPr>
        <w:tc>
          <w:tcPr>
            <w:tcW w:w="20" w:type="dxa"/>
            <w:vAlign w:val="bottom"/>
            <w:shd w:val="clear" w:color="auto" w:fill="CEFFE7"/>
          </w:tcPr>
          <w:p>
            <w:pPr>
              <w:spacing w:after="0"/>
              <w:rPr>
                <w:sz w:val="19"/>
                <w:szCs w:val="19"/>
                <w:color w:val="auto"/>
              </w:rPr>
            </w:pPr>
          </w:p>
        </w:tc>
        <w:tc>
          <w:tcPr>
            <w:tcW w:w="2900" w:type="dxa"/>
            <w:vAlign w:val="bottom"/>
            <w:gridSpan w:val="2"/>
            <w:shd w:val="clear" w:color="auto" w:fill="CEFFE7"/>
          </w:tcPr>
          <w:p>
            <w:pPr>
              <w:spacing w:after="0"/>
              <w:rPr>
                <w:sz w:val="19"/>
                <w:szCs w:val="19"/>
                <w:color w:val="auto"/>
              </w:rPr>
            </w:pPr>
          </w:p>
        </w:tc>
        <w:tc>
          <w:tcPr>
            <w:tcW w:w="520" w:type="dxa"/>
            <w:vAlign w:val="bottom"/>
            <w:shd w:val="clear" w:color="auto" w:fill="CEFFE7"/>
          </w:tcPr>
          <w:p>
            <w:pPr>
              <w:spacing w:after="0"/>
              <w:rPr>
                <w:sz w:val="19"/>
                <w:szCs w:val="19"/>
                <w:color w:val="auto"/>
              </w:rPr>
            </w:pPr>
          </w:p>
        </w:tc>
        <w:tc>
          <w:tcPr>
            <w:tcW w:w="2000" w:type="dxa"/>
            <w:vAlign w:val="bottom"/>
            <w:shd w:val="clear" w:color="auto" w:fill="CEFFE7"/>
          </w:tcPr>
          <w:p>
            <w:pPr>
              <w:spacing w:after="0"/>
              <w:rPr>
                <w:sz w:val="19"/>
                <w:szCs w:val="19"/>
                <w:color w:val="auto"/>
              </w:rPr>
            </w:pPr>
          </w:p>
        </w:tc>
        <w:tc>
          <w:tcPr>
            <w:tcW w:w="460" w:type="dxa"/>
            <w:vAlign w:val="bottom"/>
            <w:shd w:val="clear" w:color="auto" w:fill="CEFFE7"/>
          </w:tcPr>
          <w:p>
            <w:pPr>
              <w:spacing w:after="0"/>
              <w:rPr>
                <w:sz w:val="19"/>
                <w:szCs w:val="19"/>
                <w:color w:val="auto"/>
              </w:rPr>
            </w:pPr>
          </w:p>
        </w:tc>
        <w:tc>
          <w:tcPr>
            <w:tcW w:w="1660" w:type="dxa"/>
            <w:vAlign w:val="bottom"/>
            <w:shd w:val="clear" w:color="auto" w:fill="CEFFE7"/>
          </w:tcPr>
          <w:p>
            <w:pPr>
              <w:spacing w:after="0"/>
              <w:rPr>
                <w:sz w:val="19"/>
                <w:szCs w:val="19"/>
                <w:color w:val="auto"/>
              </w:rPr>
            </w:pPr>
          </w:p>
        </w:tc>
        <w:tc>
          <w:tcPr>
            <w:tcW w:w="520" w:type="dxa"/>
            <w:vAlign w:val="bottom"/>
            <w:shd w:val="clear" w:color="auto" w:fill="CEFFE7"/>
          </w:tcPr>
          <w:p>
            <w:pPr>
              <w:spacing w:after="0"/>
              <w:rPr>
                <w:sz w:val="19"/>
                <w:szCs w:val="19"/>
                <w:color w:val="auto"/>
              </w:rPr>
            </w:pPr>
          </w:p>
        </w:tc>
        <w:tc>
          <w:tcPr>
            <w:tcW w:w="1680" w:type="dxa"/>
            <w:vAlign w:val="bottom"/>
            <w:shd w:val="clear" w:color="auto" w:fill="CEFFE7"/>
          </w:tcPr>
          <w:p>
            <w:pPr>
              <w:spacing w:after="0"/>
              <w:rPr>
                <w:sz w:val="19"/>
                <w:szCs w:val="19"/>
                <w:color w:val="auto"/>
              </w:rPr>
            </w:pPr>
          </w:p>
        </w:tc>
        <w:tc>
          <w:tcPr>
            <w:tcW w:w="1460" w:type="dxa"/>
            <w:vAlign w:val="bottom"/>
            <w:shd w:val="clear" w:color="auto" w:fill="CEFFE7"/>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900" w:type="dxa"/>
            <w:vAlign w:val="bottom"/>
            <w:gridSpan w:val="2"/>
          </w:tcPr>
          <w:p>
            <w:pPr>
              <w:ind w:left="20"/>
              <w:spacing w:after="0"/>
              <w:rPr>
                <w:sz w:val="20"/>
                <w:szCs w:val="20"/>
                <w:color w:val="auto"/>
              </w:rPr>
            </w:pPr>
            <w:r>
              <w:rPr>
                <w:rFonts w:ascii="Arial" w:cs="Arial" w:eastAsia="Arial" w:hAnsi="Arial"/>
                <w:sz w:val="16"/>
                <w:szCs w:val="16"/>
                <w:color w:val="auto"/>
              </w:rPr>
              <w:t>Wind Capacity Factor</w:t>
            </w:r>
          </w:p>
        </w:tc>
        <w:tc>
          <w:tcPr>
            <w:tcW w:w="5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80" w:type="dxa"/>
            <w:vAlign w:val="bottom"/>
          </w:tcPr>
          <w:p>
            <w:pPr>
              <w:jc w:val="right"/>
              <w:ind w:right="319"/>
              <w:spacing w:after="0"/>
              <w:rPr>
                <w:sz w:val="20"/>
                <w:szCs w:val="20"/>
                <w:color w:val="auto"/>
              </w:rPr>
            </w:pPr>
            <w:r>
              <w:rPr>
                <w:rFonts w:ascii="Arial" w:cs="Arial" w:eastAsia="Arial" w:hAnsi="Arial"/>
                <w:sz w:val="16"/>
                <w:szCs w:val="16"/>
                <w:color w:val="auto"/>
              </w:rPr>
              <w:t>45.6%</w:t>
            </w:r>
          </w:p>
        </w:tc>
        <w:tc>
          <w:tcPr>
            <w:tcW w:w="1460" w:type="dxa"/>
            <w:vAlign w:val="bottom"/>
          </w:tcPr>
          <w:p>
            <w:pPr>
              <w:jc w:val="right"/>
              <w:spacing w:after="0"/>
              <w:rPr>
                <w:sz w:val="20"/>
                <w:szCs w:val="20"/>
                <w:color w:val="auto"/>
              </w:rPr>
            </w:pPr>
            <w:r>
              <w:rPr>
                <w:rFonts w:ascii="Arial" w:cs="Arial" w:eastAsia="Arial" w:hAnsi="Arial"/>
                <w:sz w:val="16"/>
                <w:szCs w:val="16"/>
                <w:color w:val="auto"/>
              </w:rPr>
              <w:t>42.6%</w:t>
            </w:r>
          </w:p>
        </w:tc>
        <w:tc>
          <w:tcPr>
            <w:tcW w:w="20" w:type="dxa"/>
            <w:vAlign w:val="bottom"/>
          </w:tcPr>
          <w:p>
            <w:pPr>
              <w:spacing w:after="0"/>
              <w:rPr>
                <w:sz w:val="19"/>
                <w:szCs w:val="19"/>
                <w:color w:val="auto"/>
              </w:rPr>
            </w:pPr>
          </w:p>
        </w:tc>
      </w:tr>
      <w:tr>
        <w:trPr>
          <w:trHeight w:val="226"/>
        </w:trPr>
        <w:tc>
          <w:tcPr>
            <w:tcW w:w="2320" w:type="dxa"/>
            <w:vAlign w:val="bottom"/>
            <w:gridSpan w:val="2"/>
          </w:tcPr>
          <w:p>
            <w:pPr>
              <w:spacing w:after="0"/>
              <w:rPr>
                <w:sz w:val="20"/>
                <w:szCs w:val="20"/>
                <w:color w:val="auto"/>
              </w:rPr>
            </w:pPr>
            <w:r>
              <w:rPr>
                <w:rFonts w:ascii="Arial" w:cs="Arial" w:eastAsia="Arial" w:hAnsi="Arial"/>
                <w:sz w:val="16"/>
                <w:szCs w:val="16"/>
                <w:color w:val="auto"/>
              </w:rPr>
              <w:t>____________________</w:t>
            </w:r>
          </w:p>
        </w:tc>
        <w:tc>
          <w:tcPr>
            <w:tcW w:w="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ind w:left="340" w:hanging="332"/>
        <w:spacing w:after="0"/>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Availability and Wind Capacity Factor are calculated using a weighted average based on capacity of our generating fleet.</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2020 included an unplanned outage at Pueblo Airport Generation.</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26"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10"/>
        </w:trPr>
        <w:tc>
          <w:tcPr>
            <w:tcW w:w="7180" w:type="dxa"/>
            <w:vAlign w:val="bottom"/>
            <w:gridSpan w:val="2"/>
          </w:tcPr>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600"/>
        </w:trPr>
        <w:tc>
          <w:tcPr>
            <w:tcW w:w="71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Gas Utilities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98"/>
        </w:trPr>
        <w:tc>
          <w:tcPr>
            <w:tcW w:w="920" w:type="dxa"/>
            <w:vAlign w:val="bottom"/>
            <w:tcBorders>
              <w:top w:val="single" w:sz="8" w:color="auto"/>
            </w:tcBorders>
          </w:tcPr>
          <w:p>
            <w:pPr>
              <w:spacing w:after="0"/>
              <w:rPr>
                <w:sz w:val="24"/>
                <w:szCs w:val="24"/>
                <w:color w:val="auto"/>
              </w:rPr>
            </w:pPr>
          </w:p>
        </w:tc>
        <w:tc>
          <w:tcPr>
            <w:tcW w:w="6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40" w:type="dxa"/>
            <w:vAlign w:val="bottom"/>
            <w:gridSpan w:val="5"/>
          </w:tcPr>
          <w:p>
            <w:pPr>
              <w:jc w:val="center"/>
              <w:ind w:right="190"/>
              <w:spacing w:after="0"/>
              <w:rPr>
                <w:sz w:val="20"/>
                <w:szCs w:val="20"/>
                <w:color w:val="auto"/>
              </w:rPr>
            </w:pPr>
            <w:r>
              <w:rPr>
                <w:rFonts w:ascii="Arial" w:cs="Arial" w:eastAsia="Arial" w:hAnsi="Arial"/>
                <w:sz w:val="18"/>
                <w:szCs w:val="18"/>
                <w:color w:val="auto"/>
                <w:w w:val="90"/>
              </w:rPr>
              <w:t>Three Months Ended March 31,</w:t>
            </w:r>
          </w:p>
        </w:tc>
      </w:tr>
      <w:tr>
        <w:trPr>
          <w:trHeight w:val="270"/>
        </w:trPr>
        <w:tc>
          <w:tcPr>
            <w:tcW w:w="920" w:type="dxa"/>
            <w:vAlign w:val="bottom"/>
          </w:tcPr>
          <w:p>
            <w:pPr>
              <w:spacing w:after="0"/>
              <w:rPr>
                <w:sz w:val="23"/>
                <w:szCs w:val="23"/>
                <w:color w:val="auto"/>
              </w:rPr>
            </w:pPr>
          </w:p>
        </w:tc>
        <w:tc>
          <w:tcPr>
            <w:tcW w:w="6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280" w:type="dxa"/>
            <w:vAlign w:val="bottom"/>
          </w:tcPr>
          <w:p>
            <w:pPr>
              <w:spacing w:after="0"/>
              <w:rPr>
                <w:sz w:val="23"/>
                <w:szCs w:val="23"/>
                <w:color w:val="auto"/>
              </w:rPr>
            </w:pPr>
          </w:p>
        </w:tc>
        <w:tc>
          <w:tcPr>
            <w:tcW w:w="1120" w:type="dxa"/>
            <w:vAlign w:val="bottom"/>
          </w:tcPr>
          <w:p>
            <w:pPr>
              <w:jc w:val="right"/>
              <w:ind w:right="270"/>
              <w:spacing w:after="0"/>
              <w:rPr>
                <w:sz w:val="20"/>
                <w:szCs w:val="20"/>
                <w:color w:val="auto"/>
              </w:rPr>
            </w:pPr>
            <w:r>
              <w:rPr>
                <w:rFonts w:ascii="Arial" w:cs="Arial" w:eastAsia="Arial" w:hAnsi="Arial"/>
                <w:sz w:val="18"/>
                <w:szCs w:val="18"/>
                <w:color w:val="auto"/>
              </w:rPr>
              <w:t>Variance</w:t>
            </w:r>
          </w:p>
        </w:tc>
      </w:tr>
      <w:tr>
        <w:trPr>
          <w:trHeight w:val="27"/>
        </w:trPr>
        <w:tc>
          <w:tcPr>
            <w:tcW w:w="9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(in thousands)</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0"/>
        </w:trPr>
        <w:tc>
          <w:tcPr>
            <w:tcW w:w="7180" w:type="dxa"/>
            <w:vAlign w:val="bottom"/>
            <w:gridSpan w:val="2"/>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
        </w:trPr>
        <w:tc>
          <w:tcPr>
            <w:tcW w:w="9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180" w:type="dxa"/>
            <w:vAlign w:val="bottom"/>
            <w:tcBorders>
              <w:bottom w:val="single" w:sz="8" w:color="CEFFE7"/>
            </w:tcBorders>
            <w:gridSpan w:val="2"/>
            <w:shd w:val="clear" w:color="auto" w:fill="CEFFE7"/>
          </w:tcPr>
          <w:p>
            <w:pPr>
              <w:ind w:left="180"/>
              <w:spacing w:after="0"/>
              <w:rPr>
                <w:sz w:val="20"/>
                <w:szCs w:val="20"/>
                <w:color w:val="auto"/>
              </w:rPr>
            </w:pPr>
            <w:r>
              <w:rPr>
                <w:rFonts w:ascii="Arial" w:cs="Arial" w:eastAsia="Arial" w:hAnsi="Arial"/>
                <w:sz w:val="18"/>
                <w:szCs w:val="18"/>
                <w:color w:val="auto"/>
              </w:rPr>
              <w:t>Natural gas - regulated</w:t>
            </w:r>
          </w:p>
        </w:tc>
        <w:tc>
          <w:tcPr>
            <w:tcW w:w="32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335,897</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383,875</w:t>
            </w:r>
          </w:p>
        </w:tc>
        <w:tc>
          <w:tcPr>
            <w:tcW w:w="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(47,978)</w:t>
            </w:r>
          </w:p>
        </w:tc>
      </w:tr>
      <w:tr>
        <w:trPr>
          <w:trHeight w:val="243"/>
        </w:trPr>
        <w:tc>
          <w:tcPr>
            <w:tcW w:w="7180" w:type="dxa"/>
            <w:vAlign w:val="bottom"/>
            <w:gridSpan w:val="2"/>
          </w:tcPr>
          <w:p>
            <w:pPr>
              <w:ind w:left="180"/>
              <w:spacing w:after="0"/>
              <w:rPr>
                <w:sz w:val="20"/>
                <w:szCs w:val="20"/>
                <w:color w:val="auto"/>
              </w:rPr>
            </w:pPr>
            <w:r>
              <w:rPr>
                <w:rFonts w:ascii="Arial" w:cs="Arial" w:eastAsia="Arial" w:hAnsi="Arial"/>
                <w:sz w:val="18"/>
                <w:szCs w:val="18"/>
                <w:color w:val="auto"/>
              </w:rPr>
              <w:t>Other - non-regulated services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24,876</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27,205</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(2,329)</w:t>
            </w:r>
          </w:p>
        </w:tc>
      </w:tr>
      <w:tr>
        <w:trPr>
          <w:trHeight w:val="27"/>
        </w:trPr>
        <w:tc>
          <w:tcPr>
            <w:tcW w:w="920" w:type="dxa"/>
            <w:vAlign w:val="bottom"/>
            <w:tcBorders>
              <w:bottom w:val="single" w:sz="8" w:color="CEFFE7"/>
            </w:tcBorders>
          </w:tcPr>
          <w:p>
            <w:pPr>
              <w:spacing w:after="0"/>
              <w:rPr>
                <w:sz w:val="2"/>
                <w:szCs w:val="2"/>
                <w:color w:val="auto"/>
              </w:rPr>
            </w:pPr>
          </w:p>
        </w:tc>
        <w:tc>
          <w:tcPr>
            <w:tcW w:w="6260" w:type="dxa"/>
            <w:vAlign w:val="bottom"/>
            <w:tcBorders>
              <w:bottom w:val="single" w:sz="8" w:color="CEFFE7"/>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3"/>
        </w:trPr>
        <w:tc>
          <w:tcPr>
            <w:tcW w:w="7180" w:type="dxa"/>
            <w:vAlign w:val="bottom"/>
            <w:tcBorders>
              <w:bottom w:val="single" w:sz="8" w:color="CEFFE7"/>
            </w:tcBorders>
            <w:gridSpan w:val="2"/>
            <w:shd w:val="clear" w:color="auto" w:fill="CEFFE7"/>
          </w:tcPr>
          <w:p>
            <w:pPr>
              <w:ind w:left="60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CEFFE7"/>
            </w:tcBorders>
            <w:shd w:val="clear" w:color="auto" w:fill="CEFFE7"/>
          </w:tcPr>
          <w:p>
            <w:pPr>
              <w:spacing w:after="0"/>
              <w:rPr>
                <w:sz w:val="22"/>
                <w:szCs w:val="22"/>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360,773</w:t>
            </w:r>
          </w:p>
        </w:tc>
        <w:tc>
          <w:tcPr>
            <w:tcW w:w="180" w:type="dxa"/>
            <w:vAlign w:val="bottom"/>
            <w:tcBorders>
              <w:bottom w:val="single" w:sz="8" w:color="CEFFE7"/>
            </w:tcBorders>
            <w:shd w:val="clear" w:color="auto" w:fill="CEFFE7"/>
          </w:tcPr>
          <w:p>
            <w:pPr>
              <w:spacing w:after="0"/>
              <w:rPr>
                <w:sz w:val="22"/>
                <w:szCs w:val="22"/>
                <w:color w:val="auto"/>
              </w:rPr>
            </w:pP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411,080</w:t>
            </w:r>
          </w:p>
        </w:tc>
        <w:tc>
          <w:tcPr>
            <w:tcW w:w="280" w:type="dxa"/>
            <w:vAlign w:val="bottom"/>
            <w:tcBorders>
              <w:bottom w:val="single" w:sz="8" w:color="CEFFE7"/>
            </w:tcBorders>
            <w:shd w:val="clear" w:color="auto" w:fill="CEFFE7"/>
          </w:tcPr>
          <w:p>
            <w:pPr>
              <w:spacing w:after="0"/>
              <w:rPr>
                <w:sz w:val="22"/>
                <w:szCs w:val="22"/>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(50,307)</w:t>
            </w:r>
          </w:p>
        </w:tc>
      </w:tr>
      <w:tr>
        <w:trPr>
          <w:trHeight w:val="290"/>
        </w:trPr>
        <w:tc>
          <w:tcPr>
            <w:tcW w:w="92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71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Cost of sales:</w:t>
            </w:r>
          </w:p>
        </w:tc>
        <w:tc>
          <w:tcPr>
            <w:tcW w:w="32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spacing w:after="0"/>
              <w:rPr>
                <w:sz w:val="21"/>
                <w:szCs w:val="21"/>
                <w:color w:val="auto"/>
              </w:rPr>
            </w:pPr>
          </w:p>
        </w:tc>
      </w:tr>
      <w:tr>
        <w:trPr>
          <w:trHeight w:val="243"/>
        </w:trPr>
        <w:tc>
          <w:tcPr>
            <w:tcW w:w="7180" w:type="dxa"/>
            <w:vAlign w:val="bottom"/>
            <w:gridSpan w:val="2"/>
          </w:tcPr>
          <w:p>
            <w:pPr>
              <w:ind w:left="180"/>
              <w:spacing w:after="0"/>
              <w:rPr>
                <w:sz w:val="20"/>
                <w:szCs w:val="20"/>
                <w:color w:val="auto"/>
              </w:rPr>
            </w:pPr>
            <w:r>
              <w:rPr>
                <w:rFonts w:ascii="Arial" w:cs="Arial" w:eastAsia="Arial" w:hAnsi="Arial"/>
                <w:sz w:val="18"/>
                <w:szCs w:val="18"/>
                <w:color w:val="auto"/>
              </w:rPr>
              <w:t>Natural gas - regulated</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153,999</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201,050</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(47,051)</w:t>
            </w:r>
          </w:p>
        </w:tc>
      </w:tr>
      <w:tr>
        <w:trPr>
          <w:trHeight w:val="27"/>
        </w:trPr>
        <w:tc>
          <w:tcPr>
            <w:tcW w:w="9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180" w:type="dxa"/>
            <w:vAlign w:val="bottom"/>
            <w:tcBorders>
              <w:bottom w:val="single" w:sz="8" w:color="CEFFE7"/>
            </w:tcBorders>
            <w:gridSpan w:val="2"/>
            <w:shd w:val="clear" w:color="auto" w:fill="CEFFE7"/>
          </w:tcPr>
          <w:p>
            <w:pPr>
              <w:ind w:left="180"/>
              <w:spacing w:after="0"/>
              <w:rPr>
                <w:sz w:val="20"/>
                <w:szCs w:val="20"/>
                <w:color w:val="auto"/>
              </w:rPr>
            </w:pPr>
            <w:r>
              <w:rPr>
                <w:rFonts w:ascii="Arial" w:cs="Arial" w:eastAsia="Arial" w:hAnsi="Arial"/>
                <w:sz w:val="18"/>
                <w:szCs w:val="18"/>
                <w:color w:val="auto"/>
              </w:rPr>
              <w:t>Other - non-regulated services</w:t>
            </w:r>
          </w:p>
        </w:tc>
        <w:tc>
          <w:tcPr>
            <w:tcW w:w="320" w:type="dxa"/>
            <w:vAlign w:val="bottom"/>
            <w:tcBorders>
              <w:bottom w:val="single" w:sz="8" w:color="CEFFE7"/>
            </w:tcBorders>
            <w:shd w:val="clear" w:color="auto" w:fill="CEFFE7"/>
          </w:tcPr>
          <w:p>
            <w:pPr>
              <w:spacing w:after="0"/>
              <w:rPr>
                <w:sz w:val="23"/>
                <w:szCs w:val="23"/>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1,363</w:t>
            </w:r>
          </w:p>
        </w:tc>
        <w:tc>
          <w:tcPr>
            <w:tcW w:w="180" w:type="dxa"/>
            <w:vAlign w:val="bottom"/>
            <w:tcBorders>
              <w:bottom w:val="single" w:sz="8" w:color="CEFFE7"/>
            </w:tcBorders>
            <w:shd w:val="clear" w:color="auto" w:fill="CEFFE7"/>
          </w:tcPr>
          <w:p>
            <w:pPr>
              <w:spacing w:after="0"/>
              <w:rPr>
                <w:sz w:val="23"/>
                <w:szCs w:val="23"/>
                <w:color w:val="auto"/>
              </w:rPr>
            </w:pP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6,229</w:t>
            </w:r>
          </w:p>
        </w:tc>
        <w:tc>
          <w:tcPr>
            <w:tcW w:w="280" w:type="dxa"/>
            <w:vAlign w:val="bottom"/>
            <w:tcBorders>
              <w:bottom w:val="single" w:sz="8" w:color="CEFFE7"/>
            </w:tcBorders>
            <w:shd w:val="clear" w:color="auto" w:fill="CEFFE7"/>
          </w:tcPr>
          <w:p>
            <w:pPr>
              <w:spacing w:after="0"/>
              <w:rPr>
                <w:sz w:val="23"/>
                <w:szCs w:val="23"/>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(4,866)</w:t>
            </w:r>
          </w:p>
        </w:tc>
      </w:tr>
      <w:tr>
        <w:trPr>
          <w:trHeight w:val="237"/>
        </w:trPr>
        <w:tc>
          <w:tcPr>
            <w:tcW w:w="7180" w:type="dxa"/>
            <w:vAlign w:val="bottom"/>
            <w:gridSpan w:val="2"/>
          </w:tcPr>
          <w:p>
            <w:pPr>
              <w:ind w:left="600"/>
              <w:spacing w:after="0"/>
              <w:rPr>
                <w:sz w:val="20"/>
                <w:szCs w:val="20"/>
                <w:color w:val="auto"/>
              </w:rPr>
            </w:pPr>
            <w:r>
              <w:rPr>
                <w:rFonts w:ascii="Arial" w:cs="Arial" w:eastAsia="Arial" w:hAnsi="Arial"/>
                <w:sz w:val="18"/>
                <w:szCs w:val="18"/>
                <w:color w:val="auto"/>
              </w:rPr>
              <w:t>Total cost of sales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155,362</w:t>
            </w: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207,279</w:t>
            </w: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(51,917)</w:t>
            </w:r>
          </w:p>
        </w:tc>
      </w:tr>
      <w:tr>
        <w:trPr>
          <w:trHeight w:val="27"/>
        </w:trPr>
        <w:tc>
          <w:tcPr>
            <w:tcW w:w="920" w:type="dxa"/>
            <w:vAlign w:val="bottom"/>
            <w:tcBorders>
              <w:bottom w:val="single" w:sz="8" w:color="CEFFE7"/>
            </w:tcBorders>
          </w:tcPr>
          <w:p>
            <w:pPr>
              <w:spacing w:after="0"/>
              <w:rPr>
                <w:sz w:val="2"/>
                <w:szCs w:val="2"/>
                <w:color w:val="auto"/>
              </w:rPr>
            </w:pPr>
          </w:p>
        </w:tc>
        <w:tc>
          <w:tcPr>
            <w:tcW w:w="6260" w:type="dxa"/>
            <w:vAlign w:val="bottom"/>
            <w:tcBorders>
              <w:bottom w:val="single" w:sz="8" w:color="CEFFE7"/>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90"/>
        </w:trPr>
        <w:tc>
          <w:tcPr>
            <w:tcW w:w="920" w:type="dxa"/>
            <w:vAlign w:val="bottom"/>
            <w:shd w:val="clear" w:color="auto" w:fill="CEFFE7"/>
          </w:tcPr>
          <w:p>
            <w:pPr>
              <w:spacing w:after="0"/>
              <w:rPr>
                <w:sz w:val="24"/>
                <w:szCs w:val="24"/>
                <w:color w:val="auto"/>
              </w:rPr>
            </w:pPr>
          </w:p>
        </w:tc>
        <w:tc>
          <w:tcPr>
            <w:tcW w:w="6260" w:type="dxa"/>
            <w:vAlign w:val="bottom"/>
            <w:shd w:val="clear" w:color="auto" w:fill="CEFFE7"/>
          </w:tcPr>
          <w:p>
            <w:pPr>
              <w:spacing w:after="0"/>
              <w:rPr>
                <w:sz w:val="24"/>
                <w:szCs w:val="24"/>
                <w:color w:val="auto"/>
              </w:rPr>
            </w:pPr>
          </w:p>
        </w:tc>
        <w:tc>
          <w:tcPr>
            <w:tcW w:w="320" w:type="dxa"/>
            <w:vAlign w:val="bottom"/>
            <w:tcBorders>
              <w:bottom w:val="single" w:sz="8" w:color="auto"/>
            </w:tcBorders>
            <w:shd w:val="clear" w:color="auto" w:fill="CEFFE7"/>
          </w:tcPr>
          <w:p>
            <w:pPr>
              <w:spacing w:after="0"/>
              <w:rPr>
                <w:sz w:val="24"/>
                <w:szCs w:val="24"/>
                <w:color w:val="auto"/>
              </w:rPr>
            </w:pPr>
          </w:p>
        </w:tc>
        <w:tc>
          <w:tcPr>
            <w:tcW w:w="1000" w:type="dxa"/>
            <w:vAlign w:val="bottom"/>
            <w:tcBorders>
              <w:bottom w:val="single" w:sz="8" w:color="auto"/>
            </w:tcBorders>
            <w:shd w:val="clear" w:color="auto" w:fill="CEFFE7"/>
          </w:tcPr>
          <w:p>
            <w:pPr>
              <w:spacing w:after="0"/>
              <w:rPr>
                <w:sz w:val="24"/>
                <w:szCs w:val="24"/>
                <w:color w:val="auto"/>
              </w:rPr>
            </w:pPr>
          </w:p>
        </w:tc>
        <w:tc>
          <w:tcPr>
            <w:tcW w:w="180" w:type="dxa"/>
            <w:vAlign w:val="bottom"/>
            <w:tcBorders>
              <w:bottom w:val="single" w:sz="8" w:color="auto"/>
            </w:tcBorders>
            <w:shd w:val="clear" w:color="auto" w:fill="CEFFE7"/>
          </w:tcPr>
          <w:p>
            <w:pPr>
              <w:spacing w:after="0"/>
              <w:rPr>
                <w:sz w:val="24"/>
                <w:szCs w:val="24"/>
                <w:color w:val="auto"/>
              </w:rPr>
            </w:pPr>
          </w:p>
        </w:tc>
        <w:tc>
          <w:tcPr>
            <w:tcW w:w="1160" w:type="dxa"/>
            <w:vAlign w:val="bottom"/>
            <w:tcBorders>
              <w:bottom w:val="single" w:sz="8" w:color="auto"/>
            </w:tcBorders>
            <w:shd w:val="clear" w:color="auto" w:fill="CEFFE7"/>
          </w:tcPr>
          <w:p>
            <w:pPr>
              <w:spacing w:after="0"/>
              <w:rPr>
                <w:sz w:val="24"/>
                <w:szCs w:val="24"/>
                <w:color w:val="auto"/>
              </w:rPr>
            </w:pPr>
          </w:p>
        </w:tc>
        <w:tc>
          <w:tcPr>
            <w:tcW w:w="280" w:type="dxa"/>
            <w:vAlign w:val="bottom"/>
            <w:tcBorders>
              <w:bottom w:val="single" w:sz="8" w:color="auto"/>
            </w:tcBorders>
            <w:shd w:val="clear" w:color="auto" w:fill="CEFFE7"/>
          </w:tcPr>
          <w:p>
            <w:pPr>
              <w:spacing w:after="0"/>
              <w:rPr>
                <w:sz w:val="24"/>
                <w:szCs w:val="24"/>
                <w:color w:val="auto"/>
              </w:rPr>
            </w:pPr>
          </w:p>
        </w:tc>
        <w:tc>
          <w:tcPr>
            <w:tcW w:w="1120" w:type="dxa"/>
            <w:vAlign w:val="bottom"/>
            <w:tcBorders>
              <w:bottom w:val="single" w:sz="8" w:color="auto"/>
            </w:tcBorders>
            <w:shd w:val="clear" w:color="auto" w:fill="CEFFE7"/>
          </w:tcPr>
          <w:p>
            <w:pPr>
              <w:spacing w:after="0"/>
              <w:rPr>
                <w:sz w:val="24"/>
                <w:szCs w:val="24"/>
                <w:color w:val="auto"/>
              </w:rPr>
            </w:pPr>
          </w:p>
        </w:tc>
      </w:tr>
      <w:tr>
        <w:trPr>
          <w:trHeight w:val="237"/>
        </w:trPr>
        <w:tc>
          <w:tcPr>
            <w:tcW w:w="7180" w:type="dxa"/>
            <w:vAlign w:val="bottom"/>
            <w:gridSpan w:val="2"/>
          </w:tcPr>
          <w:p>
            <w:pPr>
              <w:ind w:left="40"/>
              <w:spacing w:after="0"/>
              <w:rPr>
                <w:sz w:val="20"/>
                <w:szCs w:val="20"/>
                <w:color w:val="auto"/>
              </w:rPr>
            </w:pPr>
            <w:r>
              <w:rPr>
                <w:rFonts w:ascii="Arial" w:cs="Arial" w:eastAsia="Arial" w:hAnsi="Arial"/>
                <w:sz w:val="18"/>
                <w:szCs w:val="18"/>
                <w:color w:val="auto"/>
              </w:rPr>
              <w:t>Gross margin (non-GAAP)</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205,411</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203,801</w:t>
            </w:r>
          </w:p>
        </w:tc>
        <w:tc>
          <w:tcPr>
            <w:tcW w:w="28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1,610</w:t>
            </w:r>
          </w:p>
        </w:tc>
      </w:tr>
      <w:tr>
        <w:trPr>
          <w:trHeight w:val="27"/>
        </w:trPr>
        <w:tc>
          <w:tcPr>
            <w:tcW w:w="920" w:type="dxa"/>
            <w:vAlign w:val="bottom"/>
            <w:tcBorders>
              <w:bottom w:val="single" w:sz="8" w:color="CEFFE7"/>
            </w:tcBorders>
          </w:tcPr>
          <w:p>
            <w:pPr>
              <w:spacing w:after="0"/>
              <w:rPr>
                <w:sz w:val="2"/>
                <w:szCs w:val="2"/>
                <w:color w:val="auto"/>
              </w:rPr>
            </w:pPr>
          </w:p>
        </w:tc>
        <w:tc>
          <w:tcPr>
            <w:tcW w:w="6260" w:type="dxa"/>
            <w:vAlign w:val="bottom"/>
            <w:tcBorders>
              <w:bottom w:val="single" w:sz="8" w:color="CEFFE7"/>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91"/>
        </w:trPr>
        <w:tc>
          <w:tcPr>
            <w:tcW w:w="920" w:type="dxa"/>
            <w:vAlign w:val="bottom"/>
            <w:shd w:val="clear" w:color="auto" w:fill="CEFFE7"/>
          </w:tcPr>
          <w:p>
            <w:pPr>
              <w:spacing w:after="0"/>
              <w:rPr>
                <w:sz w:val="24"/>
                <w:szCs w:val="24"/>
                <w:color w:val="auto"/>
              </w:rPr>
            </w:pPr>
          </w:p>
        </w:tc>
        <w:tc>
          <w:tcPr>
            <w:tcW w:w="6260" w:type="dxa"/>
            <w:vAlign w:val="bottom"/>
            <w:shd w:val="clear" w:color="auto" w:fill="CEFFE7"/>
          </w:tcPr>
          <w:p>
            <w:pPr>
              <w:spacing w:after="0"/>
              <w:rPr>
                <w:sz w:val="24"/>
                <w:szCs w:val="24"/>
                <w:color w:val="auto"/>
              </w:rPr>
            </w:pPr>
          </w:p>
        </w:tc>
        <w:tc>
          <w:tcPr>
            <w:tcW w:w="320" w:type="dxa"/>
            <w:vAlign w:val="bottom"/>
            <w:shd w:val="clear" w:color="auto" w:fill="CEFFE7"/>
          </w:tcPr>
          <w:p>
            <w:pPr>
              <w:spacing w:after="0"/>
              <w:rPr>
                <w:sz w:val="24"/>
                <w:szCs w:val="24"/>
                <w:color w:val="auto"/>
              </w:rPr>
            </w:pPr>
          </w:p>
        </w:tc>
        <w:tc>
          <w:tcPr>
            <w:tcW w:w="1000" w:type="dxa"/>
            <w:vAlign w:val="bottom"/>
            <w:shd w:val="clear" w:color="auto" w:fill="CEFFE7"/>
          </w:tcPr>
          <w:p>
            <w:pPr>
              <w:spacing w:after="0"/>
              <w:rPr>
                <w:sz w:val="24"/>
                <w:szCs w:val="24"/>
                <w:color w:val="auto"/>
              </w:rPr>
            </w:pPr>
          </w:p>
        </w:tc>
        <w:tc>
          <w:tcPr>
            <w:tcW w:w="180" w:type="dxa"/>
            <w:vAlign w:val="bottom"/>
            <w:shd w:val="clear" w:color="auto" w:fill="CEFFE7"/>
          </w:tcPr>
          <w:p>
            <w:pPr>
              <w:spacing w:after="0"/>
              <w:rPr>
                <w:sz w:val="24"/>
                <w:szCs w:val="24"/>
                <w:color w:val="auto"/>
              </w:rPr>
            </w:pPr>
          </w:p>
        </w:tc>
        <w:tc>
          <w:tcPr>
            <w:tcW w:w="1160" w:type="dxa"/>
            <w:vAlign w:val="bottom"/>
            <w:shd w:val="clear" w:color="auto" w:fill="CEFFE7"/>
          </w:tcPr>
          <w:p>
            <w:pPr>
              <w:spacing w:after="0"/>
              <w:rPr>
                <w:sz w:val="24"/>
                <w:szCs w:val="24"/>
                <w:color w:val="auto"/>
              </w:rPr>
            </w:pPr>
          </w:p>
        </w:tc>
        <w:tc>
          <w:tcPr>
            <w:tcW w:w="280" w:type="dxa"/>
            <w:vAlign w:val="bottom"/>
            <w:shd w:val="clear" w:color="auto" w:fill="CEFFE7"/>
          </w:tcPr>
          <w:p>
            <w:pPr>
              <w:spacing w:after="0"/>
              <w:rPr>
                <w:sz w:val="24"/>
                <w:szCs w:val="24"/>
                <w:color w:val="auto"/>
              </w:rPr>
            </w:pPr>
          </w:p>
        </w:tc>
        <w:tc>
          <w:tcPr>
            <w:tcW w:w="1120" w:type="dxa"/>
            <w:vAlign w:val="bottom"/>
            <w:shd w:val="clear" w:color="auto" w:fill="CEFFE7"/>
          </w:tcPr>
          <w:p>
            <w:pPr>
              <w:spacing w:after="0"/>
              <w:rPr>
                <w:sz w:val="24"/>
                <w:szCs w:val="24"/>
                <w:color w:val="auto"/>
              </w:rPr>
            </w:pPr>
          </w:p>
        </w:tc>
      </w:tr>
      <w:tr>
        <w:trPr>
          <w:trHeight w:val="243"/>
        </w:trPr>
        <w:tc>
          <w:tcPr>
            <w:tcW w:w="7180" w:type="dxa"/>
            <w:vAlign w:val="bottom"/>
            <w:gridSpan w:val="2"/>
          </w:tcPr>
          <w:p>
            <w:pPr>
              <w:ind w:left="40"/>
              <w:spacing w:after="0"/>
              <w:rPr>
                <w:sz w:val="20"/>
                <w:szCs w:val="20"/>
                <w:color w:val="auto"/>
              </w:rPr>
            </w:pPr>
            <w:r>
              <w:rPr>
                <w:rFonts w:ascii="Arial" w:cs="Arial" w:eastAsia="Arial" w:hAnsi="Arial"/>
                <w:sz w:val="18"/>
                <w:szCs w:val="18"/>
                <w:color w:val="auto"/>
              </w:rPr>
              <w:t>Operations and maintenance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77,293</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77,938</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(645)</w:t>
            </w:r>
          </w:p>
        </w:tc>
      </w:tr>
      <w:tr>
        <w:trPr>
          <w:trHeight w:val="27"/>
        </w:trPr>
        <w:tc>
          <w:tcPr>
            <w:tcW w:w="9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1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EFFE7"/>
            </w:tcBorders>
            <w:shd w:val="clear" w:color="auto" w:fill="CEFFE7"/>
          </w:tcPr>
          <w:p>
            <w:pPr>
              <w:spacing w:after="0"/>
              <w:rPr>
                <w:sz w:val="23"/>
                <w:szCs w:val="23"/>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25,221</w:t>
            </w:r>
          </w:p>
        </w:tc>
        <w:tc>
          <w:tcPr>
            <w:tcW w:w="180" w:type="dxa"/>
            <w:vAlign w:val="bottom"/>
            <w:tcBorders>
              <w:bottom w:val="single" w:sz="8" w:color="CEFFE7"/>
            </w:tcBorders>
            <w:shd w:val="clear" w:color="auto" w:fill="CEFFE7"/>
          </w:tcPr>
          <w:p>
            <w:pPr>
              <w:spacing w:after="0"/>
              <w:rPr>
                <w:sz w:val="23"/>
                <w:szCs w:val="23"/>
                <w:color w:val="auto"/>
              </w:rPr>
            </w:pP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22,549</w:t>
            </w:r>
          </w:p>
        </w:tc>
        <w:tc>
          <w:tcPr>
            <w:tcW w:w="280" w:type="dxa"/>
            <w:vAlign w:val="bottom"/>
            <w:tcBorders>
              <w:bottom w:val="single" w:sz="8" w:color="CEFFE7"/>
            </w:tcBorders>
            <w:shd w:val="clear" w:color="auto" w:fill="CEFFE7"/>
          </w:tcPr>
          <w:p>
            <w:pPr>
              <w:spacing w:after="0"/>
              <w:rPr>
                <w:sz w:val="23"/>
                <w:szCs w:val="23"/>
                <w:color w:val="auto"/>
              </w:rPr>
            </w:pP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2,672</w:t>
            </w:r>
          </w:p>
        </w:tc>
      </w:tr>
      <w:tr>
        <w:trPr>
          <w:trHeight w:val="237"/>
        </w:trPr>
        <w:tc>
          <w:tcPr>
            <w:tcW w:w="7180" w:type="dxa"/>
            <w:vAlign w:val="bottom"/>
            <w:gridSpan w:val="2"/>
          </w:tcPr>
          <w:p>
            <w:pPr>
              <w:ind w:left="60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102,514</w:t>
            </w: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100,487</w:t>
            </w: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2,027</w:t>
            </w:r>
          </w:p>
        </w:tc>
      </w:tr>
      <w:tr>
        <w:trPr>
          <w:trHeight w:val="27"/>
        </w:trPr>
        <w:tc>
          <w:tcPr>
            <w:tcW w:w="920" w:type="dxa"/>
            <w:vAlign w:val="bottom"/>
            <w:tcBorders>
              <w:bottom w:val="single" w:sz="8" w:color="CEFFE7"/>
            </w:tcBorders>
          </w:tcPr>
          <w:p>
            <w:pPr>
              <w:spacing w:after="0"/>
              <w:rPr>
                <w:sz w:val="2"/>
                <w:szCs w:val="2"/>
                <w:color w:val="auto"/>
              </w:rPr>
            </w:pPr>
          </w:p>
        </w:tc>
        <w:tc>
          <w:tcPr>
            <w:tcW w:w="6260" w:type="dxa"/>
            <w:vAlign w:val="bottom"/>
            <w:tcBorders>
              <w:bottom w:val="single" w:sz="8" w:color="CEFFE7"/>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91"/>
        </w:trPr>
        <w:tc>
          <w:tcPr>
            <w:tcW w:w="920" w:type="dxa"/>
            <w:vAlign w:val="bottom"/>
            <w:shd w:val="clear" w:color="auto" w:fill="CEFFE7"/>
          </w:tcPr>
          <w:p>
            <w:pPr>
              <w:spacing w:after="0"/>
              <w:rPr>
                <w:sz w:val="24"/>
                <w:szCs w:val="24"/>
                <w:color w:val="auto"/>
              </w:rPr>
            </w:pPr>
          </w:p>
        </w:tc>
        <w:tc>
          <w:tcPr>
            <w:tcW w:w="6260" w:type="dxa"/>
            <w:vAlign w:val="bottom"/>
            <w:shd w:val="clear" w:color="auto" w:fill="CEFFE7"/>
          </w:tcPr>
          <w:p>
            <w:pPr>
              <w:spacing w:after="0"/>
              <w:rPr>
                <w:sz w:val="24"/>
                <w:szCs w:val="24"/>
                <w:color w:val="auto"/>
              </w:rPr>
            </w:pPr>
          </w:p>
        </w:tc>
        <w:tc>
          <w:tcPr>
            <w:tcW w:w="320" w:type="dxa"/>
            <w:vAlign w:val="bottom"/>
            <w:tcBorders>
              <w:bottom w:val="single" w:sz="8" w:color="auto"/>
            </w:tcBorders>
            <w:shd w:val="clear" w:color="auto" w:fill="CEFFE7"/>
          </w:tcPr>
          <w:p>
            <w:pPr>
              <w:spacing w:after="0"/>
              <w:rPr>
                <w:sz w:val="24"/>
                <w:szCs w:val="24"/>
                <w:color w:val="auto"/>
              </w:rPr>
            </w:pPr>
          </w:p>
        </w:tc>
        <w:tc>
          <w:tcPr>
            <w:tcW w:w="1000" w:type="dxa"/>
            <w:vAlign w:val="bottom"/>
            <w:tcBorders>
              <w:bottom w:val="single" w:sz="8" w:color="auto"/>
            </w:tcBorders>
            <w:shd w:val="clear" w:color="auto" w:fill="CEFFE7"/>
          </w:tcPr>
          <w:p>
            <w:pPr>
              <w:spacing w:after="0"/>
              <w:rPr>
                <w:sz w:val="24"/>
                <w:szCs w:val="24"/>
                <w:color w:val="auto"/>
              </w:rPr>
            </w:pPr>
          </w:p>
        </w:tc>
        <w:tc>
          <w:tcPr>
            <w:tcW w:w="180" w:type="dxa"/>
            <w:vAlign w:val="bottom"/>
            <w:tcBorders>
              <w:bottom w:val="single" w:sz="8" w:color="auto"/>
            </w:tcBorders>
            <w:shd w:val="clear" w:color="auto" w:fill="CEFFE7"/>
          </w:tcPr>
          <w:p>
            <w:pPr>
              <w:spacing w:after="0"/>
              <w:rPr>
                <w:sz w:val="24"/>
                <w:szCs w:val="24"/>
                <w:color w:val="auto"/>
              </w:rPr>
            </w:pPr>
          </w:p>
        </w:tc>
        <w:tc>
          <w:tcPr>
            <w:tcW w:w="1160" w:type="dxa"/>
            <w:vAlign w:val="bottom"/>
            <w:tcBorders>
              <w:bottom w:val="single" w:sz="8" w:color="auto"/>
            </w:tcBorders>
            <w:shd w:val="clear" w:color="auto" w:fill="CEFFE7"/>
          </w:tcPr>
          <w:p>
            <w:pPr>
              <w:spacing w:after="0"/>
              <w:rPr>
                <w:sz w:val="24"/>
                <w:szCs w:val="24"/>
                <w:color w:val="auto"/>
              </w:rPr>
            </w:pPr>
          </w:p>
        </w:tc>
        <w:tc>
          <w:tcPr>
            <w:tcW w:w="280" w:type="dxa"/>
            <w:vAlign w:val="bottom"/>
            <w:tcBorders>
              <w:bottom w:val="single" w:sz="8" w:color="auto"/>
            </w:tcBorders>
            <w:shd w:val="clear" w:color="auto" w:fill="CEFFE7"/>
          </w:tcPr>
          <w:p>
            <w:pPr>
              <w:spacing w:after="0"/>
              <w:rPr>
                <w:sz w:val="24"/>
                <w:szCs w:val="24"/>
                <w:color w:val="auto"/>
              </w:rPr>
            </w:pPr>
          </w:p>
        </w:tc>
        <w:tc>
          <w:tcPr>
            <w:tcW w:w="1120" w:type="dxa"/>
            <w:vAlign w:val="bottom"/>
            <w:tcBorders>
              <w:bottom w:val="single" w:sz="8" w:color="auto"/>
            </w:tcBorders>
            <w:shd w:val="clear" w:color="auto" w:fill="CEFFE7"/>
          </w:tcPr>
          <w:p>
            <w:pPr>
              <w:spacing w:after="0"/>
              <w:rPr>
                <w:sz w:val="24"/>
                <w:szCs w:val="24"/>
                <w:color w:val="auto"/>
              </w:rPr>
            </w:pPr>
          </w:p>
        </w:tc>
      </w:tr>
      <w:tr>
        <w:trPr>
          <w:trHeight w:val="257"/>
        </w:trPr>
        <w:tc>
          <w:tcPr>
            <w:tcW w:w="7180" w:type="dxa"/>
            <w:vAlign w:val="bottom"/>
            <w:gridSpan w:val="2"/>
          </w:tcPr>
          <w:p>
            <w:pPr>
              <w:ind w:left="40"/>
              <w:spacing w:after="0"/>
              <w:rPr>
                <w:sz w:val="20"/>
                <w:szCs w:val="20"/>
                <w:color w:val="auto"/>
              </w:rPr>
            </w:pPr>
            <w:r>
              <w:rPr>
                <w:rFonts w:ascii="Arial" w:cs="Arial" w:eastAsia="Arial" w:hAnsi="Arial"/>
                <w:sz w:val="18"/>
                <w:szCs w:val="18"/>
                <w:color w:val="auto"/>
              </w:rPr>
              <w:t>Adjusted operating income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102,897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103,314</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w:t>
            </w:r>
          </w:p>
        </w:tc>
      </w:tr>
      <w:tr>
        <w:trPr>
          <w:trHeight w:val="20"/>
        </w:trPr>
        <w:tc>
          <w:tcPr>
            <w:tcW w:w="9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 for the Gas Utilities for the Three Months Ended March 31, 2020 Compared to the Three Months Ended March 31,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Gross margin</w:t>
      </w:r>
      <w:r>
        <w:rPr>
          <w:rFonts w:ascii="Arial" w:cs="Arial" w:eastAsia="Arial" w:hAnsi="Arial"/>
          <w:sz w:val="18"/>
          <w:szCs w:val="18"/>
          <w:color w:val="auto"/>
        </w:rPr>
        <w:t xml:space="preserve"> for the three months ended March 31, 2020 increased as a result of:</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jc w:val="right"/>
              <w:ind w:right="590"/>
              <w:spacing w:after="0"/>
              <w:rPr>
                <w:sz w:val="20"/>
                <w:szCs w:val="20"/>
                <w:color w:val="auto"/>
              </w:rPr>
            </w:pPr>
            <w:r>
              <w:rPr>
                <w:rFonts w:ascii="Arial" w:cs="Arial" w:eastAsia="Arial" w:hAnsi="Arial"/>
                <w:sz w:val="18"/>
                <w:szCs w:val="18"/>
                <w:color w:val="auto"/>
              </w:rPr>
              <w:t>(in millions)</w:t>
            </w:r>
          </w:p>
        </w:tc>
      </w:tr>
      <w:tr>
        <w:trPr>
          <w:trHeight w:val="27"/>
        </w:trPr>
        <w:tc>
          <w:tcPr>
            <w:tcW w:w="9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3"/>
        </w:trPr>
        <w:tc>
          <w:tcPr>
            <w:tcW w:w="9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New rates</w:t>
            </w:r>
          </w:p>
        </w:tc>
        <w:tc>
          <w:tcPr>
            <w:tcW w:w="40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5.1</w:t>
            </w:r>
          </w:p>
        </w:tc>
      </w:tr>
      <w:tr>
        <w:trPr>
          <w:trHeight w:val="243"/>
        </w:trPr>
        <w:tc>
          <w:tcPr>
            <w:tcW w:w="9000" w:type="dxa"/>
            <w:vAlign w:val="bottom"/>
          </w:tcPr>
          <w:p>
            <w:pPr>
              <w:ind w:left="40"/>
              <w:spacing w:after="0"/>
              <w:rPr>
                <w:sz w:val="20"/>
                <w:szCs w:val="20"/>
                <w:color w:val="auto"/>
              </w:rPr>
            </w:pPr>
            <w:r>
              <w:rPr>
                <w:rFonts w:ascii="Arial" w:cs="Arial" w:eastAsia="Arial" w:hAnsi="Arial"/>
                <w:sz w:val="18"/>
                <w:szCs w:val="18"/>
                <w:color w:val="auto"/>
              </w:rPr>
              <w:t>Prior year amortization of excess deferred income taxes</w:t>
            </w:r>
          </w:p>
        </w:tc>
        <w:tc>
          <w:tcPr>
            <w:tcW w:w="4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7"/>
        </w:trPr>
        <w:tc>
          <w:tcPr>
            <w:tcW w:w="9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9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Customer growth - distribution</w:t>
            </w:r>
          </w:p>
        </w:tc>
        <w:tc>
          <w:tcPr>
            <w:tcW w:w="400" w:type="dxa"/>
            <w:vAlign w:val="bottom"/>
            <w:tcBorders>
              <w:bottom w:val="single" w:sz="8" w:color="CEFFE7"/>
            </w:tcBorders>
            <w:shd w:val="clear" w:color="auto" w:fill="CEFFE7"/>
          </w:tcPr>
          <w:p>
            <w:pPr>
              <w:spacing w:after="0"/>
              <w:rPr>
                <w:sz w:val="21"/>
                <w:szCs w:val="21"/>
                <w:color w:val="auto"/>
              </w:rPr>
            </w:pPr>
          </w:p>
        </w:tc>
        <w:tc>
          <w:tcPr>
            <w:tcW w:w="18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1.5</w:t>
            </w:r>
          </w:p>
        </w:tc>
      </w:tr>
      <w:tr>
        <w:trPr>
          <w:trHeight w:val="243"/>
        </w:trPr>
        <w:tc>
          <w:tcPr>
            <w:tcW w:w="9000" w:type="dxa"/>
            <w:vAlign w:val="bottom"/>
          </w:tcPr>
          <w:p>
            <w:pPr>
              <w:ind w:left="40"/>
              <w:spacing w:after="0"/>
              <w:rPr>
                <w:sz w:val="20"/>
                <w:szCs w:val="20"/>
                <w:color w:val="auto"/>
              </w:rPr>
            </w:pPr>
            <w:r>
              <w:rPr>
                <w:rFonts w:ascii="Arial" w:cs="Arial" w:eastAsia="Arial" w:hAnsi="Arial"/>
                <w:sz w:val="18"/>
                <w:szCs w:val="18"/>
                <w:color w:val="auto"/>
              </w:rPr>
              <w:t>Increased mark-to-market on non-utility natural gas commodity contracts</w:t>
            </w:r>
          </w:p>
        </w:tc>
        <w:tc>
          <w:tcPr>
            <w:tcW w:w="4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0.9</w:t>
            </w:r>
          </w:p>
        </w:tc>
      </w:tr>
      <w:tr>
        <w:trPr>
          <w:trHeight w:val="27"/>
        </w:trPr>
        <w:tc>
          <w:tcPr>
            <w:tcW w:w="9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9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Non-utility - Gas supply services</w:t>
            </w:r>
          </w:p>
        </w:tc>
        <w:tc>
          <w:tcPr>
            <w:tcW w:w="400" w:type="dxa"/>
            <w:vAlign w:val="bottom"/>
            <w:tcBorders>
              <w:bottom w:val="single" w:sz="8" w:color="CEFFE7"/>
            </w:tcBorders>
            <w:shd w:val="clear" w:color="auto" w:fill="CEFFE7"/>
          </w:tcPr>
          <w:p>
            <w:pPr>
              <w:spacing w:after="0"/>
              <w:rPr>
                <w:sz w:val="21"/>
                <w:szCs w:val="21"/>
                <w:color w:val="auto"/>
              </w:rPr>
            </w:pPr>
          </w:p>
        </w:tc>
        <w:tc>
          <w:tcPr>
            <w:tcW w:w="18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0.8</w:t>
            </w:r>
          </w:p>
        </w:tc>
      </w:tr>
      <w:tr>
        <w:trPr>
          <w:trHeight w:val="243"/>
        </w:trPr>
        <w:tc>
          <w:tcPr>
            <w:tcW w:w="9000" w:type="dxa"/>
            <w:vAlign w:val="bottom"/>
          </w:tcPr>
          <w:p>
            <w:pPr>
              <w:ind w:left="40"/>
              <w:spacing w:after="0"/>
              <w:rPr>
                <w:sz w:val="20"/>
                <w:szCs w:val="20"/>
                <w:color w:val="auto"/>
              </w:rPr>
            </w:pPr>
            <w:r>
              <w:rPr>
                <w:rFonts w:ascii="Arial" w:cs="Arial" w:eastAsia="Arial" w:hAnsi="Arial"/>
                <w:sz w:val="18"/>
                <w:szCs w:val="18"/>
                <w:color w:val="auto"/>
              </w:rPr>
              <w:t>Weather</w:t>
            </w:r>
          </w:p>
        </w:tc>
        <w:tc>
          <w:tcPr>
            <w:tcW w:w="4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
        </w:trPr>
        <w:tc>
          <w:tcPr>
            <w:tcW w:w="9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9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Decreased transportation and transmission</w:t>
            </w:r>
          </w:p>
        </w:tc>
        <w:tc>
          <w:tcPr>
            <w:tcW w:w="400" w:type="dxa"/>
            <w:vAlign w:val="bottom"/>
            <w:tcBorders>
              <w:bottom w:val="single" w:sz="8" w:color="CEFFE7"/>
            </w:tcBorders>
            <w:shd w:val="clear" w:color="auto" w:fill="CEFFE7"/>
          </w:tcPr>
          <w:p>
            <w:pPr>
              <w:spacing w:after="0"/>
              <w:rPr>
                <w:sz w:val="21"/>
                <w:szCs w:val="21"/>
                <w:color w:val="auto"/>
              </w:rPr>
            </w:pPr>
          </w:p>
        </w:tc>
        <w:tc>
          <w:tcPr>
            <w:tcW w:w="1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(0.7)</w:t>
            </w:r>
          </w:p>
        </w:tc>
      </w:tr>
      <w:tr>
        <w:trPr>
          <w:trHeight w:val="243"/>
        </w:trPr>
        <w:tc>
          <w:tcPr>
            <w:tcW w:w="9000" w:type="dxa"/>
            <w:vAlign w:val="bottom"/>
          </w:tcPr>
          <w:p>
            <w:pPr>
              <w:ind w:left="4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9000" w:type="dxa"/>
            <w:vAlign w:val="bottom"/>
            <w:tcBorders>
              <w:bottom w:val="single" w:sz="8" w:color="CEFFE7"/>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57"/>
        </w:trPr>
        <w:tc>
          <w:tcPr>
            <w:tcW w:w="9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Total increase in Gross margin (non-GAAP)</w:t>
            </w:r>
          </w:p>
        </w:tc>
        <w:tc>
          <w:tcPr>
            <w:tcW w:w="400" w:type="dxa"/>
            <w:vAlign w:val="bottom"/>
            <w:tcBorders>
              <w:bottom w:val="single" w:sz="8" w:color="auto"/>
            </w:tcBorders>
            <w:shd w:val="clear" w:color="auto" w:fill="CEFFE7"/>
          </w:tcPr>
          <w:p>
            <w:pPr>
              <w:jc w:val="right"/>
              <w:ind w:right="19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1.6</w:t>
            </w:r>
          </w:p>
        </w:tc>
      </w:tr>
      <w:tr>
        <w:trPr>
          <w:trHeight w:val="20"/>
        </w:trPr>
        <w:tc>
          <w:tcPr>
            <w:tcW w:w="90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increased primarily due to a higher asset base driven by prior year 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26" w:right="339" w:bottom="1440" w:gutter="0" w:footer="0" w:header="0"/>
        </w:sectPr>
      </w:pPr>
    </w:p>
    <w:bookmarkStart w:id="40" w:name="page41"/>
    <w:bookmarkEnd w:id="4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Statistics</w:t>
      </w:r>
    </w:p>
    <w:p>
      <w:pPr>
        <w:spacing w:after="0" w:line="200" w:lineRule="exact"/>
        <w:rPr>
          <w:sz w:val="20"/>
          <w:szCs w:val="20"/>
          <w:color w:val="auto"/>
        </w:rPr>
      </w:pPr>
    </w:p>
    <w:p>
      <w:pPr>
        <w:spacing w:after="0" w:line="327"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0" w:type="dxa"/>
            <w:vAlign w:val="bottom"/>
            <w:gridSpan w:val="4"/>
          </w:tcPr>
          <w:p>
            <w:pPr>
              <w:jc w:val="center"/>
              <w:ind w:right="140"/>
              <w:spacing w:after="0"/>
              <w:rPr>
                <w:sz w:val="20"/>
                <w:szCs w:val="20"/>
                <w:color w:val="auto"/>
              </w:rPr>
            </w:pPr>
            <w:r>
              <w:rPr>
                <w:rFonts w:ascii="Arial" w:cs="Arial" w:eastAsia="Arial" w:hAnsi="Arial"/>
                <w:sz w:val="16"/>
                <w:szCs w:val="16"/>
                <w:color w:val="auto"/>
                <w:w w:val="94"/>
              </w:rPr>
              <w:t>Gross Margin (non-GAAP)</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380" w:type="dxa"/>
            <w:vAlign w:val="bottom"/>
            <w:gridSpan w:val="2"/>
          </w:tcPr>
          <w:p>
            <w:pPr>
              <w:jc w:val="center"/>
              <w:spacing w:after="0"/>
              <w:rPr>
                <w:sz w:val="20"/>
                <w:szCs w:val="20"/>
                <w:color w:val="auto"/>
              </w:rPr>
            </w:pPr>
            <w:r>
              <w:rPr>
                <w:rFonts w:ascii="Arial" w:cs="Arial" w:eastAsia="Arial" w:hAnsi="Arial"/>
                <w:sz w:val="16"/>
                <w:szCs w:val="16"/>
                <w:color w:val="auto"/>
                <w:w w:val="95"/>
              </w:rPr>
              <w:t>Gas Utilities Quantities Sold &amp;</w:t>
            </w:r>
          </w:p>
        </w:tc>
        <w:tc>
          <w:tcPr>
            <w:tcW w:w="0" w:type="dxa"/>
            <w:vAlign w:val="bottom"/>
          </w:tcPr>
          <w:p>
            <w:pPr>
              <w:spacing w:after="0"/>
              <w:rPr>
                <w:sz w:val="1"/>
                <w:szCs w:val="1"/>
                <w:color w:val="auto"/>
              </w:rPr>
            </w:pPr>
          </w:p>
        </w:tc>
      </w:tr>
      <w:tr>
        <w:trPr>
          <w:trHeight w:val="206"/>
        </w:trPr>
        <w:tc>
          <w:tcPr>
            <w:tcW w:w="3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20" w:type="dxa"/>
            <w:vAlign w:val="bottom"/>
            <w:gridSpan w:val="5"/>
          </w:tcPr>
          <w:p>
            <w:pPr>
              <w:jc w:val="center"/>
              <w:ind w:right="120"/>
              <w:spacing w:after="0"/>
              <w:rPr>
                <w:sz w:val="20"/>
                <w:szCs w:val="20"/>
                <w:color w:val="auto"/>
              </w:rPr>
            </w:pPr>
            <w:r>
              <w:rPr>
                <w:rFonts w:ascii="Arial" w:cs="Arial" w:eastAsia="Arial" w:hAnsi="Arial"/>
                <w:sz w:val="16"/>
                <w:szCs w:val="16"/>
                <w:color w:val="auto"/>
                <w:w w:val="89"/>
              </w:rPr>
              <w:t>Gas Revenue (in thousands)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0" w:type="dxa"/>
            <w:vAlign w:val="bottom"/>
            <w:gridSpan w:val="4"/>
          </w:tcPr>
          <w:p>
            <w:pPr>
              <w:jc w:val="center"/>
              <w:ind w:right="120"/>
              <w:spacing w:after="0"/>
              <w:rPr>
                <w:sz w:val="20"/>
                <w:szCs w:val="20"/>
                <w:color w:val="auto"/>
              </w:rPr>
            </w:pPr>
            <w:r>
              <w:rPr>
                <w:rFonts w:ascii="Arial" w:cs="Arial" w:eastAsia="Arial" w:hAnsi="Arial"/>
                <w:sz w:val="16"/>
                <w:szCs w:val="16"/>
                <w:color w:val="auto"/>
                <w:w w:val="90"/>
              </w:rPr>
              <w:t>(in thousands)</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380" w:type="dxa"/>
            <w:vAlign w:val="bottom"/>
            <w:gridSpan w:val="2"/>
          </w:tcPr>
          <w:p>
            <w:pPr>
              <w:jc w:val="center"/>
              <w:spacing w:after="0"/>
              <w:rPr>
                <w:sz w:val="20"/>
                <w:szCs w:val="20"/>
                <w:color w:val="auto"/>
              </w:rPr>
            </w:pPr>
            <w:r>
              <w:rPr>
                <w:rFonts w:ascii="Arial" w:cs="Arial" w:eastAsia="Arial" w:hAnsi="Arial"/>
                <w:sz w:val="16"/>
                <w:szCs w:val="16"/>
                <w:color w:val="auto"/>
                <w:w w:val="91"/>
              </w:rPr>
              <w:t>Transported (Dth)</w:t>
            </w:r>
          </w:p>
        </w:tc>
        <w:tc>
          <w:tcPr>
            <w:tcW w:w="0" w:type="dxa"/>
            <w:vAlign w:val="bottom"/>
          </w:tcPr>
          <w:p>
            <w:pPr>
              <w:spacing w:after="0"/>
              <w:rPr>
                <w:sz w:val="1"/>
                <w:szCs w:val="1"/>
                <w:color w:val="auto"/>
              </w:rPr>
            </w:pPr>
          </w:p>
        </w:tc>
      </w:tr>
      <w:tr>
        <w:trPr>
          <w:trHeight w:val="33"/>
        </w:trPr>
        <w:tc>
          <w:tcPr>
            <w:tcW w:w="3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20" w:type="dxa"/>
            <w:vAlign w:val="bottom"/>
            <w:gridSpan w:val="5"/>
          </w:tcPr>
          <w:p>
            <w:pPr>
              <w:jc w:val="center"/>
              <w:ind w:right="140"/>
              <w:spacing w:after="0"/>
              <w:rPr>
                <w:sz w:val="20"/>
                <w:szCs w:val="20"/>
                <w:color w:val="auto"/>
              </w:rPr>
            </w:pPr>
            <w:r>
              <w:rPr>
                <w:rFonts w:ascii="Arial" w:cs="Arial" w:eastAsia="Arial" w:hAnsi="Arial"/>
                <w:sz w:val="16"/>
                <w:szCs w:val="16"/>
                <w:color w:val="auto"/>
                <w:w w:val="90"/>
              </w:rPr>
              <w:t>Three Months Ended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0" w:type="dxa"/>
            <w:vAlign w:val="bottom"/>
            <w:gridSpan w:val="4"/>
          </w:tcPr>
          <w:p>
            <w:pPr>
              <w:jc w:val="center"/>
              <w:ind w:right="120"/>
              <w:spacing w:after="0"/>
              <w:rPr>
                <w:sz w:val="20"/>
                <w:szCs w:val="20"/>
                <w:color w:val="auto"/>
              </w:rPr>
            </w:pPr>
            <w:r>
              <w:rPr>
                <w:rFonts w:ascii="Arial" w:cs="Arial" w:eastAsia="Arial" w:hAnsi="Arial"/>
                <w:sz w:val="16"/>
                <w:szCs w:val="16"/>
                <w:color w:val="auto"/>
                <w:w w:val="90"/>
              </w:rPr>
              <w:t>Three Months Ended</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80" w:type="dxa"/>
            <w:vAlign w:val="bottom"/>
            <w:gridSpan w:val="2"/>
          </w:tcPr>
          <w:p>
            <w:pPr>
              <w:jc w:val="center"/>
              <w:spacing w:after="0"/>
              <w:rPr>
                <w:sz w:val="20"/>
                <w:szCs w:val="20"/>
                <w:color w:val="auto"/>
              </w:rPr>
            </w:pPr>
            <w:r>
              <w:rPr>
                <w:rFonts w:ascii="Arial" w:cs="Arial" w:eastAsia="Arial" w:hAnsi="Arial"/>
                <w:sz w:val="16"/>
                <w:szCs w:val="16"/>
                <w:color w:val="auto"/>
                <w:w w:val="90"/>
              </w:rPr>
              <w:t>Three Months Ended</w:t>
            </w:r>
          </w:p>
        </w:tc>
        <w:tc>
          <w:tcPr>
            <w:tcW w:w="0" w:type="dxa"/>
            <w:vAlign w:val="bottom"/>
          </w:tcPr>
          <w:p>
            <w:pPr>
              <w:spacing w:after="0"/>
              <w:rPr>
                <w:sz w:val="1"/>
                <w:szCs w:val="1"/>
                <w:color w:val="auto"/>
              </w:rPr>
            </w:pPr>
          </w:p>
        </w:tc>
      </w:tr>
      <w:tr>
        <w:trPr>
          <w:trHeight w:val="206"/>
        </w:trPr>
        <w:tc>
          <w:tcPr>
            <w:tcW w:w="3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20" w:type="dxa"/>
            <w:vAlign w:val="bottom"/>
            <w:gridSpan w:val="5"/>
          </w:tcPr>
          <w:p>
            <w:pPr>
              <w:jc w:val="center"/>
              <w:ind w:right="120"/>
              <w:spacing w:after="0"/>
              <w:rPr>
                <w:sz w:val="20"/>
                <w:szCs w:val="20"/>
                <w:color w:val="auto"/>
              </w:rPr>
            </w:pPr>
            <w:r>
              <w:rPr>
                <w:rFonts w:ascii="Arial" w:cs="Arial" w:eastAsia="Arial" w:hAnsi="Arial"/>
                <w:sz w:val="16"/>
                <w:szCs w:val="16"/>
                <w:color w:val="auto"/>
                <w:w w:val="92"/>
              </w:rPr>
              <w:t>March 31,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center"/>
              <w:ind w:left="599"/>
              <w:spacing w:after="0"/>
              <w:rPr>
                <w:sz w:val="20"/>
                <w:szCs w:val="20"/>
                <w:color w:val="auto"/>
              </w:rPr>
            </w:pPr>
            <w:r>
              <w:rPr>
                <w:rFonts w:ascii="Arial" w:cs="Arial" w:eastAsia="Arial" w:hAnsi="Arial"/>
                <w:sz w:val="16"/>
                <w:szCs w:val="16"/>
                <w:color w:val="auto"/>
                <w:w w:val="92"/>
              </w:rPr>
              <w:t>March 31,</w:t>
            </w: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40" w:type="dxa"/>
            <w:vAlign w:val="bottom"/>
          </w:tcPr>
          <w:p>
            <w:pPr>
              <w:jc w:val="center"/>
              <w:ind w:left="779"/>
              <w:spacing w:after="0"/>
              <w:rPr>
                <w:sz w:val="20"/>
                <w:szCs w:val="20"/>
                <w:color w:val="auto"/>
              </w:rPr>
            </w:pPr>
            <w:r>
              <w:rPr>
                <w:rFonts w:ascii="Arial" w:cs="Arial" w:eastAsia="Arial" w:hAnsi="Arial"/>
                <w:sz w:val="16"/>
                <w:szCs w:val="16"/>
                <w:color w:val="auto"/>
                <w:w w:val="95"/>
              </w:rPr>
              <w:t>March 31,</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20" w:type="dxa"/>
            <w:vAlign w:val="bottom"/>
          </w:tcPr>
          <w:p>
            <w:pPr>
              <w:spacing w:after="0"/>
              <w:rPr>
                <w:sz w:val="23"/>
                <w:szCs w:val="23"/>
                <w:color w:val="auto"/>
              </w:rPr>
            </w:pPr>
          </w:p>
        </w:tc>
        <w:tc>
          <w:tcPr>
            <w:tcW w:w="3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2020</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239"/>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ind w:left="260"/>
              <w:spacing w:after="0"/>
              <w:rPr>
                <w:sz w:val="20"/>
                <w:szCs w:val="20"/>
                <w:color w:val="auto"/>
              </w:rPr>
            </w:pPr>
            <w:r>
              <w:rPr>
                <w:rFonts w:ascii="Arial" w:cs="Arial" w:eastAsia="Arial" w:hAnsi="Arial"/>
                <w:sz w:val="16"/>
                <w:szCs w:val="16"/>
                <w:color w:val="auto"/>
              </w:rPr>
              <w:t>2020</w:t>
            </w:r>
          </w:p>
        </w:tc>
        <w:tc>
          <w:tcPr>
            <w:tcW w:w="420" w:type="dxa"/>
            <w:vAlign w:val="bottom"/>
          </w:tcPr>
          <w:p>
            <w:pPr>
              <w:spacing w:after="0"/>
              <w:rPr>
                <w:sz w:val="23"/>
                <w:szCs w:val="23"/>
                <w:color w:val="auto"/>
              </w:rPr>
            </w:pPr>
          </w:p>
        </w:tc>
        <w:tc>
          <w:tcPr>
            <w:tcW w:w="780" w:type="dxa"/>
            <w:vAlign w:val="bottom"/>
          </w:tcPr>
          <w:p>
            <w:pPr>
              <w:jc w:val="right"/>
              <w:ind w:right="299"/>
              <w:spacing w:after="0"/>
              <w:rPr>
                <w:sz w:val="20"/>
                <w:szCs w:val="20"/>
                <w:color w:val="auto"/>
              </w:rPr>
            </w:pPr>
            <w:r>
              <w:rPr>
                <w:rFonts w:ascii="Arial" w:cs="Arial" w:eastAsia="Arial" w:hAnsi="Arial"/>
                <w:sz w:val="16"/>
                <w:szCs w:val="16"/>
                <w:color w:val="auto"/>
              </w:rPr>
              <w:t>2019</w:t>
            </w:r>
          </w:p>
        </w:tc>
        <w:tc>
          <w:tcPr>
            <w:tcW w:w="40" w:type="dxa"/>
            <w:vAlign w:val="bottom"/>
          </w:tcPr>
          <w:p>
            <w:pPr>
              <w:spacing w:after="0"/>
              <w:rPr>
                <w:sz w:val="23"/>
                <w:szCs w:val="23"/>
                <w:color w:val="auto"/>
              </w:rPr>
            </w:pPr>
          </w:p>
        </w:tc>
        <w:tc>
          <w:tcPr>
            <w:tcW w:w="1660" w:type="dxa"/>
            <w:vAlign w:val="bottom"/>
            <w:gridSpan w:val="3"/>
          </w:tcPr>
          <w:p>
            <w:pPr>
              <w:jc w:val="right"/>
              <w:ind w:right="699"/>
              <w:spacing w:after="0"/>
              <w:rPr>
                <w:sz w:val="20"/>
                <w:szCs w:val="20"/>
                <w:color w:val="auto"/>
              </w:rPr>
            </w:pPr>
            <w:r>
              <w:rPr>
                <w:rFonts w:ascii="Arial" w:cs="Arial" w:eastAsia="Arial" w:hAnsi="Arial"/>
                <w:sz w:val="16"/>
                <w:szCs w:val="16"/>
                <w:color w:val="auto"/>
              </w:rPr>
              <w:t>2020</w:t>
            </w:r>
          </w:p>
        </w:tc>
        <w:tc>
          <w:tcPr>
            <w:tcW w:w="840" w:type="dxa"/>
            <w:vAlign w:val="bottom"/>
          </w:tcPr>
          <w:p>
            <w:pPr>
              <w:jc w:val="right"/>
              <w:ind w:right="359"/>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33"/>
        </w:trPr>
        <w:tc>
          <w:tcPr>
            <w:tcW w:w="320" w:type="dxa"/>
            <w:vAlign w:val="bottom"/>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20" w:type="dxa"/>
            <w:vAlign w:val="bottom"/>
          </w:tcPr>
          <w:p>
            <w:pPr>
              <w:spacing w:after="0"/>
              <w:rPr>
                <w:sz w:val="21"/>
                <w:szCs w:val="21"/>
                <w:color w:val="auto"/>
              </w:rPr>
            </w:pPr>
          </w:p>
        </w:tc>
        <w:tc>
          <w:tcPr>
            <w:tcW w:w="32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Residential</w:t>
            </w:r>
          </w:p>
        </w:tc>
        <w:tc>
          <w:tcPr>
            <w:tcW w:w="400" w:type="dxa"/>
            <w:vAlign w:val="bottom"/>
            <w:tcBorders>
              <w:bottom w:val="single" w:sz="8" w:color="CEFFE7"/>
            </w:tcBorders>
            <w:gridSpan w:val="3"/>
            <w:shd w:val="clear" w:color="auto" w:fill="CEFFE7"/>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EFFE7"/>
            </w:tcBorders>
            <w:gridSpan w:val="2"/>
            <w:shd w:val="clear" w:color="auto" w:fill="CEFFE7"/>
          </w:tcPr>
          <w:p>
            <w:pPr>
              <w:jc w:val="right"/>
              <w:ind w:right="19"/>
              <w:spacing w:after="0"/>
              <w:rPr>
                <w:sz w:val="20"/>
                <w:szCs w:val="20"/>
                <w:color w:val="auto"/>
              </w:rPr>
            </w:pPr>
            <w:r>
              <w:rPr>
                <w:rFonts w:ascii="Arial" w:cs="Arial" w:eastAsia="Arial" w:hAnsi="Arial"/>
                <w:sz w:val="16"/>
                <w:szCs w:val="16"/>
                <w:color w:val="auto"/>
              </w:rPr>
              <w:t>207,231</w:t>
            </w:r>
          </w:p>
        </w:tc>
        <w:tc>
          <w:tcPr>
            <w:tcW w:w="2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EFFE7"/>
            </w:tcBorders>
            <w:gridSpan w:val="2"/>
            <w:shd w:val="clear" w:color="auto" w:fill="CEFFE7"/>
          </w:tcPr>
          <w:p>
            <w:pPr>
              <w:jc w:val="right"/>
              <w:ind w:right="100"/>
              <w:spacing w:after="0"/>
              <w:rPr>
                <w:sz w:val="20"/>
                <w:szCs w:val="20"/>
                <w:color w:val="auto"/>
              </w:rPr>
            </w:pPr>
            <w:r>
              <w:rPr>
                <w:rFonts w:ascii="Arial" w:cs="Arial" w:eastAsia="Arial" w:hAnsi="Arial"/>
                <w:sz w:val="16"/>
                <w:szCs w:val="16"/>
                <w:color w:val="auto"/>
              </w:rPr>
              <w:t>241,129</w:t>
            </w:r>
          </w:p>
        </w:tc>
        <w:tc>
          <w:tcPr>
            <w:tcW w:w="280" w:type="dxa"/>
            <w:vAlign w:val="bottom"/>
            <w:tcBorders>
              <w:bottom w:val="single" w:sz="8" w:color="CEFFE7"/>
            </w:tcBorders>
            <w:gridSpan w:val="2"/>
            <w:shd w:val="clear" w:color="auto" w:fill="CEFFE7"/>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6"/>
                <w:szCs w:val="16"/>
                <w:color w:val="auto"/>
                <w:w w:val="96"/>
              </w:rPr>
              <w:t>103,121</w:t>
            </w:r>
          </w:p>
        </w:tc>
        <w:tc>
          <w:tcPr>
            <w:tcW w:w="420" w:type="dxa"/>
            <w:vAlign w:val="bottom"/>
            <w:tcBorders>
              <w:bottom w:val="single" w:sz="8" w:color="CEFFE7"/>
            </w:tcBorders>
            <w:shd w:val="clear" w:color="auto" w:fill="CEFFE7"/>
          </w:tcPr>
          <w:p>
            <w:pPr>
              <w:jc w:val="right"/>
              <w:ind w:right="182"/>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105,057</w:t>
            </w:r>
          </w:p>
        </w:tc>
        <w:tc>
          <w:tcPr>
            <w:tcW w:w="40" w:type="dxa"/>
            <w:vAlign w:val="bottom"/>
            <w:tcBorders>
              <w:bottom w:val="single" w:sz="8" w:color="CEFFE7"/>
            </w:tcBorders>
            <w:shd w:val="clear" w:color="auto" w:fill="CEFFE7"/>
          </w:tcPr>
          <w:p>
            <w:pPr>
              <w:spacing w:after="0"/>
              <w:rPr>
                <w:sz w:val="21"/>
                <w:szCs w:val="21"/>
                <w:color w:val="auto"/>
              </w:rPr>
            </w:pPr>
          </w:p>
        </w:tc>
        <w:tc>
          <w:tcPr>
            <w:tcW w:w="1660" w:type="dxa"/>
            <w:vAlign w:val="bottom"/>
            <w:tcBorders>
              <w:bottom w:val="single" w:sz="8" w:color="CEFFE7"/>
            </w:tcBorders>
            <w:gridSpan w:val="3"/>
            <w:shd w:val="clear" w:color="auto" w:fill="CEFFE7"/>
          </w:tcPr>
          <w:p>
            <w:pPr>
              <w:jc w:val="right"/>
              <w:ind w:right="379"/>
              <w:spacing w:after="0"/>
              <w:rPr>
                <w:sz w:val="20"/>
                <w:szCs w:val="20"/>
                <w:color w:val="auto"/>
              </w:rPr>
            </w:pPr>
            <w:r>
              <w:rPr>
                <w:rFonts w:ascii="Arial" w:cs="Arial" w:eastAsia="Arial" w:hAnsi="Arial"/>
                <w:sz w:val="16"/>
                <w:szCs w:val="16"/>
                <w:color w:val="auto"/>
              </w:rPr>
              <w:t>28,230,795</w:t>
            </w:r>
          </w:p>
        </w:tc>
        <w:tc>
          <w:tcPr>
            <w:tcW w:w="8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w w:val="87"/>
              </w:rPr>
              <w:t>32,838,018</w:t>
            </w: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3260" w:type="dxa"/>
            <w:vAlign w:val="bottom"/>
          </w:tcPr>
          <w:p>
            <w:pPr>
              <w:ind w:left="20"/>
              <w:spacing w:after="0"/>
              <w:rPr>
                <w:sz w:val="20"/>
                <w:szCs w:val="20"/>
                <w:color w:val="auto"/>
              </w:rPr>
            </w:pPr>
            <w:r>
              <w:rPr>
                <w:rFonts w:ascii="Arial" w:cs="Arial" w:eastAsia="Arial" w:hAnsi="Arial"/>
                <w:sz w:val="16"/>
                <w:szCs w:val="16"/>
                <w:color w:val="auto"/>
              </w:rPr>
              <w:t>Commercial</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19"/>
              <w:spacing w:after="0"/>
              <w:rPr>
                <w:sz w:val="20"/>
                <w:szCs w:val="20"/>
                <w:color w:val="auto"/>
              </w:rPr>
            </w:pPr>
            <w:r>
              <w:rPr>
                <w:rFonts w:ascii="Arial" w:cs="Arial" w:eastAsia="Arial" w:hAnsi="Arial"/>
                <w:sz w:val="16"/>
                <w:szCs w:val="16"/>
                <w:color w:val="auto"/>
              </w:rPr>
              <w:t>80,236</w:t>
            </w:r>
          </w:p>
        </w:tc>
        <w:tc>
          <w:tcPr>
            <w:tcW w:w="2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96,139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33,519</w:t>
            </w: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35,158</w:t>
            </w:r>
          </w:p>
        </w:tc>
        <w:tc>
          <w:tcPr>
            <w:tcW w:w="40" w:type="dxa"/>
            <w:vAlign w:val="bottom"/>
          </w:tcPr>
          <w:p>
            <w:pPr>
              <w:spacing w:after="0"/>
              <w:rPr>
                <w:sz w:val="20"/>
                <w:szCs w:val="20"/>
                <w:color w:val="auto"/>
              </w:rPr>
            </w:pPr>
          </w:p>
        </w:tc>
        <w:tc>
          <w:tcPr>
            <w:tcW w:w="1660" w:type="dxa"/>
            <w:vAlign w:val="bottom"/>
            <w:gridSpan w:val="3"/>
          </w:tcPr>
          <w:p>
            <w:pPr>
              <w:jc w:val="right"/>
              <w:ind w:right="379"/>
              <w:spacing w:after="0"/>
              <w:rPr>
                <w:sz w:val="20"/>
                <w:szCs w:val="20"/>
                <w:color w:val="auto"/>
              </w:rPr>
            </w:pPr>
            <w:r>
              <w:rPr>
                <w:rFonts w:ascii="Arial" w:cs="Arial" w:eastAsia="Arial" w:hAnsi="Arial"/>
                <w:sz w:val="16"/>
                <w:szCs w:val="16"/>
                <w:color w:val="auto"/>
              </w:rPr>
              <w:t>12,834,803</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w w:val="87"/>
              </w:rPr>
              <w:t>14,990,848</w:t>
            </w:r>
          </w:p>
        </w:tc>
        <w:tc>
          <w:tcPr>
            <w:tcW w:w="0" w:type="dxa"/>
            <w:vAlign w:val="bottom"/>
          </w:tcPr>
          <w:p>
            <w:pPr>
              <w:spacing w:after="0"/>
              <w:rPr>
                <w:sz w:val="1"/>
                <w:szCs w:val="1"/>
                <w:color w:val="auto"/>
              </w:rPr>
            </w:pPr>
          </w:p>
        </w:tc>
      </w:tr>
      <w:tr>
        <w:trPr>
          <w:trHeight w:val="33"/>
        </w:trPr>
        <w:tc>
          <w:tcPr>
            <w:tcW w:w="3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Pr>
          <w:p>
            <w:pPr>
              <w:spacing w:after="0"/>
              <w:rPr>
                <w:sz w:val="21"/>
                <w:szCs w:val="21"/>
                <w:color w:val="auto"/>
              </w:rPr>
            </w:pPr>
          </w:p>
        </w:tc>
        <w:tc>
          <w:tcPr>
            <w:tcW w:w="32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Industrial</w:t>
            </w:r>
          </w:p>
        </w:tc>
        <w:tc>
          <w:tcPr>
            <w:tcW w:w="12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gridSpan w:val="2"/>
            <w:shd w:val="clear" w:color="auto" w:fill="CEFFE7"/>
          </w:tcPr>
          <w:p>
            <w:pPr>
              <w:jc w:val="right"/>
              <w:ind w:right="19"/>
              <w:spacing w:after="0"/>
              <w:rPr>
                <w:sz w:val="20"/>
                <w:szCs w:val="20"/>
                <w:color w:val="auto"/>
              </w:rPr>
            </w:pPr>
            <w:r>
              <w:rPr>
                <w:rFonts w:ascii="Arial" w:cs="Arial" w:eastAsia="Arial" w:hAnsi="Arial"/>
                <w:sz w:val="16"/>
                <w:szCs w:val="16"/>
                <w:color w:val="auto"/>
              </w:rPr>
              <w:t>5,200</w:t>
            </w:r>
          </w:p>
        </w:tc>
        <w:tc>
          <w:tcPr>
            <w:tcW w:w="24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gridSpan w:val="2"/>
            <w:shd w:val="clear" w:color="auto" w:fill="CEFFE7"/>
          </w:tcPr>
          <w:p>
            <w:pPr>
              <w:jc w:val="right"/>
              <w:ind w:right="100"/>
              <w:spacing w:after="0"/>
              <w:rPr>
                <w:sz w:val="20"/>
                <w:szCs w:val="20"/>
                <w:color w:val="auto"/>
              </w:rPr>
            </w:pPr>
            <w:r>
              <w:rPr>
                <w:rFonts w:ascii="Arial" w:cs="Arial" w:eastAsia="Arial" w:hAnsi="Arial"/>
                <w:sz w:val="16"/>
                <w:szCs w:val="16"/>
                <w:color w:val="auto"/>
              </w:rPr>
              <w:t>6,014</w:t>
            </w:r>
          </w:p>
        </w:tc>
        <w:tc>
          <w:tcPr>
            <w:tcW w:w="12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2,043</w:t>
            </w:r>
          </w:p>
        </w:tc>
        <w:tc>
          <w:tcPr>
            <w:tcW w:w="420" w:type="dxa"/>
            <w:vAlign w:val="bottom"/>
            <w:tcBorders>
              <w:bottom w:val="single" w:sz="8" w:color="CEFFE7"/>
            </w:tcBorders>
            <w:shd w:val="clear" w:color="auto" w:fill="CEFFE7"/>
          </w:tcPr>
          <w:p>
            <w:pPr>
              <w:spacing w:after="0"/>
              <w:rPr>
                <w:sz w:val="21"/>
                <w:szCs w:val="21"/>
                <w:color w:val="auto"/>
              </w:rPr>
            </w:pPr>
          </w:p>
        </w:tc>
        <w:tc>
          <w:tcPr>
            <w:tcW w:w="7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2,017</w:t>
            </w:r>
          </w:p>
        </w:tc>
        <w:tc>
          <w:tcPr>
            <w:tcW w:w="40" w:type="dxa"/>
            <w:vAlign w:val="bottom"/>
            <w:tcBorders>
              <w:bottom w:val="single" w:sz="8" w:color="CEFFE7"/>
            </w:tcBorders>
            <w:shd w:val="clear" w:color="auto" w:fill="CEFFE7"/>
          </w:tcPr>
          <w:p>
            <w:pPr>
              <w:spacing w:after="0"/>
              <w:rPr>
                <w:sz w:val="21"/>
                <w:szCs w:val="21"/>
                <w:color w:val="auto"/>
              </w:rPr>
            </w:pPr>
          </w:p>
        </w:tc>
        <w:tc>
          <w:tcPr>
            <w:tcW w:w="1660" w:type="dxa"/>
            <w:vAlign w:val="bottom"/>
            <w:tcBorders>
              <w:bottom w:val="single" w:sz="8" w:color="CEFFE7"/>
            </w:tcBorders>
            <w:gridSpan w:val="3"/>
            <w:shd w:val="clear" w:color="auto" w:fill="CEFFE7"/>
          </w:tcPr>
          <w:p>
            <w:pPr>
              <w:jc w:val="right"/>
              <w:ind w:right="379"/>
              <w:spacing w:after="0"/>
              <w:rPr>
                <w:sz w:val="20"/>
                <w:szCs w:val="20"/>
                <w:color w:val="auto"/>
              </w:rPr>
            </w:pPr>
            <w:r>
              <w:rPr>
                <w:rFonts w:ascii="Arial" w:cs="Arial" w:eastAsia="Arial" w:hAnsi="Arial"/>
                <w:sz w:val="16"/>
                <w:szCs w:val="16"/>
                <w:color w:val="auto"/>
              </w:rPr>
              <w:t>1,061,052</w:t>
            </w:r>
          </w:p>
        </w:tc>
        <w:tc>
          <w:tcPr>
            <w:tcW w:w="8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w w:val="98"/>
              </w:rPr>
              <w:t>1,182,527</w:t>
            </w: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3260" w:type="dxa"/>
            <w:vAlign w:val="bottom"/>
          </w:tcPr>
          <w:p>
            <w:pPr>
              <w:ind w:left="20"/>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(1,242)</w:t>
            </w:r>
          </w:p>
        </w:tc>
        <w:tc>
          <w:tcPr>
            <w:tcW w:w="24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(4,354)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(1,242)</w:t>
            </w:r>
          </w:p>
        </w:tc>
        <w:tc>
          <w:tcPr>
            <w:tcW w:w="42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(4,354)</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4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20" w:type="dxa"/>
            <w:vAlign w:val="bottom"/>
          </w:tcPr>
          <w:p>
            <w:pPr>
              <w:spacing w:after="0"/>
              <w:rPr>
                <w:sz w:val="2"/>
                <w:szCs w:val="2"/>
                <w:color w:val="auto"/>
              </w:rPr>
            </w:pPr>
          </w:p>
        </w:tc>
        <w:tc>
          <w:tcPr>
            <w:tcW w:w="3260" w:type="dxa"/>
            <w:vAlign w:val="bottom"/>
            <w:tcBorders>
              <w:bottom w:val="single" w:sz="8" w:color="CEFFE7"/>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EFFE7"/>
            </w:tcBorders>
          </w:tcPr>
          <w:p>
            <w:pPr>
              <w:spacing w:after="0"/>
              <w:rPr>
                <w:sz w:val="2"/>
                <w:szCs w:val="2"/>
                <w:color w:val="auto"/>
              </w:rPr>
            </w:pPr>
          </w:p>
        </w:tc>
        <w:tc>
          <w:tcPr>
            <w:tcW w:w="60" w:type="dxa"/>
            <w:vAlign w:val="bottom"/>
            <w:tcBorders>
              <w:bottom w:val="single" w:sz="8" w:color="CEFFE7"/>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20" w:type="dxa"/>
            <w:vAlign w:val="bottom"/>
          </w:tcPr>
          <w:p>
            <w:pPr>
              <w:spacing w:after="0"/>
              <w:rPr>
                <w:sz w:val="21"/>
                <w:szCs w:val="21"/>
                <w:color w:val="auto"/>
              </w:rPr>
            </w:pPr>
          </w:p>
        </w:tc>
        <w:tc>
          <w:tcPr>
            <w:tcW w:w="3260" w:type="dxa"/>
            <w:vAlign w:val="bottom"/>
            <w:tcBorders>
              <w:bottom w:val="single" w:sz="8" w:color="CEFFE7"/>
            </w:tcBorders>
            <w:shd w:val="clear" w:color="auto" w:fill="CEFFE7"/>
          </w:tcPr>
          <w:p>
            <w:pPr>
              <w:ind w:left="260"/>
              <w:spacing w:after="0"/>
              <w:rPr>
                <w:sz w:val="20"/>
                <w:szCs w:val="20"/>
                <w:color w:val="auto"/>
              </w:rPr>
            </w:pPr>
            <w:r>
              <w:rPr>
                <w:rFonts w:ascii="Arial" w:cs="Arial" w:eastAsia="Arial" w:hAnsi="Arial"/>
                <w:sz w:val="16"/>
                <w:szCs w:val="16"/>
                <w:color w:val="auto"/>
              </w:rPr>
              <w:t>Total Distribution</w:t>
            </w:r>
          </w:p>
        </w:tc>
        <w:tc>
          <w:tcPr>
            <w:tcW w:w="12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gridSpan w:val="2"/>
            <w:shd w:val="clear" w:color="auto" w:fill="CEFFE7"/>
          </w:tcPr>
          <w:p>
            <w:pPr>
              <w:jc w:val="right"/>
              <w:ind w:right="19"/>
              <w:spacing w:after="0"/>
              <w:rPr>
                <w:sz w:val="20"/>
                <w:szCs w:val="20"/>
                <w:color w:val="auto"/>
              </w:rPr>
            </w:pPr>
            <w:r>
              <w:rPr>
                <w:rFonts w:ascii="Arial" w:cs="Arial" w:eastAsia="Arial" w:hAnsi="Arial"/>
                <w:sz w:val="16"/>
                <w:szCs w:val="16"/>
                <w:color w:val="auto"/>
              </w:rPr>
              <w:t>291,425</w:t>
            </w:r>
          </w:p>
        </w:tc>
        <w:tc>
          <w:tcPr>
            <w:tcW w:w="24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gridSpan w:val="2"/>
            <w:shd w:val="clear" w:color="auto" w:fill="CEFFE7"/>
          </w:tcPr>
          <w:p>
            <w:pPr>
              <w:jc w:val="right"/>
              <w:ind w:right="100"/>
              <w:spacing w:after="0"/>
              <w:rPr>
                <w:sz w:val="20"/>
                <w:szCs w:val="20"/>
                <w:color w:val="auto"/>
              </w:rPr>
            </w:pPr>
            <w:r>
              <w:rPr>
                <w:rFonts w:ascii="Arial" w:cs="Arial" w:eastAsia="Arial" w:hAnsi="Arial"/>
                <w:sz w:val="16"/>
                <w:szCs w:val="16"/>
                <w:color w:val="auto"/>
              </w:rPr>
              <w:t>338,928</w:t>
            </w:r>
          </w:p>
        </w:tc>
        <w:tc>
          <w:tcPr>
            <w:tcW w:w="12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6"/>
                <w:szCs w:val="16"/>
                <w:color w:val="auto"/>
                <w:w w:val="96"/>
              </w:rPr>
              <w:t>137,441</w:t>
            </w:r>
          </w:p>
        </w:tc>
        <w:tc>
          <w:tcPr>
            <w:tcW w:w="420" w:type="dxa"/>
            <w:vAlign w:val="bottom"/>
            <w:tcBorders>
              <w:bottom w:val="single" w:sz="8" w:color="CEFFE7"/>
            </w:tcBorders>
            <w:shd w:val="clear" w:color="auto" w:fill="CEFFE7"/>
          </w:tcPr>
          <w:p>
            <w:pPr>
              <w:spacing w:after="0"/>
              <w:rPr>
                <w:sz w:val="21"/>
                <w:szCs w:val="21"/>
                <w:color w:val="auto"/>
              </w:rPr>
            </w:pPr>
          </w:p>
        </w:tc>
        <w:tc>
          <w:tcPr>
            <w:tcW w:w="7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137,878</w:t>
            </w:r>
          </w:p>
        </w:tc>
        <w:tc>
          <w:tcPr>
            <w:tcW w:w="40" w:type="dxa"/>
            <w:vAlign w:val="bottom"/>
            <w:tcBorders>
              <w:bottom w:val="single" w:sz="8" w:color="CEFFE7"/>
            </w:tcBorders>
            <w:shd w:val="clear" w:color="auto" w:fill="CEFFE7"/>
          </w:tcPr>
          <w:p>
            <w:pPr>
              <w:spacing w:after="0"/>
              <w:rPr>
                <w:sz w:val="21"/>
                <w:szCs w:val="21"/>
                <w:color w:val="auto"/>
              </w:rPr>
            </w:pPr>
          </w:p>
        </w:tc>
        <w:tc>
          <w:tcPr>
            <w:tcW w:w="1660" w:type="dxa"/>
            <w:vAlign w:val="bottom"/>
            <w:tcBorders>
              <w:bottom w:val="single" w:sz="8" w:color="CEFFE7"/>
            </w:tcBorders>
            <w:gridSpan w:val="3"/>
            <w:shd w:val="clear" w:color="auto" w:fill="CEFFE7"/>
          </w:tcPr>
          <w:p>
            <w:pPr>
              <w:jc w:val="right"/>
              <w:ind w:right="379"/>
              <w:spacing w:after="0"/>
              <w:rPr>
                <w:sz w:val="20"/>
                <w:szCs w:val="20"/>
                <w:color w:val="auto"/>
              </w:rPr>
            </w:pPr>
            <w:r>
              <w:rPr>
                <w:rFonts w:ascii="Arial" w:cs="Arial" w:eastAsia="Arial" w:hAnsi="Arial"/>
                <w:sz w:val="16"/>
                <w:szCs w:val="16"/>
                <w:color w:val="auto"/>
              </w:rPr>
              <w:t>42,126,650</w:t>
            </w:r>
          </w:p>
        </w:tc>
        <w:tc>
          <w:tcPr>
            <w:tcW w:w="8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w w:val="87"/>
              </w:rPr>
              <w:t>49,011,393</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20" w:type="dxa"/>
            <w:vAlign w:val="bottom"/>
          </w:tcPr>
          <w:p>
            <w:pPr>
              <w:spacing w:after="0"/>
              <w:rPr>
                <w:sz w:val="21"/>
                <w:szCs w:val="21"/>
                <w:color w:val="auto"/>
              </w:rPr>
            </w:pPr>
          </w:p>
        </w:tc>
        <w:tc>
          <w:tcPr>
            <w:tcW w:w="32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Transportation and Transmission</w:t>
            </w:r>
          </w:p>
        </w:tc>
        <w:tc>
          <w:tcPr>
            <w:tcW w:w="12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gridSpan w:val="2"/>
            <w:shd w:val="clear" w:color="auto" w:fill="CEFFE7"/>
          </w:tcPr>
          <w:p>
            <w:pPr>
              <w:jc w:val="right"/>
              <w:ind w:right="19"/>
              <w:spacing w:after="0"/>
              <w:rPr>
                <w:sz w:val="20"/>
                <w:szCs w:val="20"/>
                <w:color w:val="auto"/>
              </w:rPr>
            </w:pPr>
            <w:r>
              <w:rPr>
                <w:rFonts w:ascii="Arial" w:cs="Arial" w:eastAsia="Arial" w:hAnsi="Arial"/>
                <w:sz w:val="16"/>
                <w:szCs w:val="16"/>
                <w:color w:val="auto"/>
              </w:rPr>
              <w:t>44,472</w:t>
            </w:r>
          </w:p>
        </w:tc>
        <w:tc>
          <w:tcPr>
            <w:tcW w:w="24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gridSpan w:val="2"/>
            <w:shd w:val="clear" w:color="auto" w:fill="CEFFE7"/>
          </w:tcPr>
          <w:p>
            <w:pPr>
              <w:jc w:val="right"/>
              <w:ind w:right="100"/>
              <w:spacing w:after="0"/>
              <w:rPr>
                <w:sz w:val="20"/>
                <w:szCs w:val="20"/>
                <w:color w:val="auto"/>
              </w:rPr>
            </w:pPr>
            <w:r>
              <w:rPr>
                <w:rFonts w:ascii="Arial" w:cs="Arial" w:eastAsia="Arial" w:hAnsi="Arial"/>
                <w:sz w:val="16"/>
                <w:szCs w:val="16"/>
                <w:color w:val="auto"/>
              </w:rPr>
              <w:t>44,947</w:t>
            </w:r>
          </w:p>
        </w:tc>
        <w:tc>
          <w:tcPr>
            <w:tcW w:w="12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44,457</w:t>
            </w:r>
          </w:p>
        </w:tc>
        <w:tc>
          <w:tcPr>
            <w:tcW w:w="420" w:type="dxa"/>
            <w:vAlign w:val="bottom"/>
            <w:tcBorders>
              <w:bottom w:val="single" w:sz="8" w:color="CEFFE7"/>
            </w:tcBorders>
            <w:shd w:val="clear" w:color="auto" w:fill="CEFFE7"/>
          </w:tcPr>
          <w:p>
            <w:pPr>
              <w:spacing w:after="0"/>
              <w:rPr>
                <w:sz w:val="21"/>
                <w:szCs w:val="21"/>
                <w:color w:val="auto"/>
              </w:rPr>
            </w:pPr>
          </w:p>
        </w:tc>
        <w:tc>
          <w:tcPr>
            <w:tcW w:w="7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44,947</w:t>
            </w:r>
          </w:p>
        </w:tc>
        <w:tc>
          <w:tcPr>
            <w:tcW w:w="40" w:type="dxa"/>
            <w:vAlign w:val="bottom"/>
            <w:tcBorders>
              <w:bottom w:val="single" w:sz="8" w:color="CEFFE7"/>
            </w:tcBorders>
            <w:shd w:val="clear" w:color="auto" w:fill="CEFFE7"/>
          </w:tcPr>
          <w:p>
            <w:pPr>
              <w:spacing w:after="0"/>
              <w:rPr>
                <w:sz w:val="21"/>
                <w:szCs w:val="21"/>
                <w:color w:val="auto"/>
              </w:rPr>
            </w:pPr>
          </w:p>
        </w:tc>
        <w:tc>
          <w:tcPr>
            <w:tcW w:w="1660" w:type="dxa"/>
            <w:vAlign w:val="bottom"/>
            <w:tcBorders>
              <w:bottom w:val="single" w:sz="8" w:color="CEFFE7"/>
            </w:tcBorders>
            <w:gridSpan w:val="3"/>
            <w:shd w:val="clear" w:color="auto" w:fill="CEFFE7"/>
          </w:tcPr>
          <w:p>
            <w:pPr>
              <w:jc w:val="right"/>
              <w:ind w:right="379"/>
              <w:spacing w:after="0"/>
              <w:rPr>
                <w:sz w:val="20"/>
                <w:szCs w:val="20"/>
                <w:color w:val="auto"/>
              </w:rPr>
            </w:pPr>
            <w:r>
              <w:rPr>
                <w:rFonts w:ascii="Arial" w:cs="Arial" w:eastAsia="Arial" w:hAnsi="Arial"/>
                <w:sz w:val="16"/>
                <w:szCs w:val="16"/>
                <w:color w:val="auto"/>
              </w:rPr>
              <w:t>45,055,507</w:t>
            </w:r>
          </w:p>
        </w:tc>
        <w:tc>
          <w:tcPr>
            <w:tcW w:w="8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w w:val="87"/>
              </w:rPr>
              <w:t>46,316,160</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3260" w:type="dxa"/>
            <w:vAlign w:val="bottom"/>
            <w:tcBorders>
              <w:bottom w:val="single" w:sz="8" w:color="CEFFE7"/>
            </w:tcBorders>
          </w:tcPr>
          <w:p>
            <w:pPr>
              <w:spacing w:after="0"/>
              <w:rPr>
                <w:sz w:val="19"/>
                <w:szCs w:val="19"/>
                <w:color w:val="auto"/>
              </w:rPr>
            </w:pPr>
          </w:p>
        </w:tc>
        <w:tc>
          <w:tcPr>
            <w:tcW w:w="120" w:type="dxa"/>
            <w:vAlign w:val="bottom"/>
            <w:tcBorders>
              <w:bottom w:val="single" w:sz="8" w:color="CEFFE7"/>
            </w:tcBorders>
          </w:tcPr>
          <w:p>
            <w:pPr>
              <w:spacing w:after="0"/>
              <w:rPr>
                <w:sz w:val="19"/>
                <w:szCs w:val="19"/>
                <w:color w:val="auto"/>
              </w:rPr>
            </w:pPr>
          </w:p>
        </w:tc>
        <w:tc>
          <w:tcPr>
            <w:tcW w:w="120" w:type="dxa"/>
            <w:vAlign w:val="bottom"/>
            <w:tcBorders>
              <w:bottom w:val="single" w:sz="8" w:color="CEFFE7"/>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CEFFE7"/>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EFFE7"/>
            </w:tcBorders>
          </w:tcPr>
          <w:p>
            <w:pPr>
              <w:spacing w:after="0"/>
              <w:rPr>
                <w:sz w:val="19"/>
                <w:szCs w:val="19"/>
                <w:color w:val="auto"/>
              </w:rPr>
            </w:pPr>
          </w:p>
        </w:tc>
        <w:tc>
          <w:tcPr>
            <w:tcW w:w="60" w:type="dxa"/>
            <w:vAlign w:val="bottom"/>
            <w:tcBorders>
              <w:bottom w:val="single" w:sz="8" w:color="CEFFE7"/>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20" w:type="dxa"/>
            <w:vAlign w:val="bottom"/>
          </w:tcPr>
          <w:p>
            <w:pPr>
              <w:spacing w:after="0"/>
              <w:rPr>
                <w:sz w:val="24"/>
                <w:szCs w:val="24"/>
                <w:color w:val="auto"/>
              </w:rPr>
            </w:pPr>
          </w:p>
        </w:tc>
        <w:tc>
          <w:tcPr>
            <w:tcW w:w="3260" w:type="dxa"/>
            <w:vAlign w:val="bottom"/>
            <w:shd w:val="clear" w:color="auto" w:fill="CEFFE7"/>
          </w:tcPr>
          <w:p>
            <w:pPr>
              <w:ind w:left="260"/>
              <w:spacing w:after="0"/>
              <w:rPr>
                <w:sz w:val="20"/>
                <w:szCs w:val="20"/>
                <w:color w:val="auto"/>
              </w:rPr>
            </w:pPr>
            <w:r>
              <w:rPr>
                <w:rFonts w:ascii="Arial" w:cs="Arial" w:eastAsia="Arial" w:hAnsi="Arial"/>
                <w:sz w:val="16"/>
                <w:szCs w:val="16"/>
                <w:color w:val="auto"/>
              </w:rPr>
              <w:t>Total Regulated</w:t>
            </w:r>
          </w:p>
        </w:tc>
        <w:tc>
          <w:tcPr>
            <w:tcW w:w="120" w:type="dxa"/>
            <w:vAlign w:val="bottom"/>
            <w:shd w:val="clear" w:color="auto" w:fill="CEFFE7"/>
          </w:tcPr>
          <w:p>
            <w:pPr>
              <w:spacing w:after="0"/>
              <w:rPr>
                <w:sz w:val="24"/>
                <w:szCs w:val="24"/>
                <w:color w:val="auto"/>
              </w:rPr>
            </w:pPr>
          </w:p>
        </w:tc>
        <w:tc>
          <w:tcPr>
            <w:tcW w:w="120" w:type="dxa"/>
            <w:vAlign w:val="bottom"/>
            <w:shd w:val="clear" w:color="auto" w:fill="CEFFE7"/>
          </w:tcPr>
          <w:p>
            <w:pPr>
              <w:spacing w:after="0"/>
              <w:rPr>
                <w:sz w:val="24"/>
                <w:szCs w:val="24"/>
                <w:color w:val="auto"/>
              </w:rPr>
            </w:pPr>
          </w:p>
        </w:tc>
        <w:tc>
          <w:tcPr>
            <w:tcW w:w="160" w:type="dxa"/>
            <w:vAlign w:val="bottom"/>
            <w:shd w:val="clear" w:color="auto" w:fill="CEFFE7"/>
          </w:tcPr>
          <w:p>
            <w:pPr>
              <w:spacing w:after="0"/>
              <w:rPr>
                <w:sz w:val="24"/>
                <w:szCs w:val="24"/>
                <w:color w:val="auto"/>
              </w:rPr>
            </w:pPr>
          </w:p>
        </w:tc>
        <w:tc>
          <w:tcPr>
            <w:tcW w:w="1020" w:type="dxa"/>
            <w:vAlign w:val="bottom"/>
            <w:gridSpan w:val="2"/>
            <w:shd w:val="clear" w:color="auto" w:fill="CEFFE7"/>
          </w:tcPr>
          <w:p>
            <w:pPr>
              <w:jc w:val="right"/>
              <w:ind w:right="19"/>
              <w:spacing w:after="0"/>
              <w:rPr>
                <w:sz w:val="20"/>
                <w:szCs w:val="20"/>
                <w:color w:val="auto"/>
              </w:rPr>
            </w:pPr>
            <w:r>
              <w:rPr>
                <w:rFonts w:ascii="Arial" w:cs="Arial" w:eastAsia="Arial" w:hAnsi="Arial"/>
                <w:sz w:val="16"/>
                <w:szCs w:val="16"/>
                <w:color w:val="auto"/>
              </w:rPr>
              <w:t>335,897</w:t>
            </w:r>
          </w:p>
        </w:tc>
        <w:tc>
          <w:tcPr>
            <w:tcW w:w="240" w:type="dxa"/>
            <w:vAlign w:val="bottom"/>
            <w:shd w:val="clear" w:color="auto" w:fill="CEFFE7"/>
          </w:tcPr>
          <w:p>
            <w:pPr>
              <w:spacing w:after="0"/>
              <w:rPr>
                <w:sz w:val="24"/>
                <w:szCs w:val="24"/>
                <w:color w:val="auto"/>
              </w:rPr>
            </w:pPr>
          </w:p>
        </w:tc>
        <w:tc>
          <w:tcPr>
            <w:tcW w:w="960" w:type="dxa"/>
            <w:vAlign w:val="bottom"/>
            <w:gridSpan w:val="2"/>
            <w:shd w:val="clear" w:color="auto" w:fill="CEFFE7"/>
          </w:tcPr>
          <w:p>
            <w:pPr>
              <w:jc w:val="right"/>
              <w:ind w:right="100"/>
              <w:spacing w:after="0"/>
              <w:rPr>
                <w:sz w:val="20"/>
                <w:szCs w:val="20"/>
                <w:color w:val="auto"/>
              </w:rPr>
            </w:pPr>
            <w:r>
              <w:rPr>
                <w:rFonts w:ascii="Arial" w:cs="Arial" w:eastAsia="Arial" w:hAnsi="Arial"/>
                <w:sz w:val="16"/>
                <w:szCs w:val="16"/>
                <w:color w:val="auto"/>
              </w:rPr>
              <w:t>383,875</w:t>
            </w:r>
          </w:p>
        </w:tc>
        <w:tc>
          <w:tcPr>
            <w:tcW w:w="120" w:type="dxa"/>
            <w:vAlign w:val="bottom"/>
            <w:shd w:val="clear" w:color="auto" w:fill="CEFFE7"/>
          </w:tcPr>
          <w:p>
            <w:pPr>
              <w:spacing w:after="0"/>
              <w:rPr>
                <w:sz w:val="24"/>
                <w:szCs w:val="24"/>
                <w:color w:val="auto"/>
              </w:rPr>
            </w:pPr>
          </w:p>
        </w:tc>
        <w:tc>
          <w:tcPr>
            <w:tcW w:w="160" w:type="dxa"/>
            <w:vAlign w:val="bottom"/>
            <w:shd w:val="clear" w:color="auto" w:fill="CEFFE7"/>
          </w:tcPr>
          <w:p>
            <w:pPr>
              <w:spacing w:after="0"/>
              <w:rPr>
                <w:sz w:val="24"/>
                <w:szCs w:val="24"/>
                <w:color w:val="auto"/>
              </w:rPr>
            </w:pPr>
          </w:p>
        </w:tc>
        <w:tc>
          <w:tcPr>
            <w:tcW w:w="960" w:type="dxa"/>
            <w:vAlign w:val="bottom"/>
            <w:shd w:val="clear" w:color="auto" w:fill="CEFFE7"/>
          </w:tcPr>
          <w:p>
            <w:pPr>
              <w:ind w:left="380"/>
              <w:spacing w:after="0"/>
              <w:rPr>
                <w:sz w:val="20"/>
                <w:szCs w:val="20"/>
                <w:color w:val="auto"/>
              </w:rPr>
            </w:pPr>
            <w:r>
              <w:rPr>
                <w:rFonts w:ascii="Arial" w:cs="Arial" w:eastAsia="Arial" w:hAnsi="Arial"/>
                <w:sz w:val="16"/>
                <w:szCs w:val="16"/>
                <w:color w:val="auto"/>
                <w:w w:val="96"/>
              </w:rPr>
              <w:t>181,898</w:t>
            </w:r>
          </w:p>
        </w:tc>
        <w:tc>
          <w:tcPr>
            <w:tcW w:w="420" w:type="dxa"/>
            <w:vAlign w:val="bottom"/>
            <w:shd w:val="clear" w:color="auto" w:fill="CEFFE7"/>
          </w:tcPr>
          <w:p>
            <w:pPr>
              <w:spacing w:after="0"/>
              <w:rPr>
                <w:sz w:val="24"/>
                <w:szCs w:val="24"/>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182,825</w:t>
            </w:r>
          </w:p>
        </w:tc>
        <w:tc>
          <w:tcPr>
            <w:tcW w:w="40" w:type="dxa"/>
            <w:vAlign w:val="bottom"/>
            <w:shd w:val="clear" w:color="auto" w:fill="CEFFE7"/>
          </w:tcPr>
          <w:p>
            <w:pPr>
              <w:spacing w:after="0"/>
              <w:rPr>
                <w:sz w:val="24"/>
                <w:szCs w:val="24"/>
                <w:color w:val="auto"/>
              </w:rPr>
            </w:pPr>
          </w:p>
        </w:tc>
        <w:tc>
          <w:tcPr>
            <w:tcW w:w="1660" w:type="dxa"/>
            <w:vAlign w:val="bottom"/>
            <w:gridSpan w:val="3"/>
            <w:shd w:val="clear" w:color="auto" w:fill="CEFFE7"/>
          </w:tcPr>
          <w:p>
            <w:pPr>
              <w:jc w:val="right"/>
              <w:ind w:right="379"/>
              <w:spacing w:after="0"/>
              <w:rPr>
                <w:sz w:val="20"/>
                <w:szCs w:val="20"/>
                <w:color w:val="auto"/>
              </w:rPr>
            </w:pPr>
            <w:r>
              <w:rPr>
                <w:rFonts w:ascii="Arial" w:cs="Arial" w:eastAsia="Arial" w:hAnsi="Arial"/>
                <w:sz w:val="16"/>
                <w:szCs w:val="16"/>
                <w:color w:val="auto"/>
              </w:rPr>
              <w:t>87,182,157</w:t>
            </w:r>
          </w:p>
        </w:tc>
        <w:tc>
          <w:tcPr>
            <w:tcW w:w="84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w w:val="87"/>
              </w:rPr>
              <w:t>95,327,553</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3260" w:type="dxa"/>
            <w:vAlign w:val="bottom"/>
            <w:tcBorders>
              <w:top w:val="single" w:sz="8" w:color="CEFFE7"/>
            </w:tcBorders>
          </w:tcPr>
          <w:p>
            <w:pPr>
              <w:spacing w:after="0"/>
              <w:rPr>
                <w:sz w:val="18"/>
                <w:szCs w:val="18"/>
                <w:color w:val="auto"/>
              </w:rPr>
            </w:pPr>
          </w:p>
        </w:tc>
        <w:tc>
          <w:tcPr>
            <w:tcW w:w="120" w:type="dxa"/>
            <w:vAlign w:val="bottom"/>
            <w:tcBorders>
              <w:top w:val="single" w:sz="8" w:color="CEFFE7"/>
            </w:tcBorders>
          </w:tcPr>
          <w:p>
            <w:pPr>
              <w:spacing w:after="0"/>
              <w:rPr>
                <w:sz w:val="18"/>
                <w:szCs w:val="18"/>
                <w:color w:val="auto"/>
              </w:rPr>
            </w:pPr>
          </w:p>
        </w:tc>
        <w:tc>
          <w:tcPr>
            <w:tcW w:w="120" w:type="dxa"/>
            <w:vAlign w:val="bottom"/>
            <w:tcBorders>
              <w:top w:val="single" w:sz="8" w:color="CEFFE7"/>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CEFFE7"/>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CEFFE7"/>
            </w:tcBorders>
          </w:tcPr>
          <w:p>
            <w:pPr>
              <w:spacing w:after="0"/>
              <w:rPr>
                <w:sz w:val="18"/>
                <w:szCs w:val="18"/>
                <w:color w:val="auto"/>
              </w:rPr>
            </w:pPr>
          </w:p>
        </w:tc>
        <w:tc>
          <w:tcPr>
            <w:tcW w:w="60" w:type="dxa"/>
            <w:vAlign w:val="bottom"/>
            <w:tcBorders>
              <w:top w:val="single" w:sz="8" w:color="CEFFE7"/>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20" w:type="dxa"/>
            <w:vAlign w:val="bottom"/>
          </w:tcPr>
          <w:p>
            <w:pPr>
              <w:spacing w:after="0"/>
              <w:rPr>
                <w:sz w:val="21"/>
                <w:szCs w:val="21"/>
                <w:color w:val="auto"/>
              </w:rPr>
            </w:pPr>
          </w:p>
        </w:tc>
        <w:tc>
          <w:tcPr>
            <w:tcW w:w="32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Non-regulated Services</w:t>
            </w:r>
          </w:p>
        </w:tc>
        <w:tc>
          <w:tcPr>
            <w:tcW w:w="12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gridSpan w:val="2"/>
            <w:shd w:val="clear" w:color="auto" w:fill="CEFFE7"/>
          </w:tcPr>
          <w:p>
            <w:pPr>
              <w:jc w:val="right"/>
              <w:ind w:right="19"/>
              <w:spacing w:after="0"/>
              <w:rPr>
                <w:sz w:val="20"/>
                <w:szCs w:val="20"/>
                <w:color w:val="auto"/>
              </w:rPr>
            </w:pPr>
            <w:r>
              <w:rPr>
                <w:rFonts w:ascii="Arial" w:cs="Arial" w:eastAsia="Arial" w:hAnsi="Arial"/>
                <w:sz w:val="16"/>
                <w:szCs w:val="16"/>
                <w:color w:val="auto"/>
              </w:rPr>
              <w:t>24,876</w:t>
            </w:r>
          </w:p>
        </w:tc>
        <w:tc>
          <w:tcPr>
            <w:tcW w:w="24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gridSpan w:val="2"/>
            <w:shd w:val="clear" w:color="auto" w:fill="CEFFE7"/>
          </w:tcPr>
          <w:p>
            <w:pPr>
              <w:jc w:val="right"/>
              <w:ind w:right="100"/>
              <w:spacing w:after="0"/>
              <w:rPr>
                <w:sz w:val="20"/>
                <w:szCs w:val="20"/>
                <w:color w:val="auto"/>
              </w:rPr>
            </w:pPr>
            <w:r>
              <w:rPr>
                <w:rFonts w:ascii="Arial" w:cs="Arial" w:eastAsia="Arial" w:hAnsi="Arial"/>
                <w:sz w:val="16"/>
                <w:szCs w:val="16"/>
                <w:color w:val="auto"/>
              </w:rPr>
              <w:t>27,205</w:t>
            </w:r>
          </w:p>
        </w:tc>
        <w:tc>
          <w:tcPr>
            <w:tcW w:w="12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23,513</w:t>
            </w:r>
          </w:p>
        </w:tc>
        <w:tc>
          <w:tcPr>
            <w:tcW w:w="420" w:type="dxa"/>
            <w:vAlign w:val="bottom"/>
            <w:tcBorders>
              <w:bottom w:val="single" w:sz="8" w:color="CEFFE7"/>
            </w:tcBorders>
            <w:shd w:val="clear" w:color="auto" w:fill="CEFFE7"/>
          </w:tcPr>
          <w:p>
            <w:pPr>
              <w:spacing w:after="0"/>
              <w:rPr>
                <w:sz w:val="21"/>
                <w:szCs w:val="21"/>
                <w:color w:val="auto"/>
              </w:rPr>
            </w:pPr>
          </w:p>
        </w:tc>
        <w:tc>
          <w:tcPr>
            <w:tcW w:w="7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20,976</w:t>
            </w:r>
          </w:p>
        </w:tc>
        <w:tc>
          <w:tcPr>
            <w:tcW w:w="40" w:type="dxa"/>
            <w:vAlign w:val="bottom"/>
            <w:tcBorders>
              <w:bottom w:val="single" w:sz="8" w:color="CEFFE7"/>
            </w:tcBorders>
            <w:shd w:val="clear" w:color="auto" w:fill="CEFFE7"/>
          </w:tcPr>
          <w:p>
            <w:pPr>
              <w:spacing w:after="0"/>
              <w:rPr>
                <w:sz w:val="21"/>
                <w:szCs w:val="21"/>
                <w:color w:val="auto"/>
              </w:rPr>
            </w:pPr>
          </w:p>
        </w:tc>
        <w:tc>
          <w:tcPr>
            <w:tcW w:w="60" w:type="dxa"/>
            <w:vAlign w:val="bottom"/>
            <w:tcBorders>
              <w:bottom w:val="single" w:sz="8" w:color="CEFFE7"/>
            </w:tcBorders>
            <w:shd w:val="clear" w:color="auto" w:fill="CEFFE7"/>
          </w:tcPr>
          <w:p>
            <w:pPr>
              <w:spacing w:after="0"/>
              <w:rPr>
                <w:sz w:val="21"/>
                <w:szCs w:val="21"/>
                <w:color w:val="auto"/>
              </w:rPr>
            </w:pPr>
          </w:p>
        </w:tc>
        <w:tc>
          <w:tcPr>
            <w:tcW w:w="60" w:type="dxa"/>
            <w:vAlign w:val="bottom"/>
            <w:tcBorders>
              <w:bottom w:val="single" w:sz="8" w:color="CEFFE7"/>
            </w:tcBorders>
            <w:shd w:val="clear" w:color="auto" w:fill="CEFFE7"/>
          </w:tcPr>
          <w:p>
            <w:pPr>
              <w:spacing w:after="0"/>
              <w:rPr>
                <w:sz w:val="21"/>
                <w:szCs w:val="21"/>
                <w:color w:val="auto"/>
              </w:rPr>
            </w:pPr>
          </w:p>
        </w:tc>
        <w:tc>
          <w:tcPr>
            <w:tcW w:w="154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3260" w:type="dxa"/>
            <w:vAlign w:val="bottom"/>
            <w:tcBorders>
              <w:bottom w:val="single" w:sz="8" w:color="CEFFE7"/>
            </w:tcBorders>
          </w:tcPr>
          <w:p>
            <w:pPr>
              <w:spacing w:after="0"/>
              <w:rPr>
                <w:sz w:val="19"/>
                <w:szCs w:val="19"/>
                <w:color w:val="auto"/>
              </w:rPr>
            </w:pPr>
          </w:p>
        </w:tc>
        <w:tc>
          <w:tcPr>
            <w:tcW w:w="120" w:type="dxa"/>
            <w:vAlign w:val="bottom"/>
            <w:tcBorders>
              <w:bottom w:val="single" w:sz="8" w:color="CEFFE7"/>
            </w:tcBorders>
          </w:tcPr>
          <w:p>
            <w:pPr>
              <w:spacing w:after="0"/>
              <w:rPr>
                <w:sz w:val="19"/>
                <w:szCs w:val="19"/>
                <w:color w:val="auto"/>
              </w:rPr>
            </w:pPr>
          </w:p>
        </w:tc>
        <w:tc>
          <w:tcPr>
            <w:tcW w:w="120" w:type="dxa"/>
            <w:vAlign w:val="bottom"/>
            <w:tcBorders>
              <w:bottom w:val="single" w:sz="8" w:color="CEFFE7"/>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CEFFE7"/>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EFFE7"/>
            </w:tcBorders>
          </w:tcPr>
          <w:p>
            <w:pPr>
              <w:spacing w:after="0"/>
              <w:rPr>
                <w:sz w:val="19"/>
                <w:szCs w:val="19"/>
                <w:color w:val="auto"/>
              </w:rPr>
            </w:pPr>
          </w:p>
        </w:tc>
        <w:tc>
          <w:tcPr>
            <w:tcW w:w="60" w:type="dxa"/>
            <w:vAlign w:val="bottom"/>
            <w:tcBorders>
              <w:bottom w:val="single" w:sz="8" w:color="CEFFE7"/>
            </w:tcBorders>
          </w:tcPr>
          <w:p>
            <w:pPr>
              <w:spacing w:after="0"/>
              <w:rPr>
                <w:sz w:val="19"/>
                <w:szCs w:val="19"/>
                <w:color w:val="auto"/>
              </w:rPr>
            </w:pPr>
          </w:p>
        </w:tc>
        <w:tc>
          <w:tcPr>
            <w:tcW w:w="1540" w:type="dxa"/>
            <w:vAlign w:val="bottom"/>
            <w:tcBorders>
              <w:bottom w:val="single" w:sz="8" w:color="CEFFE7"/>
            </w:tcBorders>
          </w:tcPr>
          <w:p>
            <w:pPr>
              <w:spacing w:after="0"/>
              <w:rPr>
                <w:sz w:val="19"/>
                <w:szCs w:val="19"/>
                <w:color w:val="auto"/>
              </w:rPr>
            </w:pPr>
          </w:p>
        </w:tc>
        <w:tc>
          <w:tcPr>
            <w:tcW w:w="840" w:type="dxa"/>
            <w:vAlign w:val="bottom"/>
            <w:tcBorders>
              <w:bottom w:val="single" w:sz="8" w:color="CEFFE7"/>
            </w:tcBorders>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20" w:type="dxa"/>
            <w:vAlign w:val="bottom"/>
          </w:tcPr>
          <w:p>
            <w:pPr>
              <w:spacing w:after="0"/>
              <w:rPr>
                <w:sz w:val="17"/>
                <w:szCs w:val="17"/>
                <w:color w:val="auto"/>
              </w:rPr>
            </w:pPr>
          </w:p>
        </w:tc>
        <w:tc>
          <w:tcPr>
            <w:tcW w:w="3260" w:type="dxa"/>
            <w:vAlign w:val="bottom"/>
            <w:shd w:val="clear" w:color="auto" w:fill="CEFFE7"/>
          </w:tcPr>
          <w:p>
            <w:pPr>
              <w:ind w:left="260"/>
              <w:spacing w:after="0"/>
              <w:rPr>
                <w:sz w:val="20"/>
                <w:szCs w:val="20"/>
                <w:color w:val="auto"/>
              </w:rPr>
            </w:pPr>
            <w:r>
              <w:rPr>
                <w:rFonts w:ascii="Arial" w:cs="Arial" w:eastAsia="Arial" w:hAnsi="Arial"/>
                <w:sz w:val="16"/>
                <w:szCs w:val="16"/>
                <w:color w:val="auto"/>
              </w:rPr>
              <w:t>Total Gas Revenue &amp; Gross Margin (non-</w:t>
            </w:r>
          </w:p>
        </w:tc>
        <w:tc>
          <w:tcPr>
            <w:tcW w:w="400" w:type="dxa"/>
            <w:vAlign w:val="bottom"/>
            <w:gridSpan w:val="3"/>
            <w:vMerge w:val="restart"/>
            <w:shd w:val="clear" w:color="auto" w:fill="CEFFE7"/>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gridSpan w:val="2"/>
            <w:vMerge w:val="restart"/>
            <w:shd w:val="clear" w:color="auto" w:fill="CEFFE7"/>
          </w:tcPr>
          <w:p>
            <w:pPr>
              <w:jc w:val="right"/>
              <w:ind w:right="19"/>
              <w:spacing w:after="0"/>
              <w:rPr>
                <w:sz w:val="20"/>
                <w:szCs w:val="20"/>
                <w:color w:val="auto"/>
              </w:rPr>
            </w:pPr>
            <w:r>
              <w:rPr>
                <w:rFonts w:ascii="Arial" w:cs="Arial" w:eastAsia="Arial" w:hAnsi="Arial"/>
                <w:sz w:val="16"/>
                <w:szCs w:val="16"/>
                <w:color w:val="auto"/>
              </w:rPr>
              <w:t>360,773</w:t>
            </w:r>
          </w:p>
        </w:tc>
        <w:tc>
          <w:tcPr>
            <w:tcW w:w="240" w:type="dxa"/>
            <w:vAlign w:val="bottom"/>
            <w:vMerge w:val="restart"/>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gridSpan w:val="2"/>
            <w:vMerge w:val="restart"/>
            <w:shd w:val="clear" w:color="auto" w:fill="CEFFE7"/>
          </w:tcPr>
          <w:p>
            <w:pPr>
              <w:jc w:val="right"/>
              <w:ind w:right="100"/>
              <w:spacing w:after="0"/>
              <w:rPr>
                <w:sz w:val="20"/>
                <w:szCs w:val="20"/>
                <w:color w:val="auto"/>
              </w:rPr>
            </w:pPr>
            <w:r>
              <w:rPr>
                <w:rFonts w:ascii="Arial" w:cs="Arial" w:eastAsia="Arial" w:hAnsi="Arial"/>
                <w:sz w:val="16"/>
                <w:szCs w:val="16"/>
                <w:color w:val="auto"/>
              </w:rPr>
              <w:t>411,080</w:t>
            </w:r>
          </w:p>
        </w:tc>
        <w:tc>
          <w:tcPr>
            <w:tcW w:w="280" w:type="dxa"/>
            <w:vAlign w:val="bottom"/>
            <w:gridSpan w:val="2"/>
            <w:vMerge w:val="restart"/>
            <w:shd w:val="clear" w:color="auto" w:fill="CEFFE7"/>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EFFE7"/>
          </w:tcPr>
          <w:p>
            <w:pPr>
              <w:ind w:left="400"/>
              <w:spacing w:after="0"/>
              <w:rPr>
                <w:sz w:val="20"/>
                <w:szCs w:val="20"/>
                <w:color w:val="auto"/>
              </w:rPr>
            </w:pPr>
            <w:r>
              <w:rPr>
                <w:rFonts w:ascii="Arial" w:cs="Arial" w:eastAsia="Arial" w:hAnsi="Arial"/>
                <w:sz w:val="16"/>
                <w:szCs w:val="16"/>
                <w:color w:val="auto"/>
                <w:w w:val="93"/>
              </w:rPr>
              <w:t>205,411</w:t>
            </w:r>
          </w:p>
        </w:tc>
        <w:tc>
          <w:tcPr>
            <w:tcW w:w="420" w:type="dxa"/>
            <w:vAlign w:val="bottom"/>
            <w:vMerge w:val="restart"/>
            <w:shd w:val="clear" w:color="auto" w:fill="CEFFE7"/>
          </w:tcPr>
          <w:p>
            <w:pPr>
              <w:jc w:val="right"/>
              <w:ind w:right="182"/>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203,801</w:t>
            </w:r>
          </w:p>
        </w:tc>
        <w:tc>
          <w:tcPr>
            <w:tcW w:w="40" w:type="dxa"/>
            <w:vAlign w:val="bottom"/>
            <w:shd w:val="clear" w:color="auto" w:fill="CEFFE7"/>
          </w:tcPr>
          <w:p>
            <w:pPr>
              <w:spacing w:after="0"/>
              <w:rPr>
                <w:sz w:val="17"/>
                <w:szCs w:val="17"/>
                <w:color w:val="auto"/>
              </w:rPr>
            </w:pPr>
          </w:p>
        </w:tc>
        <w:tc>
          <w:tcPr>
            <w:tcW w:w="60" w:type="dxa"/>
            <w:vAlign w:val="bottom"/>
            <w:shd w:val="clear" w:color="auto" w:fill="CEFFE7"/>
          </w:tcPr>
          <w:p>
            <w:pPr>
              <w:spacing w:after="0"/>
              <w:rPr>
                <w:sz w:val="17"/>
                <w:szCs w:val="17"/>
                <w:color w:val="auto"/>
              </w:rPr>
            </w:pPr>
          </w:p>
        </w:tc>
        <w:tc>
          <w:tcPr>
            <w:tcW w:w="60" w:type="dxa"/>
            <w:vAlign w:val="bottom"/>
            <w:shd w:val="clear" w:color="auto" w:fill="CEFFE7"/>
          </w:tcPr>
          <w:p>
            <w:pPr>
              <w:spacing w:after="0"/>
              <w:rPr>
                <w:sz w:val="17"/>
                <w:szCs w:val="17"/>
                <w:color w:val="auto"/>
              </w:rPr>
            </w:pPr>
          </w:p>
        </w:tc>
        <w:tc>
          <w:tcPr>
            <w:tcW w:w="1540" w:type="dxa"/>
            <w:vAlign w:val="bottom"/>
            <w:shd w:val="clear" w:color="auto" w:fill="CEFFE7"/>
          </w:tcPr>
          <w:p>
            <w:pPr>
              <w:spacing w:after="0"/>
              <w:rPr>
                <w:sz w:val="17"/>
                <w:szCs w:val="17"/>
                <w:color w:val="auto"/>
              </w:rPr>
            </w:pPr>
          </w:p>
        </w:tc>
        <w:tc>
          <w:tcPr>
            <w:tcW w:w="840" w:type="dxa"/>
            <w:vAlign w:val="bottom"/>
            <w:shd w:val="clear" w:color="auto" w:fill="CEFFE7"/>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20" w:type="dxa"/>
            <w:vAlign w:val="bottom"/>
          </w:tcPr>
          <w:p>
            <w:pPr>
              <w:spacing w:after="0"/>
              <w:rPr>
                <w:sz w:val="19"/>
                <w:szCs w:val="19"/>
                <w:color w:val="auto"/>
              </w:rPr>
            </w:pPr>
          </w:p>
        </w:tc>
        <w:tc>
          <w:tcPr>
            <w:tcW w:w="3260" w:type="dxa"/>
            <w:vAlign w:val="bottom"/>
            <w:shd w:val="clear" w:color="auto" w:fill="CEFFE7"/>
          </w:tcPr>
          <w:p>
            <w:pPr>
              <w:ind w:left="260"/>
              <w:spacing w:after="0"/>
              <w:rPr>
                <w:sz w:val="20"/>
                <w:szCs w:val="20"/>
                <w:color w:val="auto"/>
              </w:rPr>
            </w:pPr>
            <w:r>
              <w:rPr>
                <w:rFonts w:ascii="Arial" w:cs="Arial" w:eastAsia="Arial" w:hAnsi="Arial"/>
                <w:sz w:val="16"/>
                <w:szCs w:val="16"/>
                <w:color w:val="auto"/>
              </w:rPr>
              <w:t>GAAP)</w:t>
            </w:r>
          </w:p>
        </w:tc>
        <w:tc>
          <w:tcPr>
            <w:tcW w:w="400" w:type="dxa"/>
            <w:vAlign w:val="bottom"/>
            <w:gridSpan w:val="3"/>
            <w:vMerge w:val="continue"/>
            <w:shd w:val="clear" w:color="auto" w:fill="CEFFE7"/>
          </w:tcPr>
          <w:p>
            <w:pPr>
              <w:spacing w:after="0"/>
              <w:rPr>
                <w:sz w:val="19"/>
                <w:szCs w:val="19"/>
                <w:color w:val="auto"/>
              </w:rPr>
            </w:pPr>
          </w:p>
        </w:tc>
        <w:tc>
          <w:tcPr>
            <w:tcW w:w="1020" w:type="dxa"/>
            <w:vAlign w:val="bottom"/>
            <w:gridSpan w:val="2"/>
            <w:vMerge w:val="continue"/>
            <w:shd w:val="clear" w:color="auto" w:fill="CEFFE7"/>
          </w:tcPr>
          <w:p>
            <w:pPr>
              <w:spacing w:after="0"/>
              <w:rPr>
                <w:sz w:val="19"/>
                <w:szCs w:val="19"/>
                <w:color w:val="auto"/>
              </w:rPr>
            </w:pPr>
          </w:p>
        </w:tc>
        <w:tc>
          <w:tcPr>
            <w:tcW w:w="240" w:type="dxa"/>
            <w:vAlign w:val="bottom"/>
            <w:vMerge w:val="continue"/>
            <w:shd w:val="clear" w:color="auto" w:fill="CEFFE7"/>
          </w:tcPr>
          <w:p>
            <w:pPr>
              <w:spacing w:after="0"/>
              <w:rPr>
                <w:sz w:val="19"/>
                <w:szCs w:val="19"/>
                <w:color w:val="auto"/>
              </w:rPr>
            </w:pPr>
          </w:p>
        </w:tc>
        <w:tc>
          <w:tcPr>
            <w:tcW w:w="960" w:type="dxa"/>
            <w:vAlign w:val="bottom"/>
            <w:gridSpan w:val="2"/>
            <w:vMerge w:val="continue"/>
            <w:shd w:val="clear" w:color="auto" w:fill="CEFFE7"/>
          </w:tcPr>
          <w:p>
            <w:pPr>
              <w:spacing w:after="0"/>
              <w:rPr>
                <w:sz w:val="19"/>
                <w:szCs w:val="19"/>
                <w:color w:val="auto"/>
              </w:rPr>
            </w:pPr>
          </w:p>
        </w:tc>
        <w:tc>
          <w:tcPr>
            <w:tcW w:w="280" w:type="dxa"/>
            <w:vAlign w:val="bottom"/>
            <w:gridSpan w:val="2"/>
            <w:vMerge w:val="continue"/>
            <w:shd w:val="clear" w:color="auto" w:fill="CEFFE7"/>
          </w:tcPr>
          <w:p>
            <w:pPr>
              <w:spacing w:after="0"/>
              <w:rPr>
                <w:sz w:val="19"/>
                <w:szCs w:val="19"/>
                <w:color w:val="auto"/>
              </w:rPr>
            </w:pPr>
          </w:p>
        </w:tc>
        <w:tc>
          <w:tcPr>
            <w:tcW w:w="960" w:type="dxa"/>
            <w:vAlign w:val="bottom"/>
            <w:vMerge w:val="continue"/>
            <w:shd w:val="clear" w:color="auto" w:fill="CEFFE7"/>
          </w:tcPr>
          <w:p>
            <w:pPr>
              <w:spacing w:after="0"/>
              <w:rPr>
                <w:sz w:val="19"/>
                <w:szCs w:val="19"/>
                <w:color w:val="auto"/>
              </w:rPr>
            </w:pPr>
          </w:p>
        </w:tc>
        <w:tc>
          <w:tcPr>
            <w:tcW w:w="420" w:type="dxa"/>
            <w:vAlign w:val="bottom"/>
            <w:vMerge w:val="continue"/>
            <w:shd w:val="clear" w:color="auto" w:fill="CEFFE7"/>
          </w:tcPr>
          <w:p>
            <w:pPr>
              <w:spacing w:after="0"/>
              <w:rPr>
                <w:sz w:val="19"/>
                <w:szCs w:val="19"/>
                <w:color w:val="auto"/>
              </w:rPr>
            </w:pPr>
          </w:p>
        </w:tc>
        <w:tc>
          <w:tcPr>
            <w:tcW w:w="780" w:type="dxa"/>
            <w:vAlign w:val="bottom"/>
            <w:vMerge w:val="continue"/>
            <w:shd w:val="clear" w:color="auto" w:fill="CEFFE7"/>
          </w:tcPr>
          <w:p>
            <w:pPr>
              <w:spacing w:after="0"/>
              <w:rPr>
                <w:sz w:val="19"/>
                <w:szCs w:val="19"/>
                <w:color w:val="auto"/>
              </w:rPr>
            </w:pPr>
          </w:p>
        </w:tc>
        <w:tc>
          <w:tcPr>
            <w:tcW w:w="40" w:type="dxa"/>
            <w:vAlign w:val="bottom"/>
            <w:shd w:val="clear" w:color="auto" w:fill="CEFFE7"/>
          </w:tcPr>
          <w:p>
            <w:pPr>
              <w:spacing w:after="0"/>
              <w:rPr>
                <w:sz w:val="19"/>
                <w:szCs w:val="19"/>
                <w:color w:val="auto"/>
              </w:rPr>
            </w:pPr>
          </w:p>
        </w:tc>
        <w:tc>
          <w:tcPr>
            <w:tcW w:w="60" w:type="dxa"/>
            <w:vAlign w:val="bottom"/>
            <w:shd w:val="clear" w:color="auto" w:fill="CEFFE7"/>
          </w:tcPr>
          <w:p>
            <w:pPr>
              <w:spacing w:after="0"/>
              <w:rPr>
                <w:sz w:val="19"/>
                <w:szCs w:val="19"/>
                <w:color w:val="auto"/>
              </w:rPr>
            </w:pPr>
          </w:p>
        </w:tc>
        <w:tc>
          <w:tcPr>
            <w:tcW w:w="60" w:type="dxa"/>
            <w:vAlign w:val="bottom"/>
            <w:shd w:val="clear" w:color="auto" w:fill="CEFFE7"/>
          </w:tcPr>
          <w:p>
            <w:pPr>
              <w:spacing w:after="0"/>
              <w:rPr>
                <w:sz w:val="19"/>
                <w:szCs w:val="19"/>
                <w:color w:val="auto"/>
              </w:rPr>
            </w:pPr>
          </w:p>
        </w:tc>
        <w:tc>
          <w:tcPr>
            <w:tcW w:w="1540" w:type="dxa"/>
            <w:vAlign w:val="bottom"/>
            <w:shd w:val="clear" w:color="auto" w:fill="CEFFE7"/>
          </w:tcPr>
          <w:p>
            <w:pPr>
              <w:spacing w:after="0"/>
              <w:rPr>
                <w:sz w:val="19"/>
                <w:szCs w:val="19"/>
                <w:color w:val="auto"/>
              </w:rPr>
            </w:pPr>
          </w:p>
        </w:tc>
        <w:tc>
          <w:tcPr>
            <w:tcW w:w="84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260" w:type="dxa"/>
            <w:vAlign w:val="bottom"/>
            <w:tcBorders>
              <w:top w:val="single" w:sz="8" w:color="CEFFE7"/>
            </w:tcBorders>
          </w:tcPr>
          <w:p>
            <w:pPr>
              <w:spacing w:after="0" w:line="20" w:lineRule="exact"/>
              <w:rPr>
                <w:sz w:val="1"/>
                <w:szCs w:val="1"/>
                <w:color w:val="auto"/>
              </w:rPr>
            </w:pPr>
          </w:p>
        </w:tc>
        <w:tc>
          <w:tcPr>
            <w:tcW w:w="120" w:type="dxa"/>
            <w:vAlign w:val="bottom"/>
            <w:tcBorders>
              <w:top w:val="single" w:sz="8" w:color="CEFFE7"/>
            </w:tcBorders>
          </w:tcPr>
          <w:p>
            <w:pPr>
              <w:spacing w:after="0" w:line="20" w:lineRule="exact"/>
              <w:rPr>
                <w:sz w:val="1"/>
                <w:szCs w:val="1"/>
                <w:color w:val="auto"/>
              </w:rPr>
            </w:pPr>
          </w:p>
        </w:tc>
        <w:tc>
          <w:tcPr>
            <w:tcW w:w="120" w:type="dxa"/>
            <w:vAlign w:val="bottom"/>
            <w:tcBorders>
              <w:top w:val="single" w:sz="8" w:color="CEFFE7"/>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EFFE7"/>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EFFE7"/>
            </w:tcBorders>
          </w:tcPr>
          <w:p>
            <w:pPr>
              <w:spacing w:after="0" w:line="20" w:lineRule="exact"/>
              <w:rPr>
                <w:sz w:val="1"/>
                <w:szCs w:val="1"/>
                <w:color w:val="auto"/>
              </w:rPr>
            </w:pPr>
          </w:p>
        </w:tc>
        <w:tc>
          <w:tcPr>
            <w:tcW w:w="60" w:type="dxa"/>
            <w:vAlign w:val="bottom"/>
            <w:tcBorders>
              <w:top w:val="single" w:sz="8" w:color="CEFFE7"/>
            </w:tcBorders>
          </w:tcPr>
          <w:p>
            <w:pPr>
              <w:spacing w:after="0" w:line="20" w:lineRule="exact"/>
              <w:rPr>
                <w:sz w:val="1"/>
                <w:szCs w:val="1"/>
                <w:color w:val="auto"/>
              </w:rPr>
            </w:pPr>
          </w:p>
        </w:tc>
        <w:tc>
          <w:tcPr>
            <w:tcW w:w="2380" w:type="dxa"/>
            <w:vAlign w:val="bottom"/>
            <w:tcBorders>
              <w:top w:val="single" w:sz="8" w:color="CEFFE7"/>
              <w:bottom w:val="single" w:sz="8" w:color="CEFFE7"/>
            </w:tcBorders>
            <w:gridSpan w:val="2"/>
            <w:vMerge w:val="restart"/>
          </w:tcPr>
          <w:p>
            <w:pPr>
              <w:jc w:val="center"/>
              <w:spacing w:after="0"/>
              <w:rPr>
                <w:sz w:val="20"/>
                <w:szCs w:val="20"/>
                <w:color w:val="auto"/>
              </w:rPr>
            </w:pPr>
            <w:r>
              <w:rPr>
                <w:rFonts w:ascii="Arial" w:cs="Arial" w:eastAsia="Arial" w:hAnsi="Arial"/>
                <w:sz w:val="16"/>
                <w:szCs w:val="16"/>
                <w:color w:val="auto"/>
                <w:w w:val="94"/>
              </w:rPr>
              <w:t>Gas Utilities Quantities Sold &amp;</w:t>
            </w:r>
          </w:p>
        </w:tc>
        <w:tc>
          <w:tcPr>
            <w:tcW w:w="0" w:type="dxa"/>
            <w:vAlign w:val="bottom"/>
          </w:tcPr>
          <w:p>
            <w:pPr>
              <w:spacing w:after="0" w:line="20" w:lineRule="exact"/>
              <w:rPr>
                <w:sz w:val="1"/>
                <w:szCs w:val="1"/>
                <w:color w:val="auto"/>
              </w:rPr>
            </w:pPr>
          </w:p>
        </w:tc>
      </w:tr>
      <w:tr>
        <w:trPr>
          <w:trHeight w:val="882"/>
        </w:trPr>
        <w:tc>
          <w:tcPr>
            <w:tcW w:w="3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0" w:type="dxa"/>
            <w:vAlign w:val="bottom"/>
            <w:gridSpan w:val="4"/>
          </w:tcPr>
          <w:p>
            <w:pPr>
              <w:jc w:val="center"/>
              <w:ind w:right="320"/>
              <w:spacing w:after="0"/>
              <w:rPr>
                <w:sz w:val="20"/>
                <w:szCs w:val="20"/>
                <w:color w:val="auto"/>
              </w:rPr>
            </w:pPr>
            <w:r>
              <w:rPr>
                <w:rFonts w:ascii="Arial" w:cs="Arial" w:eastAsia="Arial" w:hAnsi="Arial"/>
                <w:sz w:val="16"/>
                <w:szCs w:val="16"/>
                <w:color w:val="auto"/>
                <w:w w:val="93"/>
              </w:rPr>
              <w:t>Gross Margin (non-GAAP)</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380" w:type="dxa"/>
            <w:vAlign w:val="bottom"/>
            <w:gridSpan w:val="2"/>
          </w:tcPr>
          <w:p>
            <w:pPr>
              <w:jc w:val="center"/>
              <w:spacing w:after="0"/>
              <w:rPr>
                <w:sz w:val="20"/>
                <w:szCs w:val="20"/>
                <w:color w:val="auto"/>
              </w:rPr>
            </w:pPr>
            <w:r>
              <w:rPr>
                <w:rFonts w:ascii="Arial" w:cs="Arial" w:eastAsia="Arial" w:hAnsi="Arial"/>
                <w:sz w:val="16"/>
                <w:szCs w:val="16"/>
                <w:color w:val="auto"/>
                <w:w w:val="93"/>
              </w:rPr>
              <w:t>Transported (Dth)</w:t>
            </w:r>
          </w:p>
        </w:tc>
        <w:tc>
          <w:tcPr>
            <w:tcW w:w="0" w:type="dxa"/>
            <w:vAlign w:val="bottom"/>
          </w:tcPr>
          <w:p>
            <w:pPr>
              <w:spacing w:after="0"/>
              <w:rPr>
                <w:sz w:val="1"/>
                <w:szCs w:val="1"/>
                <w:color w:val="auto"/>
              </w:rPr>
            </w:pPr>
          </w:p>
        </w:tc>
      </w:tr>
      <w:tr>
        <w:trPr>
          <w:trHeight w:val="206"/>
        </w:trPr>
        <w:tc>
          <w:tcPr>
            <w:tcW w:w="3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20" w:type="dxa"/>
            <w:vAlign w:val="bottom"/>
            <w:gridSpan w:val="5"/>
          </w:tcPr>
          <w:p>
            <w:pPr>
              <w:jc w:val="center"/>
              <w:ind w:right="460"/>
              <w:spacing w:after="0"/>
              <w:rPr>
                <w:sz w:val="20"/>
                <w:szCs w:val="20"/>
                <w:color w:val="auto"/>
              </w:rPr>
            </w:pPr>
            <w:r>
              <w:rPr>
                <w:rFonts w:ascii="Arial" w:cs="Arial" w:eastAsia="Arial" w:hAnsi="Arial"/>
                <w:sz w:val="16"/>
                <w:szCs w:val="16"/>
                <w:color w:val="auto"/>
                <w:w w:val="89"/>
              </w:rPr>
              <w:t>Revenue (in thousands)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0" w:type="dxa"/>
            <w:vAlign w:val="bottom"/>
            <w:gridSpan w:val="4"/>
          </w:tcPr>
          <w:p>
            <w:pPr>
              <w:jc w:val="center"/>
              <w:ind w:right="280"/>
              <w:spacing w:after="0"/>
              <w:rPr>
                <w:sz w:val="20"/>
                <w:szCs w:val="20"/>
                <w:color w:val="auto"/>
              </w:rPr>
            </w:pPr>
            <w:r>
              <w:rPr>
                <w:rFonts w:ascii="Arial" w:cs="Arial" w:eastAsia="Arial" w:hAnsi="Arial"/>
                <w:sz w:val="16"/>
                <w:szCs w:val="16"/>
                <w:color w:val="auto"/>
                <w:w w:val="90"/>
              </w:rPr>
              <w:t>(in thousands)</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3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4"/>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20" w:type="dxa"/>
            <w:vAlign w:val="bottom"/>
            <w:gridSpan w:val="5"/>
          </w:tcPr>
          <w:p>
            <w:pPr>
              <w:jc w:val="center"/>
              <w:ind w:right="460"/>
              <w:spacing w:after="0"/>
              <w:rPr>
                <w:sz w:val="20"/>
                <w:szCs w:val="20"/>
                <w:color w:val="auto"/>
              </w:rPr>
            </w:pPr>
            <w:r>
              <w:rPr>
                <w:rFonts w:ascii="Arial" w:cs="Arial" w:eastAsia="Arial" w:hAnsi="Arial"/>
                <w:sz w:val="16"/>
                <w:szCs w:val="16"/>
                <w:color w:val="auto"/>
                <w:w w:val="90"/>
              </w:rPr>
              <w:t>Three Months Ended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0" w:type="dxa"/>
            <w:vAlign w:val="bottom"/>
            <w:gridSpan w:val="4"/>
          </w:tcPr>
          <w:p>
            <w:pPr>
              <w:jc w:val="center"/>
              <w:ind w:right="300"/>
              <w:spacing w:after="0"/>
              <w:rPr>
                <w:sz w:val="20"/>
                <w:szCs w:val="20"/>
                <w:color w:val="auto"/>
              </w:rPr>
            </w:pPr>
            <w:r>
              <w:rPr>
                <w:rFonts w:ascii="Arial" w:cs="Arial" w:eastAsia="Arial" w:hAnsi="Arial"/>
                <w:sz w:val="16"/>
                <w:szCs w:val="16"/>
                <w:color w:val="auto"/>
                <w:w w:val="92"/>
              </w:rPr>
              <w:t>Three Months Ended</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80" w:type="dxa"/>
            <w:vAlign w:val="bottom"/>
            <w:gridSpan w:val="2"/>
          </w:tcPr>
          <w:p>
            <w:pPr>
              <w:jc w:val="center"/>
              <w:spacing w:after="0"/>
              <w:rPr>
                <w:sz w:val="20"/>
                <w:szCs w:val="20"/>
                <w:color w:val="auto"/>
              </w:rPr>
            </w:pPr>
            <w:r>
              <w:rPr>
                <w:rFonts w:ascii="Arial" w:cs="Arial" w:eastAsia="Arial" w:hAnsi="Arial"/>
                <w:sz w:val="16"/>
                <w:szCs w:val="16"/>
                <w:color w:val="auto"/>
                <w:w w:val="92"/>
              </w:rPr>
              <w:t>Three Months Ended</w:t>
            </w:r>
          </w:p>
        </w:tc>
        <w:tc>
          <w:tcPr>
            <w:tcW w:w="0" w:type="dxa"/>
            <w:vAlign w:val="bottom"/>
          </w:tcPr>
          <w:p>
            <w:pPr>
              <w:spacing w:after="0"/>
              <w:rPr>
                <w:sz w:val="1"/>
                <w:szCs w:val="1"/>
                <w:color w:val="auto"/>
              </w:rPr>
            </w:pPr>
          </w:p>
        </w:tc>
      </w:tr>
      <w:tr>
        <w:trPr>
          <w:trHeight w:val="206"/>
        </w:trPr>
        <w:tc>
          <w:tcPr>
            <w:tcW w:w="3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3"/>
          </w:tcPr>
          <w:p>
            <w:pPr>
              <w:jc w:val="center"/>
              <w:ind w:left="399"/>
              <w:spacing w:after="0"/>
              <w:rPr>
                <w:sz w:val="20"/>
                <w:szCs w:val="20"/>
                <w:color w:val="auto"/>
              </w:rPr>
            </w:pPr>
            <w:r>
              <w:rPr>
                <w:rFonts w:ascii="Arial" w:cs="Arial" w:eastAsia="Arial" w:hAnsi="Arial"/>
                <w:sz w:val="16"/>
                <w:szCs w:val="16"/>
                <w:color w:val="auto"/>
                <w:w w:val="92"/>
              </w:rPr>
              <w:t>March 31,</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center"/>
              <w:ind w:left="439"/>
              <w:spacing w:after="0"/>
              <w:rPr>
                <w:sz w:val="20"/>
                <w:szCs w:val="20"/>
                <w:color w:val="auto"/>
              </w:rPr>
            </w:pPr>
            <w:r>
              <w:rPr>
                <w:rFonts w:ascii="Arial" w:cs="Arial" w:eastAsia="Arial" w:hAnsi="Arial"/>
                <w:sz w:val="16"/>
                <w:szCs w:val="16"/>
                <w:color w:val="auto"/>
                <w:w w:val="92"/>
              </w:rPr>
              <w:t>March 31,</w:t>
            </w: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40" w:type="dxa"/>
            <w:vAlign w:val="bottom"/>
          </w:tcPr>
          <w:p>
            <w:pPr>
              <w:jc w:val="center"/>
              <w:ind w:left="719"/>
              <w:spacing w:after="0"/>
              <w:rPr>
                <w:sz w:val="20"/>
                <w:szCs w:val="20"/>
                <w:color w:val="auto"/>
              </w:rPr>
            </w:pPr>
            <w:r>
              <w:rPr>
                <w:rFonts w:ascii="Arial" w:cs="Arial" w:eastAsia="Arial" w:hAnsi="Arial"/>
                <w:sz w:val="16"/>
                <w:szCs w:val="16"/>
                <w:color w:val="auto"/>
                <w:w w:val="92"/>
              </w:rPr>
              <w:t>March 31,</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20" w:type="dxa"/>
            <w:vAlign w:val="bottom"/>
          </w:tcPr>
          <w:p>
            <w:pPr>
              <w:spacing w:after="0"/>
              <w:rPr>
                <w:sz w:val="23"/>
                <w:szCs w:val="23"/>
                <w:color w:val="auto"/>
              </w:rPr>
            </w:pPr>
          </w:p>
        </w:tc>
        <w:tc>
          <w:tcPr>
            <w:tcW w:w="3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ind w:right="339"/>
              <w:spacing w:after="0"/>
              <w:rPr>
                <w:sz w:val="20"/>
                <w:szCs w:val="20"/>
                <w:color w:val="auto"/>
              </w:rPr>
            </w:pPr>
            <w:r>
              <w:rPr>
                <w:rFonts w:ascii="Arial" w:cs="Arial" w:eastAsia="Arial" w:hAnsi="Arial"/>
                <w:sz w:val="16"/>
                <w:szCs w:val="16"/>
                <w:color w:val="auto"/>
              </w:rPr>
              <w:t>2020</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379"/>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ind w:left="180"/>
              <w:spacing w:after="0"/>
              <w:rPr>
                <w:sz w:val="20"/>
                <w:szCs w:val="20"/>
                <w:color w:val="auto"/>
              </w:rPr>
            </w:pPr>
            <w:r>
              <w:rPr>
                <w:rFonts w:ascii="Arial" w:cs="Arial" w:eastAsia="Arial" w:hAnsi="Arial"/>
                <w:sz w:val="16"/>
                <w:szCs w:val="16"/>
                <w:color w:val="auto"/>
              </w:rPr>
              <w:t>2020</w:t>
            </w:r>
          </w:p>
        </w:tc>
        <w:tc>
          <w:tcPr>
            <w:tcW w:w="420" w:type="dxa"/>
            <w:vAlign w:val="bottom"/>
          </w:tcPr>
          <w:p>
            <w:pPr>
              <w:spacing w:after="0"/>
              <w:rPr>
                <w:sz w:val="23"/>
                <w:szCs w:val="23"/>
                <w:color w:val="auto"/>
              </w:rPr>
            </w:pPr>
          </w:p>
        </w:tc>
        <w:tc>
          <w:tcPr>
            <w:tcW w:w="780" w:type="dxa"/>
            <w:vAlign w:val="bottom"/>
          </w:tcPr>
          <w:p>
            <w:pPr>
              <w:jc w:val="right"/>
              <w:ind w:right="379"/>
              <w:spacing w:after="0"/>
              <w:rPr>
                <w:sz w:val="20"/>
                <w:szCs w:val="20"/>
                <w:color w:val="auto"/>
              </w:rPr>
            </w:pPr>
            <w:r>
              <w:rPr>
                <w:rFonts w:ascii="Arial" w:cs="Arial" w:eastAsia="Arial" w:hAnsi="Arial"/>
                <w:sz w:val="16"/>
                <w:szCs w:val="16"/>
                <w:color w:val="auto"/>
                <w:w w:val="84"/>
              </w:rPr>
              <w:t>2019</w:t>
            </w:r>
          </w:p>
        </w:tc>
        <w:tc>
          <w:tcPr>
            <w:tcW w:w="40" w:type="dxa"/>
            <w:vAlign w:val="bottom"/>
          </w:tcPr>
          <w:p>
            <w:pPr>
              <w:spacing w:after="0"/>
              <w:rPr>
                <w:sz w:val="23"/>
                <w:szCs w:val="23"/>
                <w:color w:val="auto"/>
              </w:rPr>
            </w:pPr>
          </w:p>
        </w:tc>
        <w:tc>
          <w:tcPr>
            <w:tcW w:w="1660" w:type="dxa"/>
            <w:vAlign w:val="bottom"/>
            <w:gridSpan w:val="3"/>
          </w:tcPr>
          <w:p>
            <w:pPr>
              <w:jc w:val="right"/>
              <w:ind w:right="739"/>
              <w:spacing w:after="0"/>
              <w:rPr>
                <w:sz w:val="20"/>
                <w:szCs w:val="20"/>
                <w:color w:val="auto"/>
              </w:rPr>
            </w:pPr>
            <w:r>
              <w:rPr>
                <w:rFonts w:ascii="Arial" w:cs="Arial" w:eastAsia="Arial" w:hAnsi="Arial"/>
                <w:sz w:val="16"/>
                <w:szCs w:val="16"/>
                <w:color w:val="auto"/>
              </w:rPr>
              <w:t>2020</w:t>
            </w:r>
          </w:p>
        </w:tc>
        <w:tc>
          <w:tcPr>
            <w:tcW w:w="840" w:type="dxa"/>
            <w:vAlign w:val="bottom"/>
          </w:tcPr>
          <w:p>
            <w:pPr>
              <w:jc w:val="right"/>
              <w:ind w:right="379"/>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33"/>
        </w:trPr>
        <w:tc>
          <w:tcPr>
            <w:tcW w:w="35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58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Arkansas Gas</w:t>
            </w:r>
          </w:p>
        </w:tc>
        <w:tc>
          <w:tcPr>
            <w:tcW w:w="240" w:type="dxa"/>
            <w:vAlign w:val="bottom"/>
            <w:tcBorders>
              <w:bottom w:val="single" w:sz="8" w:color="CEFFE7"/>
            </w:tcBorders>
            <w:gridSpan w:val="2"/>
            <w:shd w:val="clear" w:color="auto" w:fill="CEFFE7"/>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74,845</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79,391</w:t>
            </w:r>
          </w:p>
        </w:tc>
        <w:tc>
          <w:tcPr>
            <w:tcW w:w="10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gridSpan w:val="2"/>
            <w:shd w:val="clear" w:color="auto" w:fill="CEFFE7"/>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6"/>
                <w:szCs w:val="16"/>
                <w:color w:val="auto"/>
              </w:rPr>
              <w:t>48,855</w:t>
            </w:r>
          </w:p>
        </w:tc>
        <w:tc>
          <w:tcPr>
            <w:tcW w:w="420" w:type="dxa"/>
            <w:vAlign w:val="bottom"/>
            <w:tcBorders>
              <w:bottom w:val="single" w:sz="8" w:color="CEFFE7"/>
            </w:tcBorders>
            <w:shd w:val="clear" w:color="auto" w:fill="CEFFE7"/>
          </w:tcPr>
          <w:p>
            <w:pPr>
              <w:jc w:val="right"/>
              <w:ind w:right="262"/>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44,282</w:t>
            </w:r>
          </w:p>
        </w:tc>
        <w:tc>
          <w:tcPr>
            <w:tcW w:w="40" w:type="dxa"/>
            <w:vAlign w:val="bottom"/>
            <w:tcBorders>
              <w:bottom w:val="single" w:sz="8" w:color="CEFFE7"/>
            </w:tcBorders>
            <w:shd w:val="clear" w:color="auto" w:fill="CEFFE7"/>
          </w:tcPr>
          <w:p>
            <w:pPr>
              <w:spacing w:after="0"/>
              <w:rPr>
                <w:sz w:val="21"/>
                <w:szCs w:val="21"/>
                <w:color w:val="auto"/>
              </w:rPr>
            </w:pPr>
          </w:p>
        </w:tc>
        <w:tc>
          <w:tcPr>
            <w:tcW w:w="1660" w:type="dxa"/>
            <w:vAlign w:val="bottom"/>
            <w:tcBorders>
              <w:bottom w:val="single" w:sz="8" w:color="CEFFE7"/>
            </w:tcBorders>
            <w:gridSpan w:val="3"/>
            <w:shd w:val="clear" w:color="auto" w:fill="CEFFE7"/>
          </w:tcPr>
          <w:p>
            <w:pPr>
              <w:jc w:val="right"/>
              <w:ind w:right="399"/>
              <w:spacing w:after="0"/>
              <w:rPr>
                <w:sz w:val="20"/>
                <w:szCs w:val="20"/>
                <w:color w:val="auto"/>
              </w:rPr>
            </w:pPr>
            <w:r>
              <w:rPr>
                <w:rFonts w:ascii="Arial" w:cs="Arial" w:eastAsia="Arial" w:hAnsi="Arial"/>
                <w:sz w:val="16"/>
                <w:szCs w:val="16"/>
                <w:color w:val="auto"/>
              </w:rPr>
              <w:t>10,962,948</w:t>
            </w:r>
          </w:p>
        </w:tc>
        <w:tc>
          <w:tcPr>
            <w:tcW w:w="8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w w:val="87"/>
              </w:rPr>
              <w:t>12,424,196</w:t>
            </w:r>
          </w:p>
        </w:tc>
        <w:tc>
          <w:tcPr>
            <w:tcW w:w="0" w:type="dxa"/>
            <w:vAlign w:val="bottom"/>
          </w:tcPr>
          <w:p>
            <w:pPr>
              <w:spacing w:after="0"/>
              <w:rPr>
                <w:sz w:val="1"/>
                <w:szCs w:val="1"/>
                <w:color w:val="auto"/>
              </w:rPr>
            </w:pPr>
          </w:p>
        </w:tc>
      </w:tr>
      <w:tr>
        <w:trPr>
          <w:trHeight w:val="237"/>
        </w:trPr>
        <w:tc>
          <w:tcPr>
            <w:tcW w:w="3580" w:type="dxa"/>
            <w:vAlign w:val="bottom"/>
            <w:gridSpan w:val="2"/>
          </w:tcPr>
          <w:p>
            <w:pPr>
              <w:ind w:left="20"/>
              <w:spacing w:after="0"/>
              <w:rPr>
                <w:sz w:val="20"/>
                <w:szCs w:val="20"/>
                <w:color w:val="auto"/>
              </w:rPr>
            </w:pPr>
            <w:r>
              <w:rPr>
                <w:rFonts w:ascii="Arial" w:cs="Arial" w:eastAsia="Arial" w:hAnsi="Arial"/>
                <w:sz w:val="16"/>
                <w:szCs w:val="16"/>
                <w:color w:val="auto"/>
              </w:rPr>
              <w:t>Colorado Gas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72,606</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76,471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ind w:left="380"/>
              <w:spacing w:after="0"/>
              <w:rPr>
                <w:sz w:val="20"/>
                <w:szCs w:val="20"/>
                <w:color w:val="auto"/>
              </w:rPr>
            </w:pPr>
            <w:r>
              <w:rPr>
                <w:rFonts w:ascii="Arial" w:cs="Arial" w:eastAsia="Arial" w:hAnsi="Arial"/>
                <w:sz w:val="16"/>
                <w:szCs w:val="16"/>
                <w:color w:val="auto"/>
              </w:rPr>
              <w:t>38,006</w:t>
            </w:r>
          </w:p>
        </w:tc>
        <w:tc>
          <w:tcPr>
            <w:tcW w:w="42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37,600</w:t>
            </w:r>
          </w:p>
        </w:tc>
        <w:tc>
          <w:tcPr>
            <w:tcW w:w="40" w:type="dxa"/>
            <w:vAlign w:val="bottom"/>
          </w:tcPr>
          <w:p>
            <w:pPr>
              <w:spacing w:after="0"/>
              <w:rPr>
                <w:sz w:val="20"/>
                <w:szCs w:val="20"/>
                <w:color w:val="auto"/>
              </w:rPr>
            </w:pPr>
          </w:p>
        </w:tc>
        <w:tc>
          <w:tcPr>
            <w:tcW w:w="1660" w:type="dxa"/>
            <w:vAlign w:val="bottom"/>
            <w:gridSpan w:val="3"/>
          </w:tcPr>
          <w:p>
            <w:pPr>
              <w:jc w:val="right"/>
              <w:ind w:right="399"/>
              <w:spacing w:after="0"/>
              <w:rPr>
                <w:sz w:val="20"/>
                <w:szCs w:val="20"/>
                <w:color w:val="auto"/>
              </w:rPr>
            </w:pPr>
            <w:r>
              <w:rPr>
                <w:rFonts w:ascii="Arial" w:cs="Arial" w:eastAsia="Arial" w:hAnsi="Arial"/>
                <w:sz w:val="16"/>
                <w:szCs w:val="16"/>
                <w:color w:val="auto"/>
              </w:rPr>
              <w:t>13,096,405</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w w:val="87"/>
              </w:rPr>
              <w:t>13,176,925</w:t>
            </w:r>
          </w:p>
        </w:tc>
        <w:tc>
          <w:tcPr>
            <w:tcW w:w="0" w:type="dxa"/>
            <w:vAlign w:val="bottom"/>
          </w:tcPr>
          <w:p>
            <w:pPr>
              <w:spacing w:after="0"/>
              <w:rPr>
                <w:sz w:val="1"/>
                <w:szCs w:val="1"/>
                <w:color w:val="auto"/>
              </w:rPr>
            </w:pPr>
          </w:p>
        </w:tc>
      </w:tr>
      <w:tr>
        <w:trPr>
          <w:trHeight w:val="33"/>
        </w:trPr>
        <w:tc>
          <w:tcPr>
            <w:tcW w:w="35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Iowa Gas</w:t>
            </w:r>
          </w:p>
        </w:tc>
        <w:tc>
          <w:tcPr>
            <w:tcW w:w="12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54,824</w:t>
            </w:r>
          </w:p>
        </w:tc>
        <w:tc>
          <w:tcPr>
            <w:tcW w:w="20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65,641</w:t>
            </w:r>
          </w:p>
        </w:tc>
        <w:tc>
          <w:tcPr>
            <w:tcW w:w="10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6"/>
                <w:szCs w:val="16"/>
                <w:color w:val="auto"/>
              </w:rPr>
              <w:t>21,328</w:t>
            </w:r>
          </w:p>
        </w:tc>
        <w:tc>
          <w:tcPr>
            <w:tcW w:w="420" w:type="dxa"/>
            <w:vAlign w:val="bottom"/>
            <w:tcBorders>
              <w:bottom w:val="single" w:sz="8" w:color="CEFFE7"/>
            </w:tcBorders>
            <w:shd w:val="clear" w:color="auto" w:fill="CEFFE7"/>
          </w:tcPr>
          <w:p>
            <w:pPr>
              <w:spacing w:after="0"/>
              <w:rPr>
                <w:sz w:val="21"/>
                <w:szCs w:val="21"/>
                <w:color w:val="auto"/>
              </w:rPr>
            </w:pPr>
          </w:p>
        </w:tc>
        <w:tc>
          <w:tcPr>
            <w:tcW w:w="78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23,050</w:t>
            </w:r>
          </w:p>
        </w:tc>
        <w:tc>
          <w:tcPr>
            <w:tcW w:w="40" w:type="dxa"/>
            <w:vAlign w:val="bottom"/>
            <w:tcBorders>
              <w:bottom w:val="single" w:sz="8" w:color="CEFFE7"/>
            </w:tcBorders>
            <w:shd w:val="clear" w:color="auto" w:fill="CEFFE7"/>
          </w:tcPr>
          <w:p>
            <w:pPr>
              <w:spacing w:after="0"/>
              <w:rPr>
                <w:sz w:val="21"/>
                <w:szCs w:val="21"/>
                <w:color w:val="auto"/>
              </w:rPr>
            </w:pPr>
          </w:p>
        </w:tc>
        <w:tc>
          <w:tcPr>
            <w:tcW w:w="1660" w:type="dxa"/>
            <w:vAlign w:val="bottom"/>
            <w:tcBorders>
              <w:bottom w:val="single" w:sz="8" w:color="CEFFE7"/>
            </w:tcBorders>
            <w:gridSpan w:val="3"/>
            <w:shd w:val="clear" w:color="auto" w:fill="CEFFE7"/>
          </w:tcPr>
          <w:p>
            <w:pPr>
              <w:jc w:val="right"/>
              <w:ind w:right="399"/>
              <w:spacing w:after="0"/>
              <w:rPr>
                <w:sz w:val="20"/>
                <w:szCs w:val="20"/>
                <w:color w:val="auto"/>
              </w:rPr>
            </w:pPr>
            <w:r>
              <w:rPr>
                <w:rFonts w:ascii="Arial" w:cs="Arial" w:eastAsia="Arial" w:hAnsi="Arial"/>
                <w:sz w:val="16"/>
                <w:szCs w:val="16"/>
                <w:color w:val="auto"/>
              </w:rPr>
              <w:t>14,280,273</w:t>
            </w:r>
          </w:p>
        </w:tc>
        <w:tc>
          <w:tcPr>
            <w:tcW w:w="8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w w:val="87"/>
              </w:rPr>
              <w:t>15,663,687</w:t>
            </w:r>
          </w:p>
        </w:tc>
        <w:tc>
          <w:tcPr>
            <w:tcW w:w="0" w:type="dxa"/>
            <w:vAlign w:val="bottom"/>
          </w:tcPr>
          <w:p>
            <w:pPr>
              <w:spacing w:after="0"/>
              <w:rPr>
                <w:sz w:val="1"/>
                <w:szCs w:val="1"/>
                <w:color w:val="auto"/>
              </w:rPr>
            </w:pPr>
          </w:p>
        </w:tc>
      </w:tr>
      <w:tr>
        <w:trPr>
          <w:trHeight w:val="237"/>
        </w:trPr>
        <w:tc>
          <w:tcPr>
            <w:tcW w:w="3580" w:type="dxa"/>
            <w:vAlign w:val="bottom"/>
            <w:gridSpan w:val="2"/>
          </w:tcPr>
          <w:p>
            <w:pPr>
              <w:ind w:left="20"/>
              <w:spacing w:after="0"/>
              <w:rPr>
                <w:sz w:val="20"/>
                <w:szCs w:val="20"/>
                <w:color w:val="auto"/>
              </w:rPr>
            </w:pPr>
            <w:r>
              <w:rPr>
                <w:rFonts w:ascii="Arial" w:cs="Arial" w:eastAsia="Arial" w:hAnsi="Arial"/>
                <w:sz w:val="16"/>
                <w:szCs w:val="16"/>
                <w:color w:val="auto"/>
              </w:rPr>
              <w:t>Kansas Gas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33,494</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41,217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ind w:left="380"/>
              <w:spacing w:after="0"/>
              <w:rPr>
                <w:sz w:val="20"/>
                <w:szCs w:val="20"/>
                <w:color w:val="auto"/>
              </w:rPr>
            </w:pPr>
            <w:r>
              <w:rPr>
                <w:rFonts w:ascii="Arial" w:cs="Arial" w:eastAsia="Arial" w:hAnsi="Arial"/>
                <w:sz w:val="16"/>
                <w:szCs w:val="16"/>
                <w:color w:val="auto"/>
              </w:rPr>
              <w:t>18,603</w:t>
            </w:r>
          </w:p>
        </w:tc>
        <w:tc>
          <w:tcPr>
            <w:tcW w:w="42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18,119</w:t>
            </w:r>
          </w:p>
        </w:tc>
        <w:tc>
          <w:tcPr>
            <w:tcW w:w="40" w:type="dxa"/>
            <w:vAlign w:val="bottom"/>
          </w:tcPr>
          <w:p>
            <w:pPr>
              <w:spacing w:after="0"/>
              <w:rPr>
                <w:sz w:val="20"/>
                <w:szCs w:val="20"/>
                <w:color w:val="auto"/>
              </w:rPr>
            </w:pPr>
          </w:p>
        </w:tc>
        <w:tc>
          <w:tcPr>
            <w:tcW w:w="1660" w:type="dxa"/>
            <w:vAlign w:val="bottom"/>
            <w:gridSpan w:val="3"/>
          </w:tcPr>
          <w:p>
            <w:pPr>
              <w:jc w:val="right"/>
              <w:ind w:right="399"/>
              <w:spacing w:after="0"/>
              <w:rPr>
                <w:sz w:val="20"/>
                <w:szCs w:val="20"/>
                <w:color w:val="auto"/>
              </w:rPr>
            </w:pPr>
            <w:r>
              <w:rPr>
                <w:rFonts w:ascii="Arial" w:cs="Arial" w:eastAsia="Arial" w:hAnsi="Arial"/>
                <w:sz w:val="16"/>
                <w:szCs w:val="16"/>
                <w:color w:val="auto"/>
              </w:rPr>
              <w:t>9,914,858</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w w:val="87"/>
              </w:rPr>
              <w:t>10,443,270</w:t>
            </w:r>
          </w:p>
        </w:tc>
        <w:tc>
          <w:tcPr>
            <w:tcW w:w="0" w:type="dxa"/>
            <w:vAlign w:val="bottom"/>
          </w:tcPr>
          <w:p>
            <w:pPr>
              <w:spacing w:after="0"/>
              <w:rPr>
                <w:sz w:val="1"/>
                <w:szCs w:val="1"/>
                <w:color w:val="auto"/>
              </w:rPr>
            </w:pPr>
          </w:p>
        </w:tc>
      </w:tr>
      <w:tr>
        <w:trPr>
          <w:trHeight w:val="33"/>
        </w:trPr>
        <w:tc>
          <w:tcPr>
            <w:tcW w:w="35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Nebraska Gas</w:t>
            </w:r>
          </w:p>
        </w:tc>
        <w:tc>
          <w:tcPr>
            <w:tcW w:w="12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83,666</w:t>
            </w:r>
          </w:p>
        </w:tc>
        <w:tc>
          <w:tcPr>
            <w:tcW w:w="20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108,797</w:t>
            </w:r>
          </w:p>
        </w:tc>
        <w:tc>
          <w:tcPr>
            <w:tcW w:w="10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6"/>
                <w:szCs w:val="16"/>
                <w:color w:val="auto"/>
              </w:rPr>
              <w:t>51,666</w:t>
            </w:r>
          </w:p>
        </w:tc>
        <w:tc>
          <w:tcPr>
            <w:tcW w:w="420" w:type="dxa"/>
            <w:vAlign w:val="bottom"/>
            <w:tcBorders>
              <w:bottom w:val="single" w:sz="8" w:color="CEFFE7"/>
            </w:tcBorders>
            <w:shd w:val="clear" w:color="auto" w:fill="CEFFE7"/>
          </w:tcPr>
          <w:p>
            <w:pPr>
              <w:spacing w:after="0"/>
              <w:rPr>
                <w:sz w:val="21"/>
                <w:szCs w:val="21"/>
                <w:color w:val="auto"/>
              </w:rPr>
            </w:pPr>
          </w:p>
        </w:tc>
        <w:tc>
          <w:tcPr>
            <w:tcW w:w="78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56,073</w:t>
            </w:r>
          </w:p>
        </w:tc>
        <w:tc>
          <w:tcPr>
            <w:tcW w:w="40" w:type="dxa"/>
            <w:vAlign w:val="bottom"/>
            <w:tcBorders>
              <w:bottom w:val="single" w:sz="8" w:color="CEFFE7"/>
            </w:tcBorders>
            <w:shd w:val="clear" w:color="auto" w:fill="CEFFE7"/>
          </w:tcPr>
          <w:p>
            <w:pPr>
              <w:spacing w:after="0"/>
              <w:rPr>
                <w:sz w:val="21"/>
                <w:szCs w:val="21"/>
                <w:color w:val="auto"/>
              </w:rPr>
            </w:pPr>
          </w:p>
        </w:tc>
        <w:tc>
          <w:tcPr>
            <w:tcW w:w="1660" w:type="dxa"/>
            <w:vAlign w:val="bottom"/>
            <w:tcBorders>
              <w:bottom w:val="single" w:sz="8" w:color="CEFFE7"/>
            </w:tcBorders>
            <w:gridSpan w:val="3"/>
            <w:shd w:val="clear" w:color="auto" w:fill="CEFFE7"/>
          </w:tcPr>
          <w:p>
            <w:pPr>
              <w:jc w:val="right"/>
              <w:ind w:right="399"/>
              <w:spacing w:after="0"/>
              <w:rPr>
                <w:sz w:val="20"/>
                <w:szCs w:val="20"/>
                <w:color w:val="auto"/>
              </w:rPr>
            </w:pPr>
            <w:r>
              <w:rPr>
                <w:rFonts w:ascii="Arial" w:cs="Arial" w:eastAsia="Arial" w:hAnsi="Arial"/>
                <w:sz w:val="16"/>
                <w:szCs w:val="16"/>
                <w:color w:val="auto"/>
              </w:rPr>
              <w:t>26,509,036</w:t>
            </w:r>
          </w:p>
        </w:tc>
        <w:tc>
          <w:tcPr>
            <w:tcW w:w="8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w w:val="87"/>
              </w:rPr>
              <w:t>28,999,018</w:t>
            </w:r>
          </w:p>
        </w:tc>
        <w:tc>
          <w:tcPr>
            <w:tcW w:w="0" w:type="dxa"/>
            <w:vAlign w:val="bottom"/>
          </w:tcPr>
          <w:p>
            <w:pPr>
              <w:spacing w:after="0"/>
              <w:rPr>
                <w:sz w:val="1"/>
                <w:szCs w:val="1"/>
                <w:color w:val="auto"/>
              </w:rPr>
            </w:pPr>
          </w:p>
        </w:tc>
      </w:tr>
      <w:tr>
        <w:trPr>
          <w:trHeight w:val="237"/>
        </w:trPr>
        <w:tc>
          <w:tcPr>
            <w:tcW w:w="3580" w:type="dxa"/>
            <w:vAlign w:val="bottom"/>
            <w:gridSpan w:val="2"/>
          </w:tcPr>
          <w:p>
            <w:pPr>
              <w:ind w:left="20"/>
              <w:spacing w:after="0"/>
              <w:rPr>
                <w:sz w:val="20"/>
                <w:szCs w:val="20"/>
                <w:color w:val="auto"/>
              </w:rPr>
            </w:pPr>
            <w:r>
              <w:rPr>
                <w:rFonts w:ascii="Arial" w:cs="Arial" w:eastAsia="Arial" w:hAnsi="Arial"/>
                <w:sz w:val="16"/>
                <w:szCs w:val="16"/>
                <w:color w:val="auto"/>
              </w:rPr>
              <w:t>Wyoming Gas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41,338</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39,563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ind w:left="380"/>
              <w:spacing w:after="0"/>
              <w:rPr>
                <w:sz w:val="20"/>
                <w:szCs w:val="20"/>
                <w:color w:val="auto"/>
              </w:rPr>
            </w:pPr>
            <w:r>
              <w:rPr>
                <w:rFonts w:ascii="Arial" w:cs="Arial" w:eastAsia="Arial" w:hAnsi="Arial"/>
                <w:sz w:val="16"/>
                <w:szCs w:val="16"/>
                <w:color w:val="auto"/>
              </w:rPr>
              <w:t>26,953</w:t>
            </w:r>
          </w:p>
        </w:tc>
        <w:tc>
          <w:tcPr>
            <w:tcW w:w="42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24,677</w:t>
            </w:r>
          </w:p>
        </w:tc>
        <w:tc>
          <w:tcPr>
            <w:tcW w:w="40" w:type="dxa"/>
            <w:vAlign w:val="bottom"/>
          </w:tcPr>
          <w:p>
            <w:pPr>
              <w:spacing w:after="0"/>
              <w:rPr>
                <w:sz w:val="20"/>
                <w:szCs w:val="20"/>
                <w:color w:val="auto"/>
              </w:rPr>
            </w:pPr>
          </w:p>
        </w:tc>
        <w:tc>
          <w:tcPr>
            <w:tcW w:w="1660" w:type="dxa"/>
            <w:vAlign w:val="bottom"/>
            <w:gridSpan w:val="3"/>
          </w:tcPr>
          <w:p>
            <w:pPr>
              <w:jc w:val="right"/>
              <w:ind w:right="399"/>
              <w:spacing w:after="0"/>
              <w:rPr>
                <w:sz w:val="20"/>
                <w:szCs w:val="20"/>
                <w:color w:val="auto"/>
              </w:rPr>
            </w:pPr>
            <w:r>
              <w:rPr>
                <w:rFonts w:ascii="Arial" w:cs="Arial" w:eastAsia="Arial" w:hAnsi="Arial"/>
                <w:sz w:val="16"/>
                <w:szCs w:val="16"/>
                <w:color w:val="auto"/>
              </w:rPr>
              <w:t>12,418,637</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w w:val="87"/>
              </w:rPr>
              <w:t>14,620,457</w:t>
            </w:r>
          </w:p>
        </w:tc>
        <w:tc>
          <w:tcPr>
            <w:tcW w:w="0" w:type="dxa"/>
            <w:vAlign w:val="bottom"/>
          </w:tcPr>
          <w:p>
            <w:pPr>
              <w:spacing w:after="0"/>
              <w:rPr>
                <w:sz w:val="1"/>
                <w:szCs w:val="1"/>
                <w:color w:val="auto"/>
              </w:rPr>
            </w:pPr>
          </w:p>
        </w:tc>
      </w:tr>
      <w:tr>
        <w:trPr>
          <w:trHeight w:val="33"/>
        </w:trPr>
        <w:tc>
          <w:tcPr>
            <w:tcW w:w="3580" w:type="dxa"/>
            <w:vAlign w:val="bottom"/>
            <w:tcBorders>
              <w:bottom w:val="single" w:sz="8" w:color="CEFFE7"/>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EFFE7"/>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CEFFE7"/>
            </w:tcBorders>
          </w:tcPr>
          <w:p>
            <w:pPr>
              <w:spacing w:after="0"/>
              <w:rPr>
                <w:sz w:val="2"/>
                <w:szCs w:val="2"/>
                <w:color w:val="auto"/>
              </w:rPr>
            </w:pPr>
          </w:p>
        </w:tc>
        <w:tc>
          <w:tcPr>
            <w:tcW w:w="60" w:type="dxa"/>
            <w:vAlign w:val="bottom"/>
            <w:tcBorders>
              <w:bottom w:val="single" w:sz="8" w:color="CEFFE7"/>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580" w:type="dxa"/>
            <w:vAlign w:val="bottom"/>
            <w:gridSpan w:val="2"/>
            <w:shd w:val="clear" w:color="auto" w:fill="CEFFE7"/>
          </w:tcPr>
          <w:p>
            <w:pPr>
              <w:ind w:left="260"/>
              <w:spacing w:after="0"/>
              <w:rPr>
                <w:sz w:val="20"/>
                <w:szCs w:val="20"/>
                <w:color w:val="auto"/>
              </w:rPr>
            </w:pPr>
            <w:r>
              <w:rPr>
                <w:rFonts w:ascii="Arial" w:cs="Arial" w:eastAsia="Arial" w:hAnsi="Arial"/>
                <w:sz w:val="16"/>
                <w:szCs w:val="16"/>
                <w:color w:val="auto"/>
              </w:rPr>
              <w:t>Total Gas Revenue &amp; Gross Margin (non-</w:t>
            </w:r>
          </w:p>
        </w:tc>
        <w:tc>
          <w:tcPr>
            <w:tcW w:w="240" w:type="dxa"/>
            <w:vAlign w:val="bottom"/>
            <w:gridSpan w:val="2"/>
            <w:vMerge w:val="restart"/>
            <w:shd w:val="clear" w:color="auto" w:fill="CEFFE7"/>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EFFE7"/>
          </w:tcPr>
          <w:p>
            <w:pPr>
              <w:spacing w:after="0"/>
              <w:rPr>
                <w:sz w:val="17"/>
                <w:szCs w:val="17"/>
                <w:color w:val="auto"/>
              </w:rPr>
            </w:pPr>
          </w:p>
        </w:tc>
        <w:tc>
          <w:tcPr>
            <w:tcW w:w="82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360,773</w:t>
            </w:r>
          </w:p>
        </w:tc>
        <w:tc>
          <w:tcPr>
            <w:tcW w:w="20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EFFE7"/>
          </w:tcPr>
          <w:p>
            <w:pPr>
              <w:spacing w:after="0"/>
              <w:rPr>
                <w:sz w:val="17"/>
                <w:szCs w:val="17"/>
                <w:color w:val="auto"/>
              </w:rPr>
            </w:pPr>
          </w:p>
        </w:tc>
        <w:tc>
          <w:tcPr>
            <w:tcW w:w="860" w:type="dxa"/>
            <w:vAlign w:val="bottom"/>
            <w:vMerge w:val="restart"/>
            <w:shd w:val="clear" w:color="auto" w:fill="CEFFE7"/>
          </w:tcPr>
          <w:p>
            <w:pPr>
              <w:jc w:val="right"/>
              <w:ind w:right="39"/>
              <w:spacing w:after="0"/>
              <w:rPr>
                <w:sz w:val="20"/>
                <w:szCs w:val="20"/>
                <w:color w:val="auto"/>
              </w:rPr>
            </w:pPr>
            <w:r>
              <w:rPr>
                <w:rFonts w:ascii="Arial" w:cs="Arial" w:eastAsia="Arial" w:hAnsi="Arial"/>
                <w:sz w:val="16"/>
                <w:szCs w:val="16"/>
                <w:color w:val="auto"/>
              </w:rPr>
              <w:t>411,080</w:t>
            </w:r>
          </w:p>
        </w:tc>
        <w:tc>
          <w:tcPr>
            <w:tcW w:w="100" w:type="dxa"/>
            <w:vAlign w:val="bottom"/>
            <w:shd w:val="clear" w:color="auto" w:fill="CEFFE7"/>
          </w:tcPr>
          <w:p>
            <w:pPr>
              <w:spacing w:after="0"/>
              <w:rPr>
                <w:sz w:val="17"/>
                <w:szCs w:val="17"/>
                <w:color w:val="auto"/>
              </w:rPr>
            </w:pPr>
          </w:p>
        </w:tc>
        <w:tc>
          <w:tcPr>
            <w:tcW w:w="280" w:type="dxa"/>
            <w:vAlign w:val="bottom"/>
            <w:gridSpan w:val="2"/>
            <w:vMerge w:val="restart"/>
            <w:shd w:val="clear" w:color="auto" w:fill="CEFFE7"/>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EFFE7"/>
          </w:tcPr>
          <w:p>
            <w:pPr>
              <w:ind w:left="320"/>
              <w:spacing w:after="0"/>
              <w:rPr>
                <w:sz w:val="20"/>
                <w:szCs w:val="20"/>
                <w:color w:val="auto"/>
              </w:rPr>
            </w:pPr>
            <w:r>
              <w:rPr>
                <w:rFonts w:ascii="Arial" w:cs="Arial" w:eastAsia="Arial" w:hAnsi="Arial"/>
                <w:sz w:val="16"/>
                <w:szCs w:val="16"/>
                <w:color w:val="auto"/>
              </w:rPr>
              <w:t>205,411</w:t>
            </w:r>
          </w:p>
        </w:tc>
        <w:tc>
          <w:tcPr>
            <w:tcW w:w="420" w:type="dxa"/>
            <w:vAlign w:val="bottom"/>
            <w:vMerge w:val="restart"/>
            <w:shd w:val="clear" w:color="auto" w:fill="CEFFE7"/>
          </w:tcPr>
          <w:p>
            <w:pPr>
              <w:jc w:val="right"/>
              <w:ind w:right="262"/>
              <w:spacing w:after="0"/>
              <w:rPr>
                <w:sz w:val="20"/>
                <w:szCs w:val="20"/>
                <w:color w:val="auto"/>
              </w:rPr>
            </w:pPr>
            <w:r>
              <w:rPr>
                <w:rFonts w:ascii="Arial" w:cs="Arial" w:eastAsia="Arial" w:hAnsi="Arial"/>
                <w:sz w:val="15"/>
                <w:szCs w:val="15"/>
                <w:color w:val="auto"/>
                <w:w w:val="71"/>
              </w:rPr>
              <w:t>$</w:t>
            </w:r>
          </w:p>
        </w:tc>
        <w:tc>
          <w:tcPr>
            <w:tcW w:w="780" w:type="dxa"/>
            <w:vAlign w:val="bottom"/>
            <w:vMerge w:val="restart"/>
            <w:shd w:val="clear" w:color="auto" w:fill="CEFFE7"/>
          </w:tcPr>
          <w:p>
            <w:pPr>
              <w:jc w:val="right"/>
              <w:ind w:right="39"/>
              <w:spacing w:after="0"/>
              <w:rPr>
                <w:sz w:val="20"/>
                <w:szCs w:val="20"/>
                <w:color w:val="auto"/>
              </w:rPr>
            </w:pPr>
            <w:r>
              <w:rPr>
                <w:rFonts w:ascii="Arial" w:cs="Arial" w:eastAsia="Arial" w:hAnsi="Arial"/>
                <w:sz w:val="16"/>
                <w:szCs w:val="16"/>
                <w:color w:val="auto"/>
              </w:rPr>
              <w:t>203,801</w:t>
            </w:r>
          </w:p>
        </w:tc>
        <w:tc>
          <w:tcPr>
            <w:tcW w:w="40" w:type="dxa"/>
            <w:vAlign w:val="bottom"/>
            <w:shd w:val="clear" w:color="auto" w:fill="CEFFE7"/>
          </w:tcPr>
          <w:p>
            <w:pPr>
              <w:spacing w:after="0"/>
              <w:rPr>
                <w:sz w:val="17"/>
                <w:szCs w:val="17"/>
                <w:color w:val="auto"/>
              </w:rPr>
            </w:pPr>
          </w:p>
        </w:tc>
        <w:tc>
          <w:tcPr>
            <w:tcW w:w="1660" w:type="dxa"/>
            <w:vAlign w:val="bottom"/>
            <w:gridSpan w:val="3"/>
            <w:vMerge w:val="restart"/>
            <w:shd w:val="clear" w:color="auto" w:fill="CEFFE7"/>
          </w:tcPr>
          <w:p>
            <w:pPr>
              <w:jc w:val="right"/>
              <w:ind w:right="399"/>
              <w:spacing w:after="0"/>
              <w:rPr>
                <w:sz w:val="20"/>
                <w:szCs w:val="20"/>
                <w:color w:val="auto"/>
              </w:rPr>
            </w:pPr>
            <w:r>
              <w:rPr>
                <w:rFonts w:ascii="Arial" w:cs="Arial" w:eastAsia="Arial" w:hAnsi="Arial"/>
                <w:sz w:val="16"/>
                <w:szCs w:val="16"/>
                <w:color w:val="auto"/>
              </w:rPr>
              <w:t>87,182,157</w:t>
            </w:r>
          </w:p>
        </w:tc>
        <w:tc>
          <w:tcPr>
            <w:tcW w:w="840" w:type="dxa"/>
            <w:vAlign w:val="bottom"/>
            <w:vMerge w:val="restart"/>
            <w:shd w:val="clear" w:color="auto" w:fill="CEFFE7"/>
          </w:tcPr>
          <w:p>
            <w:pPr>
              <w:jc w:val="right"/>
              <w:ind w:right="39"/>
              <w:spacing w:after="0"/>
              <w:rPr>
                <w:sz w:val="20"/>
                <w:szCs w:val="20"/>
                <w:color w:val="auto"/>
              </w:rPr>
            </w:pPr>
            <w:r>
              <w:rPr>
                <w:rFonts w:ascii="Arial" w:cs="Arial" w:eastAsia="Arial" w:hAnsi="Arial"/>
                <w:sz w:val="16"/>
                <w:szCs w:val="16"/>
                <w:color w:val="auto"/>
                <w:w w:val="87"/>
              </w:rPr>
              <w:t>95,327,553</w:t>
            </w:r>
          </w:p>
        </w:tc>
        <w:tc>
          <w:tcPr>
            <w:tcW w:w="0" w:type="dxa"/>
            <w:vAlign w:val="bottom"/>
          </w:tcPr>
          <w:p>
            <w:pPr>
              <w:spacing w:after="0"/>
              <w:rPr>
                <w:sz w:val="1"/>
                <w:szCs w:val="1"/>
                <w:color w:val="auto"/>
              </w:rPr>
            </w:pPr>
          </w:p>
        </w:tc>
      </w:tr>
      <w:tr>
        <w:trPr>
          <w:trHeight w:val="219"/>
        </w:trPr>
        <w:tc>
          <w:tcPr>
            <w:tcW w:w="3580" w:type="dxa"/>
            <w:vAlign w:val="bottom"/>
            <w:gridSpan w:val="2"/>
            <w:shd w:val="clear" w:color="auto" w:fill="CEFFE7"/>
          </w:tcPr>
          <w:p>
            <w:pPr>
              <w:ind w:left="260"/>
              <w:spacing w:after="0"/>
              <w:rPr>
                <w:sz w:val="20"/>
                <w:szCs w:val="20"/>
                <w:color w:val="auto"/>
              </w:rPr>
            </w:pPr>
            <w:r>
              <w:rPr>
                <w:rFonts w:ascii="Arial" w:cs="Arial" w:eastAsia="Arial" w:hAnsi="Arial"/>
                <w:sz w:val="16"/>
                <w:szCs w:val="16"/>
                <w:color w:val="auto"/>
              </w:rPr>
              <w:t>GAAP)</w:t>
            </w:r>
          </w:p>
        </w:tc>
        <w:tc>
          <w:tcPr>
            <w:tcW w:w="240" w:type="dxa"/>
            <w:vAlign w:val="bottom"/>
            <w:gridSpan w:val="2"/>
            <w:vMerge w:val="continue"/>
            <w:shd w:val="clear" w:color="auto" w:fill="CEFFE7"/>
          </w:tcPr>
          <w:p>
            <w:pPr>
              <w:spacing w:after="0"/>
              <w:rPr>
                <w:sz w:val="19"/>
                <w:szCs w:val="19"/>
                <w:color w:val="auto"/>
              </w:rPr>
            </w:pPr>
          </w:p>
        </w:tc>
        <w:tc>
          <w:tcPr>
            <w:tcW w:w="160" w:type="dxa"/>
            <w:vAlign w:val="bottom"/>
            <w:shd w:val="clear" w:color="auto" w:fill="CEFFE7"/>
          </w:tcPr>
          <w:p>
            <w:pPr>
              <w:spacing w:after="0"/>
              <w:rPr>
                <w:sz w:val="19"/>
                <w:szCs w:val="19"/>
                <w:color w:val="auto"/>
              </w:rPr>
            </w:pPr>
          </w:p>
        </w:tc>
        <w:tc>
          <w:tcPr>
            <w:tcW w:w="820" w:type="dxa"/>
            <w:vAlign w:val="bottom"/>
            <w:vMerge w:val="continue"/>
            <w:shd w:val="clear" w:color="auto" w:fill="CEFFE7"/>
          </w:tcPr>
          <w:p>
            <w:pPr>
              <w:spacing w:after="0"/>
              <w:rPr>
                <w:sz w:val="19"/>
                <w:szCs w:val="19"/>
                <w:color w:val="auto"/>
              </w:rPr>
            </w:pPr>
          </w:p>
        </w:tc>
        <w:tc>
          <w:tcPr>
            <w:tcW w:w="200" w:type="dxa"/>
            <w:vAlign w:val="bottom"/>
            <w:vMerge w:val="continue"/>
            <w:shd w:val="clear" w:color="auto" w:fill="CEFFE7"/>
          </w:tcPr>
          <w:p>
            <w:pPr>
              <w:spacing w:after="0"/>
              <w:rPr>
                <w:sz w:val="19"/>
                <w:szCs w:val="19"/>
                <w:color w:val="auto"/>
              </w:rPr>
            </w:pPr>
          </w:p>
        </w:tc>
        <w:tc>
          <w:tcPr>
            <w:tcW w:w="240" w:type="dxa"/>
            <w:vAlign w:val="bottom"/>
            <w:shd w:val="clear" w:color="auto" w:fill="CEFFE7"/>
          </w:tcPr>
          <w:p>
            <w:pPr>
              <w:spacing w:after="0"/>
              <w:rPr>
                <w:sz w:val="19"/>
                <w:szCs w:val="19"/>
                <w:color w:val="auto"/>
              </w:rPr>
            </w:pPr>
          </w:p>
        </w:tc>
        <w:tc>
          <w:tcPr>
            <w:tcW w:w="860" w:type="dxa"/>
            <w:vAlign w:val="bottom"/>
            <w:vMerge w:val="continue"/>
            <w:shd w:val="clear" w:color="auto" w:fill="CEFFE7"/>
          </w:tcPr>
          <w:p>
            <w:pPr>
              <w:spacing w:after="0"/>
              <w:rPr>
                <w:sz w:val="19"/>
                <w:szCs w:val="19"/>
                <w:color w:val="auto"/>
              </w:rPr>
            </w:pPr>
          </w:p>
        </w:tc>
        <w:tc>
          <w:tcPr>
            <w:tcW w:w="100" w:type="dxa"/>
            <w:vAlign w:val="bottom"/>
            <w:shd w:val="clear" w:color="auto" w:fill="CEFFE7"/>
          </w:tcPr>
          <w:p>
            <w:pPr>
              <w:spacing w:after="0"/>
              <w:rPr>
                <w:sz w:val="19"/>
                <w:szCs w:val="19"/>
                <w:color w:val="auto"/>
              </w:rPr>
            </w:pPr>
          </w:p>
        </w:tc>
        <w:tc>
          <w:tcPr>
            <w:tcW w:w="280" w:type="dxa"/>
            <w:vAlign w:val="bottom"/>
            <w:gridSpan w:val="2"/>
            <w:vMerge w:val="continue"/>
            <w:shd w:val="clear" w:color="auto" w:fill="CEFFE7"/>
          </w:tcPr>
          <w:p>
            <w:pPr>
              <w:spacing w:after="0"/>
              <w:rPr>
                <w:sz w:val="19"/>
                <w:szCs w:val="19"/>
                <w:color w:val="auto"/>
              </w:rPr>
            </w:pPr>
          </w:p>
        </w:tc>
        <w:tc>
          <w:tcPr>
            <w:tcW w:w="960" w:type="dxa"/>
            <w:vAlign w:val="bottom"/>
            <w:vMerge w:val="continue"/>
            <w:shd w:val="clear" w:color="auto" w:fill="CEFFE7"/>
          </w:tcPr>
          <w:p>
            <w:pPr>
              <w:spacing w:after="0"/>
              <w:rPr>
                <w:sz w:val="19"/>
                <w:szCs w:val="19"/>
                <w:color w:val="auto"/>
              </w:rPr>
            </w:pPr>
          </w:p>
        </w:tc>
        <w:tc>
          <w:tcPr>
            <w:tcW w:w="420" w:type="dxa"/>
            <w:vAlign w:val="bottom"/>
            <w:vMerge w:val="continue"/>
            <w:shd w:val="clear" w:color="auto" w:fill="CEFFE7"/>
          </w:tcPr>
          <w:p>
            <w:pPr>
              <w:spacing w:after="0"/>
              <w:rPr>
                <w:sz w:val="19"/>
                <w:szCs w:val="19"/>
                <w:color w:val="auto"/>
              </w:rPr>
            </w:pPr>
          </w:p>
        </w:tc>
        <w:tc>
          <w:tcPr>
            <w:tcW w:w="780" w:type="dxa"/>
            <w:vAlign w:val="bottom"/>
            <w:vMerge w:val="continue"/>
            <w:shd w:val="clear" w:color="auto" w:fill="CEFFE7"/>
          </w:tcPr>
          <w:p>
            <w:pPr>
              <w:spacing w:after="0"/>
              <w:rPr>
                <w:sz w:val="19"/>
                <w:szCs w:val="19"/>
                <w:color w:val="auto"/>
              </w:rPr>
            </w:pPr>
          </w:p>
        </w:tc>
        <w:tc>
          <w:tcPr>
            <w:tcW w:w="40" w:type="dxa"/>
            <w:vAlign w:val="bottom"/>
            <w:shd w:val="clear" w:color="auto" w:fill="CEFFE7"/>
          </w:tcPr>
          <w:p>
            <w:pPr>
              <w:spacing w:after="0"/>
              <w:rPr>
                <w:sz w:val="19"/>
                <w:szCs w:val="19"/>
                <w:color w:val="auto"/>
              </w:rPr>
            </w:pPr>
          </w:p>
        </w:tc>
        <w:tc>
          <w:tcPr>
            <w:tcW w:w="1660" w:type="dxa"/>
            <w:vAlign w:val="bottom"/>
            <w:gridSpan w:val="3"/>
            <w:vMerge w:val="continue"/>
            <w:shd w:val="clear" w:color="auto" w:fill="CEFFE7"/>
          </w:tcPr>
          <w:p>
            <w:pPr>
              <w:spacing w:after="0"/>
              <w:rPr>
                <w:sz w:val="19"/>
                <w:szCs w:val="19"/>
                <w:color w:val="auto"/>
              </w:rPr>
            </w:pPr>
          </w:p>
        </w:tc>
        <w:tc>
          <w:tcPr>
            <w:tcW w:w="840" w:type="dxa"/>
            <w:vAlign w:val="bottom"/>
            <w:vMerge w:val="continue"/>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CEFFE7"/>
            </w:tcBorders>
          </w:tcPr>
          <w:p>
            <w:pPr>
              <w:spacing w:after="0" w:line="20" w:lineRule="exact"/>
              <w:rPr>
                <w:sz w:val="1"/>
                <w:szCs w:val="1"/>
                <w:color w:val="auto"/>
              </w:rPr>
            </w:pPr>
          </w:p>
        </w:tc>
        <w:tc>
          <w:tcPr>
            <w:tcW w:w="3260" w:type="dxa"/>
            <w:vAlign w:val="bottom"/>
            <w:tcBorders>
              <w:top w:val="single" w:sz="8" w:color="CEFFE7"/>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EFFE7"/>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EFFE7"/>
            </w:tcBorders>
          </w:tcPr>
          <w:p>
            <w:pPr>
              <w:spacing w:after="0" w:line="20" w:lineRule="exact"/>
              <w:rPr>
                <w:sz w:val="1"/>
                <w:szCs w:val="1"/>
                <w:color w:val="auto"/>
              </w:rPr>
            </w:pPr>
          </w:p>
        </w:tc>
        <w:tc>
          <w:tcPr>
            <w:tcW w:w="60" w:type="dxa"/>
            <w:vAlign w:val="bottom"/>
            <w:tcBorders>
              <w:top w:val="single" w:sz="8" w:color="CEFFE7"/>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Gas Utilities are highly seasonal, and sales volumes vary considerably with weather and seasonal heating and industrial loads. Approximately 70% of our Gas Utilities’ revenue and margins are expected in the first and fourth quarters of each year. Therefore, revenue for, and certain expenses of, these operations fluctuate significantly among quarters. Depending upon the geographic location in which our Gas Utilities operate, the winter heating season begins around November 1 and ends around March 31.</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320" w:top="126" w:right="359" w:bottom="1440" w:gutter="0" w:footer="0" w:header="0"/>
        </w:sectPr>
      </w:pPr>
    </w:p>
    <w:bookmarkStart w:id="41" w:name="page42"/>
    <w:bookmarkEnd w:id="4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160" w:type="dxa"/>
            <w:vAlign w:val="bottom"/>
            <w:gridSpan w:val="3"/>
          </w:tcPr>
          <w:p>
            <w:pPr>
              <w:ind w:left="1240"/>
              <w:spacing w:after="0"/>
              <w:rPr>
                <w:sz w:val="20"/>
                <w:szCs w:val="20"/>
                <w:color w:val="auto"/>
              </w:rPr>
            </w:pPr>
            <w:r>
              <w:rPr>
                <w:rFonts w:ascii="Arial" w:cs="Arial" w:eastAsia="Arial" w:hAnsi="Arial"/>
                <w:sz w:val="18"/>
                <w:szCs w:val="18"/>
                <w:color w:val="auto"/>
              </w:rPr>
              <w:t>Three Months Ended March 31,</w:t>
            </w:r>
          </w:p>
        </w:tc>
        <w:tc>
          <w:tcPr>
            <w:tcW w:w="1660" w:type="dxa"/>
            <w:vAlign w:val="bottom"/>
          </w:tcPr>
          <w:p>
            <w:pPr>
              <w:spacing w:after="0"/>
              <w:rPr>
                <w:sz w:val="20"/>
                <w:szCs w:val="20"/>
                <w:color w:val="auto"/>
              </w:rPr>
            </w:pPr>
          </w:p>
        </w:tc>
      </w:tr>
      <w:tr>
        <w:trPr>
          <w:trHeight w:val="270"/>
        </w:trPr>
        <w:tc>
          <w:tcPr>
            <w:tcW w:w="320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1660" w:type="dxa"/>
            <w:vAlign w:val="bottom"/>
          </w:tcPr>
          <w:p>
            <w:pPr>
              <w:jc w:val="right"/>
              <w:ind w:right="1050"/>
              <w:spacing w:after="0"/>
              <w:rPr>
                <w:sz w:val="20"/>
                <w:szCs w:val="20"/>
                <w:color w:val="auto"/>
              </w:rPr>
            </w:pPr>
            <w:r>
              <w:rPr>
                <w:rFonts w:ascii="Arial" w:cs="Arial" w:eastAsia="Arial" w:hAnsi="Arial"/>
                <w:sz w:val="18"/>
                <w:szCs w:val="18"/>
                <w:color w:val="auto"/>
              </w:rPr>
              <w:t>2020</w:t>
            </w:r>
          </w:p>
        </w:tc>
        <w:tc>
          <w:tcPr>
            <w:tcW w:w="16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60" w:type="dxa"/>
            <w:vAlign w:val="bottom"/>
          </w:tcPr>
          <w:p>
            <w:pPr>
              <w:jc w:val="right"/>
              <w:ind w:right="1070"/>
              <w:spacing w:after="0"/>
              <w:rPr>
                <w:sz w:val="20"/>
                <w:szCs w:val="20"/>
                <w:color w:val="auto"/>
              </w:rPr>
            </w:pPr>
            <w:r>
              <w:rPr>
                <w:rFonts w:ascii="Arial" w:cs="Arial" w:eastAsia="Arial" w:hAnsi="Arial"/>
                <w:sz w:val="18"/>
                <w:szCs w:val="18"/>
                <w:color w:val="auto"/>
              </w:rPr>
              <w:t>2019</w:t>
            </w:r>
          </w:p>
        </w:tc>
      </w:tr>
      <w:tr>
        <w:trPr>
          <w:trHeight w:val="27"/>
        </w:trPr>
        <w:tc>
          <w:tcPr>
            <w:tcW w:w="32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22"/>
        </w:trPr>
        <w:tc>
          <w:tcPr>
            <w:tcW w:w="32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660" w:type="dxa"/>
            <w:vAlign w:val="bottom"/>
          </w:tcPr>
          <w:p>
            <w:pPr>
              <w:jc w:val="center"/>
              <w:ind w:left="270"/>
              <w:spacing w:after="0"/>
              <w:rPr>
                <w:sz w:val="20"/>
                <w:szCs w:val="20"/>
                <w:color w:val="auto"/>
              </w:rPr>
            </w:pPr>
            <w:r>
              <w:rPr>
                <w:rFonts w:ascii="Arial" w:cs="Arial" w:eastAsia="Arial" w:hAnsi="Arial"/>
                <w:sz w:val="18"/>
                <w:szCs w:val="18"/>
                <w:color w:val="auto"/>
                <w:w w:val="87"/>
              </w:rPr>
              <w:t>Variance</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Actual Variance</w:t>
            </w:r>
          </w:p>
        </w:tc>
        <w:tc>
          <w:tcPr>
            <w:tcW w:w="900" w:type="dxa"/>
            <w:vAlign w:val="bottom"/>
          </w:tcPr>
          <w:p>
            <w:pPr>
              <w:spacing w:after="0"/>
              <w:rPr>
                <w:sz w:val="19"/>
                <w:szCs w:val="19"/>
                <w:color w:val="auto"/>
              </w:rPr>
            </w:pPr>
          </w:p>
        </w:tc>
        <w:tc>
          <w:tcPr>
            <w:tcW w:w="1660" w:type="dxa"/>
            <w:vAlign w:val="bottom"/>
          </w:tcPr>
          <w:p>
            <w:pPr>
              <w:jc w:val="center"/>
              <w:ind w:left="230"/>
              <w:spacing w:after="0"/>
              <w:rPr>
                <w:sz w:val="20"/>
                <w:szCs w:val="20"/>
                <w:color w:val="auto"/>
              </w:rPr>
            </w:pPr>
            <w:r>
              <w:rPr>
                <w:rFonts w:ascii="Arial" w:cs="Arial" w:eastAsia="Arial" w:hAnsi="Arial"/>
                <w:sz w:val="18"/>
                <w:szCs w:val="18"/>
                <w:color w:val="auto"/>
                <w:w w:val="87"/>
              </w:rPr>
              <w:t>Variance</w:t>
            </w:r>
          </w:p>
        </w:tc>
      </w:tr>
      <w:tr>
        <w:trPr>
          <w:trHeight w:val="230"/>
        </w:trPr>
        <w:tc>
          <w:tcPr>
            <w:tcW w:w="3200" w:type="dxa"/>
            <w:vAlign w:val="bottom"/>
          </w:tcPr>
          <w:p>
            <w:pPr>
              <w:ind w:left="40"/>
              <w:spacing w:after="0"/>
              <w:rPr>
                <w:sz w:val="20"/>
                <w:szCs w:val="20"/>
                <w:color w:val="auto"/>
              </w:rPr>
            </w:pPr>
            <w:r>
              <w:rPr>
                <w:rFonts w:ascii="Arial" w:cs="Arial" w:eastAsia="Arial" w:hAnsi="Arial"/>
                <w:sz w:val="18"/>
                <w:szCs w:val="18"/>
                <w:color w:val="auto"/>
              </w:rPr>
              <w:t>Heating Degree Days:</w:t>
            </w:r>
          </w:p>
        </w:tc>
        <w:tc>
          <w:tcPr>
            <w:tcW w:w="2220" w:type="dxa"/>
            <w:vAlign w:val="bottom"/>
          </w:tcPr>
          <w:p>
            <w:pPr>
              <w:jc w:val="center"/>
              <w:ind w:left="1330"/>
              <w:spacing w:after="0"/>
              <w:rPr>
                <w:sz w:val="20"/>
                <w:szCs w:val="20"/>
                <w:color w:val="auto"/>
              </w:rPr>
            </w:pPr>
            <w:r>
              <w:rPr>
                <w:rFonts w:ascii="Arial" w:cs="Arial" w:eastAsia="Arial" w:hAnsi="Arial"/>
                <w:sz w:val="18"/>
                <w:szCs w:val="18"/>
                <w:color w:val="auto"/>
                <w:w w:val="95"/>
              </w:rPr>
              <w:t>Actual</w:t>
            </w:r>
          </w:p>
        </w:tc>
        <w:tc>
          <w:tcPr>
            <w:tcW w:w="1660" w:type="dxa"/>
            <w:vAlign w:val="bottom"/>
          </w:tcPr>
          <w:p>
            <w:pPr>
              <w:jc w:val="center"/>
              <w:ind w:left="270"/>
              <w:spacing w:after="0"/>
              <w:rPr>
                <w:sz w:val="20"/>
                <w:szCs w:val="20"/>
                <w:color w:val="auto"/>
              </w:rPr>
            </w:pPr>
            <w:r>
              <w:rPr>
                <w:rFonts w:ascii="Arial" w:cs="Arial" w:eastAsia="Arial" w:hAnsi="Arial"/>
                <w:sz w:val="18"/>
                <w:szCs w:val="18"/>
                <w:color w:val="auto"/>
                <w:w w:val="94"/>
              </w:rPr>
              <w:t>from Normal</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to Prior Year</w:t>
            </w:r>
          </w:p>
        </w:tc>
        <w:tc>
          <w:tcPr>
            <w:tcW w:w="900" w:type="dxa"/>
            <w:vAlign w:val="bottom"/>
          </w:tcPr>
          <w:p>
            <w:pPr>
              <w:jc w:val="center"/>
              <w:ind w:left="10"/>
              <w:spacing w:after="0"/>
              <w:rPr>
                <w:sz w:val="20"/>
                <w:szCs w:val="20"/>
                <w:color w:val="auto"/>
              </w:rPr>
            </w:pPr>
            <w:r>
              <w:rPr>
                <w:rFonts w:ascii="Arial" w:cs="Arial" w:eastAsia="Arial" w:hAnsi="Arial"/>
                <w:sz w:val="18"/>
                <w:szCs w:val="18"/>
                <w:color w:val="auto"/>
                <w:w w:val="95"/>
              </w:rPr>
              <w:t>Actual</w:t>
            </w:r>
          </w:p>
        </w:tc>
        <w:tc>
          <w:tcPr>
            <w:tcW w:w="1660" w:type="dxa"/>
            <w:vAlign w:val="bottom"/>
          </w:tcPr>
          <w:p>
            <w:pPr>
              <w:jc w:val="center"/>
              <w:ind w:left="230"/>
              <w:spacing w:after="0"/>
              <w:rPr>
                <w:sz w:val="20"/>
                <w:szCs w:val="20"/>
                <w:color w:val="auto"/>
              </w:rPr>
            </w:pPr>
            <w:r>
              <w:rPr>
                <w:rFonts w:ascii="Arial" w:cs="Arial" w:eastAsia="Arial" w:hAnsi="Arial"/>
                <w:sz w:val="18"/>
                <w:szCs w:val="18"/>
                <w:color w:val="auto"/>
                <w:w w:val="94"/>
              </w:rPr>
              <w:t>from Normal</w:t>
            </w:r>
          </w:p>
        </w:tc>
      </w:tr>
      <w:tr>
        <w:trPr>
          <w:trHeight w:val="27"/>
        </w:trPr>
        <w:tc>
          <w:tcPr>
            <w:tcW w:w="32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64"/>
        </w:trPr>
        <w:tc>
          <w:tcPr>
            <w:tcW w:w="3200" w:type="dxa"/>
            <w:vAlign w:val="bottom"/>
            <w:shd w:val="clear" w:color="auto" w:fill="CEFFE7"/>
          </w:tcPr>
          <w:p>
            <w:pPr>
              <w:ind w:left="180"/>
              <w:spacing w:after="0" w:line="263" w:lineRule="exact"/>
              <w:rPr>
                <w:sz w:val="20"/>
                <w:szCs w:val="20"/>
                <w:color w:val="auto"/>
              </w:rPr>
            </w:pPr>
            <w:r>
              <w:rPr>
                <w:rFonts w:ascii="Arial" w:cs="Arial" w:eastAsia="Arial" w:hAnsi="Arial"/>
                <w:sz w:val="18"/>
                <w:szCs w:val="18"/>
                <w:color w:val="auto"/>
              </w:rPr>
              <w:t xml:space="preserve">Arkansas Gas </w:t>
            </w:r>
            <w:r>
              <w:rPr>
                <w:rFonts w:ascii="Arial" w:cs="Arial" w:eastAsia="Arial" w:hAnsi="Arial"/>
                <w:sz w:val="25"/>
                <w:szCs w:val="25"/>
                <w:color w:val="auto"/>
                <w:vertAlign w:val="superscript"/>
              </w:rPr>
              <w:t>(a)</w:t>
            </w:r>
          </w:p>
        </w:tc>
        <w:tc>
          <w:tcPr>
            <w:tcW w:w="2220" w:type="dxa"/>
            <w:vAlign w:val="bottom"/>
            <w:shd w:val="clear" w:color="auto" w:fill="CEFFE7"/>
          </w:tcPr>
          <w:p>
            <w:pPr>
              <w:jc w:val="center"/>
              <w:ind w:left="1330"/>
              <w:spacing w:after="0"/>
              <w:rPr>
                <w:sz w:val="20"/>
                <w:szCs w:val="20"/>
                <w:color w:val="auto"/>
              </w:rPr>
            </w:pPr>
            <w:r>
              <w:rPr>
                <w:rFonts w:ascii="Arial" w:cs="Arial" w:eastAsia="Arial" w:hAnsi="Arial"/>
                <w:sz w:val="18"/>
                <w:szCs w:val="18"/>
                <w:color w:val="auto"/>
                <w:w w:val="88"/>
              </w:rPr>
              <w:t>1,659</w:t>
            </w:r>
          </w:p>
        </w:tc>
        <w:tc>
          <w:tcPr>
            <w:tcW w:w="1660" w:type="dxa"/>
            <w:vAlign w:val="bottom"/>
            <w:shd w:val="clear" w:color="auto" w:fill="CEFFE7"/>
          </w:tcPr>
          <w:p>
            <w:pPr>
              <w:jc w:val="center"/>
              <w:ind w:left="270"/>
              <w:spacing w:after="0"/>
              <w:rPr>
                <w:sz w:val="20"/>
                <w:szCs w:val="20"/>
                <w:color w:val="auto"/>
              </w:rPr>
            </w:pPr>
            <w:r>
              <w:rPr>
                <w:rFonts w:ascii="Arial" w:cs="Arial" w:eastAsia="Arial" w:hAnsi="Arial"/>
                <w:sz w:val="18"/>
                <w:szCs w:val="18"/>
                <w:color w:val="auto"/>
                <w:w w:val="95"/>
              </w:rPr>
              <w:t>(21)%</w:t>
            </w:r>
          </w:p>
        </w:tc>
        <w:tc>
          <w:tcPr>
            <w:tcW w:w="160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1"/>
              </w:rPr>
              <w:t>(21)%</w:t>
            </w:r>
          </w:p>
        </w:tc>
        <w:tc>
          <w:tcPr>
            <w:tcW w:w="900" w:type="dxa"/>
            <w:vAlign w:val="bottom"/>
            <w:shd w:val="clear" w:color="auto" w:fill="CEFFE7"/>
          </w:tcPr>
          <w:p>
            <w:pPr>
              <w:jc w:val="center"/>
              <w:ind w:left="10"/>
              <w:spacing w:after="0"/>
              <w:rPr>
                <w:sz w:val="20"/>
                <w:szCs w:val="20"/>
                <w:color w:val="auto"/>
              </w:rPr>
            </w:pPr>
            <w:r>
              <w:rPr>
                <w:rFonts w:ascii="Arial" w:cs="Arial" w:eastAsia="Arial" w:hAnsi="Arial"/>
                <w:sz w:val="18"/>
                <w:szCs w:val="18"/>
                <w:color w:val="auto"/>
                <w:w w:val="88"/>
              </w:rPr>
              <w:t>2,101</w:t>
            </w:r>
          </w:p>
        </w:tc>
        <w:tc>
          <w:tcPr>
            <w:tcW w:w="1660" w:type="dxa"/>
            <w:vAlign w:val="bottom"/>
            <w:shd w:val="clear" w:color="auto" w:fill="CEFFE7"/>
          </w:tcPr>
          <w:p>
            <w:pPr>
              <w:jc w:val="center"/>
              <w:ind w:left="230"/>
              <w:spacing w:after="0"/>
              <w:rPr>
                <w:sz w:val="20"/>
                <w:szCs w:val="20"/>
                <w:color w:val="auto"/>
              </w:rPr>
            </w:pPr>
            <w:r>
              <w:rPr>
                <w:rFonts w:ascii="Arial" w:cs="Arial" w:eastAsia="Arial" w:hAnsi="Arial"/>
                <w:sz w:val="18"/>
                <w:szCs w:val="18"/>
                <w:color w:val="auto"/>
                <w:w w:val="99"/>
              </w:rPr>
              <w:t>—%</w:t>
            </w: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rPr>
              <w:t>Colorado Gas</w:t>
            </w:r>
          </w:p>
        </w:tc>
        <w:tc>
          <w:tcPr>
            <w:tcW w:w="2220" w:type="dxa"/>
            <w:vAlign w:val="bottom"/>
          </w:tcPr>
          <w:p>
            <w:pPr>
              <w:jc w:val="center"/>
              <w:ind w:left="1330"/>
              <w:spacing w:after="0"/>
              <w:rPr>
                <w:sz w:val="20"/>
                <w:szCs w:val="20"/>
                <w:color w:val="auto"/>
              </w:rPr>
            </w:pPr>
            <w:r>
              <w:rPr>
                <w:rFonts w:ascii="Arial" w:cs="Arial" w:eastAsia="Arial" w:hAnsi="Arial"/>
                <w:sz w:val="18"/>
                <w:szCs w:val="18"/>
                <w:color w:val="auto"/>
                <w:w w:val="88"/>
              </w:rPr>
              <w:t>2,829</w:t>
            </w:r>
          </w:p>
        </w:tc>
        <w:tc>
          <w:tcPr>
            <w:tcW w:w="1660" w:type="dxa"/>
            <w:vAlign w:val="bottom"/>
          </w:tcPr>
          <w:p>
            <w:pPr>
              <w:jc w:val="center"/>
              <w:ind w:left="290"/>
              <w:spacing w:after="0"/>
              <w:rPr>
                <w:sz w:val="20"/>
                <w:szCs w:val="20"/>
                <w:color w:val="auto"/>
              </w:rPr>
            </w:pPr>
            <w:r>
              <w:rPr>
                <w:rFonts w:ascii="Arial" w:cs="Arial" w:eastAsia="Arial" w:hAnsi="Arial"/>
                <w:sz w:val="18"/>
                <w:szCs w:val="18"/>
                <w:color w:val="auto"/>
                <w:w w:val="94"/>
              </w:rPr>
              <w:t>(3)%</w:t>
            </w:r>
          </w:p>
        </w:tc>
        <w:tc>
          <w:tcPr>
            <w:tcW w:w="1600" w:type="dxa"/>
            <w:vAlign w:val="bottom"/>
          </w:tcPr>
          <w:p>
            <w:pPr>
              <w:jc w:val="center"/>
              <w:spacing w:after="0"/>
              <w:rPr>
                <w:sz w:val="20"/>
                <w:szCs w:val="20"/>
                <w:color w:val="auto"/>
              </w:rPr>
            </w:pPr>
            <w:r>
              <w:rPr>
                <w:rFonts w:ascii="Arial" w:cs="Arial" w:eastAsia="Arial" w:hAnsi="Arial"/>
                <w:sz w:val="18"/>
                <w:szCs w:val="18"/>
                <w:color w:val="auto"/>
                <w:w w:val="94"/>
              </w:rPr>
              <w:t>(7)%</w:t>
            </w:r>
          </w:p>
        </w:tc>
        <w:tc>
          <w:tcPr>
            <w:tcW w:w="900" w:type="dxa"/>
            <w:vAlign w:val="bottom"/>
          </w:tcPr>
          <w:p>
            <w:pPr>
              <w:jc w:val="center"/>
              <w:ind w:left="10"/>
              <w:spacing w:after="0"/>
              <w:rPr>
                <w:sz w:val="20"/>
                <w:szCs w:val="20"/>
                <w:color w:val="auto"/>
              </w:rPr>
            </w:pPr>
            <w:r>
              <w:rPr>
                <w:rFonts w:ascii="Arial" w:cs="Arial" w:eastAsia="Arial" w:hAnsi="Arial"/>
                <w:sz w:val="18"/>
                <w:szCs w:val="18"/>
                <w:color w:val="auto"/>
                <w:w w:val="88"/>
              </w:rPr>
              <w:t>3,030</w:t>
            </w:r>
          </w:p>
        </w:tc>
        <w:tc>
          <w:tcPr>
            <w:tcW w:w="1660" w:type="dxa"/>
            <w:vAlign w:val="bottom"/>
          </w:tcPr>
          <w:p>
            <w:pPr>
              <w:jc w:val="center"/>
              <w:ind w:left="250"/>
              <w:spacing w:after="0"/>
              <w:rPr>
                <w:sz w:val="20"/>
                <w:szCs w:val="20"/>
                <w:color w:val="auto"/>
              </w:rPr>
            </w:pPr>
            <w:r>
              <w:rPr>
                <w:rFonts w:ascii="Arial" w:cs="Arial" w:eastAsia="Arial" w:hAnsi="Arial"/>
                <w:sz w:val="18"/>
                <w:szCs w:val="18"/>
                <w:color w:val="auto"/>
                <w:w w:val="92"/>
              </w:rPr>
              <w:t>3%</w:t>
            </w:r>
          </w:p>
        </w:tc>
      </w:tr>
      <w:tr>
        <w:trPr>
          <w:trHeight w:val="27"/>
        </w:trPr>
        <w:tc>
          <w:tcPr>
            <w:tcW w:w="32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32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Iowa Gas</w:t>
            </w:r>
          </w:p>
        </w:tc>
        <w:tc>
          <w:tcPr>
            <w:tcW w:w="2220" w:type="dxa"/>
            <w:vAlign w:val="bottom"/>
            <w:tcBorders>
              <w:bottom w:val="single" w:sz="8" w:color="CEFFE7"/>
            </w:tcBorders>
            <w:shd w:val="clear" w:color="auto" w:fill="CEFFE7"/>
          </w:tcPr>
          <w:p>
            <w:pPr>
              <w:jc w:val="center"/>
              <w:ind w:left="1330"/>
              <w:spacing w:after="0"/>
              <w:rPr>
                <w:sz w:val="20"/>
                <w:szCs w:val="20"/>
                <w:color w:val="auto"/>
              </w:rPr>
            </w:pPr>
            <w:r>
              <w:rPr>
                <w:rFonts w:ascii="Arial" w:cs="Arial" w:eastAsia="Arial" w:hAnsi="Arial"/>
                <w:sz w:val="18"/>
                <w:szCs w:val="18"/>
                <w:color w:val="auto"/>
                <w:w w:val="88"/>
              </w:rPr>
              <w:t>3,181</w:t>
            </w:r>
          </w:p>
        </w:tc>
        <w:tc>
          <w:tcPr>
            <w:tcW w:w="1660" w:type="dxa"/>
            <w:vAlign w:val="bottom"/>
            <w:tcBorders>
              <w:bottom w:val="single" w:sz="8" w:color="CEFFE7"/>
            </w:tcBorders>
            <w:shd w:val="clear" w:color="auto" w:fill="CEFFE7"/>
          </w:tcPr>
          <w:p>
            <w:pPr>
              <w:jc w:val="center"/>
              <w:ind w:left="290"/>
              <w:spacing w:after="0"/>
              <w:rPr>
                <w:sz w:val="20"/>
                <w:szCs w:val="20"/>
                <w:color w:val="auto"/>
              </w:rPr>
            </w:pPr>
            <w:r>
              <w:rPr>
                <w:rFonts w:ascii="Arial" w:cs="Arial" w:eastAsia="Arial" w:hAnsi="Arial"/>
                <w:sz w:val="18"/>
                <w:szCs w:val="18"/>
                <w:color w:val="auto"/>
                <w:w w:val="94"/>
              </w:rPr>
              <w:t>(6)%</w:t>
            </w:r>
          </w:p>
        </w:tc>
        <w:tc>
          <w:tcPr>
            <w:tcW w:w="160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1"/>
              </w:rPr>
              <w:t>(17)%</w:t>
            </w:r>
          </w:p>
        </w:tc>
        <w:tc>
          <w:tcPr>
            <w:tcW w:w="900" w:type="dxa"/>
            <w:vAlign w:val="bottom"/>
            <w:tcBorders>
              <w:bottom w:val="single" w:sz="8" w:color="CEFFE7"/>
            </w:tcBorders>
            <w:shd w:val="clear" w:color="auto" w:fill="CEFFE7"/>
          </w:tcPr>
          <w:p>
            <w:pPr>
              <w:jc w:val="center"/>
              <w:ind w:left="10"/>
              <w:spacing w:after="0"/>
              <w:rPr>
                <w:sz w:val="20"/>
                <w:szCs w:val="20"/>
                <w:color w:val="auto"/>
              </w:rPr>
            </w:pPr>
            <w:r>
              <w:rPr>
                <w:rFonts w:ascii="Arial" w:cs="Arial" w:eastAsia="Arial" w:hAnsi="Arial"/>
                <w:sz w:val="18"/>
                <w:szCs w:val="18"/>
                <w:color w:val="auto"/>
                <w:w w:val="88"/>
              </w:rPr>
              <w:t>3,830</w:t>
            </w:r>
          </w:p>
        </w:tc>
        <w:tc>
          <w:tcPr>
            <w:tcW w:w="1660" w:type="dxa"/>
            <w:vAlign w:val="bottom"/>
            <w:tcBorders>
              <w:bottom w:val="single" w:sz="8" w:color="CEFFE7"/>
            </w:tcBorders>
            <w:shd w:val="clear" w:color="auto" w:fill="CEFFE7"/>
          </w:tcPr>
          <w:p>
            <w:pPr>
              <w:jc w:val="center"/>
              <w:ind w:left="230"/>
              <w:spacing w:after="0"/>
              <w:rPr>
                <w:sz w:val="20"/>
                <w:szCs w:val="20"/>
                <w:color w:val="auto"/>
              </w:rPr>
            </w:pPr>
            <w:r>
              <w:rPr>
                <w:rFonts w:ascii="Arial" w:cs="Arial" w:eastAsia="Arial" w:hAnsi="Arial"/>
                <w:sz w:val="18"/>
                <w:szCs w:val="18"/>
                <w:color w:val="auto"/>
                <w:w w:val="94"/>
              </w:rPr>
              <w:t>14%</w:t>
            </w:r>
          </w:p>
        </w:tc>
      </w:tr>
      <w:tr>
        <w:trPr>
          <w:trHeight w:val="270"/>
        </w:trPr>
        <w:tc>
          <w:tcPr>
            <w:tcW w:w="320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Kansas Gas </w:t>
            </w:r>
            <w:r>
              <w:rPr>
                <w:rFonts w:ascii="Arial" w:cs="Arial" w:eastAsia="Arial" w:hAnsi="Arial"/>
                <w:sz w:val="25"/>
                <w:szCs w:val="25"/>
                <w:color w:val="auto"/>
                <w:vertAlign w:val="superscript"/>
              </w:rPr>
              <w:t>(a)</w:t>
            </w:r>
          </w:p>
        </w:tc>
        <w:tc>
          <w:tcPr>
            <w:tcW w:w="2220" w:type="dxa"/>
            <w:vAlign w:val="bottom"/>
          </w:tcPr>
          <w:p>
            <w:pPr>
              <w:jc w:val="center"/>
              <w:ind w:left="1330"/>
              <w:spacing w:after="0"/>
              <w:rPr>
                <w:sz w:val="20"/>
                <w:szCs w:val="20"/>
                <w:color w:val="auto"/>
              </w:rPr>
            </w:pPr>
            <w:r>
              <w:rPr>
                <w:rFonts w:ascii="Arial" w:cs="Arial" w:eastAsia="Arial" w:hAnsi="Arial"/>
                <w:sz w:val="18"/>
                <w:szCs w:val="18"/>
                <w:color w:val="auto"/>
                <w:w w:val="88"/>
              </w:rPr>
              <w:t>2,304</w:t>
            </w:r>
          </w:p>
        </w:tc>
        <w:tc>
          <w:tcPr>
            <w:tcW w:w="1660" w:type="dxa"/>
            <w:vAlign w:val="bottom"/>
          </w:tcPr>
          <w:p>
            <w:pPr>
              <w:jc w:val="center"/>
              <w:ind w:left="290"/>
              <w:spacing w:after="0"/>
              <w:rPr>
                <w:sz w:val="20"/>
                <w:szCs w:val="20"/>
                <w:color w:val="auto"/>
              </w:rPr>
            </w:pPr>
            <w:r>
              <w:rPr>
                <w:rFonts w:ascii="Arial" w:cs="Arial" w:eastAsia="Arial" w:hAnsi="Arial"/>
                <w:sz w:val="18"/>
                <w:szCs w:val="18"/>
                <w:color w:val="auto"/>
                <w:w w:val="94"/>
              </w:rPr>
              <w:t>(7)%</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(17)%</w:t>
            </w:r>
          </w:p>
        </w:tc>
        <w:tc>
          <w:tcPr>
            <w:tcW w:w="900" w:type="dxa"/>
            <w:vAlign w:val="bottom"/>
          </w:tcPr>
          <w:p>
            <w:pPr>
              <w:jc w:val="center"/>
              <w:ind w:left="10"/>
              <w:spacing w:after="0"/>
              <w:rPr>
                <w:sz w:val="20"/>
                <w:szCs w:val="20"/>
                <w:color w:val="auto"/>
              </w:rPr>
            </w:pPr>
            <w:r>
              <w:rPr>
                <w:rFonts w:ascii="Arial" w:cs="Arial" w:eastAsia="Arial" w:hAnsi="Arial"/>
                <w:sz w:val="18"/>
                <w:szCs w:val="18"/>
                <w:color w:val="auto"/>
                <w:w w:val="88"/>
              </w:rPr>
              <w:t>2,779</w:t>
            </w:r>
          </w:p>
        </w:tc>
        <w:tc>
          <w:tcPr>
            <w:tcW w:w="1660" w:type="dxa"/>
            <w:vAlign w:val="bottom"/>
          </w:tcPr>
          <w:p>
            <w:pPr>
              <w:jc w:val="center"/>
              <w:ind w:left="230"/>
              <w:spacing w:after="0"/>
              <w:rPr>
                <w:sz w:val="20"/>
                <w:szCs w:val="20"/>
                <w:color w:val="auto"/>
              </w:rPr>
            </w:pPr>
            <w:r>
              <w:rPr>
                <w:rFonts w:ascii="Arial" w:cs="Arial" w:eastAsia="Arial" w:hAnsi="Arial"/>
                <w:sz w:val="18"/>
                <w:szCs w:val="18"/>
                <w:color w:val="auto"/>
                <w:w w:val="94"/>
              </w:rPr>
              <w:t>13%</w:t>
            </w:r>
          </w:p>
        </w:tc>
      </w:tr>
      <w:tr>
        <w:trPr>
          <w:trHeight w:val="250"/>
        </w:trPr>
        <w:tc>
          <w:tcPr>
            <w:tcW w:w="32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Nebraska Gas</w:t>
            </w:r>
          </w:p>
        </w:tc>
        <w:tc>
          <w:tcPr>
            <w:tcW w:w="2220" w:type="dxa"/>
            <w:vAlign w:val="bottom"/>
            <w:tcBorders>
              <w:bottom w:val="single" w:sz="8" w:color="CEFFE7"/>
            </w:tcBorders>
            <w:shd w:val="clear" w:color="auto" w:fill="CEFFE7"/>
          </w:tcPr>
          <w:p>
            <w:pPr>
              <w:jc w:val="center"/>
              <w:ind w:left="1330"/>
              <w:spacing w:after="0"/>
              <w:rPr>
                <w:sz w:val="20"/>
                <w:szCs w:val="20"/>
                <w:color w:val="auto"/>
              </w:rPr>
            </w:pPr>
            <w:r>
              <w:rPr>
                <w:rFonts w:ascii="Arial" w:cs="Arial" w:eastAsia="Arial" w:hAnsi="Arial"/>
                <w:sz w:val="18"/>
                <w:szCs w:val="18"/>
                <w:color w:val="auto"/>
                <w:w w:val="88"/>
              </w:rPr>
              <w:t>2,835</w:t>
            </w:r>
          </w:p>
        </w:tc>
        <w:tc>
          <w:tcPr>
            <w:tcW w:w="1660" w:type="dxa"/>
            <w:vAlign w:val="bottom"/>
            <w:tcBorders>
              <w:bottom w:val="single" w:sz="8" w:color="CEFFE7"/>
            </w:tcBorders>
            <w:shd w:val="clear" w:color="auto" w:fill="CEFFE7"/>
          </w:tcPr>
          <w:p>
            <w:pPr>
              <w:jc w:val="center"/>
              <w:ind w:left="290"/>
              <w:spacing w:after="0"/>
              <w:rPr>
                <w:sz w:val="20"/>
                <w:szCs w:val="20"/>
                <w:color w:val="auto"/>
              </w:rPr>
            </w:pPr>
            <w:r>
              <w:rPr>
                <w:rFonts w:ascii="Arial" w:cs="Arial" w:eastAsia="Arial" w:hAnsi="Arial"/>
                <w:sz w:val="18"/>
                <w:szCs w:val="18"/>
                <w:color w:val="auto"/>
                <w:w w:val="94"/>
              </w:rPr>
              <w:t>(7)%</w:t>
            </w:r>
          </w:p>
        </w:tc>
        <w:tc>
          <w:tcPr>
            <w:tcW w:w="160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1"/>
              </w:rPr>
              <w:t>(19)%</w:t>
            </w:r>
          </w:p>
        </w:tc>
        <w:tc>
          <w:tcPr>
            <w:tcW w:w="900" w:type="dxa"/>
            <w:vAlign w:val="bottom"/>
            <w:tcBorders>
              <w:bottom w:val="single" w:sz="8" w:color="CEFFE7"/>
            </w:tcBorders>
            <w:shd w:val="clear" w:color="auto" w:fill="CEFFE7"/>
          </w:tcPr>
          <w:p>
            <w:pPr>
              <w:jc w:val="center"/>
              <w:ind w:left="10"/>
              <w:spacing w:after="0"/>
              <w:rPr>
                <w:sz w:val="20"/>
                <w:szCs w:val="20"/>
                <w:color w:val="auto"/>
              </w:rPr>
            </w:pPr>
            <w:r>
              <w:rPr>
                <w:rFonts w:ascii="Arial" w:cs="Arial" w:eastAsia="Arial" w:hAnsi="Arial"/>
                <w:sz w:val="18"/>
                <w:szCs w:val="18"/>
                <w:color w:val="auto"/>
                <w:w w:val="88"/>
              </w:rPr>
              <w:t>3,483</w:t>
            </w:r>
          </w:p>
        </w:tc>
        <w:tc>
          <w:tcPr>
            <w:tcW w:w="1660" w:type="dxa"/>
            <w:vAlign w:val="bottom"/>
            <w:tcBorders>
              <w:bottom w:val="single" w:sz="8" w:color="CEFFE7"/>
            </w:tcBorders>
            <w:shd w:val="clear" w:color="auto" w:fill="CEFFE7"/>
          </w:tcPr>
          <w:p>
            <w:pPr>
              <w:jc w:val="center"/>
              <w:ind w:left="230"/>
              <w:spacing w:after="0"/>
              <w:rPr>
                <w:sz w:val="20"/>
                <w:szCs w:val="20"/>
                <w:color w:val="auto"/>
              </w:rPr>
            </w:pPr>
            <w:r>
              <w:rPr>
                <w:rFonts w:ascii="Arial" w:cs="Arial" w:eastAsia="Arial" w:hAnsi="Arial"/>
                <w:sz w:val="18"/>
                <w:szCs w:val="18"/>
                <w:color w:val="auto"/>
                <w:w w:val="94"/>
              </w:rPr>
              <w:t>15%</w:t>
            </w: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rPr>
              <w:t>Wyoming Gas</w:t>
            </w:r>
          </w:p>
        </w:tc>
        <w:tc>
          <w:tcPr>
            <w:tcW w:w="2220" w:type="dxa"/>
            <w:vAlign w:val="bottom"/>
          </w:tcPr>
          <w:p>
            <w:pPr>
              <w:jc w:val="center"/>
              <w:ind w:left="1330"/>
              <w:spacing w:after="0"/>
              <w:rPr>
                <w:sz w:val="20"/>
                <w:szCs w:val="20"/>
                <w:color w:val="auto"/>
              </w:rPr>
            </w:pPr>
            <w:r>
              <w:rPr>
                <w:rFonts w:ascii="Arial" w:cs="Arial" w:eastAsia="Arial" w:hAnsi="Arial"/>
                <w:sz w:val="18"/>
                <w:szCs w:val="18"/>
                <w:color w:val="auto"/>
                <w:w w:val="88"/>
              </w:rPr>
              <w:t>3,217</w:t>
            </w:r>
          </w:p>
        </w:tc>
        <w:tc>
          <w:tcPr>
            <w:tcW w:w="1660" w:type="dxa"/>
            <w:vAlign w:val="bottom"/>
          </w:tcPr>
          <w:p>
            <w:pPr>
              <w:jc w:val="center"/>
              <w:ind w:left="290"/>
              <w:spacing w:after="0"/>
              <w:rPr>
                <w:sz w:val="20"/>
                <w:szCs w:val="20"/>
                <w:color w:val="auto"/>
              </w:rPr>
            </w:pPr>
            <w:r>
              <w:rPr>
                <w:rFonts w:ascii="Arial" w:cs="Arial" w:eastAsia="Arial" w:hAnsi="Arial"/>
                <w:sz w:val="18"/>
                <w:szCs w:val="18"/>
                <w:color w:val="auto"/>
                <w:w w:val="92"/>
              </w:rPr>
              <w:t>1%</w:t>
            </w:r>
          </w:p>
        </w:tc>
        <w:tc>
          <w:tcPr>
            <w:tcW w:w="1600" w:type="dxa"/>
            <w:vAlign w:val="bottom"/>
          </w:tcPr>
          <w:p>
            <w:pPr>
              <w:jc w:val="center"/>
              <w:spacing w:after="0"/>
              <w:rPr>
                <w:sz w:val="20"/>
                <w:szCs w:val="20"/>
                <w:color w:val="auto"/>
              </w:rPr>
            </w:pPr>
            <w:r>
              <w:rPr>
                <w:rFonts w:ascii="Arial" w:cs="Arial" w:eastAsia="Arial" w:hAnsi="Arial"/>
                <w:sz w:val="18"/>
                <w:szCs w:val="18"/>
                <w:color w:val="auto"/>
                <w:w w:val="94"/>
              </w:rPr>
              <w:t>(8)%</w:t>
            </w:r>
          </w:p>
        </w:tc>
        <w:tc>
          <w:tcPr>
            <w:tcW w:w="900" w:type="dxa"/>
            <w:vAlign w:val="bottom"/>
          </w:tcPr>
          <w:p>
            <w:pPr>
              <w:jc w:val="center"/>
              <w:ind w:left="10"/>
              <w:spacing w:after="0"/>
              <w:rPr>
                <w:sz w:val="20"/>
                <w:szCs w:val="20"/>
                <w:color w:val="auto"/>
              </w:rPr>
            </w:pPr>
            <w:r>
              <w:rPr>
                <w:rFonts w:ascii="Arial" w:cs="Arial" w:eastAsia="Arial" w:hAnsi="Arial"/>
                <w:sz w:val="18"/>
                <w:szCs w:val="18"/>
                <w:color w:val="auto"/>
                <w:w w:val="88"/>
              </w:rPr>
              <w:t>3,513</w:t>
            </w:r>
          </w:p>
        </w:tc>
        <w:tc>
          <w:tcPr>
            <w:tcW w:w="1660" w:type="dxa"/>
            <w:vAlign w:val="bottom"/>
          </w:tcPr>
          <w:p>
            <w:pPr>
              <w:jc w:val="center"/>
              <w:ind w:left="230"/>
              <w:spacing w:after="0"/>
              <w:rPr>
                <w:sz w:val="20"/>
                <w:szCs w:val="20"/>
                <w:color w:val="auto"/>
              </w:rPr>
            </w:pPr>
            <w:r>
              <w:rPr>
                <w:rFonts w:ascii="Arial" w:cs="Arial" w:eastAsia="Arial" w:hAnsi="Arial"/>
                <w:sz w:val="18"/>
                <w:szCs w:val="18"/>
                <w:color w:val="auto"/>
                <w:w w:val="94"/>
              </w:rPr>
              <w:t>10%</w:t>
            </w:r>
          </w:p>
        </w:tc>
      </w:tr>
      <w:tr>
        <w:trPr>
          <w:trHeight w:val="27"/>
        </w:trPr>
        <w:tc>
          <w:tcPr>
            <w:tcW w:w="32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320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Combined Gas </w:t>
            </w:r>
            <w:r>
              <w:rPr>
                <w:rFonts w:ascii="Arial" w:cs="Arial" w:eastAsia="Arial" w:hAnsi="Arial"/>
                <w:sz w:val="25"/>
                <w:szCs w:val="25"/>
                <w:color w:val="auto"/>
                <w:vertAlign w:val="superscript"/>
              </w:rPr>
              <w:t>(b)</w:t>
            </w:r>
          </w:p>
        </w:tc>
        <w:tc>
          <w:tcPr>
            <w:tcW w:w="2220" w:type="dxa"/>
            <w:vAlign w:val="bottom"/>
            <w:shd w:val="clear" w:color="auto" w:fill="CEFFE7"/>
          </w:tcPr>
          <w:p>
            <w:pPr>
              <w:jc w:val="center"/>
              <w:ind w:left="1330"/>
              <w:spacing w:after="0"/>
              <w:rPr>
                <w:sz w:val="20"/>
                <w:szCs w:val="20"/>
                <w:color w:val="auto"/>
              </w:rPr>
            </w:pPr>
            <w:r>
              <w:rPr>
                <w:rFonts w:ascii="Arial" w:cs="Arial" w:eastAsia="Arial" w:hAnsi="Arial"/>
                <w:sz w:val="18"/>
                <w:szCs w:val="18"/>
                <w:color w:val="auto"/>
                <w:w w:val="88"/>
              </w:rPr>
              <w:t>2,918</w:t>
            </w:r>
          </w:p>
        </w:tc>
        <w:tc>
          <w:tcPr>
            <w:tcW w:w="1660" w:type="dxa"/>
            <w:vAlign w:val="bottom"/>
            <w:shd w:val="clear" w:color="auto" w:fill="CEFFE7"/>
          </w:tcPr>
          <w:p>
            <w:pPr>
              <w:jc w:val="center"/>
              <w:ind w:left="290"/>
              <w:spacing w:after="0"/>
              <w:rPr>
                <w:sz w:val="20"/>
                <w:szCs w:val="20"/>
                <w:color w:val="auto"/>
              </w:rPr>
            </w:pPr>
            <w:r>
              <w:rPr>
                <w:rFonts w:ascii="Arial" w:cs="Arial" w:eastAsia="Arial" w:hAnsi="Arial"/>
                <w:sz w:val="18"/>
                <w:szCs w:val="18"/>
                <w:color w:val="auto"/>
                <w:w w:val="94"/>
              </w:rPr>
              <w:t>(6)%</w:t>
            </w:r>
          </w:p>
        </w:tc>
        <w:tc>
          <w:tcPr>
            <w:tcW w:w="160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1"/>
              </w:rPr>
              <w:t>(15)%</w:t>
            </w:r>
          </w:p>
        </w:tc>
        <w:tc>
          <w:tcPr>
            <w:tcW w:w="900" w:type="dxa"/>
            <w:vAlign w:val="bottom"/>
            <w:shd w:val="clear" w:color="auto" w:fill="CEFFE7"/>
          </w:tcPr>
          <w:p>
            <w:pPr>
              <w:jc w:val="center"/>
              <w:ind w:left="10"/>
              <w:spacing w:after="0"/>
              <w:rPr>
                <w:sz w:val="20"/>
                <w:szCs w:val="20"/>
                <w:color w:val="auto"/>
              </w:rPr>
            </w:pPr>
            <w:r>
              <w:rPr>
                <w:rFonts w:ascii="Arial" w:cs="Arial" w:eastAsia="Arial" w:hAnsi="Arial"/>
                <w:sz w:val="18"/>
                <w:szCs w:val="18"/>
                <w:color w:val="auto"/>
                <w:w w:val="88"/>
              </w:rPr>
              <w:t>3,449</w:t>
            </w:r>
          </w:p>
        </w:tc>
        <w:tc>
          <w:tcPr>
            <w:tcW w:w="1660" w:type="dxa"/>
            <w:vAlign w:val="bottom"/>
            <w:shd w:val="clear" w:color="auto" w:fill="CEFFE7"/>
          </w:tcPr>
          <w:p>
            <w:pPr>
              <w:jc w:val="center"/>
              <w:ind w:left="250"/>
              <w:spacing w:after="0"/>
              <w:rPr>
                <w:sz w:val="20"/>
                <w:szCs w:val="20"/>
                <w:color w:val="auto"/>
              </w:rPr>
            </w:pPr>
            <w:r>
              <w:rPr>
                <w:rFonts w:ascii="Arial" w:cs="Arial" w:eastAsia="Arial" w:hAnsi="Arial"/>
                <w:sz w:val="18"/>
                <w:szCs w:val="18"/>
                <w:color w:val="auto"/>
                <w:w w:val="88"/>
              </w:rPr>
              <w:t>11%</w:t>
            </w:r>
          </w:p>
        </w:tc>
      </w:tr>
      <w:tr>
        <w:trPr>
          <w:trHeight w:val="180"/>
        </w:trPr>
        <w:tc>
          <w:tcPr>
            <w:tcW w:w="3200" w:type="dxa"/>
            <w:vAlign w:val="bottom"/>
          </w:tcPr>
          <w:p>
            <w:pPr>
              <w:spacing w:after="0" w:line="180" w:lineRule="exact"/>
              <w:rPr>
                <w:sz w:val="20"/>
                <w:szCs w:val="20"/>
                <w:color w:val="auto"/>
              </w:rPr>
            </w:pPr>
            <w:r>
              <w:rPr>
                <w:rFonts w:ascii="Arial" w:cs="Arial" w:eastAsia="Arial" w:hAnsi="Arial"/>
                <w:sz w:val="18"/>
                <w:szCs w:val="18"/>
                <w:color w:val="auto"/>
              </w:rPr>
              <w:t>__________</w:t>
            </w:r>
          </w:p>
        </w:tc>
        <w:tc>
          <w:tcPr>
            <w:tcW w:w="2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60" w:type="dxa"/>
            <w:vAlign w:val="bottom"/>
          </w:tcPr>
          <w:p>
            <w:pPr>
              <w:spacing w:after="0"/>
              <w:rPr>
                <w:sz w:val="15"/>
                <w:szCs w:val="15"/>
                <w:color w:val="auto"/>
              </w:rPr>
            </w:pPr>
          </w:p>
        </w:tc>
      </w:tr>
    </w:tbl>
    <w:p>
      <w:pPr>
        <w:ind w:left="340" w:hanging="332"/>
        <w:spacing w:after="0"/>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Arkansas and Kansas have weather normalization mechanisms that mitigate the weather impact on gross margins.</w:t>
      </w:r>
    </w:p>
    <w:p>
      <w:pPr>
        <w:spacing w:after="0" w:line="5" w:lineRule="exact"/>
        <w:rPr>
          <w:rFonts w:ascii="Arial" w:cs="Arial" w:eastAsia="Arial" w:hAnsi="Arial"/>
          <w:sz w:val="16"/>
          <w:szCs w:val="16"/>
          <w:color w:val="auto"/>
        </w:rPr>
      </w:pPr>
    </w:p>
    <w:p>
      <w:pPr>
        <w:ind w:left="340" w:right="760" w:hanging="332"/>
        <w:spacing w:after="0" w:line="290" w:lineRule="auto"/>
        <w:tabs>
          <w:tab w:leader="none" w:pos="3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combined heating degree days are calculated based on a weighted average of total customers by state excluding Kansas due to its weather normalization mechanism. Arkansas is excluded based on the weather normalization mechanism in effect from November through April.</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Regulatory Matters</w:t>
      </w:r>
    </w:p>
    <w:p>
      <w:pPr>
        <w:spacing w:after="0" w:line="225" w:lineRule="exact"/>
        <w:rPr>
          <w:sz w:val="20"/>
          <w:szCs w:val="20"/>
          <w:color w:val="auto"/>
        </w:rPr>
      </w:pPr>
    </w:p>
    <w:p>
      <w:pPr>
        <w:ind w:right="10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For more information on recent regulatory activity and enacted regulatory provisions with respect to the states in which our Utilities operate, see </w:t>
      </w:r>
      <w:hyperlink w:anchor="page19">
        <w:r>
          <w:rPr>
            <w:rFonts w:ascii="Arial" w:cs="Arial" w:eastAsia="Arial" w:hAnsi="Arial"/>
            <w:sz w:val="18"/>
            <w:szCs w:val="18"/>
            <w:u w:val="single" w:color="auto"/>
            <w:color w:val="0000EE"/>
          </w:rPr>
          <w:t>Note 5</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Notes to Condensed Consolidated Financial Statements and Part I, Items 1 and 2 and Part II, Item 8 of our 2019 Annual Report on Form 10-K filed with the SEC.</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Power Generation</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399"/>
        </w:trPr>
        <w:tc>
          <w:tcPr>
            <w:tcW w:w="1360" w:type="dxa"/>
            <w:vAlign w:val="bottom"/>
            <w:tcBorders>
              <w:top w:val="single" w:sz="8" w:color="auto"/>
            </w:tcBorders>
          </w:tcPr>
          <w:p>
            <w:pPr>
              <w:spacing w:after="0"/>
              <w:rPr>
                <w:sz w:val="24"/>
                <w:szCs w:val="24"/>
                <w:color w:val="auto"/>
              </w:rPr>
            </w:pPr>
          </w:p>
        </w:tc>
        <w:tc>
          <w:tcPr>
            <w:tcW w:w="5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40" w:type="dxa"/>
            <w:vAlign w:val="bottom"/>
            <w:gridSpan w:val="5"/>
          </w:tcPr>
          <w:p>
            <w:pPr>
              <w:jc w:val="center"/>
              <w:ind w:right="190"/>
              <w:spacing w:after="0"/>
              <w:rPr>
                <w:sz w:val="20"/>
                <w:szCs w:val="20"/>
                <w:color w:val="auto"/>
              </w:rPr>
            </w:pPr>
            <w:r>
              <w:rPr>
                <w:rFonts w:ascii="Arial" w:cs="Arial" w:eastAsia="Arial" w:hAnsi="Arial"/>
                <w:sz w:val="18"/>
                <w:szCs w:val="18"/>
                <w:color w:val="auto"/>
                <w:w w:val="90"/>
              </w:rPr>
              <w:t>Three Months Ended March 31,</w:t>
            </w:r>
          </w:p>
        </w:tc>
      </w:tr>
      <w:tr>
        <w:trPr>
          <w:trHeight w:val="270"/>
        </w:trPr>
        <w:tc>
          <w:tcPr>
            <w:tcW w:w="1360" w:type="dxa"/>
            <w:vAlign w:val="bottom"/>
          </w:tcPr>
          <w:p>
            <w:pPr>
              <w:spacing w:after="0"/>
              <w:rPr>
                <w:sz w:val="23"/>
                <w:szCs w:val="23"/>
                <w:color w:val="auto"/>
              </w:rPr>
            </w:pPr>
          </w:p>
        </w:tc>
        <w:tc>
          <w:tcPr>
            <w:tcW w:w="5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280" w:type="dxa"/>
            <w:vAlign w:val="bottom"/>
          </w:tcPr>
          <w:p>
            <w:pPr>
              <w:spacing w:after="0"/>
              <w:rPr>
                <w:sz w:val="23"/>
                <w:szCs w:val="23"/>
                <w:color w:val="auto"/>
              </w:rPr>
            </w:pPr>
          </w:p>
        </w:tc>
        <w:tc>
          <w:tcPr>
            <w:tcW w:w="1120" w:type="dxa"/>
            <w:vAlign w:val="bottom"/>
          </w:tcPr>
          <w:p>
            <w:pPr>
              <w:jc w:val="right"/>
              <w:ind w:right="270"/>
              <w:spacing w:after="0"/>
              <w:rPr>
                <w:sz w:val="20"/>
                <w:szCs w:val="20"/>
                <w:color w:val="auto"/>
              </w:rPr>
            </w:pPr>
            <w:r>
              <w:rPr>
                <w:rFonts w:ascii="Arial" w:cs="Arial" w:eastAsia="Arial" w:hAnsi="Arial"/>
                <w:sz w:val="18"/>
                <w:szCs w:val="18"/>
                <w:color w:val="auto"/>
              </w:rPr>
              <w:t>Variance</w:t>
            </w:r>
          </w:p>
        </w:tc>
      </w:tr>
      <w:tr>
        <w:trPr>
          <w:trHeight w:val="27"/>
        </w:trPr>
        <w:tc>
          <w:tcPr>
            <w:tcW w:w="1360" w:type="dxa"/>
            <w:vAlign w:val="bottom"/>
          </w:tcPr>
          <w:p>
            <w:pPr>
              <w:spacing w:after="0"/>
              <w:rPr>
                <w:sz w:val="2"/>
                <w:szCs w:val="2"/>
                <w:color w:val="auto"/>
              </w:rPr>
            </w:pPr>
          </w:p>
        </w:tc>
        <w:tc>
          <w:tcPr>
            <w:tcW w:w="5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136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(in thousands)</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1360" w:type="dxa"/>
            <w:vAlign w:val="bottom"/>
          </w:tcPr>
          <w:p>
            <w:pPr>
              <w:spacing w:after="0"/>
              <w:rPr>
                <w:sz w:val="2"/>
                <w:szCs w:val="2"/>
                <w:color w:val="auto"/>
              </w:rPr>
            </w:pPr>
          </w:p>
        </w:tc>
        <w:tc>
          <w:tcPr>
            <w:tcW w:w="5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1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25,966</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25,245</w:t>
            </w:r>
          </w:p>
        </w:tc>
        <w:tc>
          <w:tcPr>
            <w:tcW w:w="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721</w:t>
            </w:r>
          </w:p>
        </w:tc>
      </w:tr>
      <w:tr>
        <w:trPr>
          <w:trHeight w:val="318"/>
        </w:trPr>
        <w:tc>
          <w:tcPr>
            <w:tcW w:w="136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71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Fuel expense</w:t>
            </w:r>
          </w:p>
        </w:tc>
        <w:tc>
          <w:tcPr>
            <w:tcW w:w="32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2,285</w:t>
            </w:r>
          </w:p>
        </w:tc>
        <w:tc>
          <w:tcPr>
            <w:tcW w:w="18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2,626</w:t>
            </w:r>
          </w:p>
        </w:tc>
        <w:tc>
          <w:tcPr>
            <w:tcW w:w="28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(341)</w:t>
            </w:r>
          </w:p>
        </w:tc>
      </w:tr>
      <w:tr>
        <w:trPr>
          <w:trHeight w:val="243"/>
        </w:trPr>
        <w:tc>
          <w:tcPr>
            <w:tcW w:w="7180" w:type="dxa"/>
            <w:vAlign w:val="bottom"/>
            <w:gridSpan w:val="2"/>
          </w:tcPr>
          <w:p>
            <w:pPr>
              <w:ind w:left="40"/>
              <w:spacing w:after="0"/>
              <w:rPr>
                <w:sz w:val="20"/>
                <w:szCs w:val="20"/>
                <w:color w:val="auto"/>
              </w:rPr>
            </w:pPr>
            <w:r>
              <w:rPr>
                <w:rFonts w:ascii="Arial" w:cs="Arial" w:eastAsia="Arial" w:hAnsi="Arial"/>
                <w:sz w:val="18"/>
                <w:szCs w:val="18"/>
                <w:color w:val="auto"/>
              </w:rPr>
              <w:t>Operations and maintenance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6,997</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6,062</w:t>
            </w:r>
          </w:p>
        </w:tc>
        <w:tc>
          <w:tcPr>
            <w:tcW w:w="2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935</w:t>
            </w:r>
          </w:p>
        </w:tc>
      </w:tr>
      <w:tr>
        <w:trPr>
          <w:trHeight w:val="27"/>
        </w:trPr>
        <w:tc>
          <w:tcPr>
            <w:tcW w:w="1360" w:type="dxa"/>
            <w:vAlign w:val="bottom"/>
          </w:tcPr>
          <w:p>
            <w:pPr>
              <w:spacing w:after="0"/>
              <w:rPr>
                <w:sz w:val="2"/>
                <w:szCs w:val="2"/>
                <w:color w:val="auto"/>
              </w:rPr>
            </w:pPr>
          </w:p>
        </w:tc>
        <w:tc>
          <w:tcPr>
            <w:tcW w:w="5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1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EFFE7"/>
            </w:tcBorders>
            <w:shd w:val="clear" w:color="auto" w:fill="CEFFE7"/>
          </w:tcPr>
          <w:p>
            <w:pPr>
              <w:spacing w:after="0"/>
              <w:rPr>
                <w:sz w:val="23"/>
                <w:szCs w:val="23"/>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5,335</w:t>
            </w:r>
          </w:p>
        </w:tc>
        <w:tc>
          <w:tcPr>
            <w:tcW w:w="180" w:type="dxa"/>
            <w:vAlign w:val="bottom"/>
            <w:tcBorders>
              <w:bottom w:val="single" w:sz="8" w:color="CEFFE7"/>
            </w:tcBorders>
            <w:shd w:val="clear" w:color="auto" w:fill="CEFFE7"/>
          </w:tcPr>
          <w:p>
            <w:pPr>
              <w:spacing w:after="0"/>
              <w:rPr>
                <w:sz w:val="23"/>
                <w:szCs w:val="23"/>
                <w:color w:val="auto"/>
              </w:rPr>
            </w:pP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4,590</w:t>
            </w:r>
          </w:p>
        </w:tc>
        <w:tc>
          <w:tcPr>
            <w:tcW w:w="280" w:type="dxa"/>
            <w:vAlign w:val="bottom"/>
            <w:tcBorders>
              <w:bottom w:val="single" w:sz="8" w:color="CEFFE7"/>
            </w:tcBorders>
            <w:shd w:val="clear" w:color="auto" w:fill="CEFFE7"/>
          </w:tcPr>
          <w:p>
            <w:pPr>
              <w:spacing w:after="0"/>
              <w:rPr>
                <w:sz w:val="23"/>
                <w:szCs w:val="23"/>
                <w:color w:val="auto"/>
              </w:rPr>
            </w:pP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745</w:t>
            </w:r>
          </w:p>
        </w:tc>
      </w:tr>
      <w:tr>
        <w:trPr>
          <w:trHeight w:val="237"/>
        </w:trPr>
        <w:tc>
          <w:tcPr>
            <w:tcW w:w="7180" w:type="dxa"/>
            <w:vAlign w:val="bottom"/>
            <w:gridSpan w:val="2"/>
          </w:tcPr>
          <w:p>
            <w:pPr>
              <w:ind w:left="600"/>
              <w:spacing w:after="0"/>
              <w:rPr>
                <w:sz w:val="20"/>
                <w:szCs w:val="20"/>
                <w:color w:val="auto"/>
              </w:rPr>
            </w:pPr>
            <w:r>
              <w:rPr>
                <w:rFonts w:ascii="Arial" w:cs="Arial" w:eastAsia="Arial" w:hAnsi="Arial"/>
                <w:sz w:val="18"/>
                <w:szCs w:val="18"/>
                <w:color w:val="auto"/>
              </w:rPr>
              <w:t>Total operating expense</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14,617</w:t>
            </w: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13,278</w:t>
            </w: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1,339</w:t>
            </w:r>
          </w:p>
        </w:tc>
      </w:tr>
      <w:tr>
        <w:trPr>
          <w:trHeight w:val="27"/>
        </w:trPr>
        <w:tc>
          <w:tcPr>
            <w:tcW w:w="1360" w:type="dxa"/>
            <w:vAlign w:val="bottom"/>
            <w:tcBorders>
              <w:bottom w:val="single" w:sz="8" w:color="CEFFE7"/>
            </w:tcBorders>
          </w:tcPr>
          <w:p>
            <w:pPr>
              <w:spacing w:after="0"/>
              <w:rPr>
                <w:sz w:val="2"/>
                <w:szCs w:val="2"/>
                <w:color w:val="auto"/>
              </w:rPr>
            </w:pPr>
          </w:p>
        </w:tc>
        <w:tc>
          <w:tcPr>
            <w:tcW w:w="5820" w:type="dxa"/>
            <w:vAlign w:val="bottom"/>
            <w:tcBorders>
              <w:bottom w:val="single" w:sz="8" w:color="CEFFE7"/>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3"/>
        </w:trPr>
        <w:tc>
          <w:tcPr>
            <w:tcW w:w="1360" w:type="dxa"/>
            <w:vAlign w:val="bottom"/>
            <w:shd w:val="clear" w:color="auto" w:fill="CEFFE7"/>
          </w:tcPr>
          <w:p>
            <w:pPr>
              <w:spacing w:after="0"/>
              <w:rPr>
                <w:sz w:val="22"/>
                <w:szCs w:val="22"/>
                <w:color w:val="auto"/>
              </w:rPr>
            </w:pPr>
          </w:p>
        </w:tc>
        <w:tc>
          <w:tcPr>
            <w:tcW w:w="5820" w:type="dxa"/>
            <w:vAlign w:val="bottom"/>
            <w:shd w:val="clear" w:color="auto" w:fill="CEFFE7"/>
          </w:tcPr>
          <w:p>
            <w:pPr>
              <w:spacing w:after="0"/>
              <w:rPr>
                <w:sz w:val="22"/>
                <w:szCs w:val="22"/>
                <w:color w:val="auto"/>
              </w:rPr>
            </w:pPr>
          </w:p>
        </w:tc>
        <w:tc>
          <w:tcPr>
            <w:tcW w:w="320" w:type="dxa"/>
            <w:vAlign w:val="bottom"/>
            <w:tcBorders>
              <w:bottom w:val="single" w:sz="8" w:color="auto"/>
            </w:tcBorders>
            <w:shd w:val="clear" w:color="auto" w:fill="CEFFE7"/>
          </w:tcPr>
          <w:p>
            <w:pPr>
              <w:spacing w:after="0"/>
              <w:rPr>
                <w:sz w:val="22"/>
                <w:szCs w:val="22"/>
                <w:color w:val="auto"/>
              </w:rPr>
            </w:pPr>
          </w:p>
        </w:tc>
        <w:tc>
          <w:tcPr>
            <w:tcW w:w="1000" w:type="dxa"/>
            <w:vAlign w:val="bottom"/>
            <w:tcBorders>
              <w:bottom w:val="single" w:sz="8" w:color="auto"/>
            </w:tcBorders>
            <w:shd w:val="clear" w:color="auto" w:fill="CEFFE7"/>
          </w:tcPr>
          <w:p>
            <w:pPr>
              <w:spacing w:after="0"/>
              <w:rPr>
                <w:sz w:val="22"/>
                <w:szCs w:val="22"/>
                <w:color w:val="auto"/>
              </w:rPr>
            </w:pPr>
          </w:p>
        </w:tc>
        <w:tc>
          <w:tcPr>
            <w:tcW w:w="180" w:type="dxa"/>
            <w:vAlign w:val="bottom"/>
            <w:tcBorders>
              <w:bottom w:val="single" w:sz="8" w:color="auto"/>
            </w:tcBorders>
            <w:shd w:val="clear" w:color="auto" w:fill="CEFFE7"/>
          </w:tcPr>
          <w:p>
            <w:pPr>
              <w:spacing w:after="0"/>
              <w:rPr>
                <w:sz w:val="22"/>
                <w:szCs w:val="22"/>
                <w:color w:val="auto"/>
              </w:rPr>
            </w:pPr>
          </w:p>
        </w:tc>
        <w:tc>
          <w:tcPr>
            <w:tcW w:w="1160" w:type="dxa"/>
            <w:vAlign w:val="bottom"/>
            <w:tcBorders>
              <w:bottom w:val="single" w:sz="8" w:color="auto"/>
            </w:tcBorders>
            <w:shd w:val="clear" w:color="auto" w:fill="CEFFE7"/>
          </w:tcPr>
          <w:p>
            <w:pPr>
              <w:spacing w:after="0"/>
              <w:rPr>
                <w:sz w:val="22"/>
                <w:szCs w:val="22"/>
                <w:color w:val="auto"/>
              </w:rPr>
            </w:pPr>
          </w:p>
        </w:tc>
        <w:tc>
          <w:tcPr>
            <w:tcW w:w="280" w:type="dxa"/>
            <w:vAlign w:val="bottom"/>
            <w:tcBorders>
              <w:bottom w:val="single" w:sz="8" w:color="auto"/>
            </w:tcBorders>
            <w:shd w:val="clear" w:color="auto" w:fill="CEFFE7"/>
          </w:tcPr>
          <w:p>
            <w:pPr>
              <w:spacing w:after="0"/>
              <w:rPr>
                <w:sz w:val="22"/>
                <w:szCs w:val="22"/>
                <w:color w:val="auto"/>
              </w:rPr>
            </w:pPr>
          </w:p>
        </w:tc>
        <w:tc>
          <w:tcPr>
            <w:tcW w:w="1120" w:type="dxa"/>
            <w:vAlign w:val="bottom"/>
            <w:tcBorders>
              <w:bottom w:val="single" w:sz="8" w:color="auto"/>
            </w:tcBorders>
            <w:shd w:val="clear" w:color="auto" w:fill="CEFFE7"/>
          </w:tcPr>
          <w:p>
            <w:pPr>
              <w:spacing w:after="0"/>
              <w:rPr>
                <w:sz w:val="22"/>
                <w:szCs w:val="22"/>
                <w:color w:val="auto"/>
              </w:rPr>
            </w:pPr>
          </w:p>
        </w:tc>
      </w:tr>
      <w:tr>
        <w:trPr>
          <w:trHeight w:val="257"/>
        </w:trPr>
        <w:tc>
          <w:tcPr>
            <w:tcW w:w="7180" w:type="dxa"/>
            <w:vAlign w:val="bottom"/>
            <w:gridSpan w:val="2"/>
          </w:tcPr>
          <w:p>
            <w:pPr>
              <w:ind w:left="40"/>
              <w:spacing w:after="0"/>
              <w:rPr>
                <w:sz w:val="20"/>
                <w:szCs w:val="20"/>
                <w:color w:val="auto"/>
              </w:rPr>
            </w:pPr>
            <w:r>
              <w:rPr>
                <w:rFonts w:ascii="Arial" w:cs="Arial" w:eastAsia="Arial" w:hAnsi="Arial"/>
                <w:sz w:val="18"/>
                <w:szCs w:val="18"/>
                <w:color w:val="auto"/>
              </w:rPr>
              <w:t>Adjusted operating income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11,967</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r>
      <w:tr>
        <w:trPr>
          <w:trHeight w:val="20"/>
        </w:trPr>
        <w:tc>
          <w:tcPr>
            <w:tcW w:w="13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 for Power Generation for the Three Months Ended March 31, 2020 Compared to the Three Months Ended March 31, 2019:</w:t>
      </w:r>
    </w:p>
    <w:p>
      <w:pPr>
        <w:spacing w:after="0" w:line="252"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Revenue increased in the current year driven by an increase in MWh sold due to new wind assets and additional Black Hills Colorado IPP fired-engine hours. Operating expenses increased in the current year primarily due to higher maintenance expense and depreciation from new wind assets.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MWh for our Power Generation segment:</w:t>
      </w:r>
    </w:p>
    <w:p>
      <w:pPr>
        <w:spacing w:after="0" w:line="171"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Three Months Ended March 31,</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40" w:type="dxa"/>
            <w:vAlign w:val="bottom"/>
            <w:gridSpan w:val="2"/>
          </w:tcPr>
          <w:p>
            <w:pPr>
              <w:ind w:left="8380"/>
              <w:spacing w:after="0"/>
              <w:rPr>
                <w:sz w:val="20"/>
                <w:szCs w:val="20"/>
                <w:color w:val="auto"/>
              </w:rPr>
            </w:pPr>
            <w:r>
              <w:rPr>
                <w:rFonts w:ascii="Arial" w:cs="Arial" w:eastAsia="Arial" w:hAnsi="Arial"/>
                <w:sz w:val="18"/>
                <w:szCs w:val="18"/>
                <w:color w:val="auto"/>
                <w:w w:val="84"/>
              </w:rPr>
              <w:t>2020</w:t>
            </w:r>
          </w:p>
        </w:tc>
        <w:tc>
          <w:tcPr>
            <w:tcW w:w="1020" w:type="dxa"/>
            <w:vAlign w:val="bottom"/>
          </w:tcPr>
          <w:p>
            <w:pPr>
              <w:spacing w:after="0"/>
              <w:rPr>
                <w:sz w:val="20"/>
                <w:szCs w:val="20"/>
                <w:color w:val="auto"/>
              </w:rPr>
            </w:pPr>
          </w:p>
        </w:tc>
        <w:tc>
          <w:tcPr>
            <w:tcW w:w="1480" w:type="dxa"/>
            <w:vAlign w:val="bottom"/>
          </w:tcPr>
          <w:p>
            <w:pPr>
              <w:jc w:val="right"/>
              <w:ind w:right="630"/>
              <w:spacing w:after="0"/>
              <w:rPr>
                <w:sz w:val="20"/>
                <w:szCs w:val="20"/>
                <w:color w:val="auto"/>
              </w:rPr>
            </w:pPr>
            <w:r>
              <w:rPr>
                <w:rFonts w:ascii="Arial" w:cs="Arial" w:eastAsia="Arial" w:hAnsi="Arial"/>
                <w:sz w:val="18"/>
                <w:szCs w:val="18"/>
                <w:color w:val="auto"/>
              </w:rPr>
              <w:t>2019</w:t>
            </w:r>
          </w:p>
        </w:tc>
      </w:tr>
      <w:tr>
        <w:trPr>
          <w:trHeight w:val="27"/>
        </w:trPr>
        <w:tc>
          <w:tcPr>
            <w:tcW w:w="874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09"/>
        </w:trPr>
        <w:tc>
          <w:tcPr>
            <w:tcW w:w="7640" w:type="dxa"/>
            <w:vAlign w:val="bottom"/>
          </w:tcPr>
          <w:p>
            <w:pPr>
              <w:ind w:left="40"/>
              <w:spacing w:after="0"/>
              <w:rPr>
                <w:sz w:val="20"/>
                <w:szCs w:val="20"/>
                <w:color w:val="auto"/>
              </w:rPr>
            </w:pPr>
            <w:r>
              <w:rPr>
                <w:rFonts w:ascii="Arial" w:cs="Arial" w:eastAsia="Arial" w:hAnsi="Arial"/>
                <w:sz w:val="18"/>
                <w:szCs w:val="18"/>
                <w:color w:val="auto"/>
              </w:rPr>
              <w:t>Quantities Sold, Generated and Purchased</w:t>
            </w:r>
          </w:p>
        </w:tc>
        <w:tc>
          <w:tcPr>
            <w:tcW w:w="1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r>
      <w:tr>
        <w:trPr>
          <w:trHeight w:val="257"/>
        </w:trPr>
        <w:tc>
          <w:tcPr>
            <w:tcW w:w="8740" w:type="dxa"/>
            <w:vAlign w:val="bottom"/>
            <w:gridSpan w:val="2"/>
          </w:tcPr>
          <w:p>
            <w:pPr>
              <w:ind w:left="40"/>
              <w:spacing w:after="0" w:line="257" w:lineRule="exact"/>
              <w:rPr>
                <w:sz w:val="20"/>
                <w:szCs w:val="20"/>
                <w:color w:val="auto"/>
              </w:rPr>
            </w:pPr>
            <w:r>
              <w:rPr>
                <w:rFonts w:ascii="Arial" w:cs="Arial" w:eastAsia="Arial" w:hAnsi="Arial"/>
                <w:sz w:val="18"/>
                <w:szCs w:val="18"/>
                <w:color w:val="auto"/>
              </w:rPr>
              <w:t xml:space="preserve">(MWh) </w:t>
            </w:r>
            <w:r>
              <w:rPr>
                <w:rFonts w:ascii="Arial" w:cs="Arial" w:eastAsia="Arial" w:hAnsi="Arial"/>
                <w:sz w:val="25"/>
                <w:szCs w:val="25"/>
                <w:color w:val="auto"/>
                <w:vertAlign w:val="superscript"/>
              </w:rPr>
              <w:t>(a)</w:t>
            </w:r>
          </w:p>
        </w:tc>
        <w:tc>
          <w:tcPr>
            <w:tcW w:w="102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50"/>
        </w:trPr>
        <w:tc>
          <w:tcPr>
            <w:tcW w:w="874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Sold</w:t>
            </w:r>
          </w:p>
        </w:tc>
        <w:tc>
          <w:tcPr>
            <w:tcW w:w="102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spacing w:after="0"/>
              <w:rPr>
                <w:sz w:val="21"/>
                <w:szCs w:val="21"/>
                <w:color w:val="auto"/>
              </w:rPr>
            </w:pPr>
          </w:p>
        </w:tc>
      </w:tr>
      <w:tr>
        <w:trPr>
          <w:trHeight w:val="243"/>
        </w:trPr>
        <w:tc>
          <w:tcPr>
            <w:tcW w:w="8740" w:type="dxa"/>
            <w:vAlign w:val="bottom"/>
            <w:gridSpan w:val="2"/>
          </w:tcPr>
          <w:p>
            <w:pPr>
              <w:ind w:left="380"/>
              <w:spacing w:after="0"/>
              <w:rPr>
                <w:sz w:val="20"/>
                <w:szCs w:val="20"/>
                <w:color w:val="auto"/>
              </w:rPr>
            </w:pPr>
            <w:r>
              <w:rPr>
                <w:rFonts w:ascii="Arial" w:cs="Arial" w:eastAsia="Arial" w:hAnsi="Arial"/>
                <w:sz w:val="18"/>
                <w:szCs w:val="18"/>
                <w:color w:val="auto"/>
              </w:rPr>
              <w:t>Black Hills Colorado IPP</w:t>
            </w:r>
          </w:p>
        </w:tc>
        <w:tc>
          <w:tcPr>
            <w:tcW w:w="1020" w:type="dxa"/>
            <w:vAlign w:val="bottom"/>
          </w:tcPr>
          <w:p>
            <w:pPr>
              <w:jc w:val="right"/>
              <w:ind w:right="330"/>
              <w:spacing w:after="0"/>
              <w:rPr>
                <w:sz w:val="20"/>
                <w:szCs w:val="20"/>
                <w:color w:val="auto"/>
              </w:rPr>
            </w:pPr>
            <w:r>
              <w:rPr>
                <w:rFonts w:ascii="Arial" w:cs="Arial" w:eastAsia="Arial" w:hAnsi="Arial"/>
                <w:sz w:val="18"/>
                <w:szCs w:val="18"/>
                <w:color w:val="auto"/>
                <w:w w:val="89"/>
              </w:rPr>
              <w:t>265,225</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205,973</w:t>
            </w:r>
          </w:p>
        </w:tc>
      </w:tr>
      <w:tr>
        <w:trPr>
          <w:trHeight w:val="27"/>
        </w:trPr>
        <w:tc>
          <w:tcPr>
            <w:tcW w:w="7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8740" w:type="dxa"/>
            <w:vAlign w:val="bottom"/>
            <w:gridSpan w:val="2"/>
            <w:shd w:val="clear" w:color="auto" w:fill="CEFFE7"/>
          </w:tcPr>
          <w:p>
            <w:pPr>
              <w:ind w:left="380"/>
              <w:spacing w:after="0" w:line="270" w:lineRule="exact"/>
              <w:rPr>
                <w:sz w:val="20"/>
                <w:szCs w:val="20"/>
                <w:color w:val="auto"/>
              </w:rPr>
            </w:pPr>
            <w:r>
              <w:rPr>
                <w:rFonts w:ascii="Arial" w:cs="Arial" w:eastAsia="Arial" w:hAnsi="Arial"/>
                <w:sz w:val="18"/>
                <w:szCs w:val="18"/>
                <w:color w:val="auto"/>
              </w:rPr>
              <w:t xml:space="preserve">Black Hills Wyoming </w:t>
            </w:r>
            <w:r>
              <w:rPr>
                <w:rFonts w:ascii="Arial" w:cs="Arial" w:eastAsia="Arial" w:hAnsi="Arial"/>
                <w:sz w:val="25"/>
                <w:szCs w:val="25"/>
                <w:color w:val="auto"/>
                <w:vertAlign w:val="superscript"/>
              </w:rPr>
              <w:t>(b)</w:t>
            </w:r>
          </w:p>
        </w:tc>
        <w:tc>
          <w:tcPr>
            <w:tcW w:w="1020" w:type="dxa"/>
            <w:vAlign w:val="bottom"/>
            <w:shd w:val="clear" w:color="auto" w:fill="CEFFE7"/>
          </w:tcPr>
          <w:p>
            <w:pPr>
              <w:jc w:val="right"/>
              <w:ind w:right="330"/>
              <w:spacing w:after="0"/>
              <w:rPr>
                <w:sz w:val="20"/>
                <w:szCs w:val="20"/>
                <w:color w:val="auto"/>
              </w:rPr>
            </w:pPr>
            <w:r>
              <w:rPr>
                <w:rFonts w:ascii="Arial" w:cs="Arial" w:eastAsia="Arial" w:hAnsi="Arial"/>
                <w:sz w:val="18"/>
                <w:szCs w:val="18"/>
                <w:color w:val="auto"/>
                <w:w w:val="89"/>
              </w:rPr>
              <w:t>156,352</w:t>
            </w:r>
          </w:p>
        </w:tc>
        <w:tc>
          <w:tcPr>
            <w:tcW w:w="14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164,049</w:t>
            </w:r>
          </w:p>
        </w:tc>
      </w:tr>
      <w:tr>
        <w:trPr>
          <w:trHeight w:val="243"/>
        </w:trPr>
        <w:tc>
          <w:tcPr>
            <w:tcW w:w="8740" w:type="dxa"/>
            <w:vAlign w:val="bottom"/>
            <w:gridSpan w:val="2"/>
          </w:tcPr>
          <w:p>
            <w:pPr>
              <w:ind w:left="380"/>
              <w:spacing w:after="0"/>
              <w:rPr>
                <w:sz w:val="20"/>
                <w:szCs w:val="20"/>
                <w:color w:val="auto"/>
              </w:rPr>
            </w:pPr>
            <w:r>
              <w:rPr>
                <w:rFonts w:ascii="Arial" w:cs="Arial" w:eastAsia="Arial" w:hAnsi="Arial"/>
                <w:sz w:val="18"/>
                <w:szCs w:val="18"/>
                <w:color w:val="auto"/>
              </w:rPr>
              <w:t>Black Hills Electric Generation</w:t>
            </w: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97,279</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33,753</w:t>
            </w:r>
          </w:p>
        </w:tc>
      </w:tr>
      <w:tr>
        <w:trPr>
          <w:trHeight w:val="27"/>
        </w:trPr>
        <w:tc>
          <w:tcPr>
            <w:tcW w:w="7640" w:type="dxa"/>
            <w:vAlign w:val="bottom"/>
            <w:tcBorders>
              <w:bottom w:val="single" w:sz="8" w:color="CEFFE7"/>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8740" w:type="dxa"/>
            <w:vAlign w:val="bottom"/>
            <w:gridSpan w:val="2"/>
            <w:shd w:val="clear" w:color="auto" w:fill="CEFFE7"/>
          </w:tcPr>
          <w:p>
            <w:pPr>
              <w:ind w:left="820"/>
              <w:spacing w:after="0"/>
              <w:rPr>
                <w:sz w:val="20"/>
                <w:szCs w:val="20"/>
                <w:color w:val="auto"/>
              </w:rPr>
            </w:pPr>
            <w:r>
              <w:rPr>
                <w:rFonts w:ascii="Arial" w:cs="Arial" w:eastAsia="Arial" w:hAnsi="Arial"/>
                <w:sz w:val="18"/>
                <w:szCs w:val="18"/>
                <w:color w:val="auto"/>
              </w:rPr>
              <w:t>Total Sold</w:t>
            </w:r>
          </w:p>
        </w:tc>
        <w:tc>
          <w:tcPr>
            <w:tcW w:w="1020" w:type="dxa"/>
            <w:vAlign w:val="bottom"/>
            <w:shd w:val="clear" w:color="auto" w:fill="CEFFE7"/>
          </w:tcPr>
          <w:p>
            <w:pPr>
              <w:jc w:val="right"/>
              <w:ind w:right="330"/>
              <w:spacing w:after="0"/>
              <w:rPr>
                <w:sz w:val="20"/>
                <w:szCs w:val="20"/>
                <w:color w:val="auto"/>
              </w:rPr>
            </w:pPr>
            <w:r>
              <w:rPr>
                <w:rFonts w:ascii="Arial" w:cs="Arial" w:eastAsia="Arial" w:hAnsi="Arial"/>
                <w:sz w:val="18"/>
                <w:szCs w:val="18"/>
                <w:color w:val="auto"/>
                <w:w w:val="89"/>
              </w:rPr>
              <w:t>518,856</w:t>
            </w:r>
          </w:p>
        </w:tc>
        <w:tc>
          <w:tcPr>
            <w:tcW w:w="14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403,775</w:t>
            </w:r>
          </w:p>
        </w:tc>
      </w:tr>
      <w:tr>
        <w:trPr>
          <w:trHeight w:val="20"/>
        </w:trPr>
        <w:tc>
          <w:tcPr>
            <w:tcW w:w="7640" w:type="dxa"/>
            <w:vAlign w:val="bottom"/>
            <w:tcBorders>
              <w:top w:val="single" w:sz="8" w:color="CEFFE7"/>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7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874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Generated</w:t>
            </w:r>
          </w:p>
        </w:tc>
        <w:tc>
          <w:tcPr>
            <w:tcW w:w="102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spacing w:after="0"/>
              <w:rPr>
                <w:sz w:val="21"/>
                <w:szCs w:val="21"/>
                <w:color w:val="auto"/>
              </w:rPr>
            </w:pPr>
          </w:p>
        </w:tc>
      </w:tr>
      <w:tr>
        <w:trPr>
          <w:trHeight w:val="243"/>
        </w:trPr>
        <w:tc>
          <w:tcPr>
            <w:tcW w:w="8740" w:type="dxa"/>
            <w:vAlign w:val="bottom"/>
            <w:gridSpan w:val="2"/>
          </w:tcPr>
          <w:p>
            <w:pPr>
              <w:ind w:left="380"/>
              <w:spacing w:after="0"/>
              <w:rPr>
                <w:sz w:val="20"/>
                <w:szCs w:val="20"/>
                <w:color w:val="auto"/>
              </w:rPr>
            </w:pPr>
            <w:r>
              <w:rPr>
                <w:rFonts w:ascii="Arial" w:cs="Arial" w:eastAsia="Arial" w:hAnsi="Arial"/>
                <w:sz w:val="18"/>
                <w:szCs w:val="18"/>
                <w:color w:val="auto"/>
              </w:rPr>
              <w:t>Black Hills Colorado IPP</w:t>
            </w:r>
          </w:p>
        </w:tc>
        <w:tc>
          <w:tcPr>
            <w:tcW w:w="1020" w:type="dxa"/>
            <w:vAlign w:val="bottom"/>
          </w:tcPr>
          <w:p>
            <w:pPr>
              <w:jc w:val="right"/>
              <w:ind w:right="330"/>
              <w:spacing w:after="0"/>
              <w:rPr>
                <w:sz w:val="20"/>
                <w:szCs w:val="20"/>
                <w:color w:val="auto"/>
              </w:rPr>
            </w:pPr>
            <w:r>
              <w:rPr>
                <w:rFonts w:ascii="Arial" w:cs="Arial" w:eastAsia="Arial" w:hAnsi="Arial"/>
                <w:sz w:val="18"/>
                <w:szCs w:val="18"/>
                <w:color w:val="auto"/>
                <w:w w:val="89"/>
              </w:rPr>
              <w:t>265,225</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205,973</w:t>
            </w:r>
          </w:p>
        </w:tc>
      </w:tr>
      <w:tr>
        <w:trPr>
          <w:trHeight w:val="27"/>
        </w:trPr>
        <w:tc>
          <w:tcPr>
            <w:tcW w:w="7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8740" w:type="dxa"/>
            <w:vAlign w:val="bottom"/>
            <w:gridSpan w:val="2"/>
            <w:shd w:val="clear" w:color="auto" w:fill="CEFFE7"/>
          </w:tcPr>
          <w:p>
            <w:pPr>
              <w:ind w:left="380"/>
              <w:spacing w:after="0" w:line="270" w:lineRule="exact"/>
              <w:rPr>
                <w:sz w:val="20"/>
                <w:szCs w:val="20"/>
                <w:color w:val="auto"/>
              </w:rPr>
            </w:pPr>
            <w:r>
              <w:rPr>
                <w:rFonts w:ascii="Arial" w:cs="Arial" w:eastAsia="Arial" w:hAnsi="Arial"/>
                <w:sz w:val="18"/>
                <w:szCs w:val="18"/>
                <w:color w:val="auto"/>
              </w:rPr>
              <w:t xml:space="preserve">Black Hills Wyoming </w:t>
            </w:r>
            <w:r>
              <w:rPr>
                <w:rFonts w:ascii="Arial" w:cs="Arial" w:eastAsia="Arial" w:hAnsi="Arial"/>
                <w:sz w:val="25"/>
                <w:szCs w:val="25"/>
                <w:color w:val="auto"/>
                <w:vertAlign w:val="superscript"/>
              </w:rPr>
              <w:t>(b)</w:t>
            </w:r>
          </w:p>
        </w:tc>
        <w:tc>
          <w:tcPr>
            <w:tcW w:w="1020" w:type="dxa"/>
            <w:vAlign w:val="bottom"/>
            <w:shd w:val="clear" w:color="auto" w:fill="CEFFE7"/>
          </w:tcPr>
          <w:p>
            <w:pPr>
              <w:jc w:val="right"/>
              <w:ind w:right="330"/>
              <w:spacing w:after="0"/>
              <w:rPr>
                <w:sz w:val="20"/>
                <w:szCs w:val="20"/>
                <w:color w:val="auto"/>
              </w:rPr>
            </w:pPr>
            <w:r>
              <w:rPr>
                <w:rFonts w:ascii="Arial" w:cs="Arial" w:eastAsia="Arial" w:hAnsi="Arial"/>
                <w:sz w:val="18"/>
                <w:szCs w:val="18"/>
                <w:color w:val="auto"/>
                <w:w w:val="89"/>
              </w:rPr>
              <w:t>126,485</w:t>
            </w:r>
          </w:p>
        </w:tc>
        <w:tc>
          <w:tcPr>
            <w:tcW w:w="14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132,593</w:t>
            </w:r>
          </w:p>
        </w:tc>
      </w:tr>
      <w:tr>
        <w:trPr>
          <w:trHeight w:val="243"/>
        </w:trPr>
        <w:tc>
          <w:tcPr>
            <w:tcW w:w="8740" w:type="dxa"/>
            <w:vAlign w:val="bottom"/>
            <w:gridSpan w:val="2"/>
          </w:tcPr>
          <w:p>
            <w:pPr>
              <w:ind w:left="380"/>
              <w:spacing w:after="0"/>
              <w:rPr>
                <w:sz w:val="20"/>
                <w:szCs w:val="20"/>
                <w:color w:val="auto"/>
              </w:rPr>
            </w:pPr>
            <w:r>
              <w:rPr>
                <w:rFonts w:ascii="Arial" w:cs="Arial" w:eastAsia="Arial" w:hAnsi="Arial"/>
                <w:sz w:val="18"/>
                <w:szCs w:val="18"/>
                <w:color w:val="auto"/>
              </w:rPr>
              <w:t>Black Hills Electric Generation</w:t>
            </w: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97,279</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33,753</w:t>
            </w:r>
          </w:p>
        </w:tc>
      </w:tr>
      <w:tr>
        <w:trPr>
          <w:trHeight w:val="27"/>
        </w:trPr>
        <w:tc>
          <w:tcPr>
            <w:tcW w:w="7640" w:type="dxa"/>
            <w:vAlign w:val="bottom"/>
            <w:tcBorders>
              <w:bottom w:val="single" w:sz="8" w:color="CEFFE7"/>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8740" w:type="dxa"/>
            <w:vAlign w:val="bottom"/>
            <w:gridSpan w:val="2"/>
            <w:shd w:val="clear" w:color="auto" w:fill="CEFFE7"/>
          </w:tcPr>
          <w:p>
            <w:pPr>
              <w:ind w:left="820"/>
              <w:spacing w:after="0"/>
              <w:rPr>
                <w:sz w:val="20"/>
                <w:szCs w:val="20"/>
                <w:color w:val="auto"/>
              </w:rPr>
            </w:pPr>
            <w:r>
              <w:rPr>
                <w:rFonts w:ascii="Arial" w:cs="Arial" w:eastAsia="Arial" w:hAnsi="Arial"/>
                <w:sz w:val="18"/>
                <w:szCs w:val="18"/>
                <w:color w:val="auto"/>
              </w:rPr>
              <w:t>Total Generated</w:t>
            </w:r>
          </w:p>
        </w:tc>
        <w:tc>
          <w:tcPr>
            <w:tcW w:w="1020" w:type="dxa"/>
            <w:vAlign w:val="bottom"/>
            <w:shd w:val="clear" w:color="auto" w:fill="CEFFE7"/>
          </w:tcPr>
          <w:p>
            <w:pPr>
              <w:jc w:val="right"/>
              <w:ind w:right="330"/>
              <w:spacing w:after="0"/>
              <w:rPr>
                <w:sz w:val="20"/>
                <w:szCs w:val="20"/>
                <w:color w:val="auto"/>
              </w:rPr>
            </w:pPr>
            <w:r>
              <w:rPr>
                <w:rFonts w:ascii="Arial" w:cs="Arial" w:eastAsia="Arial" w:hAnsi="Arial"/>
                <w:sz w:val="18"/>
                <w:szCs w:val="18"/>
                <w:color w:val="auto"/>
                <w:w w:val="89"/>
              </w:rPr>
              <w:t>488,989</w:t>
            </w:r>
          </w:p>
        </w:tc>
        <w:tc>
          <w:tcPr>
            <w:tcW w:w="14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372,319</w:t>
            </w:r>
          </w:p>
        </w:tc>
      </w:tr>
      <w:tr>
        <w:trPr>
          <w:trHeight w:val="20"/>
        </w:trPr>
        <w:tc>
          <w:tcPr>
            <w:tcW w:w="7640" w:type="dxa"/>
            <w:vAlign w:val="bottom"/>
            <w:tcBorders>
              <w:top w:val="single" w:sz="8" w:color="CEFFE7"/>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7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874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Purchased</w:t>
            </w:r>
          </w:p>
        </w:tc>
        <w:tc>
          <w:tcPr>
            <w:tcW w:w="102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spacing w:after="0"/>
              <w:rPr>
                <w:sz w:val="21"/>
                <w:szCs w:val="21"/>
                <w:color w:val="auto"/>
              </w:rPr>
            </w:pPr>
          </w:p>
        </w:tc>
      </w:tr>
      <w:tr>
        <w:trPr>
          <w:trHeight w:val="270"/>
        </w:trPr>
        <w:tc>
          <w:tcPr>
            <w:tcW w:w="7640" w:type="dxa"/>
            <w:vAlign w:val="bottom"/>
            <w:tcBorders>
              <w:bottom w:val="single" w:sz="8" w:color="CEFFE7"/>
            </w:tcBorders>
          </w:tcPr>
          <w:p>
            <w:pPr>
              <w:ind w:left="380"/>
              <w:spacing w:after="0" w:line="270" w:lineRule="exact"/>
              <w:rPr>
                <w:sz w:val="20"/>
                <w:szCs w:val="20"/>
                <w:color w:val="auto"/>
              </w:rPr>
            </w:pPr>
            <w:r>
              <w:rPr>
                <w:rFonts w:ascii="Arial" w:cs="Arial" w:eastAsia="Arial" w:hAnsi="Arial"/>
                <w:sz w:val="18"/>
                <w:szCs w:val="18"/>
                <w:color w:val="auto"/>
              </w:rPr>
              <w:t xml:space="preserve">Black Hills Wyoming </w:t>
            </w:r>
            <w:r>
              <w:rPr>
                <w:rFonts w:ascii="Arial" w:cs="Arial" w:eastAsia="Arial" w:hAnsi="Arial"/>
                <w:sz w:val="25"/>
                <w:szCs w:val="25"/>
                <w:color w:val="auto"/>
                <w:vertAlign w:val="superscript"/>
              </w:rPr>
              <w:t>(b)</w:t>
            </w:r>
          </w:p>
        </w:tc>
        <w:tc>
          <w:tcPr>
            <w:tcW w:w="11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29,856</w:t>
            </w: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25,579</w:t>
            </w:r>
          </w:p>
        </w:tc>
      </w:tr>
      <w:tr>
        <w:trPr>
          <w:trHeight w:val="257"/>
        </w:trPr>
        <w:tc>
          <w:tcPr>
            <w:tcW w:w="8740" w:type="dxa"/>
            <w:vAlign w:val="bottom"/>
            <w:gridSpan w:val="2"/>
            <w:shd w:val="clear" w:color="auto" w:fill="CEFFE7"/>
          </w:tcPr>
          <w:p>
            <w:pPr>
              <w:ind w:left="820"/>
              <w:spacing w:after="0"/>
              <w:rPr>
                <w:sz w:val="20"/>
                <w:szCs w:val="20"/>
                <w:color w:val="auto"/>
              </w:rPr>
            </w:pPr>
            <w:r>
              <w:rPr>
                <w:rFonts w:ascii="Arial" w:cs="Arial" w:eastAsia="Arial" w:hAnsi="Arial"/>
                <w:sz w:val="18"/>
                <w:szCs w:val="18"/>
                <w:color w:val="auto"/>
              </w:rPr>
              <w:t>Total Purchased</w:t>
            </w:r>
          </w:p>
        </w:tc>
        <w:tc>
          <w:tcPr>
            <w:tcW w:w="1020" w:type="dxa"/>
            <w:vAlign w:val="bottom"/>
            <w:shd w:val="clear" w:color="auto" w:fill="CEFFE7"/>
          </w:tcPr>
          <w:p>
            <w:pPr>
              <w:jc w:val="right"/>
              <w:ind w:right="330"/>
              <w:spacing w:after="0"/>
              <w:rPr>
                <w:sz w:val="20"/>
                <w:szCs w:val="20"/>
                <w:color w:val="auto"/>
              </w:rPr>
            </w:pPr>
            <w:r>
              <w:rPr>
                <w:rFonts w:ascii="Arial" w:cs="Arial" w:eastAsia="Arial" w:hAnsi="Arial"/>
                <w:sz w:val="18"/>
                <w:szCs w:val="18"/>
                <w:color w:val="auto"/>
              </w:rPr>
              <w:t>29,856</w:t>
            </w:r>
          </w:p>
        </w:tc>
        <w:tc>
          <w:tcPr>
            <w:tcW w:w="14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25,579</w:t>
            </w:r>
          </w:p>
        </w:tc>
      </w:tr>
      <w:tr>
        <w:trPr>
          <w:trHeight w:val="20"/>
        </w:trPr>
        <w:tc>
          <w:tcPr>
            <w:tcW w:w="7640" w:type="dxa"/>
            <w:vAlign w:val="bottom"/>
            <w:tcBorders>
              <w:top w:val="single" w:sz="8" w:color="CEFFE7"/>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26" w:right="339" w:bottom="0" w:gutter="0" w:footer="0" w:header="0"/>
        </w:sectPr>
      </w:pPr>
    </w:p>
    <w:bookmarkStart w:id="42" w:name="page43"/>
    <w:bookmarkEnd w:id="42"/>
    <w:p>
      <w:pPr>
        <w:spacing w:after="0"/>
        <w:rPr>
          <w:sz w:val="20"/>
          <w:szCs w:val="20"/>
          <w:color w:val="auto"/>
        </w:rPr>
      </w:pPr>
      <w:r>
        <w:rPr>
          <w:rFonts w:ascii="Arial" w:cs="Arial" w:eastAsia="Arial" w:hAnsi="Arial"/>
          <w:sz w:val="16"/>
          <w:szCs w:val="16"/>
          <w:color w:val="auto"/>
        </w:rPr>
        <w:t>____________</w:t>
      </w:r>
    </w:p>
    <w:p>
      <w:pPr>
        <w:spacing w:after="0" w:line="4"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Company uses and losses are not included in the quantities sold, generated, and purchased.</w:t>
      </w:r>
    </w:p>
    <w:p>
      <w:pPr>
        <w:spacing w:after="0" w:line="5" w:lineRule="exact"/>
        <w:rPr>
          <w:rFonts w:ascii="Arial" w:cs="Arial" w:eastAsia="Arial" w:hAnsi="Arial"/>
          <w:sz w:val="16"/>
          <w:szCs w:val="16"/>
          <w:color w:val="auto"/>
        </w:rPr>
      </w:pPr>
    </w:p>
    <w:p>
      <w:pPr>
        <w:ind w:left="340" w:right="60" w:hanging="332"/>
        <w:spacing w:after="0" w:line="251" w:lineRule="auto"/>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Under the 20-year economy energy PPA with the City of Gillette effective September 2014, Black Hills Wyoming purchases energy on behalf of the City of Gillette and sells that energy to the City of Gillette. MWh sold may not equal MWh generated and purchased due to a dispatch agreement Black Hills Wyoming has with South Dakota Electric to cover energy imbalances.</w:t>
      </w:r>
    </w:p>
    <w:p>
      <w:pPr>
        <w:spacing w:after="0" w:line="322"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Three Months Ended March 31,</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6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 xml:space="preserve">Contracted Power Plant Fleet Availability </w:t>
            </w:r>
            <w:r>
              <w:rPr>
                <w:rFonts w:ascii="Arial" w:cs="Arial" w:eastAsia="Arial" w:hAnsi="Arial"/>
                <w:sz w:val="21"/>
                <w:szCs w:val="21"/>
                <w:color w:val="auto"/>
                <w:vertAlign w:val="superscript"/>
              </w:rPr>
              <w:t>(a)</w:t>
            </w:r>
          </w:p>
        </w:tc>
        <w:tc>
          <w:tcPr>
            <w:tcW w:w="414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color w:val="auto"/>
              </w:rPr>
              <w:t>2020</w:t>
            </w:r>
          </w:p>
        </w:tc>
        <w:tc>
          <w:tcPr>
            <w:tcW w:w="15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2019</w:t>
            </w:r>
          </w:p>
        </w:tc>
      </w:tr>
      <w:tr>
        <w:trPr>
          <w:trHeight w:val="318"/>
        </w:trPr>
        <w:tc>
          <w:tcPr>
            <w:tcW w:w="56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70"/>
        </w:trPr>
        <w:tc>
          <w:tcPr>
            <w:tcW w:w="5600" w:type="dxa"/>
            <w:vAlign w:val="bottom"/>
            <w:shd w:val="clear" w:color="auto" w:fill="CEFFE7"/>
          </w:tcPr>
          <w:p>
            <w:pPr>
              <w:ind w:left="240"/>
              <w:spacing w:after="0" w:line="270" w:lineRule="exact"/>
              <w:rPr>
                <w:sz w:val="20"/>
                <w:szCs w:val="20"/>
                <w:color w:val="auto"/>
              </w:rPr>
            </w:pPr>
            <w:r>
              <w:rPr>
                <w:rFonts w:ascii="Arial" w:cs="Arial" w:eastAsia="Arial" w:hAnsi="Arial"/>
                <w:sz w:val="18"/>
                <w:szCs w:val="18"/>
                <w:color w:val="auto"/>
              </w:rPr>
              <w:t xml:space="preserve">Coal-fired plant </w:t>
            </w:r>
            <w:r>
              <w:rPr>
                <w:rFonts w:ascii="Arial" w:cs="Arial" w:eastAsia="Arial" w:hAnsi="Arial"/>
                <w:sz w:val="25"/>
                <w:szCs w:val="25"/>
                <w:color w:val="auto"/>
                <w:vertAlign w:val="superscript"/>
              </w:rPr>
              <w:t>(b)</w:t>
            </w:r>
          </w:p>
        </w:tc>
        <w:tc>
          <w:tcPr>
            <w:tcW w:w="4140" w:type="dxa"/>
            <w:vAlign w:val="bottom"/>
            <w:shd w:val="clear" w:color="auto" w:fill="CEFFE7"/>
          </w:tcPr>
          <w:p>
            <w:pPr>
              <w:jc w:val="right"/>
              <w:ind w:right="290"/>
              <w:spacing w:after="0"/>
              <w:rPr>
                <w:sz w:val="20"/>
                <w:szCs w:val="20"/>
                <w:color w:val="auto"/>
              </w:rPr>
            </w:pPr>
            <w:r>
              <w:rPr>
                <w:rFonts w:ascii="Arial" w:cs="Arial" w:eastAsia="Arial" w:hAnsi="Arial"/>
                <w:sz w:val="18"/>
                <w:szCs w:val="18"/>
                <w:color w:val="auto"/>
              </w:rPr>
              <w:t>89.3%</w:t>
            </w:r>
          </w:p>
        </w:tc>
        <w:tc>
          <w:tcPr>
            <w:tcW w:w="15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94.8%</w:t>
            </w:r>
          </w:p>
        </w:tc>
      </w:tr>
      <w:tr>
        <w:trPr>
          <w:trHeight w:val="243"/>
        </w:trPr>
        <w:tc>
          <w:tcPr>
            <w:tcW w:w="5600" w:type="dxa"/>
            <w:vAlign w:val="bottom"/>
          </w:tcPr>
          <w:p>
            <w:pPr>
              <w:ind w:left="240"/>
              <w:spacing w:after="0"/>
              <w:rPr>
                <w:sz w:val="20"/>
                <w:szCs w:val="20"/>
                <w:color w:val="auto"/>
              </w:rPr>
            </w:pPr>
            <w:r>
              <w:rPr>
                <w:rFonts w:ascii="Arial" w:cs="Arial" w:eastAsia="Arial" w:hAnsi="Arial"/>
                <w:sz w:val="18"/>
                <w:szCs w:val="18"/>
                <w:color w:val="auto"/>
              </w:rPr>
              <w:t>Natural gas-fired plants</w:t>
            </w:r>
          </w:p>
        </w:tc>
        <w:tc>
          <w:tcPr>
            <w:tcW w:w="4140" w:type="dxa"/>
            <w:vAlign w:val="bottom"/>
          </w:tcPr>
          <w:p>
            <w:pPr>
              <w:jc w:val="right"/>
              <w:ind w:right="290"/>
              <w:spacing w:after="0"/>
              <w:rPr>
                <w:sz w:val="20"/>
                <w:szCs w:val="20"/>
                <w:color w:val="auto"/>
              </w:rPr>
            </w:pPr>
            <w:r>
              <w:rPr>
                <w:rFonts w:ascii="Arial" w:cs="Arial" w:eastAsia="Arial" w:hAnsi="Arial"/>
                <w:sz w:val="18"/>
                <w:szCs w:val="18"/>
                <w:color w:val="auto"/>
              </w:rPr>
              <w:t>99.5%</w:t>
            </w:r>
          </w:p>
        </w:tc>
        <w:tc>
          <w:tcPr>
            <w:tcW w:w="1500" w:type="dxa"/>
            <w:vAlign w:val="bottom"/>
          </w:tcPr>
          <w:p>
            <w:pPr>
              <w:jc w:val="right"/>
              <w:spacing w:after="0"/>
              <w:rPr>
                <w:sz w:val="20"/>
                <w:szCs w:val="20"/>
                <w:color w:val="auto"/>
              </w:rPr>
            </w:pPr>
            <w:r>
              <w:rPr>
                <w:rFonts w:ascii="Arial" w:cs="Arial" w:eastAsia="Arial" w:hAnsi="Arial"/>
                <w:sz w:val="18"/>
                <w:szCs w:val="18"/>
                <w:color w:val="auto"/>
              </w:rPr>
              <w:t>95.6%</w:t>
            </w:r>
          </w:p>
        </w:tc>
      </w:tr>
      <w:tr>
        <w:trPr>
          <w:trHeight w:val="27"/>
        </w:trPr>
        <w:tc>
          <w:tcPr>
            <w:tcW w:w="56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60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Wind</w:t>
            </w:r>
          </w:p>
        </w:tc>
        <w:tc>
          <w:tcPr>
            <w:tcW w:w="414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99.3%</w:t>
            </w:r>
          </w:p>
        </w:tc>
        <w:tc>
          <w:tcPr>
            <w:tcW w:w="15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90.4%</w:t>
            </w:r>
          </w:p>
        </w:tc>
      </w:tr>
      <w:tr>
        <w:trPr>
          <w:trHeight w:val="243"/>
        </w:trPr>
        <w:tc>
          <w:tcPr>
            <w:tcW w:w="5600" w:type="dxa"/>
            <w:vAlign w:val="bottom"/>
          </w:tcPr>
          <w:p>
            <w:pPr>
              <w:ind w:left="240"/>
              <w:spacing w:after="0"/>
              <w:rPr>
                <w:sz w:val="20"/>
                <w:szCs w:val="20"/>
                <w:color w:val="auto"/>
              </w:rPr>
            </w:pPr>
            <w:r>
              <w:rPr>
                <w:rFonts w:ascii="Arial" w:cs="Arial" w:eastAsia="Arial" w:hAnsi="Arial"/>
                <w:sz w:val="18"/>
                <w:szCs w:val="18"/>
                <w:color w:val="auto"/>
              </w:rPr>
              <w:t>Total Availability</w:t>
            </w:r>
          </w:p>
        </w:tc>
        <w:tc>
          <w:tcPr>
            <w:tcW w:w="4140" w:type="dxa"/>
            <w:vAlign w:val="bottom"/>
          </w:tcPr>
          <w:p>
            <w:pPr>
              <w:jc w:val="right"/>
              <w:ind w:right="290"/>
              <w:spacing w:after="0"/>
              <w:rPr>
                <w:sz w:val="20"/>
                <w:szCs w:val="20"/>
                <w:color w:val="auto"/>
              </w:rPr>
            </w:pPr>
            <w:r>
              <w:rPr>
                <w:rFonts w:ascii="Arial" w:cs="Arial" w:eastAsia="Arial" w:hAnsi="Arial"/>
                <w:sz w:val="18"/>
                <w:szCs w:val="18"/>
                <w:color w:val="auto"/>
              </w:rPr>
              <w:t>97.8%</w:t>
            </w:r>
          </w:p>
        </w:tc>
        <w:tc>
          <w:tcPr>
            <w:tcW w:w="1500" w:type="dxa"/>
            <w:vAlign w:val="bottom"/>
          </w:tcPr>
          <w:p>
            <w:pPr>
              <w:jc w:val="right"/>
              <w:spacing w:after="0"/>
              <w:rPr>
                <w:sz w:val="20"/>
                <w:szCs w:val="20"/>
                <w:color w:val="auto"/>
              </w:rPr>
            </w:pPr>
            <w:r>
              <w:rPr>
                <w:rFonts w:ascii="Arial" w:cs="Arial" w:eastAsia="Arial" w:hAnsi="Arial"/>
                <w:sz w:val="18"/>
                <w:szCs w:val="18"/>
                <w:color w:val="auto"/>
              </w:rPr>
              <w:t>94.1%</w:t>
            </w:r>
          </w:p>
        </w:tc>
      </w:tr>
      <w:tr>
        <w:trPr>
          <w:trHeight w:val="27"/>
        </w:trPr>
        <w:tc>
          <w:tcPr>
            <w:tcW w:w="56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9"/>
        </w:trPr>
        <w:tc>
          <w:tcPr>
            <w:tcW w:w="5600" w:type="dxa"/>
            <w:vAlign w:val="bottom"/>
            <w:shd w:val="clear" w:color="auto" w:fill="CEFFE7"/>
          </w:tcPr>
          <w:p>
            <w:pPr>
              <w:spacing w:after="0"/>
              <w:rPr>
                <w:sz w:val="19"/>
                <w:szCs w:val="19"/>
                <w:color w:val="auto"/>
              </w:rPr>
            </w:pPr>
          </w:p>
        </w:tc>
        <w:tc>
          <w:tcPr>
            <w:tcW w:w="4140" w:type="dxa"/>
            <w:vAlign w:val="bottom"/>
            <w:shd w:val="clear" w:color="auto" w:fill="CEFFE7"/>
          </w:tcPr>
          <w:p>
            <w:pPr>
              <w:spacing w:after="0"/>
              <w:rPr>
                <w:sz w:val="19"/>
                <w:szCs w:val="19"/>
                <w:color w:val="auto"/>
              </w:rPr>
            </w:pPr>
          </w:p>
        </w:tc>
        <w:tc>
          <w:tcPr>
            <w:tcW w:w="1500" w:type="dxa"/>
            <w:vAlign w:val="bottom"/>
            <w:shd w:val="clear" w:color="auto" w:fill="CEFFE7"/>
          </w:tcPr>
          <w:p>
            <w:pPr>
              <w:spacing w:after="0"/>
              <w:rPr>
                <w:sz w:val="19"/>
                <w:szCs w:val="19"/>
                <w:color w:val="auto"/>
              </w:rPr>
            </w:pPr>
          </w:p>
        </w:tc>
      </w:tr>
      <w:tr>
        <w:trPr>
          <w:trHeight w:val="243"/>
        </w:trPr>
        <w:tc>
          <w:tcPr>
            <w:tcW w:w="5600" w:type="dxa"/>
            <w:vAlign w:val="bottom"/>
          </w:tcPr>
          <w:p>
            <w:pPr>
              <w:ind w:left="240"/>
              <w:spacing w:after="0"/>
              <w:rPr>
                <w:sz w:val="20"/>
                <w:szCs w:val="20"/>
                <w:color w:val="auto"/>
              </w:rPr>
            </w:pPr>
            <w:r>
              <w:rPr>
                <w:rFonts w:ascii="Arial" w:cs="Arial" w:eastAsia="Arial" w:hAnsi="Arial"/>
                <w:sz w:val="18"/>
                <w:szCs w:val="18"/>
                <w:color w:val="auto"/>
              </w:rPr>
              <w:t>Wind Capacity Factor</w:t>
            </w:r>
          </w:p>
        </w:tc>
        <w:tc>
          <w:tcPr>
            <w:tcW w:w="4140" w:type="dxa"/>
            <w:vAlign w:val="bottom"/>
          </w:tcPr>
          <w:p>
            <w:pPr>
              <w:jc w:val="right"/>
              <w:ind w:right="290"/>
              <w:spacing w:after="0"/>
              <w:rPr>
                <w:sz w:val="20"/>
                <w:szCs w:val="20"/>
                <w:color w:val="auto"/>
              </w:rPr>
            </w:pPr>
            <w:r>
              <w:rPr>
                <w:rFonts w:ascii="Arial" w:cs="Arial" w:eastAsia="Arial" w:hAnsi="Arial"/>
                <w:sz w:val="18"/>
                <w:szCs w:val="18"/>
                <w:color w:val="auto"/>
              </w:rPr>
              <w:t>30.4%</w:t>
            </w:r>
          </w:p>
        </w:tc>
        <w:tc>
          <w:tcPr>
            <w:tcW w:w="1500" w:type="dxa"/>
            <w:vAlign w:val="bottom"/>
          </w:tcPr>
          <w:p>
            <w:pPr>
              <w:jc w:val="right"/>
              <w:spacing w:after="0"/>
              <w:rPr>
                <w:sz w:val="20"/>
                <w:szCs w:val="20"/>
                <w:color w:val="auto"/>
              </w:rPr>
            </w:pPr>
            <w:r>
              <w:rPr>
                <w:rFonts w:ascii="Arial" w:cs="Arial" w:eastAsia="Arial" w:hAnsi="Arial"/>
                <w:sz w:val="18"/>
                <w:szCs w:val="18"/>
                <w:color w:val="auto"/>
              </w:rPr>
              <w:t>28.2%</w:t>
            </w:r>
          </w:p>
        </w:tc>
      </w:tr>
      <w:tr>
        <w:trPr>
          <w:trHeight w:val="220"/>
        </w:trPr>
        <w:tc>
          <w:tcPr>
            <w:tcW w:w="5600" w:type="dxa"/>
            <w:vAlign w:val="bottom"/>
          </w:tcPr>
          <w:p>
            <w:pPr>
              <w:spacing w:after="0"/>
              <w:rPr>
                <w:sz w:val="20"/>
                <w:szCs w:val="20"/>
                <w:color w:val="auto"/>
              </w:rPr>
            </w:pPr>
            <w:r>
              <w:rPr>
                <w:rFonts w:ascii="Arial" w:cs="Arial" w:eastAsia="Arial" w:hAnsi="Arial"/>
                <w:sz w:val="16"/>
                <w:szCs w:val="16"/>
                <w:color w:val="auto"/>
              </w:rPr>
              <w:t>____________________</w:t>
            </w:r>
          </w:p>
        </w:tc>
        <w:tc>
          <w:tcPr>
            <w:tcW w:w="4140" w:type="dxa"/>
            <w:vAlign w:val="bottom"/>
          </w:tcPr>
          <w:p>
            <w:pPr>
              <w:spacing w:after="0"/>
              <w:rPr>
                <w:sz w:val="19"/>
                <w:szCs w:val="19"/>
                <w:color w:val="auto"/>
              </w:rPr>
            </w:pPr>
          </w:p>
        </w:tc>
        <w:tc>
          <w:tcPr>
            <w:tcW w:w="1500" w:type="dxa"/>
            <w:vAlign w:val="bottom"/>
          </w:tcPr>
          <w:p>
            <w:pPr>
              <w:spacing w:after="0"/>
              <w:rPr>
                <w:sz w:val="19"/>
                <w:szCs w:val="19"/>
                <w:color w:val="auto"/>
              </w:rPr>
            </w:pPr>
          </w:p>
        </w:tc>
      </w:tr>
    </w:tbl>
    <w:p>
      <w:pPr>
        <w:ind w:left="340" w:hanging="332"/>
        <w:spacing w:after="0"/>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Availability and Wind Capacity Factor are calculated using a weighted average based on capacity of our generating fleet.</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2020 included a planned outage at Wygen I.</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18"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10"/>
        </w:trPr>
        <w:tc>
          <w:tcPr>
            <w:tcW w:w="7180" w:type="dxa"/>
            <w:vAlign w:val="bottom"/>
            <w:gridSpan w:val="2"/>
          </w:tcPr>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84"/>
        </w:trPr>
        <w:tc>
          <w:tcPr>
            <w:tcW w:w="71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Mining</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98"/>
        </w:trPr>
        <w:tc>
          <w:tcPr>
            <w:tcW w:w="560" w:type="dxa"/>
            <w:vAlign w:val="bottom"/>
            <w:tcBorders>
              <w:top w:val="single" w:sz="8" w:color="auto"/>
            </w:tcBorders>
          </w:tcPr>
          <w:p>
            <w:pPr>
              <w:spacing w:after="0"/>
              <w:rPr>
                <w:sz w:val="24"/>
                <w:szCs w:val="24"/>
                <w:color w:val="auto"/>
              </w:rPr>
            </w:pPr>
          </w:p>
        </w:tc>
        <w:tc>
          <w:tcPr>
            <w:tcW w:w="6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40" w:type="dxa"/>
            <w:vAlign w:val="bottom"/>
            <w:gridSpan w:val="5"/>
          </w:tcPr>
          <w:p>
            <w:pPr>
              <w:jc w:val="center"/>
              <w:ind w:right="190"/>
              <w:spacing w:after="0"/>
              <w:rPr>
                <w:sz w:val="20"/>
                <w:szCs w:val="20"/>
                <w:color w:val="auto"/>
              </w:rPr>
            </w:pPr>
            <w:r>
              <w:rPr>
                <w:rFonts w:ascii="Arial" w:cs="Arial" w:eastAsia="Arial" w:hAnsi="Arial"/>
                <w:sz w:val="18"/>
                <w:szCs w:val="18"/>
                <w:color w:val="auto"/>
                <w:w w:val="90"/>
              </w:rPr>
              <w:t>Three Months Ended March 31,</w:t>
            </w:r>
          </w:p>
        </w:tc>
      </w:tr>
      <w:tr>
        <w:trPr>
          <w:trHeight w:val="270"/>
        </w:trPr>
        <w:tc>
          <w:tcPr>
            <w:tcW w:w="560" w:type="dxa"/>
            <w:vAlign w:val="bottom"/>
          </w:tcPr>
          <w:p>
            <w:pPr>
              <w:spacing w:after="0"/>
              <w:rPr>
                <w:sz w:val="23"/>
                <w:szCs w:val="23"/>
                <w:color w:val="auto"/>
              </w:rPr>
            </w:pPr>
          </w:p>
        </w:tc>
        <w:tc>
          <w:tcPr>
            <w:tcW w:w="6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280" w:type="dxa"/>
            <w:vAlign w:val="bottom"/>
          </w:tcPr>
          <w:p>
            <w:pPr>
              <w:spacing w:after="0"/>
              <w:rPr>
                <w:sz w:val="23"/>
                <w:szCs w:val="23"/>
                <w:color w:val="auto"/>
              </w:rPr>
            </w:pPr>
          </w:p>
        </w:tc>
        <w:tc>
          <w:tcPr>
            <w:tcW w:w="1120" w:type="dxa"/>
            <w:vAlign w:val="bottom"/>
          </w:tcPr>
          <w:p>
            <w:pPr>
              <w:jc w:val="right"/>
              <w:ind w:right="270"/>
              <w:spacing w:after="0"/>
              <w:rPr>
                <w:sz w:val="20"/>
                <w:szCs w:val="20"/>
                <w:color w:val="auto"/>
              </w:rPr>
            </w:pPr>
            <w:r>
              <w:rPr>
                <w:rFonts w:ascii="Arial" w:cs="Arial" w:eastAsia="Arial" w:hAnsi="Arial"/>
                <w:sz w:val="18"/>
                <w:szCs w:val="18"/>
                <w:color w:val="auto"/>
              </w:rPr>
              <w:t>Variance</w:t>
            </w:r>
          </w:p>
        </w:tc>
      </w:tr>
      <w:tr>
        <w:trPr>
          <w:trHeight w:val="27"/>
        </w:trPr>
        <w:tc>
          <w:tcPr>
            <w:tcW w:w="560" w:type="dxa"/>
            <w:vAlign w:val="bottom"/>
          </w:tcPr>
          <w:p>
            <w:pPr>
              <w:spacing w:after="0"/>
              <w:rPr>
                <w:sz w:val="2"/>
                <w:szCs w:val="2"/>
                <w:color w:val="auto"/>
              </w:rPr>
            </w:pPr>
          </w:p>
        </w:tc>
        <w:tc>
          <w:tcPr>
            <w:tcW w:w="6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6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(in thousands)</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560" w:type="dxa"/>
            <w:vAlign w:val="bottom"/>
          </w:tcPr>
          <w:p>
            <w:pPr>
              <w:spacing w:after="0"/>
              <w:rPr>
                <w:sz w:val="2"/>
                <w:szCs w:val="2"/>
                <w:color w:val="auto"/>
              </w:rPr>
            </w:pPr>
          </w:p>
        </w:tc>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1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15,205</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16,429</w:t>
            </w:r>
          </w:p>
        </w:tc>
        <w:tc>
          <w:tcPr>
            <w:tcW w:w="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(1,224)</w:t>
            </w:r>
          </w:p>
        </w:tc>
      </w:tr>
      <w:tr>
        <w:trPr>
          <w:trHeight w:val="318"/>
        </w:trPr>
        <w:tc>
          <w:tcPr>
            <w:tcW w:w="5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71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Operations and maintenance</w:t>
            </w:r>
          </w:p>
        </w:tc>
        <w:tc>
          <w:tcPr>
            <w:tcW w:w="32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9,826</w:t>
            </w:r>
          </w:p>
        </w:tc>
        <w:tc>
          <w:tcPr>
            <w:tcW w:w="18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9,913</w:t>
            </w:r>
          </w:p>
        </w:tc>
        <w:tc>
          <w:tcPr>
            <w:tcW w:w="28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(87)</w:t>
            </w:r>
          </w:p>
        </w:tc>
      </w:tr>
      <w:tr>
        <w:trPr>
          <w:trHeight w:val="243"/>
        </w:trPr>
        <w:tc>
          <w:tcPr>
            <w:tcW w:w="7180" w:type="dxa"/>
            <w:vAlign w:val="bottom"/>
            <w:gridSpan w:val="2"/>
          </w:tcPr>
          <w:p>
            <w:pPr>
              <w:ind w:left="40"/>
              <w:spacing w:after="0"/>
              <w:rPr>
                <w:sz w:val="20"/>
                <w:szCs w:val="20"/>
                <w:color w:val="auto"/>
              </w:rPr>
            </w:pPr>
            <w:r>
              <w:rPr>
                <w:rFonts w:ascii="Arial" w:cs="Arial" w:eastAsia="Arial" w:hAnsi="Arial"/>
                <w:sz w:val="18"/>
                <w:szCs w:val="18"/>
                <w:color w:val="auto"/>
              </w:rPr>
              <w:t>Depreciation, depletion and amortization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2,250</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2,179</w:t>
            </w:r>
          </w:p>
        </w:tc>
        <w:tc>
          <w:tcPr>
            <w:tcW w:w="2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71</w:t>
            </w:r>
          </w:p>
        </w:tc>
      </w:tr>
      <w:tr>
        <w:trPr>
          <w:trHeight w:val="27"/>
        </w:trPr>
        <w:tc>
          <w:tcPr>
            <w:tcW w:w="560" w:type="dxa"/>
            <w:vAlign w:val="bottom"/>
            <w:tcBorders>
              <w:bottom w:val="single" w:sz="8" w:color="CEFFE7"/>
            </w:tcBorders>
          </w:tcPr>
          <w:p>
            <w:pPr>
              <w:spacing w:after="0"/>
              <w:rPr>
                <w:sz w:val="2"/>
                <w:szCs w:val="2"/>
                <w:color w:val="auto"/>
              </w:rPr>
            </w:pPr>
          </w:p>
        </w:tc>
        <w:tc>
          <w:tcPr>
            <w:tcW w:w="6620" w:type="dxa"/>
            <w:vAlign w:val="bottom"/>
            <w:tcBorders>
              <w:bottom w:val="single" w:sz="8" w:color="CEFFE7"/>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3"/>
        </w:trPr>
        <w:tc>
          <w:tcPr>
            <w:tcW w:w="560" w:type="dxa"/>
            <w:vAlign w:val="bottom"/>
            <w:tcBorders>
              <w:bottom w:val="single" w:sz="8" w:color="CEFFE7"/>
            </w:tcBorders>
            <w:shd w:val="clear" w:color="auto" w:fill="CEFFE7"/>
          </w:tcPr>
          <w:p>
            <w:pPr>
              <w:spacing w:after="0"/>
              <w:rPr>
                <w:sz w:val="22"/>
                <w:szCs w:val="22"/>
                <w:color w:val="auto"/>
              </w:rPr>
            </w:pPr>
          </w:p>
        </w:tc>
        <w:tc>
          <w:tcPr>
            <w:tcW w:w="66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CEFFE7"/>
            </w:tcBorders>
            <w:shd w:val="clear" w:color="auto" w:fill="CEFFE7"/>
          </w:tcPr>
          <w:p>
            <w:pPr>
              <w:spacing w:after="0"/>
              <w:rPr>
                <w:sz w:val="22"/>
                <w:szCs w:val="22"/>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12,076</w:t>
            </w:r>
          </w:p>
        </w:tc>
        <w:tc>
          <w:tcPr>
            <w:tcW w:w="180" w:type="dxa"/>
            <w:vAlign w:val="bottom"/>
            <w:tcBorders>
              <w:bottom w:val="single" w:sz="8" w:color="CEFFE7"/>
            </w:tcBorders>
            <w:shd w:val="clear" w:color="auto" w:fill="CEFFE7"/>
          </w:tcPr>
          <w:p>
            <w:pPr>
              <w:spacing w:after="0"/>
              <w:rPr>
                <w:sz w:val="22"/>
                <w:szCs w:val="22"/>
                <w:color w:val="auto"/>
              </w:rPr>
            </w:pP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12,092</w:t>
            </w:r>
          </w:p>
        </w:tc>
        <w:tc>
          <w:tcPr>
            <w:tcW w:w="280" w:type="dxa"/>
            <w:vAlign w:val="bottom"/>
            <w:tcBorders>
              <w:bottom w:val="single" w:sz="8" w:color="CEFFE7"/>
            </w:tcBorders>
            <w:shd w:val="clear" w:color="auto" w:fill="CEFFE7"/>
          </w:tcPr>
          <w:p>
            <w:pPr>
              <w:spacing w:after="0"/>
              <w:rPr>
                <w:sz w:val="22"/>
                <w:szCs w:val="22"/>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(16)</w:t>
            </w:r>
          </w:p>
        </w:tc>
      </w:tr>
      <w:tr>
        <w:trPr>
          <w:trHeight w:val="318"/>
        </w:trPr>
        <w:tc>
          <w:tcPr>
            <w:tcW w:w="560" w:type="dxa"/>
            <w:vAlign w:val="bottom"/>
            <w:tcBorders>
              <w:bottom w:val="single" w:sz="8" w:color="CEFFE7"/>
            </w:tcBorders>
          </w:tcPr>
          <w:p>
            <w:pPr>
              <w:spacing w:after="0"/>
              <w:rPr>
                <w:sz w:val="24"/>
                <w:szCs w:val="24"/>
                <w:color w:val="auto"/>
              </w:rPr>
            </w:pPr>
          </w:p>
        </w:tc>
        <w:tc>
          <w:tcPr>
            <w:tcW w:w="6620" w:type="dxa"/>
            <w:vAlign w:val="bottom"/>
            <w:tcBorders>
              <w:bottom w:val="single" w:sz="8" w:color="CEFFE7"/>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r>
      <w:tr>
        <w:trPr>
          <w:trHeight w:val="257"/>
        </w:trPr>
        <w:tc>
          <w:tcPr>
            <w:tcW w:w="71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Adjusted operating income</w:t>
            </w:r>
          </w:p>
        </w:tc>
        <w:tc>
          <w:tcPr>
            <w:tcW w:w="320" w:type="dxa"/>
            <w:vAlign w:val="bottom"/>
            <w:tcBorders>
              <w:bottom w:val="single" w:sz="8" w:color="auto"/>
            </w:tcBorders>
            <w:shd w:val="clear" w:color="auto" w:fill="CEFFE7"/>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3,129</w:t>
            </w:r>
          </w:p>
        </w:tc>
        <w:tc>
          <w:tcPr>
            <w:tcW w:w="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4,337</w:t>
            </w:r>
          </w:p>
        </w:tc>
        <w:tc>
          <w:tcPr>
            <w:tcW w:w="28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(1,208)</w:t>
            </w:r>
          </w:p>
        </w:tc>
      </w:tr>
      <w:tr>
        <w:trPr>
          <w:trHeight w:val="20"/>
        </w:trPr>
        <w:tc>
          <w:tcPr>
            <w:tcW w:w="56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 for Mining for the Three Months Ended March 31, 2020 Compared to the Three Months Ended March 31, 2019:</w:t>
      </w:r>
    </w:p>
    <w:p>
      <w:pPr>
        <w:spacing w:after="0" w:line="241" w:lineRule="exact"/>
        <w:rPr>
          <w:sz w:val="20"/>
          <w:szCs w:val="20"/>
          <w:color w:val="auto"/>
        </w:rPr>
      </w:pPr>
    </w:p>
    <w:p>
      <w:pPr>
        <w:jc w:val="both"/>
        <w:ind w:right="520"/>
        <w:spacing w:after="0" w:line="263" w:lineRule="auto"/>
        <w:rPr>
          <w:sz w:val="20"/>
          <w:szCs w:val="20"/>
          <w:color w:val="auto"/>
        </w:rPr>
      </w:pPr>
      <w:r>
        <w:rPr>
          <w:rFonts w:ascii="Arial" w:cs="Arial" w:eastAsia="Arial" w:hAnsi="Arial"/>
          <w:sz w:val="18"/>
          <w:szCs w:val="18"/>
          <w:color w:val="auto"/>
        </w:rPr>
        <w:t>Current year revenue decreased due to 10% fewer tons sold driven primarily by decreased demand at the Wyodak Plant and timing of planned spring outages at our coal-fired generation facilities partially offset by an increase in price per ton sold driven by contract price adjustments based on actual mining costs.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certain operating statistics for our Mining segment (in thousands, except for Revenue per ton):</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6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180" w:type="dxa"/>
            <w:vAlign w:val="bottom"/>
            <w:gridSpan w:val="5"/>
          </w:tcPr>
          <w:p>
            <w:pPr>
              <w:jc w:val="right"/>
              <w:ind w:right="550"/>
              <w:spacing w:after="0"/>
              <w:rPr>
                <w:sz w:val="20"/>
                <w:szCs w:val="20"/>
                <w:color w:val="auto"/>
              </w:rPr>
            </w:pPr>
            <w:r>
              <w:rPr>
                <w:rFonts w:ascii="Arial" w:cs="Arial" w:eastAsia="Arial" w:hAnsi="Arial"/>
                <w:sz w:val="18"/>
                <w:szCs w:val="18"/>
                <w:color w:val="auto"/>
                <w:w w:val="99"/>
              </w:rPr>
              <w:t>Three Months Ended March 31,</w:t>
            </w:r>
          </w:p>
        </w:tc>
      </w:tr>
      <w:tr>
        <w:trPr>
          <w:trHeight w:val="270"/>
        </w:trPr>
        <w:tc>
          <w:tcPr>
            <w:tcW w:w="1560" w:type="dxa"/>
            <w:vAlign w:val="bottom"/>
          </w:tcPr>
          <w:p>
            <w:pPr>
              <w:spacing w:after="0"/>
              <w:rPr>
                <w:sz w:val="23"/>
                <w:szCs w:val="23"/>
                <w:color w:val="auto"/>
              </w:rPr>
            </w:pPr>
          </w:p>
        </w:tc>
        <w:tc>
          <w:tcPr>
            <w:tcW w:w="49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00" w:type="dxa"/>
            <w:vAlign w:val="bottom"/>
            <w:gridSpan w:val="2"/>
          </w:tcPr>
          <w:p>
            <w:pPr>
              <w:jc w:val="right"/>
              <w:ind w:right="85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630"/>
              <w:spacing w:after="0"/>
              <w:rPr>
                <w:sz w:val="20"/>
                <w:szCs w:val="20"/>
                <w:color w:val="auto"/>
              </w:rPr>
            </w:pPr>
            <w:r>
              <w:rPr>
                <w:rFonts w:ascii="Arial" w:cs="Arial" w:eastAsia="Arial" w:hAnsi="Arial"/>
                <w:sz w:val="18"/>
                <w:szCs w:val="18"/>
                <w:color w:val="auto"/>
                <w:w w:val="99"/>
              </w:rPr>
              <w:t>2019</w:t>
            </w:r>
          </w:p>
        </w:tc>
      </w:tr>
      <w:tr>
        <w:trPr>
          <w:trHeight w:val="27"/>
        </w:trPr>
        <w:tc>
          <w:tcPr>
            <w:tcW w:w="1560" w:type="dxa"/>
            <w:vAlign w:val="bottom"/>
            <w:tcBorders>
              <w:bottom w:val="single" w:sz="8" w:color="CEFFE7"/>
            </w:tcBorders>
          </w:tcPr>
          <w:p>
            <w:pPr>
              <w:spacing w:after="0"/>
              <w:rPr>
                <w:sz w:val="2"/>
                <w:szCs w:val="2"/>
                <w:color w:val="auto"/>
              </w:rPr>
            </w:pPr>
          </w:p>
        </w:tc>
        <w:tc>
          <w:tcPr>
            <w:tcW w:w="4960" w:type="dxa"/>
            <w:vAlign w:val="bottom"/>
            <w:tcBorders>
              <w:bottom w:val="single" w:sz="8" w:color="CEFFE7"/>
            </w:tcBorders>
          </w:tcPr>
          <w:p>
            <w:pPr>
              <w:spacing w:after="0"/>
              <w:rPr>
                <w:sz w:val="2"/>
                <w:szCs w:val="2"/>
                <w:color w:val="auto"/>
              </w:rPr>
            </w:pPr>
          </w:p>
        </w:tc>
        <w:tc>
          <w:tcPr>
            <w:tcW w:w="380" w:type="dxa"/>
            <w:vAlign w:val="bottom"/>
            <w:tcBorders>
              <w:bottom w:val="single" w:sz="8" w:color="CEFFE7"/>
            </w:tcBorders>
          </w:tcPr>
          <w:p>
            <w:pPr>
              <w:spacing w:after="0"/>
              <w:rPr>
                <w:sz w:val="2"/>
                <w:szCs w:val="2"/>
                <w:color w:val="auto"/>
              </w:rPr>
            </w:pPr>
          </w:p>
        </w:tc>
        <w:tc>
          <w:tcPr>
            <w:tcW w:w="280" w:type="dxa"/>
            <w:vAlign w:val="bottom"/>
            <w:tcBorders>
              <w:bottom w:val="single" w:sz="8" w:color="CEFFE7"/>
            </w:tcBorders>
          </w:tcPr>
          <w:p>
            <w:pPr>
              <w:spacing w:after="0"/>
              <w:rPr>
                <w:sz w:val="2"/>
                <w:szCs w:val="2"/>
                <w:color w:val="auto"/>
              </w:rPr>
            </w:pPr>
          </w:p>
        </w:tc>
        <w:tc>
          <w:tcPr>
            <w:tcW w:w="60" w:type="dxa"/>
            <w:vAlign w:val="bottom"/>
            <w:tcBorders>
              <w:bottom w:val="single" w:sz="8" w:color="CEFFE7"/>
            </w:tcBorders>
          </w:tcPr>
          <w:p>
            <w:pPr>
              <w:spacing w:after="0"/>
              <w:rPr>
                <w:sz w:val="2"/>
                <w:szCs w:val="2"/>
                <w:color w:val="auto"/>
              </w:rPr>
            </w:pPr>
          </w:p>
        </w:tc>
        <w:tc>
          <w:tcPr>
            <w:tcW w:w="400" w:type="dxa"/>
            <w:vAlign w:val="bottom"/>
            <w:tcBorders>
              <w:bottom w:val="single" w:sz="8" w:color="CEFFE7"/>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652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Tons of coal sold</w:t>
            </w:r>
          </w:p>
        </w:tc>
        <w:tc>
          <w:tcPr>
            <w:tcW w:w="38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60" w:type="dxa"/>
            <w:vAlign w:val="bottom"/>
            <w:tcBorders>
              <w:bottom w:val="single" w:sz="8" w:color="CEFFE7"/>
            </w:tcBorders>
            <w:shd w:val="clear" w:color="auto" w:fill="CEFFE7"/>
          </w:tcPr>
          <w:p>
            <w:pPr>
              <w:spacing w:after="0"/>
              <w:rPr>
                <w:sz w:val="21"/>
                <w:szCs w:val="21"/>
                <w:color w:val="auto"/>
              </w:rPr>
            </w:pPr>
          </w:p>
        </w:tc>
        <w:tc>
          <w:tcPr>
            <w:tcW w:w="400" w:type="dxa"/>
            <w:vAlign w:val="bottom"/>
            <w:tcBorders>
              <w:bottom w:val="single" w:sz="8" w:color="CEFFE7"/>
            </w:tcBorders>
            <w:shd w:val="clear" w:color="auto" w:fill="CEFFE7"/>
          </w:tcPr>
          <w:p>
            <w:pPr>
              <w:spacing w:after="0"/>
              <w:rPr>
                <w:sz w:val="21"/>
                <w:szCs w:val="21"/>
                <w:color w:val="auto"/>
              </w:rPr>
            </w:pPr>
          </w:p>
        </w:tc>
        <w:tc>
          <w:tcPr>
            <w:tcW w:w="420" w:type="dxa"/>
            <w:vAlign w:val="bottom"/>
            <w:tcBorders>
              <w:bottom w:val="single" w:sz="8" w:color="CEFFE7"/>
            </w:tcBorders>
            <w:shd w:val="clear" w:color="auto" w:fill="CEFFE7"/>
          </w:tcPr>
          <w:p>
            <w:pPr>
              <w:spacing w:after="0"/>
              <w:rPr>
                <w:sz w:val="21"/>
                <w:szCs w:val="21"/>
                <w:color w:val="auto"/>
              </w:rPr>
            </w:pPr>
          </w:p>
        </w:tc>
        <w:tc>
          <w:tcPr>
            <w:tcW w:w="62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ind w:right="230"/>
              <w:spacing w:after="0"/>
              <w:rPr>
                <w:sz w:val="20"/>
                <w:szCs w:val="20"/>
                <w:color w:val="auto"/>
              </w:rPr>
            </w:pPr>
            <w:r>
              <w:rPr>
                <w:rFonts w:ascii="Arial" w:cs="Arial" w:eastAsia="Arial" w:hAnsi="Arial"/>
                <w:sz w:val="18"/>
                <w:szCs w:val="18"/>
                <w:color w:val="auto"/>
              </w:rPr>
              <w:t>896</w:t>
            </w:r>
          </w:p>
        </w:tc>
        <w:tc>
          <w:tcPr>
            <w:tcW w:w="22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997</w:t>
            </w:r>
          </w:p>
        </w:tc>
      </w:tr>
      <w:tr>
        <w:trPr>
          <w:trHeight w:val="243"/>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Cubic yards of overburden moved</w:t>
            </w: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2,267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1,994</w:t>
            </w:r>
          </w:p>
        </w:tc>
      </w:tr>
      <w:tr>
        <w:trPr>
          <w:trHeight w:val="27"/>
        </w:trPr>
        <w:tc>
          <w:tcPr>
            <w:tcW w:w="15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324"/>
        </w:trPr>
        <w:tc>
          <w:tcPr>
            <w:tcW w:w="1560" w:type="dxa"/>
            <w:vAlign w:val="bottom"/>
            <w:shd w:val="clear" w:color="auto" w:fill="CEFFE7"/>
          </w:tcPr>
          <w:p>
            <w:pPr>
              <w:spacing w:after="0"/>
              <w:rPr>
                <w:sz w:val="24"/>
                <w:szCs w:val="24"/>
                <w:color w:val="auto"/>
              </w:rPr>
            </w:pPr>
          </w:p>
        </w:tc>
        <w:tc>
          <w:tcPr>
            <w:tcW w:w="4960" w:type="dxa"/>
            <w:vAlign w:val="bottom"/>
            <w:shd w:val="clear" w:color="auto" w:fill="CEFFE7"/>
          </w:tcPr>
          <w:p>
            <w:pPr>
              <w:spacing w:after="0"/>
              <w:rPr>
                <w:sz w:val="24"/>
                <w:szCs w:val="24"/>
                <w:color w:val="auto"/>
              </w:rPr>
            </w:pPr>
          </w:p>
        </w:tc>
        <w:tc>
          <w:tcPr>
            <w:tcW w:w="380" w:type="dxa"/>
            <w:vAlign w:val="bottom"/>
            <w:shd w:val="clear" w:color="auto" w:fill="CEFFE7"/>
          </w:tcPr>
          <w:p>
            <w:pPr>
              <w:spacing w:after="0"/>
              <w:rPr>
                <w:sz w:val="24"/>
                <w:szCs w:val="24"/>
                <w:color w:val="auto"/>
              </w:rPr>
            </w:pPr>
          </w:p>
        </w:tc>
        <w:tc>
          <w:tcPr>
            <w:tcW w:w="280" w:type="dxa"/>
            <w:vAlign w:val="bottom"/>
            <w:shd w:val="clear" w:color="auto" w:fill="CEFFE7"/>
          </w:tcPr>
          <w:p>
            <w:pPr>
              <w:spacing w:after="0"/>
              <w:rPr>
                <w:sz w:val="24"/>
                <w:szCs w:val="24"/>
                <w:color w:val="auto"/>
              </w:rPr>
            </w:pPr>
          </w:p>
        </w:tc>
        <w:tc>
          <w:tcPr>
            <w:tcW w:w="60" w:type="dxa"/>
            <w:vAlign w:val="bottom"/>
            <w:shd w:val="clear" w:color="auto" w:fill="CEFFE7"/>
          </w:tcPr>
          <w:p>
            <w:pPr>
              <w:spacing w:after="0"/>
              <w:rPr>
                <w:sz w:val="24"/>
                <w:szCs w:val="24"/>
                <w:color w:val="auto"/>
              </w:rPr>
            </w:pPr>
          </w:p>
        </w:tc>
        <w:tc>
          <w:tcPr>
            <w:tcW w:w="400" w:type="dxa"/>
            <w:vAlign w:val="bottom"/>
            <w:shd w:val="clear" w:color="auto" w:fill="CEFFE7"/>
          </w:tcPr>
          <w:p>
            <w:pPr>
              <w:spacing w:after="0"/>
              <w:rPr>
                <w:sz w:val="24"/>
                <w:szCs w:val="24"/>
                <w:color w:val="auto"/>
              </w:rPr>
            </w:pPr>
          </w:p>
        </w:tc>
        <w:tc>
          <w:tcPr>
            <w:tcW w:w="420" w:type="dxa"/>
            <w:vAlign w:val="bottom"/>
            <w:shd w:val="clear" w:color="auto" w:fill="CEFFE7"/>
          </w:tcPr>
          <w:p>
            <w:pPr>
              <w:spacing w:after="0"/>
              <w:rPr>
                <w:sz w:val="24"/>
                <w:szCs w:val="24"/>
                <w:color w:val="auto"/>
              </w:rPr>
            </w:pPr>
          </w:p>
        </w:tc>
        <w:tc>
          <w:tcPr>
            <w:tcW w:w="620" w:type="dxa"/>
            <w:vAlign w:val="bottom"/>
            <w:shd w:val="clear" w:color="auto" w:fill="CEFFE7"/>
          </w:tcPr>
          <w:p>
            <w:pPr>
              <w:spacing w:after="0"/>
              <w:rPr>
                <w:sz w:val="24"/>
                <w:szCs w:val="24"/>
                <w:color w:val="auto"/>
              </w:rPr>
            </w:pPr>
          </w:p>
        </w:tc>
        <w:tc>
          <w:tcPr>
            <w:tcW w:w="980" w:type="dxa"/>
            <w:vAlign w:val="bottom"/>
            <w:shd w:val="clear" w:color="auto" w:fill="CEFFE7"/>
          </w:tcPr>
          <w:p>
            <w:pPr>
              <w:spacing w:after="0"/>
              <w:rPr>
                <w:sz w:val="24"/>
                <w:szCs w:val="24"/>
                <w:color w:val="auto"/>
              </w:rPr>
            </w:pPr>
          </w:p>
        </w:tc>
        <w:tc>
          <w:tcPr>
            <w:tcW w:w="220" w:type="dxa"/>
            <w:vAlign w:val="bottom"/>
            <w:shd w:val="clear" w:color="auto" w:fill="CEFFE7"/>
          </w:tcPr>
          <w:p>
            <w:pPr>
              <w:spacing w:after="0"/>
              <w:rPr>
                <w:sz w:val="24"/>
                <w:szCs w:val="24"/>
                <w:color w:val="auto"/>
              </w:rPr>
            </w:pPr>
          </w:p>
        </w:tc>
        <w:tc>
          <w:tcPr>
            <w:tcW w:w="220" w:type="dxa"/>
            <w:vAlign w:val="bottom"/>
            <w:shd w:val="clear" w:color="auto" w:fill="CEFFE7"/>
          </w:tcPr>
          <w:p>
            <w:pPr>
              <w:spacing w:after="0"/>
              <w:rPr>
                <w:sz w:val="24"/>
                <w:szCs w:val="24"/>
                <w:color w:val="auto"/>
              </w:rPr>
            </w:pPr>
          </w:p>
        </w:tc>
        <w:tc>
          <w:tcPr>
            <w:tcW w:w="1140" w:type="dxa"/>
            <w:vAlign w:val="bottom"/>
            <w:shd w:val="clear" w:color="auto" w:fill="CEFFE7"/>
          </w:tcPr>
          <w:p>
            <w:pPr>
              <w:spacing w:after="0"/>
              <w:rPr>
                <w:sz w:val="24"/>
                <w:szCs w:val="24"/>
                <w:color w:val="auto"/>
              </w:rPr>
            </w:pPr>
          </w:p>
        </w:tc>
      </w:tr>
      <w:tr>
        <w:trPr>
          <w:trHeight w:val="243"/>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Revenue per ton</w:t>
            </w:r>
          </w:p>
        </w:tc>
        <w:tc>
          <w:tcPr>
            <w:tcW w:w="380" w:type="dxa"/>
            <w:vAlign w:val="bottom"/>
          </w:tcPr>
          <w:p>
            <w:pPr>
              <w:spacing w:after="0"/>
              <w:rPr>
                <w:sz w:val="21"/>
                <w:szCs w:val="21"/>
                <w:color w:val="auto"/>
              </w:rPr>
            </w:pPr>
          </w:p>
        </w:tc>
        <w:tc>
          <w:tcPr>
            <w:tcW w:w="1160" w:type="dxa"/>
            <w:vAlign w:val="bottom"/>
            <w:gridSpan w:val="4"/>
          </w:tcPr>
          <w:p>
            <w:pPr>
              <w:jc w:val="right"/>
              <w:ind w:right="21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16.08  $</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15.87</w:t>
            </w:r>
          </w:p>
        </w:tc>
      </w:tr>
      <w:tr>
        <w:trPr>
          <w:trHeight w:val="634"/>
        </w:trPr>
        <w:tc>
          <w:tcPr>
            <w:tcW w:w="65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Corporate and Other</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99"/>
        </w:trPr>
        <w:tc>
          <w:tcPr>
            <w:tcW w:w="1560" w:type="dxa"/>
            <w:vAlign w:val="bottom"/>
            <w:tcBorders>
              <w:top w:val="single" w:sz="8" w:color="auto"/>
            </w:tcBorders>
          </w:tcPr>
          <w:p>
            <w:pPr>
              <w:spacing w:after="0"/>
              <w:rPr>
                <w:sz w:val="24"/>
                <w:szCs w:val="24"/>
                <w:color w:val="auto"/>
              </w:rPr>
            </w:pPr>
          </w:p>
        </w:tc>
        <w:tc>
          <w:tcPr>
            <w:tcW w:w="4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80" w:type="dxa"/>
            <w:vAlign w:val="bottom"/>
            <w:gridSpan w:val="5"/>
          </w:tcPr>
          <w:p>
            <w:pPr>
              <w:jc w:val="center"/>
              <w:ind w:right="750"/>
              <w:spacing w:after="0"/>
              <w:rPr>
                <w:sz w:val="20"/>
                <w:szCs w:val="20"/>
                <w:color w:val="auto"/>
              </w:rPr>
            </w:pPr>
            <w:r>
              <w:rPr>
                <w:rFonts w:ascii="Arial" w:cs="Arial" w:eastAsia="Arial" w:hAnsi="Arial"/>
                <w:sz w:val="18"/>
                <w:szCs w:val="18"/>
                <w:color w:val="auto"/>
                <w:w w:val="90"/>
              </w:rPr>
              <w:t>Three Months Ended March 31,</w:t>
            </w:r>
          </w:p>
        </w:tc>
      </w:tr>
      <w:tr>
        <w:trPr>
          <w:trHeight w:val="270"/>
        </w:trPr>
        <w:tc>
          <w:tcPr>
            <w:tcW w:w="1560" w:type="dxa"/>
            <w:vAlign w:val="bottom"/>
          </w:tcPr>
          <w:p>
            <w:pPr>
              <w:spacing w:after="0"/>
              <w:rPr>
                <w:sz w:val="23"/>
                <w:szCs w:val="23"/>
                <w:color w:val="auto"/>
              </w:rPr>
            </w:pPr>
          </w:p>
        </w:tc>
        <w:tc>
          <w:tcPr>
            <w:tcW w:w="49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2020</w:t>
            </w:r>
          </w:p>
        </w:tc>
        <w:tc>
          <w:tcPr>
            <w:tcW w:w="620" w:type="dxa"/>
            <w:vAlign w:val="bottom"/>
          </w:tcPr>
          <w:p>
            <w:pPr>
              <w:spacing w:after="0"/>
              <w:rPr>
                <w:sz w:val="23"/>
                <w:szCs w:val="23"/>
                <w:color w:val="auto"/>
              </w:rPr>
            </w:pPr>
          </w:p>
        </w:tc>
        <w:tc>
          <w:tcPr>
            <w:tcW w:w="980" w:type="dxa"/>
            <w:vAlign w:val="bottom"/>
          </w:tcPr>
          <w:p>
            <w:pPr>
              <w:jc w:val="center"/>
              <w:ind w:left="10"/>
              <w:spacing w:after="0"/>
              <w:rPr>
                <w:sz w:val="20"/>
                <w:szCs w:val="20"/>
                <w:color w:val="auto"/>
              </w:rPr>
            </w:pPr>
            <w:r>
              <w:rPr>
                <w:rFonts w:ascii="Arial" w:cs="Arial" w:eastAsia="Arial" w:hAnsi="Arial"/>
                <w:sz w:val="18"/>
                <w:szCs w:val="18"/>
                <w:color w:val="auto"/>
                <w:w w:val="89"/>
              </w:rPr>
              <w:t>2019</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color w:val="auto"/>
              </w:rPr>
              <w:t>Variance</w:t>
            </w:r>
          </w:p>
        </w:tc>
      </w:tr>
      <w:tr>
        <w:trPr>
          <w:trHeight w:val="27"/>
        </w:trPr>
        <w:tc>
          <w:tcPr>
            <w:tcW w:w="15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156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gridSpan w:val="2"/>
          </w:tcPr>
          <w:p>
            <w:pPr>
              <w:jc w:val="center"/>
              <w:ind w:right="10"/>
              <w:spacing w:after="0"/>
              <w:rPr>
                <w:sz w:val="20"/>
                <w:szCs w:val="20"/>
                <w:color w:val="auto"/>
              </w:rPr>
            </w:pPr>
            <w:r>
              <w:rPr>
                <w:rFonts w:ascii="Arial" w:cs="Arial" w:eastAsia="Arial" w:hAnsi="Arial"/>
                <w:sz w:val="18"/>
                <w:szCs w:val="18"/>
                <w:color w:val="auto"/>
                <w:w w:val="89"/>
              </w:rPr>
              <w:t>(in thousands)</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15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4"/>
        </w:trPr>
        <w:tc>
          <w:tcPr>
            <w:tcW w:w="652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Adjusted operating income (loss)</w:t>
            </w:r>
          </w:p>
        </w:tc>
        <w:tc>
          <w:tcPr>
            <w:tcW w:w="380" w:type="dxa"/>
            <w:vAlign w:val="bottom"/>
            <w:tcBorders>
              <w:bottom w:val="single" w:sz="8" w:color="CEFFE7"/>
            </w:tcBorders>
            <w:shd w:val="clear" w:color="auto" w:fill="CEFFE7"/>
          </w:tcPr>
          <w:p>
            <w:pPr>
              <w:spacing w:after="0"/>
              <w:rPr>
                <w:sz w:val="22"/>
                <w:szCs w:val="22"/>
                <w:color w:val="auto"/>
              </w:rPr>
            </w:pPr>
          </w:p>
        </w:tc>
        <w:tc>
          <w:tcPr>
            <w:tcW w:w="280" w:type="dxa"/>
            <w:vAlign w:val="bottom"/>
            <w:tcBorders>
              <w:bottom w:val="single" w:sz="8" w:color="CEFFE7"/>
            </w:tcBorders>
            <w:shd w:val="clear" w:color="auto" w:fill="CEFFE7"/>
          </w:tcPr>
          <w:p>
            <w:pPr>
              <w:spacing w:after="0"/>
              <w:rPr>
                <w:sz w:val="22"/>
                <w:szCs w:val="22"/>
                <w:color w:val="auto"/>
              </w:rPr>
            </w:pPr>
          </w:p>
        </w:tc>
        <w:tc>
          <w:tcPr>
            <w:tcW w:w="460" w:type="dxa"/>
            <w:vAlign w:val="bottom"/>
            <w:tcBorders>
              <w:bottom w:val="single" w:sz="8" w:color="auto"/>
            </w:tcBorders>
            <w:gridSpan w:val="2"/>
            <w:shd w:val="clear" w:color="auto" w:fill="CEFFE7"/>
          </w:tcPr>
          <w:p>
            <w:pPr>
              <w:jc w:val="right"/>
              <w:ind w:right="34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EFFE7"/>
          </w:tcPr>
          <w:p>
            <w:pPr>
              <w:spacing w:after="0"/>
              <w:rPr>
                <w:sz w:val="22"/>
                <w:szCs w:val="22"/>
                <w:color w:val="auto"/>
              </w:rPr>
            </w:pPr>
          </w:p>
        </w:tc>
        <w:tc>
          <w:tcPr>
            <w:tcW w:w="6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160  $</w:t>
            </w:r>
          </w:p>
        </w:tc>
        <w:tc>
          <w:tcPr>
            <w:tcW w:w="1200" w:type="dxa"/>
            <w:vAlign w:val="bottom"/>
            <w:tcBorders>
              <w:bottom w:val="single" w:sz="8" w:color="auto"/>
            </w:tcBorders>
            <w:gridSpan w:val="2"/>
            <w:shd w:val="clear" w:color="auto" w:fill="CEFFE7"/>
          </w:tcPr>
          <w:p>
            <w:pPr>
              <w:jc w:val="right"/>
              <w:spacing w:after="0"/>
              <w:rPr>
                <w:sz w:val="20"/>
                <w:szCs w:val="20"/>
                <w:color w:val="auto"/>
              </w:rPr>
            </w:pPr>
            <w:r>
              <w:rPr>
                <w:rFonts w:ascii="Arial" w:cs="Arial" w:eastAsia="Arial" w:hAnsi="Arial"/>
                <w:sz w:val="18"/>
                <w:szCs w:val="18"/>
                <w:color w:val="auto"/>
              </w:rPr>
              <w:t>(507)</w:t>
            </w:r>
          </w:p>
        </w:tc>
        <w:tc>
          <w:tcPr>
            <w:tcW w:w="2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667</w:t>
            </w:r>
          </w:p>
        </w:tc>
      </w:tr>
      <w:tr>
        <w:trPr>
          <w:trHeight w:val="20"/>
        </w:trPr>
        <w:tc>
          <w:tcPr>
            <w:tcW w:w="1560" w:type="dxa"/>
            <w:vAlign w:val="bottom"/>
          </w:tcPr>
          <w:p>
            <w:pPr>
              <w:spacing w:after="0" w:line="20" w:lineRule="exact"/>
              <w:rPr>
                <w:sz w:val="1"/>
                <w:szCs w:val="1"/>
                <w:color w:val="auto"/>
              </w:rPr>
            </w:pPr>
          </w:p>
        </w:tc>
        <w:tc>
          <w:tcPr>
            <w:tcW w:w="5620" w:type="dxa"/>
            <w:vAlign w:val="bottom"/>
            <w:gridSpan w:val="3"/>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94"/>
        </w:trPr>
        <w:tc>
          <w:tcPr>
            <w:tcW w:w="8060" w:type="dxa"/>
            <w:vAlign w:val="bottom"/>
            <w:gridSpan w:val="7"/>
          </w:tcPr>
          <w:p>
            <w:pPr>
              <w:spacing w:after="0"/>
              <w:rPr>
                <w:sz w:val="20"/>
                <w:szCs w:val="20"/>
                <w:color w:val="auto"/>
              </w:rPr>
            </w:pPr>
            <w:r>
              <w:rPr>
                <w:rFonts w:ascii="Arial" w:cs="Arial" w:eastAsia="Arial" w:hAnsi="Arial"/>
                <w:sz w:val="18"/>
                <w:szCs w:val="18"/>
                <w:b w:val="1"/>
                <w:bCs w:val="1"/>
                <w:i w:val="1"/>
                <w:iCs w:val="1"/>
                <w:color w:val="auto"/>
                <w:w w:val="97"/>
              </w:rPr>
              <w:t>Interest Expense, Impairment of Investment, Other Income (Expense) and Income Tax (Expense)</w:t>
            </w: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615"/>
        </w:trPr>
        <w:tc>
          <w:tcPr>
            <w:tcW w:w="1560" w:type="dxa"/>
            <w:vAlign w:val="bottom"/>
            <w:tcBorders>
              <w:top w:val="single" w:sz="8" w:color="auto"/>
            </w:tcBorders>
          </w:tcPr>
          <w:p>
            <w:pPr>
              <w:spacing w:after="0"/>
              <w:rPr>
                <w:sz w:val="24"/>
                <w:szCs w:val="24"/>
                <w:color w:val="auto"/>
              </w:rPr>
            </w:pPr>
          </w:p>
        </w:tc>
        <w:tc>
          <w:tcPr>
            <w:tcW w:w="49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460" w:type="dxa"/>
            <w:vAlign w:val="bottom"/>
            <w:gridSpan w:val="5"/>
          </w:tcPr>
          <w:p>
            <w:pPr>
              <w:jc w:val="center"/>
              <w:spacing w:after="0"/>
              <w:rPr>
                <w:sz w:val="20"/>
                <w:szCs w:val="20"/>
                <w:color w:val="auto"/>
              </w:rPr>
            </w:pPr>
            <w:r>
              <w:rPr>
                <w:rFonts w:ascii="Arial" w:cs="Arial" w:eastAsia="Arial" w:hAnsi="Arial"/>
                <w:sz w:val="18"/>
                <w:szCs w:val="18"/>
                <w:color w:val="auto"/>
                <w:w w:val="90"/>
              </w:rPr>
              <w:t>Three Months Ended March 31,</w:t>
            </w:r>
          </w:p>
        </w:tc>
        <w:tc>
          <w:tcPr>
            <w:tcW w:w="1140" w:type="dxa"/>
            <w:vAlign w:val="bottom"/>
          </w:tcPr>
          <w:p>
            <w:pPr>
              <w:spacing w:after="0"/>
              <w:rPr>
                <w:sz w:val="24"/>
                <w:szCs w:val="24"/>
                <w:color w:val="auto"/>
              </w:rPr>
            </w:pPr>
          </w:p>
        </w:tc>
      </w:tr>
      <w:tr>
        <w:trPr>
          <w:trHeight w:val="270"/>
        </w:trPr>
        <w:tc>
          <w:tcPr>
            <w:tcW w:w="1560" w:type="dxa"/>
            <w:vAlign w:val="bottom"/>
          </w:tcPr>
          <w:p>
            <w:pPr>
              <w:spacing w:after="0"/>
              <w:rPr>
                <w:sz w:val="23"/>
                <w:szCs w:val="23"/>
                <w:color w:val="auto"/>
              </w:rPr>
            </w:pPr>
          </w:p>
        </w:tc>
        <w:tc>
          <w:tcPr>
            <w:tcW w:w="49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2020</w:t>
            </w:r>
          </w:p>
        </w:tc>
        <w:tc>
          <w:tcPr>
            <w:tcW w:w="4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80" w:type="dxa"/>
            <w:vAlign w:val="bottom"/>
          </w:tcPr>
          <w:p>
            <w:pPr>
              <w:jc w:val="center"/>
              <w:ind w:right="450"/>
              <w:spacing w:after="0"/>
              <w:rPr>
                <w:sz w:val="20"/>
                <w:szCs w:val="20"/>
                <w:color w:val="auto"/>
              </w:rPr>
            </w:pPr>
            <w:r>
              <w:rPr>
                <w:rFonts w:ascii="Arial" w:cs="Arial" w:eastAsia="Arial" w:hAnsi="Arial"/>
                <w:sz w:val="18"/>
                <w:szCs w:val="18"/>
                <w:color w:val="auto"/>
                <w:w w:val="89"/>
              </w:rPr>
              <w:t>2019</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color w:val="auto"/>
                <w:w w:val="92"/>
              </w:rPr>
              <w:t>Variance</w:t>
            </w:r>
          </w:p>
        </w:tc>
      </w:tr>
      <w:tr>
        <w:trPr>
          <w:trHeight w:val="27"/>
        </w:trPr>
        <w:tc>
          <w:tcPr>
            <w:tcW w:w="15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156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0" w:type="dxa"/>
            <w:vAlign w:val="bottom"/>
            <w:gridSpan w:val="2"/>
          </w:tcPr>
          <w:p>
            <w:pPr>
              <w:jc w:val="center"/>
              <w:spacing w:after="0"/>
              <w:rPr>
                <w:sz w:val="20"/>
                <w:szCs w:val="20"/>
                <w:color w:val="auto"/>
              </w:rPr>
            </w:pPr>
            <w:r>
              <w:rPr>
                <w:rFonts w:ascii="Arial" w:cs="Arial" w:eastAsia="Arial" w:hAnsi="Arial"/>
                <w:sz w:val="18"/>
                <w:szCs w:val="18"/>
                <w:color w:val="auto"/>
                <w:w w:val="91"/>
              </w:rPr>
              <w:t>(in thousands)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15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82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52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Interest expense, net</w:t>
            </w:r>
          </w:p>
        </w:tc>
        <w:tc>
          <w:tcPr>
            <w:tcW w:w="38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EFFE7"/>
            </w:tcBorders>
            <w:gridSpan w:val="4"/>
            <w:shd w:val="clear" w:color="auto" w:fill="CEFFE7"/>
          </w:tcPr>
          <w:p>
            <w:pPr>
              <w:jc w:val="right"/>
              <w:spacing w:after="0"/>
              <w:rPr>
                <w:sz w:val="20"/>
                <w:szCs w:val="20"/>
                <w:color w:val="auto"/>
              </w:rPr>
            </w:pPr>
            <w:r>
              <w:rPr>
                <w:rFonts w:ascii="Arial" w:cs="Arial" w:eastAsia="Arial" w:hAnsi="Arial"/>
                <w:sz w:val="18"/>
                <w:szCs w:val="18"/>
                <w:color w:val="auto"/>
              </w:rPr>
              <w:t>(35,453)</w:t>
            </w:r>
          </w:p>
        </w:tc>
        <w:tc>
          <w:tcPr>
            <w:tcW w:w="620" w:type="dxa"/>
            <w:vAlign w:val="bottom"/>
            <w:tcBorders>
              <w:bottom w:val="single" w:sz="8" w:color="CEFFE7"/>
            </w:tcBorders>
            <w:shd w:val="clear" w:color="auto" w:fill="CEFFE7"/>
          </w:tcPr>
          <w:p>
            <w:pPr>
              <w:jc w:val="right"/>
              <w:ind w:right="3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(34,717)</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(736)</w:t>
            </w:r>
          </w:p>
        </w:tc>
      </w:tr>
      <w:tr>
        <w:trPr>
          <w:trHeight w:val="243"/>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Impairment of investment</w:t>
            </w:r>
          </w:p>
        </w:tc>
        <w:tc>
          <w:tcPr>
            <w:tcW w:w="380" w:type="dxa"/>
            <w:vAlign w:val="bottom"/>
          </w:tcPr>
          <w:p>
            <w:pPr>
              <w:spacing w:after="0"/>
              <w:rPr>
                <w:sz w:val="21"/>
                <w:szCs w:val="21"/>
                <w:color w:val="auto"/>
              </w:rPr>
            </w:pP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(6,859)</w:t>
            </w:r>
          </w:p>
        </w:tc>
        <w:tc>
          <w:tcPr>
            <w:tcW w:w="6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(6,859)</w:t>
            </w:r>
          </w:p>
        </w:tc>
      </w:tr>
      <w:tr>
        <w:trPr>
          <w:trHeight w:val="27"/>
        </w:trPr>
        <w:tc>
          <w:tcPr>
            <w:tcW w:w="15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82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52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Other income (expense), net</w:t>
            </w:r>
          </w:p>
        </w:tc>
        <w:tc>
          <w:tcPr>
            <w:tcW w:w="38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gridSpan w:val="4"/>
            <w:shd w:val="clear" w:color="auto" w:fill="CEFFE7"/>
          </w:tcPr>
          <w:p>
            <w:pPr>
              <w:jc w:val="right"/>
              <w:spacing w:after="0"/>
              <w:rPr>
                <w:sz w:val="20"/>
                <w:szCs w:val="20"/>
                <w:color w:val="auto"/>
              </w:rPr>
            </w:pPr>
            <w:r>
              <w:rPr>
                <w:rFonts w:ascii="Arial" w:cs="Arial" w:eastAsia="Arial" w:hAnsi="Arial"/>
                <w:sz w:val="18"/>
                <w:szCs w:val="18"/>
                <w:color w:val="auto"/>
              </w:rPr>
              <w:t>2,353</w:t>
            </w:r>
          </w:p>
        </w:tc>
        <w:tc>
          <w:tcPr>
            <w:tcW w:w="62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(789)</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3,142</w:t>
            </w:r>
          </w:p>
        </w:tc>
      </w:tr>
      <w:tr>
        <w:trPr>
          <w:trHeight w:val="243"/>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380" w:type="dxa"/>
            <w:vAlign w:val="bottom"/>
          </w:tcPr>
          <w:p>
            <w:pPr>
              <w:spacing w:after="0"/>
              <w:rPr>
                <w:sz w:val="21"/>
                <w:szCs w:val="21"/>
                <w:color w:val="auto"/>
              </w:rPr>
            </w:pP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(16,002)</w:t>
            </w:r>
          </w:p>
        </w:tc>
        <w:tc>
          <w:tcPr>
            <w:tcW w:w="6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(17,263)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1,261</w:t>
            </w:r>
          </w:p>
        </w:tc>
      </w:tr>
    </w:tbl>
    <w:p>
      <w:pPr>
        <w:spacing w:after="0" w:line="225"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b w:val="1"/>
          <w:bCs w:val="1"/>
          <w:color w:val="auto"/>
        </w:rPr>
        <w:t>Consolidated Interest expense, Impairment of investment, Other income (expense) and Income tax (expense) for the Three Months Ended March 31, 2020 Compared to the Three Months Ended March 31,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Investment</w:t>
      </w:r>
    </w:p>
    <w:p>
      <w:pPr>
        <w:spacing w:after="0" w:line="225" w:lineRule="exact"/>
        <w:rPr>
          <w:sz w:val="20"/>
          <w:szCs w:val="20"/>
          <w:color w:val="auto"/>
        </w:rPr>
      </w:pPr>
    </w:p>
    <w:p>
      <w:pPr>
        <w:ind w:right="20"/>
        <w:spacing w:after="0" w:line="279" w:lineRule="auto"/>
        <w:rPr>
          <w:rFonts w:ascii="Arial" w:cs="Arial" w:eastAsia="Arial" w:hAnsi="Arial"/>
          <w:sz w:val="17"/>
          <w:szCs w:val="17"/>
          <w:color w:val="auto"/>
        </w:rPr>
      </w:pPr>
      <w:r>
        <w:rPr>
          <w:rFonts w:ascii="Arial" w:cs="Arial" w:eastAsia="Arial" w:hAnsi="Arial"/>
          <w:sz w:val="17"/>
          <w:szCs w:val="17"/>
          <w:color w:val="auto"/>
        </w:rPr>
        <w:t xml:space="preserve">For the three months ended March 31, 2020, we recorded a pre-tax non-cash write-down of $6.9 million in our investment in equity securities of a privately held oil and gas company. The impairment was triggered by continued adverse changes in future natural gas prices and liquidity concerns at the privately held oil and gas company. The remaining book value of our investment is $1.5 million, and this is our only remaining investment in oil and gas exploration and production activities. See </w:t>
      </w:r>
      <w:hyperlink w:anchor="page31">
        <w:r>
          <w:rPr>
            <w:rFonts w:ascii="Arial" w:cs="Arial" w:eastAsia="Arial" w:hAnsi="Arial"/>
            <w:sz w:val="17"/>
            <w:szCs w:val="17"/>
            <w:u w:val="single" w:color="auto"/>
            <w:color w:val="0000EE"/>
          </w:rPr>
          <w:t>Note 15</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the Notes to Condensed Consolidated Financial Statements for additional details.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Income (Expense)</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increase in Other income for the three months ended March 31, 2020, compared to the same period in the prior year was primarily due to reduced costs for our non-qualified benefit plan which are driven by market performance on plan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 (Expense)</w:t>
      </w:r>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For the three months ended March 31, 2020, the effective tax rate was 14.1% compared to 13.9% for the same period in 2019. The higher effective tax rate is primarily due to a discrete tax adjustment related to the impairment of our investment in equity securities of a privately held oil and gas company partially offset by increased tax benefits from forecasted federal production tax credits associated with new wind assets.</w:t>
      </w:r>
    </w:p>
    <w:p>
      <w:pPr>
        <w:sectPr>
          <w:pgSz w:w="11900" w:h="16838" w:orient="portrait"/>
          <w:cols w:equalWidth="0" w:num="1">
            <w:col w:w="11240"/>
          </w:cols>
          <w:pgMar w:left="320" w:top="126" w:right="339" w:bottom="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Critical Accounting Policies Involving Significant Accounting Estimates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There have been no material changes in our critical accounting estimates from those reported in our 2019 Annual Report on Form 10-K filed with the SEC except for Pension and Other Postretirement Benefits provided below. We continue to closely monitor the rapidly evolving and uncertain impact of COVID-19 on our critical accounting estimates including, but not limited to, collectibility of customer receivables, recoverability of regulatory assets, impairment risk of goodwill and long-lived assets, valuation of pension assets and liabilities, and contingent liabilities. For more information on our critical accounting estimates, see Part II, Item 7 of our 2019 Annual Report on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Other Postretirement Benefits</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As described in Note 18 of the Notes to the Consolidated Financial Statements in our 2019 Annual Report on Form 10-K filed with the SEC, we have one defined benefit pension plan, one defined post-retirement healthcare plan and several non-qualified retirement plans. A Master Trust holds the assets for the pension plan. A trust for the funded portion of the post-retirement healthcare plan has also been established.</w:t>
      </w:r>
    </w:p>
    <w:p>
      <w:pPr>
        <w:spacing w:after="0" w:line="184"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Accounting for pension and other postretirement benefit obligations involves numerous assumptions, the most significant of which relate to the discount rates, healthcare cost trend rates, expected return on plan assets, compensation increases, retirement rates and mortality rates. The determination of our obligation and expenses for pension and other postretirement benefits is dependent on the assumptions determined by management and used by actuaries in calculating the amounts. Although we believe our assumptions are appropriate, significant differences in our actual experience or significant changes in our assumptions may materially affect our pension and other postretirement obligations and our future expense.</w:t>
      </w:r>
    </w:p>
    <w:p>
      <w:pPr>
        <w:spacing w:after="0" w:line="16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Effective January 1, 2020, the Company changed its method of accounting for net periodic benefit cost. Prior to the change, the Company used a calculated value for determining market-related value of plan assets which amortized the effects of gains and losses over a five-year period. Effective with the accounting change, the Company will continue to use a calculated value for the return-seeking assets (equities) in the portfolio and fair value for the liability-hedging assets (fixed income). The Company considers the fair value method for determining market-related value of liability-hedging assets to be a preferable method of accounting because asset-related gains and losses are subject to amortization into pension cost immediately. Additionally, the fair value for liability-hedging assets allows for the impact of gains and losses on this portion of the asset portfolio to be reflected in tandem with changes in the liability which is linked to changes in the discount rate assumption for re-measurement.</w:t>
      </w:r>
    </w:p>
    <w:p>
      <w:pPr>
        <w:spacing w:after="0" w:line="177"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See </w:t>
      </w:r>
      <w:hyperlink w:anchor="page28">
        <w:r>
          <w:rPr>
            <w:rFonts w:ascii="Arial" w:cs="Arial" w:eastAsia="Arial" w:hAnsi="Arial"/>
            <w:sz w:val="18"/>
            <w:szCs w:val="18"/>
            <w:u w:val="single" w:color="auto"/>
            <w:color w:val="0000EE"/>
          </w:rPr>
          <w:t>Note 12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Notes to Condensed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There have been no material changes in Liquidity and Capital Resources from those reported in Item 7 of our 2019 Annual Report on Form 10-K filed with the SEC except as described below and within the “COVID-19 Pandemic” discussion in the Results of Operations section above.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Collateral Requirements</w:t>
      </w:r>
    </w:p>
    <w:p>
      <w:pPr>
        <w:spacing w:after="0" w:line="22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Our utilities maintain wholesale commodity contracts for the purchases and sales of electricity and natural gas which have performance assurance provisions that allow the counterparty to require collateral postings under certain conditions, including when requested on a reasonable basis due to a deterioration in our financial condition or nonperformance. A significant downgrade in our credit ratings, such as a downgrade to a level below investment grade, could result in counterparties requiring collateral postings under such adequate assurance provisions. The amount of credit support that we may be required to provide at any point in the future is dependent on the amount of the initial transaction, changes in the market price, open positions and the amounts owed by or to the counterparty. At March 31, 2020, we had sufficient liquidity to cover collateral that could be required to be posted under these contracts. For the three months ended March 31, 2020, we did not experience any requests to post additional collateral, including for concerns over a potential deterioration of our financial condition due to COVID-19.</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three months ended March 31, 2020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ind w:left="40"/>
              <w:spacing w:after="0"/>
              <w:rPr>
                <w:sz w:val="20"/>
                <w:szCs w:val="20"/>
                <w:color w:val="auto"/>
              </w:rPr>
            </w:pPr>
            <w:r>
              <w:rPr>
                <w:rFonts w:ascii="Arial" w:cs="Arial" w:eastAsia="Arial" w:hAnsi="Arial"/>
                <w:sz w:val="18"/>
                <w:szCs w:val="18"/>
                <w:color w:val="auto"/>
              </w:rPr>
              <w:t>Cash provided by (used in):</w:t>
            </w:r>
          </w:p>
        </w:tc>
        <w:tc>
          <w:tcPr>
            <w:tcW w:w="28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2020</w:t>
            </w:r>
          </w:p>
        </w:tc>
        <w:tc>
          <w:tcPr>
            <w:tcW w:w="32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0"/>
                <w:szCs w:val="20"/>
                <w:color w:val="auto"/>
              </w:rPr>
            </w:pPr>
          </w:p>
        </w:tc>
        <w:tc>
          <w:tcPr>
            <w:tcW w:w="1120" w:type="dxa"/>
            <w:vAlign w:val="bottom"/>
          </w:tcPr>
          <w:p>
            <w:pPr>
              <w:jc w:val="right"/>
              <w:ind w:right="270"/>
              <w:spacing w:after="0"/>
              <w:rPr>
                <w:sz w:val="20"/>
                <w:szCs w:val="20"/>
                <w:color w:val="auto"/>
              </w:rPr>
            </w:pPr>
            <w:r>
              <w:rPr>
                <w:rFonts w:ascii="Arial" w:cs="Arial" w:eastAsia="Arial" w:hAnsi="Arial"/>
                <w:sz w:val="18"/>
                <w:szCs w:val="18"/>
                <w:color w:val="auto"/>
              </w:rPr>
              <w:t>Variance</w:t>
            </w:r>
          </w:p>
        </w:tc>
      </w:tr>
      <w:tr>
        <w:trPr>
          <w:trHeight w:val="27"/>
        </w:trPr>
        <w:tc>
          <w:tcPr>
            <w:tcW w:w="46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46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Operating activities</w:t>
            </w:r>
          </w:p>
        </w:tc>
        <w:tc>
          <w:tcPr>
            <w:tcW w:w="288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191,969</w:t>
            </w:r>
          </w:p>
        </w:tc>
        <w:tc>
          <w:tcPr>
            <w:tcW w:w="32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175,893</w:t>
            </w:r>
          </w:p>
        </w:tc>
        <w:tc>
          <w:tcPr>
            <w:tcW w:w="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16,076</w:t>
            </w:r>
          </w:p>
        </w:tc>
      </w:tr>
      <w:tr>
        <w:trPr>
          <w:trHeight w:val="243"/>
        </w:trPr>
        <w:tc>
          <w:tcPr>
            <w:tcW w:w="4620" w:type="dxa"/>
            <w:vAlign w:val="bottom"/>
          </w:tcPr>
          <w:p>
            <w:pPr>
              <w:ind w:left="180"/>
              <w:spacing w:after="0"/>
              <w:rPr>
                <w:sz w:val="20"/>
                <w:szCs w:val="20"/>
                <w:color w:val="auto"/>
              </w:rPr>
            </w:pPr>
            <w:r>
              <w:rPr>
                <w:rFonts w:ascii="Arial" w:cs="Arial" w:eastAsia="Arial" w:hAnsi="Arial"/>
                <w:sz w:val="18"/>
                <w:szCs w:val="18"/>
                <w:color w:val="auto"/>
              </w:rPr>
              <w:t>Investing activities</w:t>
            </w:r>
          </w:p>
        </w:tc>
        <w:tc>
          <w:tcPr>
            <w:tcW w:w="28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(173,084)</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(145,027)</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(28,057)</w:t>
            </w:r>
          </w:p>
        </w:tc>
      </w:tr>
      <w:tr>
        <w:trPr>
          <w:trHeight w:val="27"/>
        </w:trPr>
        <w:tc>
          <w:tcPr>
            <w:tcW w:w="46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4620" w:type="dxa"/>
            <w:vAlign w:val="bottom"/>
            <w:shd w:val="clear" w:color="auto" w:fill="CEFFE7"/>
          </w:tcPr>
          <w:p>
            <w:pPr>
              <w:ind w:left="180"/>
              <w:spacing w:after="0"/>
              <w:rPr>
                <w:sz w:val="20"/>
                <w:szCs w:val="20"/>
                <w:color w:val="auto"/>
              </w:rPr>
            </w:pPr>
            <w:r>
              <w:rPr>
                <w:rFonts w:ascii="Arial" w:cs="Arial" w:eastAsia="Arial" w:hAnsi="Arial"/>
                <w:sz w:val="18"/>
                <w:szCs w:val="18"/>
                <w:color w:val="auto"/>
              </w:rPr>
              <w:t>Financing activities</w:t>
            </w:r>
          </w:p>
        </w:tc>
        <w:tc>
          <w:tcPr>
            <w:tcW w:w="2880" w:type="dxa"/>
            <w:vAlign w:val="bottom"/>
            <w:shd w:val="clear" w:color="auto" w:fill="CEFFE7"/>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25,621</w:t>
            </w:r>
          </w:p>
        </w:tc>
        <w:tc>
          <w:tcPr>
            <w:tcW w:w="320" w:type="dxa"/>
            <w:vAlign w:val="bottom"/>
            <w:shd w:val="clear" w:color="auto" w:fill="CEFFE7"/>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(39,292)</w:t>
            </w:r>
          </w:p>
        </w:tc>
        <w:tc>
          <w:tcPr>
            <w:tcW w:w="24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64,913</w:t>
            </w:r>
          </w:p>
        </w:tc>
      </w:tr>
      <w:tr>
        <w:trPr>
          <w:trHeight w:val="27"/>
        </w:trPr>
        <w:tc>
          <w:tcPr>
            <w:tcW w:w="4620" w:type="dxa"/>
            <w:vAlign w:val="bottom"/>
            <w:shd w:val="clear" w:color="auto" w:fill="CEFFE7"/>
          </w:tcPr>
          <w:p>
            <w:pPr>
              <w:spacing w:after="0"/>
              <w:rPr>
                <w:sz w:val="2"/>
                <w:szCs w:val="2"/>
                <w:color w:val="auto"/>
              </w:rPr>
            </w:pPr>
          </w:p>
        </w:tc>
        <w:tc>
          <w:tcPr>
            <w:tcW w:w="2880" w:type="dxa"/>
            <w:vAlign w:val="bottom"/>
            <w:shd w:val="clear" w:color="auto" w:fill="CEFFE7"/>
          </w:tcPr>
          <w:p>
            <w:pPr>
              <w:spacing w:after="0"/>
              <w:rPr>
                <w:sz w:val="2"/>
                <w:szCs w:val="2"/>
                <w:color w:val="auto"/>
              </w:rPr>
            </w:pPr>
          </w:p>
        </w:tc>
        <w:tc>
          <w:tcPr>
            <w:tcW w:w="1020" w:type="dxa"/>
            <w:vAlign w:val="bottom"/>
            <w:shd w:val="clear" w:color="auto" w:fill="CEFFE7"/>
          </w:tcPr>
          <w:p>
            <w:pPr>
              <w:spacing w:after="0"/>
              <w:rPr>
                <w:sz w:val="2"/>
                <w:szCs w:val="2"/>
                <w:color w:val="auto"/>
              </w:rPr>
            </w:pPr>
          </w:p>
        </w:tc>
        <w:tc>
          <w:tcPr>
            <w:tcW w:w="320" w:type="dxa"/>
            <w:vAlign w:val="bottom"/>
            <w:shd w:val="clear" w:color="auto" w:fill="CEFFE7"/>
          </w:tcPr>
          <w:p>
            <w:pPr>
              <w:spacing w:after="0"/>
              <w:rPr>
                <w:sz w:val="2"/>
                <w:szCs w:val="2"/>
                <w:color w:val="auto"/>
              </w:rPr>
            </w:pPr>
          </w:p>
        </w:tc>
        <w:tc>
          <w:tcPr>
            <w:tcW w:w="1040" w:type="dxa"/>
            <w:vAlign w:val="bottom"/>
            <w:shd w:val="clear" w:color="auto" w:fill="CEFFE7"/>
          </w:tcPr>
          <w:p>
            <w:pPr>
              <w:spacing w:after="0"/>
              <w:rPr>
                <w:sz w:val="2"/>
                <w:szCs w:val="2"/>
                <w:color w:val="auto"/>
              </w:rPr>
            </w:pPr>
          </w:p>
        </w:tc>
        <w:tc>
          <w:tcPr>
            <w:tcW w:w="240" w:type="dxa"/>
            <w:vAlign w:val="bottom"/>
            <w:shd w:val="clear" w:color="auto" w:fill="CEFFE7"/>
          </w:tcPr>
          <w:p>
            <w:pPr>
              <w:spacing w:after="0"/>
              <w:rPr>
                <w:sz w:val="2"/>
                <w:szCs w:val="2"/>
                <w:color w:val="auto"/>
              </w:rPr>
            </w:pPr>
          </w:p>
        </w:tc>
        <w:tc>
          <w:tcPr>
            <w:tcW w:w="1120" w:type="dxa"/>
            <w:vAlign w:val="bottom"/>
            <w:shd w:val="clear" w:color="auto" w:fill="CEFFE7"/>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553" w:right="33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240"/>
          </w:cols>
          <w:pgMar w:left="320" w:top="553" w:right="339" w:bottom="1440" w:gutter="0" w:footer="0" w:header="0"/>
          <w:type w:val="continuous"/>
        </w:sectPr>
      </w:pPr>
    </w:p>
    <w:bookmarkStart w:id="45" w:name="page46"/>
    <w:bookmarkEnd w:id="45"/>
    <w:p>
      <w:pPr>
        <w:spacing w:after="0" w:line="53" w:lineRule="exact"/>
        <w:rPr>
          <w:sz w:val="20"/>
          <w:szCs w:val="20"/>
          <w:color w:val="auto"/>
        </w:rPr>
      </w:pPr>
    </w:p>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2020 Compared to Three Months Ended March 31,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Activities</w:t>
      </w:r>
    </w:p>
    <w:p>
      <w:pPr>
        <w:spacing w:after="0" w:line="225"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Net cash provided by operating activities was $192 million for the three months ended March 31, 2020, compared to net cash provided by operating activities of $176 million for the same period in 2019 for an increase of $16 million. The variance was primarily attributable to:</w:t>
      </w:r>
    </w:p>
    <w:p>
      <w:pPr>
        <w:spacing w:after="0" w:line="146" w:lineRule="exact"/>
        <w:rPr>
          <w:sz w:val="20"/>
          <w:szCs w:val="20"/>
          <w:color w:val="auto"/>
        </w:rPr>
      </w:pPr>
    </w:p>
    <w:p>
      <w:pPr>
        <w:ind w:left="660" w:right="240" w:hanging="328"/>
        <w:spacing w:after="0" w:line="308"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Cash earnings (net income plus non-cash adjustments) were $4 million lower for the three months ended March 31, 2020 compared to the same period in the prior year primarily driven by lower operating income at the Electric Utilities and Mining segments;</w:t>
      </w:r>
    </w:p>
    <w:p>
      <w:pPr>
        <w:spacing w:after="0" w:line="146" w:lineRule="exact"/>
        <w:rPr>
          <w:rFonts w:ascii="Arial" w:cs="Arial" w:eastAsia="Arial" w:hAnsi="Arial"/>
          <w:sz w:val="17"/>
          <w:szCs w:val="17"/>
          <w:color w:val="auto"/>
        </w:rPr>
      </w:pPr>
    </w:p>
    <w:p>
      <w:pPr>
        <w:ind w:left="660" w:right="24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Net cash inflows from changes in operating assets and liabilities were $5.0 million for the three months ended March 31, 2020, compared to net cash outflows of $15 million in the same period in the prior year. This $20 million increase was primarily due to:</w:t>
      </w:r>
    </w:p>
    <w:p>
      <w:pPr>
        <w:spacing w:after="0" w:line="170" w:lineRule="exact"/>
        <w:rPr>
          <w:rFonts w:ascii="Arial" w:cs="Arial" w:eastAsia="Arial" w:hAnsi="Arial"/>
          <w:sz w:val="18"/>
          <w:szCs w:val="18"/>
          <w:color w:val="auto"/>
        </w:rPr>
      </w:pPr>
    </w:p>
    <w:p>
      <w:pPr>
        <w:ind w:left="1140" w:right="640" w:hanging="322"/>
        <w:spacing w:after="0" w:line="277" w:lineRule="auto"/>
        <w:tabs>
          <w:tab w:leader="none" w:pos="11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Cash inflows increased by $14 million primarily as a result of decreases in natural gas in storage and higher collections of accounts receivable partially offset by increased materials and supplies purchases;</w:t>
      </w:r>
    </w:p>
    <w:p>
      <w:pPr>
        <w:spacing w:after="0" w:line="170" w:lineRule="exact"/>
        <w:rPr>
          <w:rFonts w:ascii="Arial" w:cs="Arial" w:eastAsia="Arial" w:hAnsi="Arial"/>
          <w:sz w:val="18"/>
          <w:szCs w:val="18"/>
          <w:color w:val="auto"/>
        </w:rPr>
      </w:pPr>
    </w:p>
    <w:p>
      <w:pPr>
        <w:ind w:left="1140" w:right="460" w:hanging="322"/>
        <w:spacing w:after="0" w:line="277" w:lineRule="auto"/>
        <w:tabs>
          <w:tab w:leader="none" w:pos="11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Cash outflows increased by $1.6 million as a result of decreases in accounts payable and accrued liabilities primarily driven by higher employee costs and other working capital requirements partially offset by lower interest paid;</w:t>
      </w:r>
    </w:p>
    <w:p>
      <w:pPr>
        <w:spacing w:after="0" w:line="170" w:lineRule="exact"/>
        <w:rPr>
          <w:rFonts w:ascii="Arial" w:cs="Arial" w:eastAsia="Arial" w:hAnsi="Arial"/>
          <w:sz w:val="18"/>
          <w:szCs w:val="18"/>
          <w:color w:val="auto"/>
        </w:rPr>
      </w:pPr>
    </w:p>
    <w:p>
      <w:pPr>
        <w:ind w:left="1140" w:right="380" w:hanging="322"/>
        <w:spacing w:after="0" w:line="277" w:lineRule="auto"/>
        <w:tabs>
          <w:tab w:leader="none" w:pos="11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Cash inflows increased by $11 million primarily as a result of changes in our current regulatory assets driven by the timing of recovery from fuel cost adjustments; and</w:t>
      </w:r>
    </w:p>
    <w:p>
      <w:pPr>
        <w:spacing w:after="0" w:line="170" w:lineRule="exact"/>
        <w:rPr>
          <w:rFonts w:ascii="Arial" w:cs="Arial" w:eastAsia="Arial" w:hAnsi="Arial"/>
          <w:sz w:val="18"/>
          <w:szCs w:val="18"/>
          <w:color w:val="auto"/>
        </w:rPr>
      </w:pPr>
    </w:p>
    <w:p>
      <w:pPr>
        <w:ind w:left="1140" w:right="360" w:hanging="322"/>
        <w:spacing w:after="0" w:line="277" w:lineRule="auto"/>
        <w:tabs>
          <w:tab w:leader="none" w:pos="11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Net cash outflows increased by $2.9 million from other operating activities primarily due to higher employee benefits costs and outside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Investing Activities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Net cash used in investing activities was $173 million for the three months ended March 31, 2020, compared to net cash used in investing activities of $145 million for the same period in 2019 for a variance of $28 million. The variance was primarily attributable to:</w:t>
      </w:r>
    </w:p>
    <w:p>
      <w:pPr>
        <w:spacing w:after="0" w:line="170" w:lineRule="exact"/>
        <w:rPr>
          <w:sz w:val="20"/>
          <w:szCs w:val="20"/>
          <w:color w:val="auto"/>
        </w:rPr>
      </w:pPr>
    </w:p>
    <w:p>
      <w:pPr>
        <w:ind w:left="660" w:right="200" w:hanging="328"/>
        <w:spacing w:after="0" w:line="263"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Capital expenditures of $172 million for the three months ended March 31, 2020 compared to $144 million for the same period in the prior year. Higher current year expenditures are driven by higher programmatic safety, reliability and integrity spending at our Gas Utilities and Electric Utilities segments and the Corriedale wind project at our Electric Utilities segment.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 Activities</w:t>
      </w:r>
    </w:p>
    <w:p>
      <w:pPr>
        <w:spacing w:after="0" w:line="22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Net cash provided by financing activities for the three months ended March 31, 2020 was $26 million, compared to $39 million of net cash used in financing activities for the same period in 2019, an increase of $65 million due to the following:</w:t>
      </w:r>
    </w:p>
    <w:p>
      <w:pPr>
        <w:spacing w:after="0" w:line="170" w:lineRule="exact"/>
        <w:rPr>
          <w:sz w:val="20"/>
          <w:szCs w:val="20"/>
          <w:color w:val="auto"/>
        </w:rPr>
      </w:pPr>
    </w:p>
    <w:p>
      <w:pPr>
        <w:ind w:left="660" w:right="10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 of $79 million in common stock issued driven by current year net proceeds of $99 million through an underwritten registered transaction as compared to prior year net proceeds of $20 million issued through our ATM;</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$12 million of higher repayments of short-term and long-term debt;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$2.6 million of higher current year dividend payments.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Dividends paid on our common stock totaled $33 million for the three months ended March 31, 2020, or $0.535 per share per quarter. On April 27, 2020, our board of directors declared a quarterly dividend of $0.535 per share payable June 1, 2020, equivalent to an annual dividend of $2.14 per share. The amount of any future cash dividends to be declared and paid, if any, will depend upon, among other things, our financial condition, funds from operations, the level of our capital expenditures, restrictions under our Revolving Credit Facility and our future business prospects.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Transactions and Short-Term Liquidity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Revolving Credit Facility and CP Program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Revolving Credit Facility and CP Program had the following borrowings, outstanding letters of credit, and available capacity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center"/>
              <w:ind w:right="50"/>
              <w:spacing w:after="0"/>
              <w:rPr>
                <w:sz w:val="20"/>
                <w:szCs w:val="20"/>
                <w:color w:val="auto"/>
              </w:rPr>
            </w:pPr>
            <w:r>
              <w:rPr>
                <w:rFonts w:ascii="Arial" w:cs="Arial" w:eastAsia="Arial" w:hAnsi="Arial"/>
                <w:sz w:val="18"/>
                <w:szCs w:val="18"/>
                <w:color w:val="auto"/>
                <w:w w:val="92"/>
              </w:rPr>
              <w:t>Revolver</w:t>
            </w:r>
          </w:p>
        </w:tc>
        <w:tc>
          <w:tcPr>
            <w:tcW w:w="200" w:type="dxa"/>
            <w:vAlign w:val="bottom"/>
          </w:tcPr>
          <w:p>
            <w:pPr>
              <w:spacing w:after="0"/>
              <w:rPr>
                <w:sz w:val="18"/>
                <w:szCs w:val="18"/>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color w:val="auto"/>
                <w:w w:val="88"/>
              </w:rPr>
              <w:t>CP Program</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0" w:type="dxa"/>
            <w:vAlign w:val="bottom"/>
            <w:gridSpan w:val="2"/>
          </w:tcPr>
          <w:p>
            <w:pPr>
              <w:jc w:val="center"/>
              <w:spacing w:after="0"/>
              <w:rPr>
                <w:sz w:val="20"/>
                <w:szCs w:val="20"/>
                <w:color w:val="auto"/>
              </w:rPr>
            </w:pPr>
            <w:r>
              <w:rPr>
                <w:rFonts w:ascii="Arial" w:cs="Arial" w:eastAsia="Arial" w:hAnsi="Arial"/>
                <w:sz w:val="18"/>
                <w:szCs w:val="18"/>
                <w:color w:val="auto"/>
                <w:w w:val="91"/>
              </w:rPr>
              <w:t>Available Capacity</w:t>
            </w:r>
          </w:p>
        </w:tc>
      </w:tr>
      <w:tr>
        <w:trPr>
          <w:trHeight w:val="230"/>
        </w:trPr>
        <w:tc>
          <w:tcPr>
            <w:tcW w:w="2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center"/>
              <w:ind w:right="50"/>
              <w:spacing w:after="0"/>
              <w:rPr>
                <w:sz w:val="20"/>
                <w:szCs w:val="20"/>
                <w:color w:val="auto"/>
              </w:rPr>
            </w:pPr>
            <w:r>
              <w:rPr>
                <w:rFonts w:ascii="Arial" w:cs="Arial" w:eastAsia="Arial" w:hAnsi="Arial"/>
                <w:sz w:val="18"/>
                <w:szCs w:val="18"/>
                <w:color w:val="auto"/>
                <w:w w:val="89"/>
              </w:rPr>
              <w:t>Current</w:t>
            </w:r>
          </w:p>
        </w:tc>
        <w:tc>
          <w:tcPr>
            <w:tcW w:w="200" w:type="dxa"/>
            <w:vAlign w:val="bottom"/>
          </w:tcPr>
          <w:p>
            <w:pPr>
              <w:spacing w:after="0"/>
              <w:rPr>
                <w:sz w:val="20"/>
                <w:szCs w:val="20"/>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color w:val="auto"/>
                <w:w w:val="94"/>
              </w:rPr>
              <w:t>Borrowings at</w:t>
            </w:r>
          </w:p>
        </w:tc>
        <w:tc>
          <w:tcPr>
            <w:tcW w:w="200" w:type="dxa"/>
            <w:vAlign w:val="bottom"/>
          </w:tcPr>
          <w:p>
            <w:pPr>
              <w:spacing w:after="0"/>
              <w:rPr>
                <w:sz w:val="20"/>
                <w:szCs w:val="20"/>
                <w:color w:val="auto"/>
              </w:rPr>
            </w:pPr>
          </w:p>
        </w:tc>
        <w:tc>
          <w:tcPr>
            <w:tcW w:w="1360" w:type="dxa"/>
            <w:vAlign w:val="bottom"/>
          </w:tcPr>
          <w:p>
            <w:pPr>
              <w:jc w:val="center"/>
              <w:ind w:right="10"/>
              <w:spacing w:after="0"/>
              <w:rPr>
                <w:sz w:val="20"/>
                <w:szCs w:val="20"/>
                <w:color w:val="auto"/>
              </w:rPr>
            </w:pPr>
            <w:r>
              <w:rPr>
                <w:rFonts w:ascii="Arial" w:cs="Arial" w:eastAsia="Arial" w:hAnsi="Arial"/>
                <w:sz w:val="18"/>
                <w:szCs w:val="18"/>
                <w:color w:val="auto"/>
                <w:w w:val="92"/>
              </w:rPr>
              <w:t>Borrowings at</w:t>
            </w:r>
          </w:p>
        </w:tc>
        <w:tc>
          <w:tcPr>
            <w:tcW w:w="1580" w:type="dxa"/>
            <w:vAlign w:val="bottom"/>
            <w:gridSpan w:val="2"/>
          </w:tcPr>
          <w:p>
            <w:pPr>
              <w:jc w:val="center"/>
              <w:spacing w:after="0"/>
              <w:rPr>
                <w:sz w:val="20"/>
                <w:szCs w:val="20"/>
                <w:color w:val="auto"/>
              </w:rPr>
            </w:pPr>
            <w:r>
              <w:rPr>
                <w:rFonts w:ascii="Arial" w:cs="Arial" w:eastAsia="Arial" w:hAnsi="Arial"/>
                <w:sz w:val="18"/>
                <w:szCs w:val="18"/>
                <w:color w:val="auto"/>
                <w:w w:val="93"/>
              </w:rPr>
              <w:t>Letters of Credit at</w:t>
            </w:r>
          </w:p>
        </w:tc>
        <w:tc>
          <w:tcPr>
            <w:tcW w:w="200" w:type="dxa"/>
            <w:vAlign w:val="bottom"/>
          </w:tcPr>
          <w:p>
            <w:pPr>
              <w:spacing w:after="0"/>
              <w:rPr>
                <w:sz w:val="20"/>
                <w:szCs w:val="20"/>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color w:val="auto"/>
                <w:w w:val="79"/>
              </w:rPr>
              <w:t>at</w:t>
            </w:r>
          </w:p>
        </w:tc>
      </w:tr>
      <w:tr>
        <w:trPr>
          <w:trHeight w:val="270"/>
        </w:trPr>
        <w:tc>
          <w:tcPr>
            <w:tcW w:w="2380" w:type="dxa"/>
            <w:vAlign w:val="bottom"/>
          </w:tcPr>
          <w:p>
            <w:pPr>
              <w:ind w:left="40"/>
              <w:spacing w:after="0"/>
              <w:rPr>
                <w:sz w:val="20"/>
                <w:szCs w:val="20"/>
                <w:color w:val="auto"/>
              </w:rPr>
            </w:pPr>
            <w:r>
              <w:rPr>
                <w:rFonts w:ascii="Arial" w:cs="Arial" w:eastAsia="Arial" w:hAnsi="Arial"/>
                <w:sz w:val="18"/>
                <w:szCs w:val="18"/>
                <w:color w:val="auto"/>
              </w:rPr>
              <w:t>Credit Facility</w:t>
            </w:r>
          </w:p>
        </w:tc>
        <w:tc>
          <w:tcPr>
            <w:tcW w:w="1320" w:type="dxa"/>
            <w:vAlign w:val="bottom"/>
          </w:tcPr>
          <w:p>
            <w:pPr>
              <w:jc w:val="center"/>
              <w:spacing w:after="0"/>
              <w:rPr>
                <w:sz w:val="20"/>
                <w:szCs w:val="20"/>
                <w:color w:val="auto"/>
              </w:rPr>
            </w:pPr>
            <w:r>
              <w:rPr>
                <w:rFonts w:ascii="Arial" w:cs="Arial" w:eastAsia="Arial" w:hAnsi="Arial"/>
                <w:sz w:val="18"/>
                <w:szCs w:val="18"/>
                <w:color w:val="auto"/>
                <w:w w:val="94"/>
              </w:rPr>
              <w:t>Expiration</w:t>
            </w:r>
          </w:p>
        </w:tc>
        <w:tc>
          <w:tcPr>
            <w:tcW w:w="320" w:type="dxa"/>
            <w:vAlign w:val="bottom"/>
          </w:tcPr>
          <w:p>
            <w:pPr>
              <w:spacing w:after="0"/>
              <w:rPr>
                <w:sz w:val="23"/>
                <w:szCs w:val="23"/>
                <w:color w:val="auto"/>
              </w:rPr>
            </w:pPr>
          </w:p>
        </w:tc>
        <w:tc>
          <w:tcPr>
            <w:tcW w:w="920" w:type="dxa"/>
            <w:vAlign w:val="bottom"/>
          </w:tcPr>
          <w:p>
            <w:pPr>
              <w:jc w:val="center"/>
              <w:ind w:right="70"/>
              <w:spacing w:after="0"/>
              <w:rPr>
                <w:sz w:val="20"/>
                <w:szCs w:val="20"/>
                <w:color w:val="auto"/>
              </w:rPr>
            </w:pPr>
            <w:r>
              <w:rPr>
                <w:rFonts w:ascii="Arial" w:cs="Arial" w:eastAsia="Arial" w:hAnsi="Arial"/>
                <w:sz w:val="18"/>
                <w:szCs w:val="18"/>
                <w:color w:val="auto"/>
                <w:w w:val="91"/>
              </w:rPr>
              <w:t>Capacity</w:t>
            </w:r>
          </w:p>
        </w:tc>
        <w:tc>
          <w:tcPr>
            <w:tcW w:w="200" w:type="dxa"/>
            <w:vAlign w:val="bottom"/>
          </w:tcPr>
          <w:p>
            <w:pPr>
              <w:spacing w:after="0"/>
              <w:rPr>
                <w:sz w:val="23"/>
                <w:szCs w:val="23"/>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color w:val="auto"/>
                <w:w w:val="92"/>
              </w:rPr>
              <w:t>March 31, 2020</w:t>
            </w:r>
          </w:p>
        </w:tc>
        <w:tc>
          <w:tcPr>
            <w:tcW w:w="200" w:type="dxa"/>
            <w:vAlign w:val="bottom"/>
          </w:tcPr>
          <w:p>
            <w:pPr>
              <w:spacing w:after="0"/>
              <w:rPr>
                <w:sz w:val="23"/>
                <w:szCs w:val="23"/>
                <w:color w:val="auto"/>
              </w:rPr>
            </w:pPr>
          </w:p>
        </w:tc>
        <w:tc>
          <w:tcPr>
            <w:tcW w:w="1360" w:type="dxa"/>
            <w:vAlign w:val="bottom"/>
          </w:tcPr>
          <w:p>
            <w:pPr>
              <w:jc w:val="center"/>
              <w:ind w:right="10"/>
              <w:spacing w:after="0"/>
              <w:rPr>
                <w:sz w:val="20"/>
                <w:szCs w:val="20"/>
                <w:color w:val="auto"/>
              </w:rPr>
            </w:pPr>
            <w:r>
              <w:rPr>
                <w:rFonts w:ascii="Arial" w:cs="Arial" w:eastAsia="Arial" w:hAnsi="Arial"/>
                <w:sz w:val="18"/>
                <w:szCs w:val="18"/>
                <w:color w:val="auto"/>
                <w:w w:val="91"/>
              </w:rPr>
              <w:t>March 31, 2020</w:t>
            </w:r>
          </w:p>
        </w:tc>
        <w:tc>
          <w:tcPr>
            <w:tcW w:w="220" w:type="dxa"/>
            <w:vAlign w:val="bottom"/>
          </w:tcPr>
          <w:p>
            <w:pPr>
              <w:spacing w:after="0"/>
              <w:rPr>
                <w:sz w:val="23"/>
                <w:szCs w:val="23"/>
                <w:color w:val="auto"/>
              </w:rPr>
            </w:pPr>
          </w:p>
        </w:tc>
        <w:tc>
          <w:tcPr>
            <w:tcW w:w="1360" w:type="dxa"/>
            <w:vAlign w:val="bottom"/>
          </w:tcPr>
          <w:p>
            <w:pPr>
              <w:jc w:val="center"/>
              <w:ind w:right="50"/>
              <w:spacing w:after="0"/>
              <w:rPr>
                <w:sz w:val="20"/>
                <w:szCs w:val="20"/>
                <w:color w:val="auto"/>
              </w:rPr>
            </w:pPr>
            <w:r>
              <w:rPr>
                <w:rFonts w:ascii="Arial" w:cs="Arial" w:eastAsia="Arial" w:hAnsi="Arial"/>
                <w:sz w:val="18"/>
                <w:szCs w:val="18"/>
                <w:color w:val="auto"/>
                <w:w w:val="91"/>
              </w:rPr>
              <w:t>March 31, 2020</w:t>
            </w:r>
          </w:p>
        </w:tc>
        <w:tc>
          <w:tcPr>
            <w:tcW w:w="200" w:type="dxa"/>
            <w:vAlign w:val="bottom"/>
          </w:tcPr>
          <w:p>
            <w:pPr>
              <w:spacing w:after="0"/>
              <w:rPr>
                <w:sz w:val="23"/>
                <w:szCs w:val="23"/>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color w:val="auto"/>
                <w:w w:val="91"/>
              </w:rPr>
              <w:t>March 31, 2020</w:t>
            </w:r>
          </w:p>
        </w:tc>
      </w:tr>
      <w:tr>
        <w:trPr>
          <w:trHeight w:val="27"/>
        </w:trPr>
        <w:tc>
          <w:tcPr>
            <w:tcW w:w="2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2"/>
        </w:trPr>
        <w:tc>
          <w:tcPr>
            <w:tcW w:w="2380" w:type="dxa"/>
            <w:vAlign w:val="bottom"/>
            <w:shd w:val="clear" w:color="auto" w:fill="CEFFE7"/>
          </w:tcPr>
          <w:p>
            <w:pPr>
              <w:ind w:left="40"/>
              <w:spacing w:after="0"/>
              <w:rPr>
                <w:sz w:val="20"/>
                <w:szCs w:val="20"/>
                <w:color w:val="auto"/>
              </w:rPr>
            </w:pPr>
            <w:r>
              <w:rPr>
                <w:rFonts w:ascii="Arial" w:cs="Arial" w:eastAsia="Arial" w:hAnsi="Arial"/>
                <w:sz w:val="18"/>
                <w:szCs w:val="18"/>
                <w:color w:val="auto"/>
              </w:rPr>
              <w:t>Revolving Credit Facility and</w:t>
            </w:r>
          </w:p>
        </w:tc>
        <w:tc>
          <w:tcPr>
            <w:tcW w:w="1320" w:type="dxa"/>
            <w:vAlign w:val="bottom"/>
            <w:shd w:val="clear" w:color="auto" w:fill="CEFFE7"/>
          </w:tcPr>
          <w:p>
            <w:pPr>
              <w:spacing w:after="0"/>
              <w:rPr>
                <w:sz w:val="19"/>
                <w:szCs w:val="19"/>
                <w:color w:val="auto"/>
              </w:rPr>
            </w:pPr>
          </w:p>
        </w:tc>
        <w:tc>
          <w:tcPr>
            <w:tcW w:w="320" w:type="dxa"/>
            <w:vAlign w:val="bottom"/>
            <w:shd w:val="clear" w:color="auto" w:fill="CEFFE7"/>
          </w:tcPr>
          <w:p>
            <w:pPr>
              <w:spacing w:after="0"/>
              <w:rPr>
                <w:sz w:val="19"/>
                <w:szCs w:val="19"/>
                <w:color w:val="auto"/>
              </w:rPr>
            </w:pPr>
          </w:p>
        </w:tc>
        <w:tc>
          <w:tcPr>
            <w:tcW w:w="920" w:type="dxa"/>
            <w:vAlign w:val="bottom"/>
            <w:shd w:val="clear" w:color="auto" w:fill="CEFFE7"/>
          </w:tcPr>
          <w:p>
            <w:pPr>
              <w:spacing w:after="0"/>
              <w:rPr>
                <w:sz w:val="19"/>
                <w:szCs w:val="19"/>
                <w:color w:val="auto"/>
              </w:rPr>
            </w:pPr>
          </w:p>
        </w:tc>
        <w:tc>
          <w:tcPr>
            <w:tcW w:w="200" w:type="dxa"/>
            <w:vAlign w:val="bottom"/>
            <w:shd w:val="clear" w:color="auto" w:fill="CEFFE7"/>
          </w:tcPr>
          <w:p>
            <w:pPr>
              <w:spacing w:after="0"/>
              <w:rPr>
                <w:sz w:val="19"/>
                <w:szCs w:val="19"/>
                <w:color w:val="auto"/>
              </w:rPr>
            </w:pPr>
          </w:p>
        </w:tc>
        <w:tc>
          <w:tcPr>
            <w:tcW w:w="1360" w:type="dxa"/>
            <w:vAlign w:val="bottom"/>
            <w:shd w:val="clear" w:color="auto" w:fill="CEFFE7"/>
          </w:tcPr>
          <w:p>
            <w:pPr>
              <w:spacing w:after="0"/>
              <w:rPr>
                <w:sz w:val="19"/>
                <w:szCs w:val="19"/>
                <w:color w:val="auto"/>
              </w:rPr>
            </w:pPr>
          </w:p>
        </w:tc>
        <w:tc>
          <w:tcPr>
            <w:tcW w:w="200" w:type="dxa"/>
            <w:vAlign w:val="bottom"/>
            <w:shd w:val="clear" w:color="auto" w:fill="CEFFE7"/>
          </w:tcPr>
          <w:p>
            <w:pPr>
              <w:spacing w:after="0"/>
              <w:rPr>
                <w:sz w:val="19"/>
                <w:szCs w:val="19"/>
                <w:color w:val="auto"/>
              </w:rPr>
            </w:pPr>
          </w:p>
        </w:tc>
        <w:tc>
          <w:tcPr>
            <w:tcW w:w="1360" w:type="dxa"/>
            <w:vAlign w:val="bottom"/>
            <w:shd w:val="clear" w:color="auto" w:fill="CEFFE7"/>
          </w:tcPr>
          <w:p>
            <w:pPr>
              <w:spacing w:after="0"/>
              <w:rPr>
                <w:sz w:val="19"/>
                <w:szCs w:val="19"/>
                <w:color w:val="auto"/>
              </w:rPr>
            </w:pPr>
          </w:p>
        </w:tc>
        <w:tc>
          <w:tcPr>
            <w:tcW w:w="220" w:type="dxa"/>
            <w:vAlign w:val="bottom"/>
            <w:shd w:val="clear" w:color="auto" w:fill="CEFFE7"/>
          </w:tcPr>
          <w:p>
            <w:pPr>
              <w:spacing w:after="0"/>
              <w:rPr>
                <w:sz w:val="19"/>
                <w:szCs w:val="19"/>
                <w:color w:val="auto"/>
              </w:rPr>
            </w:pPr>
          </w:p>
        </w:tc>
        <w:tc>
          <w:tcPr>
            <w:tcW w:w="1360" w:type="dxa"/>
            <w:vAlign w:val="bottom"/>
            <w:shd w:val="clear" w:color="auto" w:fill="CEFFE7"/>
          </w:tcPr>
          <w:p>
            <w:pPr>
              <w:spacing w:after="0"/>
              <w:rPr>
                <w:sz w:val="19"/>
                <w:szCs w:val="19"/>
                <w:color w:val="auto"/>
              </w:rPr>
            </w:pPr>
          </w:p>
        </w:tc>
        <w:tc>
          <w:tcPr>
            <w:tcW w:w="200" w:type="dxa"/>
            <w:vAlign w:val="bottom"/>
            <w:shd w:val="clear" w:color="auto" w:fill="CEFFE7"/>
          </w:tcPr>
          <w:p>
            <w:pPr>
              <w:spacing w:after="0"/>
              <w:rPr>
                <w:sz w:val="19"/>
                <w:szCs w:val="19"/>
                <w:color w:val="auto"/>
              </w:rPr>
            </w:pPr>
          </w:p>
        </w:tc>
        <w:tc>
          <w:tcPr>
            <w:tcW w:w="1400" w:type="dxa"/>
            <w:vAlign w:val="bottom"/>
            <w:shd w:val="clear" w:color="auto" w:fill="CEFFE7"/>
          </w:tcPr>
          <w:p>
            <w:pPr>
              <w:spacing w:after="0"/>
              <w:rPr>
                <w:sz w:val="19"/>
                <w:szCs w:val="19"/>
                <w:color w:val="auto"/>
              </w:rPr>
            </w:pPr>
          </w:p>
        </w:tc>
      </w:tr>
      <w:tr>
        <w:trPr>
          <w:trHeight w:val="230"/>
        </w:trPr>
        <w:tc>
          <w:tcPr>
            <w:tcW w:w="2380" w:type="dxa"/>
            <w:vAlign w:val="bottom"/>
            <w:shd w:val="clear" w:color="auto" w:fill="CEFFE7"/>
          </w:tcPr>
          <w:p>
            <w:pPr>
              <w:ind w:left="40"/>
              <w:spacing w:after="0"/>
              <w:rPr>
                <w:sz w:val="20"/>
                <w:szCs w:val="20"/>
                <w:color w:val="auto"/>
              </w:rPr>
            </w:pPr>
            <w:r>
              <w:rPr>
                <w:rFonts w:ascii="Arial" w:cs="Arial" w:eastAsia="Arial" w:hAnsi="Arial"/>
                <w:sz w:val="18"/>
                <w:szCs w:val="18"/>
                <w:color w:val="auto"/>
              </w:rPr>
              <w:t>CP Program</w:t>
            </w:r>
          </w:p>
        </w:tc>
        <w:tc>
          <w:tcPr>
            <w:tcW w:w="132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1"/>
              </w:rPr>
              <w:t>July 30, 2023</w:t>
            </w:r>
          </w:p>
        </w:tc>
        <w:tc>
          <w:tcPr>
            <w:tcW w:w="3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750</w:t>
            </w:r>
          </w:p>
        </w:tc>
        <w:tc>
          <w:tcPr>
            <w:tcW w:w="2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165</w:t>
            </w:r>
          </w:p>
        </w:tc>
        <w:tc>
          <w:tcPr>
            <w:tcW w:w="2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154</w:t>
            </w:r>
          </w:p>
        </w:tc>
        <w:tc>
          <w:tcPr>
            <w:tcW w:w="2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414</w:t>
            </w:r>
          </w:p>
        </w:tc>
      </w:tr>
      <w:tr>
        <w:trPr>
          <w:trHeight w:val="27"/>
        </w:trPr>
        <w:tc>
          <w:tcPr>
            <w:tcW w:w="2380" w:type="dxa"/>
            <w:vAlign w:val="bottom"/>
            <w:shd w:val="clear" w:color="auto" w:fill="CEFFE7"/>
          </w:tcPr>
          <w:p>
            <w:pPr>
              <w:spacing w:after="0"/>
              <w:rPr>
                <w:sz w:val="2"/>
                <w:szCs w:val="2"/>
                <w:color w:val="auto"/>
              </w:rPr>
            </w:pPr>
          </w:p>
        </w:tc>
        <w:tc>
          <w:tcPr>
            <w:tcW w:w="1320" w:type="dxa"/>
            <w:vAlign w:val="bottom"/>
            <w:shd w:val="clear" w:color="auto" w:fill="CEFFE7"/>
          </w:tcPr>
          <w:p>
            <w:pPr>
              <w:spacing w:after="0"/>
              <w:rPr>
                <w:sz w:val="2"/>
                <w:szCs w:val="2"/>
                <w:color w:val="auto"/>
              </w:rPr>
            </w:pPr>
          </w:p>
        </w:tc>
        <w:tc>
          <w:tcPr>
            <w:tcW w:w="320" w:type="dxa"/>
            <w:vAlign w:val="bottom"/>
            <w:shd w:val="clear" w:color="auto" w:fill="CEFFE7"/>
          </w:tcPr>
          <w:p>
            <w:pPr>
              <w:spacing w:after="0"/>
              <w:rPr>
                <w:sz w:val="2"/>
                <w:szCs w:val="2"/>
                <w:color w:val="auto"/>
              </w:rPr>
            </w:pPr>
          </w:p>
        </w:tc>
        <w:tc>
          <w:tcPr>
            <w:tcW w:w="920" w:type="dxa"/>
            <w:vAlign w:val="bottom"/>
            <w:shd w:val="clear" w:color="auto" w:fill="CEFFE7"/>
          </w:tcPr>
          <w:p>
            <w:pPr>
              <w:spacing w:after="0"/>
              <w:rPr>
                <w:sz w:val="2"/>
                <w:szCs w:val="2"/>
                <w:color w:val="auto"/>
              </w:rPr>
            </w:pPr>
          </w:p>
        </w:tc>
        <w:tc>
          <w:tcPr>
            <w:tcW w:w="200" w:type="dxa"/>
            <w:vAlign w:val="bottom"/>
            <w:shd w:val="clear" w:color="auto" w:fill="CEFFE7"/>
          </w:tcPr>
          <w:p>
            <w:pPr>
              <w:spacing w:after="0"/>
              <w:rPr>
                <w:sz w:val="2"/>
                <w:szCs w:val="2"/>
                <w:color w:val="auto"/>
              </w:rPr>
            </w:pPr>
          </w:p>
        </w:tc>
        <w:tc>
          <w:tcPr>
            <w:tcW w:w="1360" w:type="dxa"/>
            <w:vAlign w:val="bottom"/>
            <w:shd w:val="clear" w:color="auto" w:fill="CEFFE7"/>
          </w:tcPr>
          <w:p>
            <w:pPr>
              <w:spacing w:after="0"/>
              <w:rPr>
                <w:sz w:val="2"/>
                <w:szCs w:val="2"/>
                <w:color w:val="auto"/>
              </w:rPr>
            </w:pPr>
          </w:p>
        </w:tc>
        <w:tc>
          <w:tcPr>
            <w:tcW w:w="200" w:type="dxa"/>
            <w:vAlign w:val="bottom"/>
            <w:shd w:val="clear" w:color="auto" w:fill="CEFFE7"/>
          </w:tcPr>
          <w:p>
            <w:pPr>
              <w:spacing w:after="0"/>
              <w:rPr>
                <w:sz w:val="2"/>
                <w:szCs w:val="2"/>
                <w:color w:val="auto"/>
              </w:rPr>
            </w:pPr>
          </w:p>
        </w:tc>
        <w:tc>
          <w:tcPr>
            <w:tcW w:w="1360" w:type="dxa"/>
            <w:vAlign w:val="bottom"/>
            <w:shd w:val="clear" w:color="auto" w:fill="CEFFE7"/>
          </w:tcPr>
          <w:p>
            <w:pPr>
              <w:spacing w:after="0"/>
              <w:rPr>
                <w:sz w:val="2"/>
                <w:szCs w:val="2"/>
                <w:color w:val="auto"/>
              </w:rPr>
            </w:pPr>
          </w:p>
        </w:tc>
        <w:tc>
          <w:tcPr>
            <w:tcW w:w="220" w:type="dxa"/>
            <w:vAlign w:val="bottom"/>
            <w:shd w:val="clear" w:color="auto" w:fill="CEFFE7"/>
          </w:tcPr>
          <w:p>
            <w:pPr>
              <w:spacing w:after="0"/>
              <w:rPr>
                <w:sz w:val="2"/>
                <w:szCs w:val="2"/>
                <w:color w:val="auto"/>
              </w:rPr>
            </w:pPr>
          </w:p>
        </w:tc>
        <w:tc>
          <w:tcPr>
            <w:tcW w:w="1360" w:type="dxa"/>
            <w:vAlign w:val="bottom"/>
            <w:shd w:val="clear" w:color="auto" w:fill="CEFFE7"/>
          </w:tcPr>
          <w:p>
            <w:pPr>
              <w:spacing w:after="0"/>
              <w:rPr>
                <w:sz w:val="2"/>
                <w:szCs w:val="2"/>
                <w:color w:val="auto"/>
              </w:rPr>
            </w:pPr>
          </w:p>
        </w:tc>
        <w:tc>
          <w:tcPr>
            <w:tcW w:w="200" w:type="dxa"/>
            <w:vAlign w:val="bottom"/>
            <w:shd w:val="clear" w:color="auto" w:fill="CEFFE7"/>
          </w:tcPr>
          <w:p>
            <w:pPr>
              <w:spacing w:after="0"/>
              <w:rPr>
                <w:sz w:val="2"/>
                <w:szCs w:val="2"/>
                <w:color w:val="auto"/>
              </w:rPr>
            </w:pPr>
          </w:p>
        </w:tc>
        <w:tc>
          <w:tcPr>
            <w:tcW w:w="1400" w:type="dxa"/>
            <w:vAlign w:val="bottom"/>
            <w:shd w:val="clear" w:color="auto" w:fill="CEFFE7"/>
          </w:tcPr>
          <w:p>
            <w:pPr>
              <w:spacing w:after="0"/>
              <w:rPr>
                <w:sz w:val="2"/>
                <w:szCs w:val="2"/>
                <w:color w:val="auto"/>
              </w:rPr>
            </w:pPr>
          </w:p>
        </w:tc>
      </w:tr>
    </w:tbl>
    <w:p>
      <w:pPr>
        <w:spacing w:after="0" w:line="202"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weighted average interest rates on CP Program and Revolving Credit Facility borrowings at March 31, 2020 were 1.74% and 1.92%, respectively. CP Program and Revolving Credit Facility borrowing activity for the three months ended March 31, 2020 was (dollars in millions):</w:t>
      </w:r>
    </w:p>
    <w:p>
      <w:pPr>
        <w:spacing w:after="0" w:line="92" w:lineRule="exact"/>
        <w:rPr>
          <w:sz w:val="20"/>
          <w:szCs w:val="20"/>
          <w:color w:val="auto"/>
        </w:rPr>
      </w:pPr>
    </w:p>
    <w:p>
      <w:pPr>
        <w:jc w:val="center"/>
        <w:ind w:left="8900"/>
        <w:spacing w:after="0"/>
        <w:rPr>
          <w:sz w:val="20"/>
          <w:szCs w:val="20"/>
          <w:color w:val="auto"/>
        </w:rPr>
      </w:pPr>
      <w:r>
        <w:rPr>
          <w:rFonts w:ascii="Arial" w:cs="Arial" w:eastAsia="Arial" w:hAnsi="Arial"/>
          <w:sz w:val="18"/>
          <w:szCs w:val="18"/>
          <w:color w:val="auto"/>
        </w:rPr>
        <w:t>For the Three Months Ended</w:t>
      </w:r>
    </w:p>
    <w:p>
      <w:pPr>
        <w:spacing w:after="0" w:line="23" w:lineRule="exact"/>
        <w:rPr>
          <w:sz w:val="20"/>
          <w:szCs w:val="20"/>
          <w:color w:val="auto"/>
        </w:rPr>
      </w:pPr>
    </w:p>
    <w:p>
      <w:pPr>
        <w:jc w:val="center"/>
        <w:ind w:left="8900"/>
        <w:spacing w:after="0"/>
        <w:rPr>
          <w:sz w:val="20"/>
          <w:szCs w:val="20"/>
          <w:color w:val="auto"/>
        </w:rPr>
      </w:pPr>
      <w:r>
        <w:rPr>
          <w:rFonts w:ascii="Arial" w:cs="Arial" w:eastAsia="Arial" w:hAnsi="Arial"/>
          <w:sz w:val="18"/>
          <w:szCs w:val="18"/>
          <w:color w:val="auto"/>
        </w:rPr>
        <w:t>March 31, 2020</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020" w:type="dxa"/>
            <w:vAlign w:val="bottom"/>
            <w:tcBorders>
              <w:top w:val="single" w:sz="8" w:color="auto"/>
              <w:bottom w:val="single" w:sz="8" w:color="CEFFE7"/>
            </w:tcBorders>
            <w:shd w:val="clear" w:color="auto" w:fill="CEFFE7"/>
          </w:tcPr>
          <w:p>
            <w:pPr>
              <w:ind w:left="120"/>
              <w:spacing w:after="0"/>
              <w:rPr>
                <w:sz w:val="20"/>
                <w:szCs w:val="20"/>
                <w:color w:val="auto"/>
              </w:rPr>
            </w:pPr>
            <w:r>
              <w:rPr>
                <w:rFonts w:ascii="Arial" w:cs="Arial" w:eastAsia="Arial" w:hAnsi="Arial"/>
                <w:sz w:val="18"/>
                <w:szCs w:val="18"/>
                <w:color w:val="auto"/>
              </w:rPr>
              <w:t>Maximum amount outstanding - CP Program (based on daily outstanding balances)</w:t>
            </w:r>
          </w:p>
        </w:tc>
        <w:tc>
          <w:tcPr>
            <w:tcW w:w="1880" w:type="dxa"/>
            <w:vAlign w:val="bottom"/>
            <w:tcBorders>
              <w:top w:val="single" w:sz="8" w:color="auto"/>
              <w:bottom w:val="single" w:sz="8" w:color="CEFFE7"/>
            </w:tcBorders>
            <w:shd w:val="clear" w:color="auto" w:fill="CEFFE7"/>
          </w:tcPr>
          <w:p>
            <w:pPr>
              <w:jc w:val="right"/>
              <w:ind w:right="77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366</w:t>
            </w:r>
          </w:p>
        </w:tc>
      </w:tr>
      <w:tr>
        <w:trPr>
          <w:trHeight w:val="243"/>
        </w:trPr>
        <w:tc>
          <w:tcPr>
            <w:tcW w:w="8020" w:type="dxa"/>
            <w:vAlign w:val="bottom"/>
          </w:tcPr>
          <w:p>
            <w:pPr>
              <w:ind w:left="120"/>
              <w:spacing w:after="0"/>
              <w:rPr>
                <w:sz w:val="20"/>
                <w:szCs w:val="20"/>
                <w:color w:val="auto"/>
              </w:rPr>
            </w:pPr>
            <w:r>
              <w:rPr>
                <w:rFonts w:ascii="Arial" w:cs="Arial" w:eastAsia="Arial" w:hAnsi="Arial"/>
                <w:sz w:val="18"/>
                <w:szCs w:val="18"/>
                <w:color w:val="auto"/>
              </w:rPr>
              <w:t>Maximum amount outstanding - Revolving Credit Facility (based on daily outstanding balances)</w:t>
            </w:r>
          </w:p>
        </w:tc>
        <w:tc>
          <w:tcPr>
            <w:tcW w:w="188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165</w:t>
            </w:r>
          </w:p>
        </w:tc>
      </w:tr>
    </w:tbl>
    <w:p>
      <w:pPr>
        <w:sectPr>
          <w:pgSz w:w="11900" w:h="16891" w:orient="portrait"/>
          <w:cols w:equalWidth="0" w:num="1">
            <w:col w:w="11240"/>
          </w:cols>
          <w:pgMar w:left="320" w:top="126" w:right="339" w:bottom="0" w:gutter="0" w:footer="0" w:header="0"/>
        </w:sectPr>
      </w:pPr>
    </w:p>
    <w:bookmarkStart w:id="46" w:name="page47"/>
    <w:bookmarkEnd w:id="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940" w:type="dxa"/>
            <w:vAlign w:val="bottom"/>
            <w:shd w:val="clear" w:color="auto" w:fill="CEFFE7"/>
          </w:tcPr>
          <w:p>
            <w:pPr>
              <w:ind w:left="120"/>
              <w:spacing w:after="0"/>
              <w:rPr>
                <w:sz w:val="20"/>
                <w:szCs w:val="20"/>
                <w:color w:val="auto"/>
              </w:rPr>
            </w:pPr>
            <w:r>
              <w:rPr>
                <w:rFonts w:ascii="Arial" w:cs="Arial" w:eastAsia="Arial" w:hAnsi="Arial"/>
                <w:sz w:val="18"/>
                <w:szCs w:val="18"/>
                <w:color w:val="auto"/>
              </w:rPr>
              <w:t>Average amount outstanding - CP Program (based on daily outstanding balances)</w:t>
            </w:r>
          </w:p>
        </w:tc>
        <w:tc>
          <w:tcPr>
            <w:tcW w:w="1940" w:type="dxa"/>
            <w:vAlign w:val="bottom"/>
            <w:shd w:val="clear" w:color="auto" w:fill="CEFFE7"/>
          </w:tcPr>
          <w:p>
            <w:pPr>
              <w:jc w:val="right"/>
              <w:ind w:right="7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EFFE7"/>
          </w:tcPr>
          <w:p>
            <w:pPr>
              <w:jc w:val="right"/>
              <w:ind w:right="90"/>
              <w:spacing w:after="0"/>
              <w:rPr>
                <w:sz w:val="20"/>
                <w:szCs w:val="20"/>
                <w:color w:val="auto"/>
              </w:rPr>
            </w:pPr>
            <w:r>
              <w:rPr>
                <w:rFonts w:ascii="Arial" w:cs="Arial" w:eastAsia="Arial" w:hAnsi="Arial"/>
                <w:sz w:val="18"/>
                <w:szCs w:val="18"/>
                <w:color w:val="auto"/>
              </w:rPr>
              <w:t>288</w:t>
            </w:r>
          </w:p>
        </w:tc>
      </w:tr>
      <w:tr>
        <w:trPr>
          <w:trHeight w:val="243"/>
        </w:trPr>
        <w:tc>
          <w:tcPr>
            <w:tcW w:w="7940" w:type="dxa"/>
            <w:vAlign w:val="bottom"/>
          </w:tcPr>
          <w:p>
            <w:pPr>
              <w:ind w:left="120"/>
              <w:spacing w:after="0"/>
              <w:rPr>
                <w:sz w:val="20"/>
                <w:szCs w:val="20"/>
                <w:color w:val="auto"/>
              </w:rPr>
            </w:pPr>
            <w:r>
              <w:rPr>
                <w:rFonts w:ascii="Arial" w:cs="Arial" w:eastAsia="Arial" w:hAnsi="Arial"/>
                <w:sz w:val="18"/>
                <w:szCs w:val="18"/>
                <w:color w:val="auto"/>
              </w:rPr>
              <w:t>Average amount outstanding - Revolving Credit Facility (based on daily outstanding balances)</w:t>
            </w:r>
          </w:p>
        </w:tc>
        <w:tc>
          <w:tcPr>
            <w:tcW w:w="1940" w:type="dxa"/>
            <w:vAlign w:val="bottom"/>
          </w:tcPr>
          <w:p>
            <w:pPr>
              <w:jc w:val="right"/>
              <w:ind w:right="75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150</w:t>
            </w:r>
          </w:p>
        </w:tc>
      </w:tr>
      <w:tr>
        <w:trPr>
          <w:trHeight w:val="27"/>
        </w:trPr>
        <w:tc>
          <w:tcPr>
            <w:tcW w:w="79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94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8"/>
                <w:szCs w:val="18"/>
                <w:color w:val="auto"/>
              </w:rPr>
              <w:t>Weighted average interest rates - CP Program</w:t>
            </w:r>
          </w:p>
        </w:tc>
        <w:tc>
          <w:tcPr>
            <w:tcW w:w="1940" w:type="dxa"/>
            <w:vAlign w:val="bottom"/>
            <w:tcBorders>
              <w:bottom w:val="single" w:sz="8" w:color="CEFFE7"/>
            </w:tcBorders>
            <w:shd w:val="clear" w:color="auto" w:fill="CEFFE7"/>
          </w:tcPr>
          <w:p>
            <w:pPr>
              <w:spacing w:after="0"/>
              <w:rPr>
                <w:sz w:val="21"/>
                <w:szCs w:val="21"/>
                <w:color w:val="auto"/>
              </w:rPr>
            </w:pPr>
          </w:p>
        </w:tc>
        <w:tc>
          <w:tcPr>
            <w:tcW w:w="13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1.84%</w:t>
            </w:r>
          </w:p>
        </w:tc>
      </w:tr>
      <w:tr>
        <w:trPr>
          <w:trHeight w:val="243"/>
        </w:trPr>
        <w:tc>
          <w:tcPr>
            <w:tcW w:w="7940" w:type="dxa"/>
            <w:vAlign w:val="bottom"/>
          </w:tcPr>
          <w:p>
            <w:pPr>
              <w:ind w:left="120"/>
              <w:spacing w:after="0"/>
              <w:rPr>
                <w:sz w:val="20"/>
                <w:szCs w:val="20"/>
                <w:color w:val="auto"/>
              </w:rPr>
            </w:pPr>
            <w:r>
              <w:rPr>
                <w:rFonts w:ascii="Arial" w:cs="Arial" w:eastAsia="Arial" w:hAnsi="Arial"/>
                <w:sz w:val="18"/>
                <w:szCs w:val="18"/>
                <w:color w:val="auto"/>
              </w:rPr>
              <w:t>Weighted average interest rates - Revolving Credit Facility</w:t>
            </w:r>
          </w:p>
        </w:tc>
        <w:tc>
          <w:tcPr>
            <w:tcW w:w="19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Covenant Requirements</w:t>
      </w:r>
    </w:p>
    <w:p>
      <w:pPr>
        <w:spacing w:after="0" w:line="225" w:lineRule="exact"/>
        <w:rPr>
          <w:sz w:val="20"/>
          <w:szCs w:val="20"/>
          <w:color w:val="auto"/>
        </w:rPr>
      </w:pPr>
    </w:p>
    <w:p>
      <w:pPr>
        <w:ind w:right="60"/>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The Revolving Credit Facility contains customary affirmative and negative covenants, such as limitations on certain liens, restrictions on certain transactions, and maintenance of a certain Consolidated Indebtedness to Capitalization Ratio. Subject to applicable cure periods, a violation of any of these covenants would constitute an event of default that entitles the lenders to terminate their remaining commitments and accelerate all principal and interest outstanding. We were in compliance with these covenants as of March 31, 2020. See </w:t>
      </w:r>
      <w:hyperlink w:anchor="page21">
        <w:r>
          <w:rPr>
            <w:rFonts w:ascii="Arial" w:cs="Arial" w:eastAsia="Arial" w:hAnsi="Arial"/>
            <w:sz w:val="18"/>
            <w:szCs w:val="18"/>
            <w:u w:val="single" w:color="auto"/>
            <w:color w:val="0000EE"/>
          </w:rPr>
          <w:t>Note 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Notes to Condensed Consolidated Financial Statements for more information.</w:t>
      </w:r>
    </w:p>
    <w:p>
      <w:pPr>
        <w:spacing w:after="0" w:line="18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Covenants within Wyoming Electric’s financing agreements require Wyoming Electric to maintain a debt to capitalization ratio of no more than 0.60 to 1.00. As of March 31, 2020, we were in compliance with these covenants.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Financing activities for the three months ended March 31, 2020 consisted of the following:</w:t>
      </w:r>
    </w:p>
    <w:p>
      <w:pPr>
        <w:spacing w:after="0" w:line="225" w:lineRule="exact"/>
        <w:rPr>
          <w:sz w:val="20"/>
          <w:szCs w:val="20"/>
          <w:color w:val="auto"/>
        </w:rPr>
      </w:pPr>
    </w:p>
    <w:p>
      <w:pPr>
        <w:ind w:left="980" w:right="18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 February 27, 2020, we issued 1.2 million shares of common stock to a single investor through an underwritten registered transaction at a price of $81.77 per share for proceeds of $99 million, net of $1.0 million of issuance costs.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Short-term borrowings from our Revolving Credit Facility and CP Program.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40" w:right="339" w:bottom="1440" w:gutter="0" w:footer="0" w:header="0"/>
        </w:sectPr>
      </w:pPr>
    </w:p>
    <w:bookmarkStart w:id="47" w:name="page48"/>
    <w:bookmarkEnd w:id="4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Future Financing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anticipate the following financing activities in 2020:</w:t>
      </w:r>
    </w:p>
    <w:p>
      <w:pPr>
        <w:spacing w:after="0" w:line="225" w:lineRule="exact"/>
        <w:rPr>
          <w:sz w:val="20"/>
          <w:szCs w:val="20"/>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Renew our shelf registration and ATM;</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Refinance a portion of short-term borrowings held through the Revolving Credit Facility and CP Program to long-term debt;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Continue to assess debt and equity needs to support our capital expenditure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Ratings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assessing the current operating performance, liquidity and the credit ratings of the Company, management believes that the Company will have access to the capital markets at prevailing market rates for companies with comparable credit ratings.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credit ratings and outlook and risk profile of BHC at March 31, 2020:</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ind w:left="40"/>
              <w:spacing w:after="0"/>
              <w:rPr>
                <w:sz w:val="20"/>
                <w:szCs w:val="20"/>
                <w:color w:val="auto"/>
              </w:rPr>
            </w:pPr>
            <w:r>
              <w:rPr>
                <w:rFonts w:ascii="Arial" w:cs="Arial" w:eastAsia="Arial" w:hAnsi="Arial"/>
                <w:sz w:val="18"/>
                <w:szCs w:val="18"/>
                <w:b w:val="1"/>
                <w:bCs w:val="1"/>
                <w:color w:val="auto"/>
              </w:rPr>
              <w:t>Rating Agency</w:t>
            </w:r>
          </w:p>
        </w:tc>
        <w:tc>
          <w:tcPr>
            <w:tcW w:w="5540" w:type="dxa"/>
            <w:vAlign w:val="bottom"/>
          </w:tcPr>
          <w:p>
            <w:pPr>
              <w:jc w:val="center"/>
              <w:ind w:left="3170"/>
              <w:spacing w:after="0"/>
              <w:rPr>
                <w:sz w:val="20"/>
                <w:szCs w:val="20"/>
                <w:color w:val="auto"/>
              </w:rPr>
            </w:pPr>
            <w:r>
              <w:rPr>
                <w:rFonts w:ascii="Arial" w:cs="Arial" w:eastAsia="Arial" w:hAnsi="Arial"/>
                <w:sz w:val="18"/>
                <w:szCs w:val="18"/>
                <w:b w:val="1"/>
                <w:bCs w:val="1"/>
                <w:color w:val="auto"/>
                <w:w w:val="89"/>
              </w:rPr>
              <w:t>Senior Unsecured Rating</w:t>
            </w:r>
          </w:p>
        </w:tc>
        <w:tc>
          <w:tcPr>
            <w:tcW w:w="11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Outlook</w:t>
            </w:r>
          </w:p>
        </w:tc>
      </w:tr>
      <w:tr>
        <w:trPr>
          <w:trHeight w:val="27"/>
        </w:trPr>
        <w:tc>
          <w:tcPr>
            <w:tcW w:w="4600" w:type="dxa"/>
            <w:vAlign w:val="bottom"/>
            <w:tcBorders>
              <w:bottom w:val="single" w:sz="8" w:color="auto"/>
            </w:tcBorders>
          </w:tcPr>
          <w:p>
            <w:pPr>
              <w:spacing w:after="0"/>
              <w:rPr>
                <w:sz w:val="2"/>
                <w:szCs w:val="2"/>
                <w:color w:val="auto"/>
              </w:rPr>
            </w:pPr>
          </w:p>
        </w:tc>
        <w:tc>
          <w:tcPr>
            <w:tcW w:w="5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4600" w:type="dxa"/>
            <w:vAlign w:val="bottom"/>
            <w:shd w:val="clear" w:color="auto" w:fill="CEFFE7"/>
          </w:tcPr>
          <w:p>
            <w:pPr>
              <w:ind w:left="40"/>
              <w:spacing w:after="0" w:line="264" w:lineRule="exact"/>
              <w:rPr>
                <w:sz w:val="20"/>
                <w:szCs w:val="20"/>
                <w:color w:val="auto"/>
              </w:rPr>
            </w:pPr>
            <w:r>
              <w:rPr>
                <w:rFonts w:ascii="Arial" w:cs="Arial" w:eastAsia="Arial" w:hAnsi="Arial"/>
                <w:sz w:val="30"/>
                <w:szCs w:val="30"/>
                <w:color w:val="auto"/>
                <w:vertAlign w:val="subscript"/>
              </w:rPr>
              <w:t>S&amp;P</w:t>
            </w:r>
            <w:r>
              <w:rPr>
                <w:rFonts w:ascii="Arial" w:cs="Arial" w:eastAsia="Arial" w:hAnsi="Arial"/>
                <w:sz w:val="12"/>
                <w:szCs w:val="12"/>
                <w:color w:val="auto"/>
              </w:rPr>
              <w:t xml:space="preserve"> (a)</w:t>
            </w:r>
          </w:p>
        </w:tc>
        <w:tc>
          <w:tcPr>
            <w:tcW w:w="5540" w:type="dxa"/>
            <w:vAlign w:val="bottom"/>
            <w:shd w:val="clear" w:color="auto" w:fill="CEFFE7"/>
          </w:tcPr>
          <w:p>
            <w:pPr>
              <w:jc w:val="center"/>
              <w:ind w:left="3150"/>
              <w:spacing w:after="0"/>
              <w:rPr>
                <w:sz w:val="20"/>
                <w:szCs w:val="20"/>
                <w:color w:val="auto"/>
              </w:rPr>
            </w:pPr>
            <w:r>
              <w:rPr>
                <w:rFonts w:ascii="Arial" w:cs="Arial" w:eastAsia="Arial" w:hAnsi="Arial"/>
                <w:sz w:val="18"/>
                <w:szCs w:val="18"/>
                <w:color w:val="auto"/>
                <w:w w:val="98"/>
              </w:rPr>
              <w:t>BBB+</w:t>
            </w:r>
          </w:p>
        </w:tc>
        <w:tc>
          <w:tcPr>
            <w:tcW w:w="1100" w:type="dxa"/>
            <w:vAlign w:val="bottom"/>
            <w:shd w:val="clear" w:color="auto" w:fill="CEFFE7"/>
          </w:tcPr>
          <w:p>
            <w:pPr>
              <w:jc w:val="center"/>
              <w:ind w:right="30"/>
              <w:spacing w:after="0"/>
              <w:rPr>
                <w:sz w:val="20"/>
                <w:szCs w:val="20"/>
                <w:color w:val="auto"/>
              </w:rPr>
            </w:pPr>
            <w:r>
              <w:rPr>
                <w:rFonts w:ascii="Arial" w:cs="Arial" w:eastAsia="Arial" w:hAnsi="Arial"/>
                <w:sz w:val="18"/>
                <w:szCs w:val="18"/>
                <w:color w:val="auto"/>
                <w:w w:val="90"/>
              </w:rPr>
              <w:t>Stable</w:t>
            </w:r>
          </w:p>
        </w:tc>
      </w:tr>
      <w:tr>
        <w:trPr>
          <w:trHeight w:val="270"/>
        </w:trPr>
        <w:tc>
          <w:tcPr>
            <w:tcW w:w="46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Moody’s </w:t>
            </w:r>
            <w:r>
              <w:rPr>
                <w:rFonts w:ascii="Arial" w:cs="Arial" w:eastAsia="Arial" w:hAnsi="Arial"/>
                <w:sz w:val="25"/>
                <w:szCs w:val="25"/>
                <w:color w:val="auto"/>
                <w:vertAlign w:val="superscript"/>
              </w:rPr>
              <w:t>(b)</w:t>
            </w:r>
          </w:p>
        </w:tc>
        <w:tc>
          <w:tcPr>
            <w:tcW w:w="5540" w:type="dxa"/>
            <w:vAlign w:val="bottom"/>
          </w:tcPr>
          <w:p>
            <w:pPr>
              <w:jc w:val="center"/>
              <w:ind w:left="3170"/>
              <w:spacing w:after="0"/>
              <w:rPr>
                <w:sz w:val="20"/>
                <w:szCs w:val="20"/>
                <w:color w:val="auto"/>
              </w:rPr>
            </w:pPr>
            <w:r>
              <w:rPr>
                <w:rFonts w:ascii="Arial" w:cs="Arial" w:eastAsia="Arial" w:hAnsi="Arial"/>
                <w:sz w:val="18"/>
                <w:szCs w:val="18"/>
                <w:color w:val="auto"/>
                <w:w w:val="85"/>
              </w:rPr>
              <w:t>Baa2</w:t>
            </w:r>
          </w:p>
        </w:tc>
        <w:tc>
          <w:tcPr>
            <w:tcW w:w="1100" w:type="dxa"/>
            <w:vAlign w:val="bottom"/>
          </w:tcPr>
          <w:p>
            <w:pPr>
              <w:jc w:val="center"/>
              <w:ind w:right="30"/>
              <w:spacing w:after="0"/>
              <w:rPr>
                <w:sz w:val="20"/>
                <w:szCs w:val="20"/>
                <w:color w:val="auto"/>
              </w:rPr>
            </w:pPr>
            <w:r>
              <w:rPr>
                <w:rFonts w:ascii="Arial" w:cs="Arial" w:eastAsia="Arial" w:hAnsi="Arial"/>
                <w:sz w:val="18"/>
                <w:szCs w:val="18"/>
                <w:color w:val="auto"/>
                <w:w w:val="90"/>
              </w:rPr>
              <w:t>Stable</w:t>
            </w:r>
          </w:p>
        </w:tc>
      </w:tr>
      <w:tr>
        <w:trPr>
          <w:trHeight w:val="270"/>
        </w:trPr>
        <w:tc>
          <w:tcPr>
            <w:tcW w:w="4600" w:type="dxa"/>
            <w:vAlign w:val="bottom"/>
            <w:shd w:val="clear" w:color="auto" w:fill="CEFFE7"/>
          </w:tcPr>
          <w:p>
            <w:pPr>
              <w:ind w:left="40"/>
              <w:spacing w:after="0" w:line="270" w:lineRule="exact"/>
              <w:rPr>
                <w:sz w:val="20"/>
                <w:szCs w:val="20"/>
                <w:color w:val="auto"/>
              </w:rPr>
            </w:pPr>
            <w:r>
              <w:rPr>
                <w:rFonts w:ascii="Arial" w:cs="Arial" w:eastAsia="Arial" w:hAnsi="Arial"/>
                <w:sz w:val="18"/>
                <w:szCs w:val="18"/>
                <w:color w:val="auto"/>
              </w:rPr>
              <w:t xml:space="preserve">Fitch </w:t>
            </w:r>
            <w:r>
              <w:rPr>
                <w:rFonts w:ascii="Arial" w:cs="Arial" w:eastAsia="Arial" w:hAnsi="Arial"/>
                <w:sz w:val="25"/>
                <w:szCs w:val="25"/>
                <w:color w:val="auto"/>
                <w:vertAlign w:val="superscript"/>
              </w:rPr>
              <w:t>(c)</w:t>
            </w:r>
          </w:p>
        </w:tc>
        <w:tc>
          <w:tcPr>
            <w:tcW w:w="5540" w:type="dxa"/>
            <w:vAlign w:val="bottom"/>
            <w:shd w:val="clear" w:color="auto" w:fill="CEFFE7"/>
          </w:tcPr>
          <w:p>
            <w:pPr>
              <w:ind w:left="4220"/>
              <w:spacing w:after="0"/>
              <w:rPr>
                <w:sz w:val="20"/>
                <w:szCs w:val="20"/>
                <w:color w:val="auto"/>
              </w:rPr>
            </w:pPr>
            <w:r>
              <w:rPr>
                <w:rFonts w:ascii="Arial" w:cs="Arial" w:eastAsia="Arial" w:hAnsi="Arial"/>
                <w:sz w:val="18"/>
                <w:szCs w:val="18"/>
                <w:color w:val="auto"/>
              </w:rPr>
              <w:t>BBB+</w:t>
            </w:r>
          </w:p>
        </w:tc>
        <w:tc>
          <w:tcPr>
            <w:tcW w:w="1100" w:type="dxa"/>
            <w:vAlign w:val="bottom"/>
            <w:shd w:val="clear" w:color="auto" w:fill="CEFFE7"/>
          </w:tcPr>
          <w:p>
            <w:pPr>
              <w:jc w:val="center"/>
              <w:ind w:right="30"/>
              <w:spacing w:after="0"/>
              <w:rPr>
                <w:sz w:val="20"/>
                <w:szCs w:val="20"/>
                <w:color w:val="auto"/>
              </w:rPr>
            </w:pPr>
            <w:r>
              <w:rPr>
                <w:rFonts w:ascii="Arial" w:cs="Arial" w:eastAsia="Arial" w:hAnsi="Arial"/>
                <w:sz w:val="18"/>
                <w:szCs w:val="18"/>
                <w:color w:val="auto"/>
                <w:w w:val="90"/>
              </w:rPr>
              <w:t>Stable</w:t>
            </w:r>
          </w:p>
        </w:tc>
      </w:tr>
      <w:tr>
        <w:trPr>
          <w:trHeight w:val="193"/>
        </w:trPr>
        <w:tc>
          <w:tcPr>
            <w:tcW w:w="4600" w:type="dxa"/>
            <w:vAlign w:val="bottom"/>
          </w:tcPr>
          <w:p>
            <w:pPr>
              <w:spacing w:after="0"/>
              <w:rPr>
                <w:sz w:val="20"/>
                <w:szCs w:val="20"/>
                <w:color w:val="auto"/>
              </w:rPr>
            </w:pPr>
            <w:r>
              <w:rPr>
                <w:rFonts w:ascii="Arial" w:cs="Arial" w:eastAsia="Arial" w:hAnsi="Arial"/>
                <w:sz w:val="16"/>
                <w:szCs w:val="16"/>
                <w:color w:val="auto"/>
              </w:rPr>
              <w:t>__________</w:t>
            </w:r>
          </w:p>
        </w:tc>
        <w:tc>
          <w:tcPr>
            <w:tcW w:w="5540" w:type="dxa"/>
            <w:vAlign w:val="bottom"/>
          </w:tcPr>
          <w:p>
            <w:pPr>
              <w:spacing w:after="0"/>
              <w:rPr>
                <w:sz w:val="16"/>
                <w:szCs w:val="16"/>
                <w:color w:val="auto"/>
              </w:rPr>
            </w:pPr>
          </w:p>
        </w:tc>
        <w:tc>
          <w:tcPr>
            <w:tcW w:w="1100" w:type="dxa"/>
            <w:vAlign w:val="bottom"/>
          </w:tcPr>
          <w:p>
            <w:pPr>
              <w:spacing w:after="0"/>
              <w:rPr>
                <w:sz w:val="16"/>
                <w:szCs w:val="16"/>
                <w:color w:val="auto"/>
              </w:rPr>
            </w:pPr>
          </w:p>
        </w:tc>
      </w:tr>
    </w:tbl>
    <w:p>
      <w:pPr>
        <w:ind w:left="340" w:hanging="332"/>
        <w:spacing w:after="0"/>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On April 10, 2020, S&amp;P affirmed our BBB+ rating and maintained a Stable outlook.</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On December 20, 2019, Moody’s affirmed our Baa2 rating and maintained a Stable outlook.</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On August 29, 2019, Fitch affirmed our BBB+ rating and maintained a Stable outlook.</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gridSpan w:val="8"/>
          </w:tcPr>
          <w:p>
            <w:pPr>
              <w:spacing w:after="0"/>
              <w:rPr>
                <w:sz w:val="20"/>
                <w:szCs w:val="20"/>
                <w:color w:val="auto"/>
              </w:rPr>
            </w:pPr>
            <w:r>
              <w:rPr>
                <w:rFonts w:ascii="Arial" w:cs="Arial" w:eastAsia="Arial" w:hAnsi="Arial"/>
                <w:sz w:val="18"/>
                <w:szCs w:val="18"/>
                <w:color w:val="auto"/>
                <w:w w:val="97"/>
              </w:rPr>
              <w:t>The following table represents the credit ratings of South Dakota Electric at March 31, 2020:</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360" w:type="dxa"/>
            <w:vAlign w:val="bottom"/>
            <w:gridSpan w:val="2"/>
          </w:tcPr>
          <w:p>
            <w:pPr>
              <w:ind w:left="40"/>
              <w:spacing w:after="0"/>
              <w:rPr>
                <w:sz w:val="20"/>
                <w:szCs w:val="20"/>
                <w:color w:val="auto"/>
              </w:rPr>
            </w:pPr>
            <w:r>
              <w:rPr>
                <w:rFonts w:ascii="Arial" w:cs="Arial" w:eastAsia="Arial" w:hAnsi="Arial"/>
                <w:sz w:val="18"/>
                <w:szCs w:val="18"/>
                <w:b w:val="1"/>
                <w:bCs w:val="1"/>
                <w:color w:val="auto"/>
              </w:rPr>
              <w:t>Rating Agency</w:t>
            </w:r>
          </w:p>
        </w:tc>
        <w:tc>
          <w:tcPr>
            <w:tcW w:w="1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40" w:type="dxa"/>
            <w:vAlign w:val="bottom"/>
            <w:gridSpan w:val="3"/>
          </w:tcPr>
          <w:p>
            <w:pPr>
              <w:jc w:val="center"/>
              <w:ind w:left="350"/>
              <w:spacing w:after="0"/>
              <w:rPr>
                <w:sz w:val="20"/>
                <w:szCs w:val="20"/>
                <w:color w:val="auto"/>
              </w:rPr>
            </w:pPr>
            <w:r>
              <w:rPr>
                <w:rFonts w:ascii="Arial" w:cs="Arial" w:eastAsia="Arial" w:hAnsi="Arial"/>
                <w:sz w:val="18"/>
                <w:szCs w:val="18"/>
                <w:b w:val="1"/>
                <w:bCs w:val="1"/>
                <w:color w:val="auto"/>
                <w:w w:val="89"/>
              </w:rPr>
              <w:t>Senior Secured Rating</w:t>
            </w:r>
          </w:p>
        </w:tc>
        <w:tc>
          <w:tcPr>
            <w:tcW w:w="0" w:type="dxa"/>
            <w:vAlign w:val="bottom"/>
          </w:tcPr>
          <w:p>
            <w:pPr>
              <w:spacing w:after="0"/>
              <w:rPr>
                <w:sz w:val="1"/>
                <w:szCs w:val="1"/>
                <w:color w:val="auto"/>
              </w:rPr>
            </w:pPr>
          </w:p>
        </w:tc>
      </w:tr>
      <w:tr>
        <w:trPr>
          <w:trHeight w:val="27"/>
        </w:trPr>
        <w:tc>
          <w:tcPr>
            <w:tcW w:w="1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360" w:type="dxa"/>
            <w:vAlign w:val="bottom"/>
            <w:gridSpan w:val="2"/>
            <w:shd w:val="clear" w:color="auto" w:fill="CEFFE7"/>
          </w:tcPr>
          <w:p>
            <w:pPr>
              <w:ind w:left="40"/>
              <w:spacing w:after="0" w:line="263" w:lineRule="exact"/>
              <w:rPr>
                <w:sz w:val="20"/>
                <w:szCs w:val="20"/>
                <w:color w:val="auto"/>
              </w:rPr>
            </w:pPr>
            <w:r>
              <w:rPr>
                <w:rFonts w:ascii="Arial" w:cs="Arial" w:eastAsia="Arial" w:hAnsi="Arial"/>
                <w:sz w:val="18"/>
                <w:szCs w:val="18"/>
                <w:color w:val="auto"/>
              </w:rPr>
              <w:t xml:space="preserve">S&amp;P </w:t>
            </w:r>
            <w:r>
              <w:rPr>
                <w:rFonts w:ascii="Arial" w:cs="Arial" w:eastAsia="Arial" w:hAnsi="Arial"/>
                <w:sz w:val="25"/>
                <w:szCs w:val="25"/>
                <w:color w:val="auto"/>
                <w:vertAlign w:val="superscript"/>
              </w:rPr>
              <w:t>(a)</w:t>
            </w:r>
          </w:p>
        </w:tc>
        <w:tc>
          <w:tcPr>
            <w:tcW w:w="1620" w:type="dxa"/>
            <w:vAlign w:val="bottom"/>
            <w:shd w:val="clear" w:color="auto" w:fill="CEFFE7"/>
          </w:tcPr>
          <w:p>
            <w:pPr>
              <w:spacing w:after="0"/>
              <w:rPr>
                <w:sz w:val="22"/>
                <w:szCs w:val="22"/>
                <w:color w:val="auto"/>
              </w:rPr>
            </w:pPr>
          </w:p>
        </w:tc>
        <w:tc>
          <w:tcPr>
            <w:tcW w:w="500" w:type="dxa"/>
            <w:vAlign w:val="bottom"/>
            <w:shd w:val="clear" w:color="auto" w:fill="CEFFE7"/>
          </w:tcPr>
          <w:p>
            <w:pPr>
              <w:spacing w:after="0"/>
              <w:rPr>
                <w:sz w:val="22"/>
                <w:szCs w:val="22"/>
                <w:color w:val="auto"/>
              </w:rPr>
            </w:pPr>
          </w:p>
        </w:tc>
        <w:tc>
          <w:tcPr>
            <w:tcW w:w="260" w:type="dxa"/>
            <w:vAlign w:val="bottom"/>
            <w:shd w:val="clear" w:color="auto" w:fill="CEFFE7"/>
          </w:tcPr>
          <w:p>
            <w:pPr>
              <w:spacing w:after="0"/>
              <w:rPr>
                <w:sz w:val="22"/>
                <w:szCs w:val="22"/>
                <w:color w:val="auto"/>
              </w:rPr>
            </w:pPr>
          </w:p>
        </w:tc>
        <w:tc>
          <w:tcPr>
            <w:tcW w:w="1060" w:type="dxa"/>
            <w:vAlign w:val="bottom"/>
            <w:shd w:val="clear" w:color="auto" w:fill="CEFFE7"/>
          </w:tcPr>
          <w:p>
            <w:pPr>
              <w:spacing w:after="0"/>
              <w:rPr>
                <w:sz w:val="22"/>
                <w:szCs w:val="22"/>
                <w:color w:val="auto"/>
              </w:rPr>
            </w:pPr>
          </w:p>
        </w:tc>
        <w:tc>
          <w:tcPr>
            <w:tcW w:w="300" w:type="dxa"/>
            <w:vAlign w:val="bottom"/>
            <w:shd w:val="clear" w:color="auto" w:fill="CEFFE7"/>
          </w:tcPr>
          <w:p>
            <w:pPr>
              <w:spacing w:after="0"/>
              <w:rPr>
                <w:sz w:val="22"/>
                <w:szCs w:val="22"/>
                <w:color w:val="auto"/>
              </w:rPr>
            </w:pPr>
          </w:p>
        </w:tc>
        <w:tc>
          <w:tcPr>
            <w:tcW w:w="1040" w:type="dxa"/>
            <w:vAlign w:val="bottom"/>
            <w:shd w:val="clear" w:color="auto" w:fill="CEFFE7"/>
          </w:tcPr>
          <w:p>
            <w:pPr>
              <w:spacing w:after="0"/>
              <w:rPr>
                <w:sz w:val="22"/>
                <w:szCs w:val="22"/>
                <w:color w:val="auto"/>
              </w:rPr>
            </w:pPr>
          </w:p>
        </w:tc>
        <w:tc>
          <w:tcPr>
            <w:tcW w:w="300" w:type="dxa"/>
            <w:vAlign w:val="bottom"/>
            <w:shd w:val="clear" w:color="auto" w:fill="CEFFE7"/>
          </w:tcPr>
          <w:p>
            <w:pPr>
              <w:spacing w:after="0"/>
              <w:rPr>
                <w:sz w:val="22"/>
                <w:szCs w:val="22"/>
                <w:color w:val="auto"/>
              </w:rPr>
            </w:pPr>
          </w:p>
        </w:tc>
        <w:tc>
          <w:tcPr>
            <w:tcW w:w="1060" w:type="dxa"/>
            <w:vAlign w:val="bottom"/>
            <w:shd w:val="clear" w:color="auto" w:fill="CEFFE7"/>
          </w:tcPr>
          <w:p>
            <w:pPr>
              <w:spacing w:after="0"/>
              <w:rPr>
                <w:sz w:val="22"/>
                <w:szCs w:val="22"/>
                <w:color w:val="auto"/>
              </w:rPr>
            </w:pPr>
          </w:p>
        </w:tc>
        <w:tc>
          <w:tcPr>
            <w:tcW w:w="300" w:type="dxa"/>
            <w:vAlign w:val="bottom"/>
            <w:shd w:val="clear" w:color="auto" w:fill="CEFFE7"/>
          </w:tcPr>
          <w:p>
            <w:pPr>
              <w:spacing w:after="0"/>
              <w:rPr>
                <w:sz w:val="22"/>
                <w:szCs w:val="22"/>
                <w:color w:val="auto"/>
              </w:rPr>
            </w:pPr>
          </w:p>
        </w:tc>
        <w:tc>
          <w:tcPr>
            <w:tcW w:w="1040" w:type="dxa"/>
            <w:vAlign w:val="bottom"/>
            <w:shd w:val="clear" w:color="auto" w:fill="CEFFE7"/>
          </w:tcPr>
          <w:p>
            <w:pPr>
              <w:spacing w:after="0"/>
              <w:rPr>
                <w:sz w:val="22"/>
                <w:szCs w:val="22"/>
                <w:color w:val="auto"/>
              </w:rPr>
            </w:pPr>
          </w:p>
        </w:tc>
        <w:tc>
          <w:tcPr>
            <w:tcW w:w="220" w:type="dxa"/>
            <w:vAlign w:val="bottom"/>
            <w:shd w:val="clear" w:color="auto" w:fill="CEFFE7"/>
          </w:tcPr>
          <w:p>
            <w:pPr>
              <w:spacing w:after="0"/>
              <w:rPr>
                <w:sz w:val="22"/>
                <w:szCs w:val="22"/>
                <w:color w:val="auto"/>
              </w:rPr>
            </w:pPr>
          </w:p>
        </w:tc>
        <w:tc>
          <w:tcPr>
            <w:tcW w:w="1180" w:type="dxa"/>
            <w:vAlign w:val="bottom"/>
            <w:shd w:val="clear" w:color="auto" w:fill="CEFFE7"/>
          </w:tcPr>
          <w:p>
            <w:pPr>
              <w:jc w:val="center"/>
              <w:ind w:right="75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70"/>
        </w:trPr>
        <w:tc>
          <w:tcPr>
            <w:tcW w:w="23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Moody’s </w:t>
            </w:r>
            <w:r>
              <w:rPr>
                <w:rFonts w:ascii="Arial" w:cs="Arial" w:eastAsia="Arial" w:hAnsi="Arial"/>
                <w:sz w:val="25"/>
                <w:szCs w:val="25"/>
                <w:color w:val="auto"/>
                <w:vertAlign w:val="superscript"/>
              </w:rPr>
              <w:t>(b)</w:t>
            </w:r>
          </w:p>
        </w:tc>
        <w:tc>
          <w:tcPr>
            <w:tcW w:w="16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jc w:val="center"/>
              <w:ind w:right="750"/>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70"/>
        </w:trPr>
        <w:tc>
          <w:tcPr>
            <w:tcW w:w="2360" w:type="dxa"/>
            <w:vAlign w:val="bottom"/>
            <w:gridSpan w:val="2"/>
            <w:shd w:val="clear" w:color="auto" w:fill="CEFFE7"/>
          </w:tcPr>
          <w:p>
            <w:pPr>
              <w:ind w:left="40"/>
              <w:spacing w:after="0" w:line="270" w:lineRule="exact"/>
              <w:rPr>
                <w:sz w:val="20"/>
                <w:szCs w:val="20"/>
                <w:color w:val="auto"/>
              </w:rPr>
            </w:pPr>
            <w:r>
              <w:rPr>
                <w:rFonts w:ascii="Arial" w:cs="Arial" w:eastAsia="Arial" w:hAnsi="Arial"/>
                <w:sz w:val="18"/>
                <w:szCs w:val="18"/>
                <w:color w:val="auto"/>
              </w:rPr>
              <w:t xml:space="preserve">Fitch </w:t>
            </w:r>
            <w:r>
              <w:rPr>
                <w:rFonts w:ascii="Arial" w:cs="Arial" w:eastAsia="Arial" w:hAnsi="Arial"/>
                <w:sz w:val="25"/>
                <w:szCs w:val="25"/>
                <w:color w:val="auto"/>
                <w:vertAlign w:val="superscript"/>
              </w:rPr>
              <w:t>(c)</w:t>
            </w:r>
          </w:p>
        </w:tc>
        <w:tc>
          <w:tcPr>
            <w:tcW w:w="1620" w:type="dxa"/>
            <w:vAlign w:val="bottom"/>
            <w:shd w:val="clear" w:color="auto" w:fill="CEFFE7"/>
          </w:tcPr>
          <w:p>
            <w:pPr>
              <w:spacing w:after="0"/>
              <w:rPr>
                <w:sz w:val="23"/>
                <w:szCs w:val="23"/>
                <w:color w:val="auto"/>
              </w:rPr>
            </w:pPr>
          </w:p>
        </w:tc>
        <w:tc>
          <w:tcPr>
            <w:tcW w:w="500" w:type="dxa"/>
            <w:vAlign w:val="bottom"/>
            <w:shd w:val="clear" w:color="auto" w:fill="CEFFE7"/>
          </w:tcPr>
          <w:p>
            <w:pPr>
              <w:spacing w:after="0"/>
              <w:rPr>
                <w:sz w:val="23"/>
                <w:szCs w:val="23"/>
                <w:color w:val="auto"/>
              </w:rPr>
            </w:pPr>
          </w:p>
        </w:tc>
        <w:tc>
          <w:tcPr>
            <w:tcW w:w="260" w:type="dxa"/>
            <w:vAlign w:val="bottom"/>
            <w:shd w:val="clear" w:color="auto" w:fill="CEFFE7"/>
          </w:tcPr>
          <w:p>
            <w:pPr>
              <w:spacing w:after="0"/>
              <w:rPr>
                <w:sz w:val="23"/>
                <w:szCs w:val="23"/>
                <w:color w:val="auto"/>
              </w:rPr>
            </w:pPr>
          </w:p>
        </w:tc>
        <w:tc>
          <w:tcPr>
            <w:tcW w:w="1060" w:type="dxa"/>
            <w:vAlign w:val="bottom"/>
            <w:shd w:val="clear" w:color="auto" w:fill="CEFFE7"/>
          </w:tcPr>
          <w:p>
            <w:pPr>
              <w:spacing w:after="0"/>
              <w:rPr>
                <w:sz w:val="23"/>
                <w:szCs w:val="23"/>
                <w:color w:val="auto"/>
              </w:rPr>
            </w:pPr>
          </w:p>
        </w:tc>
        <w:tc>
          <w:tcPr>
            <w:tcW w:w="300" w:type="dxa"/>
            <w:vAlign w:val="bottom"/>
            <w:shd w:val="clear" w:color="auto" w:fill="CEFFE7"/>
          </w:tcPr>
          <w:p>
            <w:pPr>
              <w:spacing w:after="0"/>
              <w:rPr>
                <w:sz w:val="23"/>
                <w:szCs w:val="23"/>
                <w:color w:val="auto"/>
              </w:rPr>
            </w:pPr>
          </w:p>
        </w:tc>
        <w:tc>
          <w:tcPr>
            <w:tcW w:w="1040" w:type="dxa"/>
            <w:vAlign w:val="bottom"/>
            <w:shd w:val="clear" w:color="auto" w:fill="CEFFE7"/>
          </w:tcPr>
          <w:p>
            <w:pPr>
              <w:spacing w:after="0"/>
              <w:rPr>
                <w:sz w:val="23"/>
                <w:szCs w:val="23"/>
                <w:color w:val="auto"/>
              </w:rPr>
            </w:pPr>
          </w:p>
        </w:tc>
        <w:tc>
          <w:tcPr>
            <w:tcW w:w="300" w:type="dxa"/>
            <w:vAlign w:val="bottom"/>
            <w:shd w:val="clear" w:color="auto" w:fill="CEFFE7"/>
          </w:tcPr>
          <w:p>
            <w:pPr>
              <w:spacing w:after="0"/>
              <w:rPr>
                <w:sz w:val="23"/>
                <w:szCs w:val="23"/>
                <w:color w:val="auto"/>
              </w:rPr>
            </w:pPr>
          </w:p>
        </w:tc>
        <w:tc>
          <w:tcPr>
            <w:tcW w:w="1060" w:type="dxa"/>
            <w:vAlign w:val="bottom"/>
            <w:shd w:val="clear" w:color="auto" w:fill="CEFFE7"/>
          </w:tcPr>
          <w:p>
            <w:pPr>
              <w:spacing w:after="0"/>
              <w:rPr>
                <w:sz w:val="23"/>
                <w:szCs w:val="23"/>
                <w:color w:val="auto"/>
              </w:rPr>
            </w:pPr>
          </w:p>
        </w:tc>
        <w:tc>
          <w:tcPr>
            <w:tcW w:w="300" w:type="dxa"/>
            <w:vAlign w:val="bottom"/>
            <w:shd w:val="clear" w:color="auto" w:fill="CEFFE7"/>
          </w:tcPr>
          <w:p>
            <w:pPr>
              <w:spacing w:after="0"/>
              <w:rPr>
                <w:sz w:val="23"/>
                <w:szCs w:val="23"/>
                <w:color w:val="auto"/>
              </w:rPr>
            </w:pPr>
          </w:p>
        </w:tc>
        <w:tc>
          <w:tcPr>
            <w:tcW w:w="1040" w:type="dxa"/>
            <w:vAlign w:val="bottom"/>
            <w:shd w:val="clear" w:color="auto" w:fill="CEFFE7"/>
          </w:tcPr>
          <w:p>
            <w:pPr>
              <w:spacing w:after="0"/>
              <w:rPr>
                <w:sz w:val="23"/>
                <w:szCs w:val="23"/>
                <w:color w:val="auto"/>
              </w:rPr>
            </w:pPr>
          </w:p>
        </w:tc>
        <w:tc>
          <w:tcPr>
            <w:tcW w:w="220" w:type="dxa"/>
            <w:vAlign w:val="bottom"/>
            <w:shd w:val="clear" w:color="auto" w:fill="CEFFE7"/>
          </w:tcPr>
          <w:p>
            <w:pPr>
              <w:spacing w:after="0"/>
              <w:rPr>
                <w:sz w:val="23"/>
                <w:szCs w:val="23"/>
                <w:color w:val="auto"/>
              </w:rPr>
            </w:pPr>
          </w:p>
        </w:tc>
        <w:tc>
          <w:tcPr>
            <w:tcW w:w="1180" w:type="dxa"/>
            <w:vAlign w:val="bottom"/>
            <w:shd w:val="clear" w:color="auto" w:fill="CEFFE7"/>
          </w:tcPr>
          <w:p>
            <w:pPr>
              <w:jc w:val="center"/>
              <w:ind w:right="75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179"/>
        </w:trPr>
        <w:tc>
          <w:tcPr>
            <w:tcW w:w="1520" w:type="dxa"/>
            <w:vAlign w:val="bottom"/>
          </w:tcPr>
          <w:p>
            <w:pPr>
              <w:spacing w:after="0" w:line="179" w:lineRule="exact"/>
              <w:rPr>
                <w:sz w:val="20"/>
                <w:szCs w:val="20"/>
                <w:color w:val="auto"/>
              </w:rPr>
            </w:pPr>
            <w:r>
              <w:rPr>
                <w:rFonts w:ascii="Arial" w:cs="Arial" w:eastAsia="Arial" w:hAnsi="Arial"/>
                <w:sz w:val="16"/>
                <w:szCs w:val="16"/>
                <w:color w:val="auto"/>
              </w:rPr>
              <w:t>__________</w:t>
            </w:r>
          </w:p>
        </w:tc>
        <w:tc>
          <w:tcPr>
            <w:tcW w:w="8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980" w:type="dxa"/>
            <w:vAlign w:val="bottom"/>
            <w:gridSpan w:val="3"/>
          </w:tcPr>
          <w:p>
            <w:pPr>
              <w:spacing w:after="0"/>
              <w:rPr>
                <w:sz w:val="20"/>
                <w:szCs w:val="20"/>
                <w:color w:val="auto"/>
              </w:rPr>
            </w:pPr>
            <w:r>
              <w:rPr>
                <w:rFonts w:ascii="Arial" w:cs="Arial" w:eastAsia="Arial" w:hAnsi="Arial"/>
                <w:sz w:val="16"/>
                <w:szCs w:val="16"/>
                <w:color w:val="auto"/>
              </w:rPr>
              <w:t>(a)  On April 16, 2020, S&amp;P affirmed A rating.</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80" w:type="dxa"/>
            <w:vAlign w:val="bottom"/>
            <w:gridSpan w:val="3"/>
          </w:tcPr>
          <w:p>
            <w:pPr>
              <w:spacing w:after="0"/>
              <w:rPr>
                <w:sz w:val="20"/>
                <w:szCs w:val="20"/>
                <w:color w:val="auto"/>
              </w:rPr>
            </w:pPr>
            <w:r>
              <w:rPr>
                <w:rFonts w:ascii="Arial" w:cs="Arial" w:eastAsia="Arial" w:hAnsi="Arial"/>
                <w:sz w:val="16"/>
                <w:szCs w:val="16"/>
                <w:color w:val="auto"/>
                <w:w w:val="99"/>
              </w:rPr>
              <w:t>(b)  On December 20, 2019, Moody’s affirmed A1 rating.</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980" w:type="dxa"/>
            <w:vAlign w:val="bottom"/>
            <w:gridSpan w:val="3"/>
          </w:tcPr>
          <w:p>
            <w:pPr>
              <w:spacing w:after="0"/>
              <w:rPr>
                <w:sz w:val="20"/>
                <w:szCs w:val="20"/>
                <w:color w:val="auto"/>
              </w:rPr>
            </w:pPr>
            <w:r>
              <w:rPr>
                <w:rFonts w:ascii="Arial" w:cs="Arial" w:eastAsia="Arial" w:hAnsi="Arial"/>
                <w:sz w:val="16"/>
                <w:szCs w:val="16"/>
                <w:color w:val="auto"/>
              </w:rPr>
              <w:t>(c)  On August 29, 2019, Fitch affirmed A rating.</w:t>
            </w: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Capital Requirements</w:t>
            </w:r>
          </w:p>
        </w:tc>
        <w:tc>
          <w:tcPr>
            <w:tcW w:w="1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36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1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520" w:type="dxa"/>
            <w:vAlign w:val="bottom"/>
            <w:tcBorders>
              <w:top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1620" w:type="dxa"/>
            <w:vAlign w:val="bottom"/>
          </w:tcPr>
          <w:p>
            <w:pPr>
              <w:jc w:val="center"/>
              <w:ind w:left="410"/>
              <w:spacing w:after="0"/>
              <w:rPr>
                <w:sz w:val="20"/>
                <w:szCs w:val="20"/>
                <w:color w:val="auto"/>
              </w:rPr>
            </w:pPr>
            <w:r>
              <w:rPr>
                <w:rFonts w:ascii="Arial" w:cs="Arial" w:eastAsia="Arial" w:hAnsi="Arial"/>
                <w:sz w:val="18"/>
                <w:szCs w:val="18"/>
                <w:color w:val="auto"/>
                <w:w w:val="95"/>
              </w:rPr>
              <w:t>Actual</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Planned</w:t>
            </w:r>
          </w:p>
        </w:tc>
        <w:tc>
          <w:tcPr>
            <w:tcW w:w="300" w:type="dxa"/>
            <w:vAlign w:val="bottom"/>
          </w:tcPr>
          <w:p>
            <w:pPr>
              <w:spacing w:after="0"/>
              <w:rPr>
                <w:sz w:val="24"/>
                <w:szCs w:val="24"/>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Planned</w:t>
            </w:r>
          </w:p>
        </w:tc>
        <w:tc>
          <w:tcPr>
            <w:tcW w:w="300" w:type="dxa"/>
            <w:vAlign w:val="bottom"/>
          </w:tcPr>
          <w:p>
            <w:pPr>
              <w:spacing w:after="0"/>
              <w:rPr>
                <w:sz w:val="24"/>
                <w:szCs w:val="24"/>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Planned</w:t>
            </w:r>
          </w:p>
        </w:tc>
        <w:tc>
          <w:tcPr>
            <w:tcW w:w="300" w:type="dxa"/>
            <w:vAlign w:val="bottom"/>
          </w:tcPr>
          <w:p>
            <w:pPr>
              <w:spacing w:after="0"/>
              <w:rPr>
                <w:sz w:val="24"/>
                <w:szCs w:val="24"/>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Planned</w:t>
            </w:r>
          </w:p>
        </w:tc>
        <w:tc>
          <w:tcPr>
            <w:tcW w:w="220" w:type="dxa"/>
            <w:vAlign w:val="bottom"/>
          </w:tcPr>
          <w:p>
            <w:pPr>
              <w:spacing w:after="0"/>
              <w:rPr>
                <w:sz w:val="24"/>
                <w:szCs w:val="24"/>
                <w:color w:val="auto"/>
              </w:rPr>
            </w:pPr>
          </w:p>
        </w:tc>
        <w:tc>
          <w:tcPr>
            <w:tcW w:w="1180" w:type="dxa"/>
            <w:vAlign w:val="bottom"/>
          </w:tcPr>
          <w:p>
            <w:pPr>
              <w:jc w:val="right"/>
              <w:ind w:right="290"/>
              <w:spacing w:after="0"/>
              <w:rPr>
                <w:sz w:val="20"/>
                <w:szCs w:val="20"/>
                <w:color w:val="auto"/>
              </w:rPr>
            </w:pPr>
            <w:r>
              <w:rPr>
                <w:rFonts w:ascii="Arial" w:cs="Arial" w:eastAsia="Arial" w:hAnsi="Arial"/>
                <w:sz w:val="18"/>
                <w:szCs w:val="18"/>
                <w:color w:val="auto"/>
              </w:rPr>
              <w:t>Planned</w:t>
            </w:r>
          </w:p>
        </w:tc>
        <w:tc>
          <w:tcPr>
            <w:tcW w:w="0" w:type="dxa"/>
            <w:vAlign w:val="bottom"/>
          </w:tcPr>
          <w:p>
            <w:pPr>
              <w:spacing w:after="0"/>
              <w:rPr>
                <w:sz w:val="1"/>
                <w:szCs w:val="1"/>
                <w:color w:val="auto"/>
              </w:rPr>
            </w:pPr>
          </w:p>
        </w:tc>
      </w:tr>
      <w:tr>
        <w:trPr>
          <w:trHeight w:val="27"/>
        </w:trPr>
        <w:tc>
          <w:tcPr>
            <w:tcW w:w="1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1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360" w:type="dxa"/>
            <w:vAlign w:val="bottom"/>
            <w:gridSpan w:val="2"/>
          </w:tcPr>
          <w:p>
            <w:pPr>
              <w:ind w:left="40"/>
              <w:spacing w:after="0"/>
              <w:rPr>
                <w:sz w:val="20"/>
                <w:szCs w:val="20"/>
                <w:color w:val="auto"/>
              </w:rPr>
            </w:pPr>
            <w:r>
              <w:rPr>
                <w:rFonts w:ascii="Arial" w:cs="Arial" w:eastAsia="Arial" w:hAnsi="Arial"/>
                <w:sz w:val="18"/>
                <w:szCs w:val="18"/>
                <w:color w:val="auto"/>
              </w:rPr>
              <w:t>Capital Expenditures by</w:t>
            </w:r>
          </w:p>
        </w:tc>
        <w:tc>
          <w:tcPr>
            <w:tcW w:w="2120" w:type="dxa"/>
            <w:vAlign w:val="bottom"/>
            <w:gridSpan w:val="2"/>
          </w:tcPr>
          <w:p>
            <w:pPr>
              <w:ind w:left="40"/>
              <w:spacing w:after="0"/>
              <w:rPr>
                <w:sz w:val="20"/>
                <w:szCs w:val="20"/>
                <w:color w:val="auto"/>
              </w:rPr>
            </w:pPr>
            <w:r>
              <w:rPr>
                <w:rFonts w:ascii="Arial" w:cs="Arial" w:eastAsia="Arial" w:hAnsi="Arial"/>
                <w:sz w:val="18"/>
                <w:szCs w:val="18"/>
                <w:color w:val="auto"/>
                <w:w w:val="92"/>
              </w:rPr>
              <w:t>Three Months Ended March</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360" w:type="dxa"/>
            <w:vAlign w:val="bottom"/>
            <w:tcBorders>
              <w:bottom w:val="single" w:sz="8" w:color="CEFFE7"/>
            </w:tcBorders>
            <w:gridSpan w:val="2"/>
          </w:tcPr>
          <w:p>
            <w:pPr>
              <w:ind w:left="40"/>
              <w:spacing w:after="0"/>
              <w:rPr>
                <w:sz w:val="20"/>
                <w:szCs w:val="20"/>
                <w:color w:val="auto"/>
              </w:rPr>
            </w:pPr>
            <w:r>
              <w:rPr>
                <w:rFonts w:ascii="Arial" w:cs="Arial" w:eastAsia="Arial" w:hAnsi="Arial"/>
                <w:sz w:val="18"/>
                <w:szCs w:val="18"/>
                <w:color w:val="auto"/>
              </w:rPr>
              <w:t>Segment</w:t>
            </w:r>
          </w:p>
        </w:tc>
        <w:tc>
          <w:tcPr>
            <w:tcW w:w="1620" w:type="dxa"/>
            <w:vAlign w:val="bottom"/>
            <w:tcBorders>
              <w:bottom w:val="single" w:sz="8" w:color="auto"/>
            </w:tcBorders>
          </w:tcPr>
          <w:p>
            <w:pPr>
              <w:jc w:val="center"/>
              <w:ind w:left="430"/>
              <w:spacing w:after="0" w:line="257" w:lineRule="exact"/>
              <w:rPr>
                <w:sz w:val="20"/>
                <w:szCs w:val="20"/>
                <w:color w:val="auto"/>
              </w:rPr>
            </w:pPr>
            <w:r>
              <w:rPr>
                <w:rFonts w:ascii="Arial" w:cs="Arial" w:eastAsia="Arial" w:hAnsi="Arial"/>
                <w:sz w:val="18"/>
                <w:szCs w:val="18"/>
                <w:color w:val="auto"/>
                <w:w w:val="85"/>
              </w:rPr>
              <w:t xml:space="preserve">31, 2020 </w:t>
            </w:r>
            <w:r>
              <w:rPr>
                <w:rFonts w:ascii="Arial" w:cs="Arial" w:eastAsia="Arial" w:hAnsi="Arial"/>
                <w:sz w:val="25"/>
                <w:szCs w:val="25"/>
                <w:color w:val="auto"/>
                <w:w w:val="85"/>
                <w:vertAlign w:val="superscript"/>
              </w:rPr>
              <w:t>(a)</w:t>
            </w:r>
          </w:p>
        </w:tc>
        <w:tc>
          <w:tcPr>
            <w:tcW w:w="5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70"/>
              <w:spacing w:after="0" w:line="257" w:lineRule="exact"/>
              <w:rPr>
                <w:sz w:val="20"/>
                <w:szCs w:val="20"/>
                <w:color w:val="auto"/>
              </w:rPr>
            </w:pPr>
            <w:r>
              <w:rPr>
                <w:rFonts w:ascii="Arial" w:cs="Arial" w:eastAsia="Arial" w:hAnsi="Arial"/>
                <w:sz w:val="18"/>
                <w:szCs w:val="18"/>
                <w:color w:val="auto"/>
              </w:rPr>
              <w:t xml:space="preserve">2020 </w:t>
            </w:r>
            <w:r>
              <w:rPr>
                <w:rFonts w:ascii="Arial" w:cs="Arial" w:eastAsia="Arial" w:hAnsi="Arial"/>
                <w:sz w:val="25"/>
                <w:szCs w:val="25"/>
                <w:color w:val="auto"/>
                <w:vertAlign w:val="superscript"/>
              </w:rPr>
              <w:t>(b)</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2022</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2023</w:t>
            </w: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44"/>
        </w:trPr>
        <w:tc>
          <w:tcPr>
            <w:tcW w:w="236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i w:val="1"/>
                <w:iCs w:val="1"/>
                <w:color w:val="auto"/>
              </w:rPr>
              <w:t>(in millions)</w:t>
            </w:r>
          </w:p>
        </w:tc>
        <w:tc>
          <w:tcPr>
            <w:tcW w:w="1620" w:type="dxa"/>
            <w:vAlign w:val="bottom"/>
            <w:tcBorders>
              <w:bottom w:val="single" w:sz="8" w:color="CEFFE7"/>
            </w:tcBorders>
            <w:shd w:val="clear" w:color="auto" w:fill="CEFFE7"/>
          </w:tcPr>
          <w:p>
            <w:pPr>
              <w:spacing w:after="0"/>
              <w:rPr>
                <w:sz w:val="21"/>
                <w:szCs w:val="21"/>
                <w:color w:val="auto"/>
              </w:rPr>
            </w:pPr>
          </w:p>
        </w:tc>
        <w:tc>
          <w:tcPr>
            <w:tcW w:w="50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60" w:type="dxa"/>
            <w:vAlign w:val="bottom"/>
            <w:gridSpan w:val="2"/>
          </w:tcPr>
          <w:p>
            <w:pPr>
              <w:ind w:left="40"/>
              <w:spacing w:after="0"/>
              <w:rPr>
                <w:sz w:val="20"/>
                <w:szCs w:val="20"/>
                <w:color w:val="auto"/>
              </w:rPr>
            </w:pPr>
            <w:r>
              <w:rPr>
                <w:rFonts w:ascii="Arial" w:cs="Arial" w:eastAsia="Arial" w:hAnsi="Arial"/>
                <w:sz w:val="18"/>
                <w:szCs w:val="18"/>
                <w:color w:val="auto"/>
              </w:rPr>
              <w:t>Electric Utilities</w:t>
            </w:r>
          </w:p>
        </w:tc>
        <w:tc>
          <w:tcPr>
            <w:tcW w:w="1620" w:type="dxa"/>
            <w:vAlign w:val="bottom"/>
          </w:tcPr>
          <w:p>
            <w:pPr>
              <w:ind w:left="2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246</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203</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170</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
        </w:trPr>
        <w:tc>
          <w:tcPr>
            <w:tcW w:w="1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6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Gas Utilities</w:t>
            </w:r>
          </w:p>
        </w:tc>
        <w:tc>
          <w:tcPr>
            <w:tcW w:w="1620" w:type="dxa"/>
            <w:vAlign w:val="bottom"/>
            <w:tcBorders>
              <w:bottom w:val="single" w:sz="8" w:color="CEFFE7"/>
            </w:tcBorders>
            <w:shd w:val="clear" w:color="auto" w:fill="CEFFE7"/>
          </w:tcPr>
          <w:p>
            <w:pPr>
              <w:spacing w:after="0"/>
              <w:rPr>
                <w:sz w:val="21"/>
                <w:szCs w:val="21"/>
                <w:color w:val="auto"/>
              </w:rPr>
            </w:pPr>
          </w:p>
        </w:tc>
        <w:tc>
          <w:tcPr>
            <w:tcW w:w="5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113</w:t>
            </w:r>
          </w:p>
        </w:tc>
        <w:tc>
          <w:tcPr>
            <w:tcW w:w="26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391</w:t>
            </w:r>
          </w:p>
        </w:tc>
        <w:tc>
          <w:tcPr>
            <w:tcW w:w="30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309</w:t>
            </w:r>
          </w:p>
        </w:tc>
        <w:tc>
          <w:tcPr>
            <w:tcW w:w="30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285</w:t>
            </w:r>
          </w:p>
        </w:tc>
        <w:tc>
          <w:tcPr>
            <w:tcW w:w="30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316</w:t>
            </w:r>
          </w:p>
        </w:tc>
        <w:tc>
          <w:tcPr>
            <w:tcW w:w="22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43"/>
        </w:trPr>
        <w:tc>
          <w:tcPr>
            <w:tcW w:w="2360" w:type="dxa"/>
            <w:vAlign w:val="bottom"/>
            <w:gridSpan w:val="2"/>
          </w:tcPr>
          <w:p>
            <w:pPr>
              <w:ind w:left="40"/>
              <w:spacing w:after="0"/>
              <w:rPr>
                <w:sz w:val="20"/>
                <w:szCs w:val="20"/>
                <w:color w:val="auto"/>
              </w:rPr>
            </w:pPr>
            <w:r>
              <w:rPr>
                <w:rFonts w:ascii="Arial" w:cs="Arial" w:eastAsia="Arial" w:hAnsi="Arial"/>
                <w:sz w:val="18"/>
                <w:szCs w:val="18"/>
                <w:color w:val="auto"/>
              </w:rPr>
              <w:t>Power Generation</w:t>
            </w:r>
          </w:p>
        </w:tc>
        <w:tc>
          <w:tcPr>
            <w:tcW w:w="162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1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6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Mining</w:t>
            </w:r>
          </w:p>
        </w:tc>
        <w:tc>
          <w:tcPr>
            <w:tcW w:w="1620" w:type="dxa"/>
            <w:vAlign w:val="bottom"/>
            <w:tcBorders>
              <w:bottom w:val="single" w:sz="8" w:color="CEFFE7"/>
            </w:tcBorders>
            <w:shd w:val="clear" w:color="auto" w:fill="CEFFE7"/>
          </w:tcPr>
          <w:p>
            <w:pPr>
              <w:spacing w:after="0"/>
              <w:rPr>
                <w:sz w:val="21"/>
                <w:szCs w:val="21"/>
                <w:color w:val="auto"/>
              </w:rPr>
            </w:pPr>
          </w:p>
        </w:tc>
        <w:tc>
          <w:tcPr>
            <w:tcW w:w="5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w:t>
            </w:r>
          </w:p>
        </w:tc>
        <w:tc>
          <w:tcPr>
            <w:tcW w:w="30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12</w:t>
            </w:r>
          </w:p>
        </w:tc>
        <w:tc>
          <w:tcPr>
            <w:tcW w:w="30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w:t>
            </w:r>
          </w:p>
        </w:tc>
        <w:tc>
          <w:tcPr>
            <w:tcW w:w="30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2360" w:type="dxa"/>
            <w:vAlign w:val="bottom"/>
            <w:gridSpan w:val="2"/>
          </w:tcPr>
          <w:p>
            <w:pPr>
              <w:ind w:left="40"/>
              <w:spacing w:after="0"/>
              <w:rPr>
                <w:sz w:val="20"/>
                <w:szCs w:val="20"/>
                <w:color w:val="auto"/>
              </w:rPr>
            </w:pPr>
            <w:r>
              <w:rPr>
                <w:rFonts w:ascii="Arial" w:cs="Arial" w:eastAsia="Arial" w:hAnsi="Arial"/>
                <w:sz w:val="18"/>
                <w:szCs w:val="18"/>
                <w:color w:val="auto"/>
              </w:rPr>
              <w:t>Corporate and Other</w:t>
            </w:r>
          </w:p>
        </w:tc>
        <w:tc>
          <w:tcPr>
            <w:tcW w:w="162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1520" w:type="dxa"/>
            <w:vAlign w:val="bottom"/>
            <w:tcBorders>
              <w:bottom w:val="single" w:sz="8" w:color="CEFFE7"/>
            </w:tcBorders>
          </w:tcPr>
          <w:p>
            <w:pPr>
              <w:spacing w:after="0"/>
              <w:rPr>
                <w:sz w:val="2"/>
                <w:szCs w:val="2"/>
                <w:color w:val="auto"/>
              </w:rPr>
            </w:pPr>
          </w:p>
        </w:tc>
        <w:tc>
          <w:tcPr>
            <w:tcW w:w="840" w:type="dxa"/>
            <w:vAlign w:val="bottom"/>
            <w:tcBorders>
              <w:bottom w:val="single" w:sz="8" w:color="CEFFE7"/>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520" w:type="dxa"/>
            <w:vAlign w:val="bottom"/>
            <w:tcBorders>
              <w:bottom w:val="single" w:sz="8" w:color="CEFFE7"/>
            </w:tcBorders>
            <w:shd w:val="clear" w:color="auto" w:fill="CEFFE7"/>
          </w:tcPr>
          <w:p>
            <w:pPr>
              <w:spacing w:after="0"/>
              <w:rPr>
                <w:sz w:val="22"/>
                <w:szCs w:val="22"/>
                <w:color w:val="auto"/>
              </w:rPr>
            </w:pPr>
          </w:p>
        </w:tc>
        <w:tc>
          <w:tcPr>
            <w:tcW w:w="840" w:type="dxa"/>
            <w:vAlign w:val="bottom"/>
            <w:tcBorders>
              <w:bottom w:val="single" w:sz="8" w:color="CEFFE7"/>
            </w:tcBorders>
            <w:shd w:val="clear" w:color="auto" w:fill="CEFFE7"/>
          </w:tcPr>
          <w:p>
            <w:pPr>
              <w:spacing w:after="0"/>
              <w:rPr>
                <w:sz w:val="22"/>
                <w:szCs w:val="22"/>
                <w:color w:val="auto"/>
              </w:rPr>
            </w:pPr>
          </w:p>
        </w:tc>
        <w:tc>
          <w:tcPr>
            <w:tcW w:w="16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173</w:t>
            </w:r>
          </w:p>
        </w:tc>
        <w:tc>
          <w:tcPr>
            <w:tcW w:w="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669</w:t>
            </w:r>
          </w:p>
        </w:tc>
        <w:tc>
          <w:tcPr>
            <w:tcW w:w="30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555</w:t>
            </w:r>
          </w:p>
        </w:tc>
        <w:tc>
          <w:tcPr>
            <w:tcW w:w="30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486</w:t>
            </w:r>
          </w:p>
        </w:tc>
        <w:tc>
          <w:tcPr>
            <w:tcW w:w="30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480</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0"/>
        </w:trPr>
        <w:tc>
          <w:tcPr>
            <w:tcW w:w="1520" w:type="dxa"/>
            <w:vAlign w:val="bottom"/>
            <w:tcBorders>
              <w:top w:val="single" w:sz="8" w:color="CEFFE7"/>
              <w:bottom w:val="single" w:sz="8" w:color="CEFFE7"/>
            </w:tcBorders>
            <w:vMerge w:val="restart"/>
          </w:tcPr>
          <w:p>
            <w:pPr>
              <w:spacing w:after="0"/>
              <w:rPr>
                <w:sz w:val="20"/>
                <w:szCs w:val="20"/>
                <w:color w:val="auto"/>
              </w:rPr>
            </w:pPr>
            <w:r>
              <w:rPr>
                <w:rFonts w:ascii="Arial" w:cs="Arial" w:eastAsia="Arial" w:hAnsi="Arial"/>
                <w:sz w:val="16"/>
                <w:szCs w:val="16"/>
                <w:color w:val="auto"/>
              </w:rPr>
              <w:t>__________</w:t>
            </w:r>
          </w:p>
        </w:tc>
        <w:tc>
          <w:tcPr>
            <w:tcW w:w="840" w:type="dxa"/>
            <w:vAlign w:val="bottom"/>
            <w:tcBorders>
              <w:top w:val="single" w:sz="8" w:color="CEFFE7"/>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520" w:type="dxa"/>
            <w:vAlign w:val="bottom"/>
            <w:vMerge w:val="continue"/>
          </w:tcPr>
          <w:p>
            <w:pPr>
              <w:spacing w:after="0"/>
              <w:rPr>
                <w:sz w:val="15"/>
                <w:szCs w:val="15"/>
                <w:color w:val="auto"/>
              </w:rPr>
            </w:pPr>
          </w:p>
        </w:tc>
        <w:tc>
          <w:tcPr>
            <w:tcW w:w="8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Expenditures for the three months ended March 31, 2020 include the impact of accruals for property, plant and equipment.</w:t>
      </w:r>
    </w:p>
    <w:p>
      <w:pPr>
        <w:spacing w:after="0" w:line="5" w:lineRule="exact"/>
        <w:rPr>
          <w:rFonts w:ascii="Arial" w:cs="Arial" w:eastAsia="Arial" w:hAnsi="Arial"/>
          <w:sz w:val="16"/>
          <w:szCs w:val="16"/>
          <w:color w:val="auto"/>
        </w:rPr>
      </w:pPr>
    </w:p>
    <w:p>
      <w:pPr>
        <w:ind w:left="360" w:hanging="352"/>
        <w:spacing w:after="0"/>
        <w:tabs>
          <w:tab w:leader="none" w:pos="3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Includes actual capital expenditures for the three months ended March 31, 2020.</w:t>
      </w:r>
    </w:p>
    <w:p>
      <w:pPr>
        <w:spacing w:after="0" w:line="20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are monitoring supply chains, including lead times for key materials and supplies, availability of resources, and status of large capital projects. To date, there have been limited impacts to supply chains including availability of supplies and materials and lead times and capital projects are ongoing without material disruption to schedules. Our third party resources continue to support our business plans without disruption. Contingency plans are ongoing due to the impacts of COVID-19, including the potential for rescheduling projects. We currently do not anticipate a significant impact on our capital investment plan for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26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There have been no significant changes in contractual obligations from those previously disclosed in Note 19 of our Notes to the Consolidated Financial Statements in our 2019 Annual Report on Form 10-K except for the items described in </w:t>
      </w:r>
      <w:hyperlink w:anchor="page30">
        <w:r>
          <w:rPr>
            <w:rFonts w:ascii="Arial" w:cs="Arial" w:eastAsia="Arial" w:hAnsi="Arial"/>
            <w:sz w:val="18"/>
            <w:szCs w:val="18"/>
            <w:u w:val="single" w:color="auto"/>
            <w:color w:val="0000EE"/>
          </w:rPr>
          <w:t>Note 13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Notes to Condensed Consolidated Financial Statements in this Quarterly Report on Form 10-Q.</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Commitments</w:t>
      </w:r>
    </w:p>
    <w:p>
      <w:pPr>
        <w:spacing w:after="0" w:line="229" w:lineRule="exact"/>
        <w:rPr>
          <w:sz w:val="20"/>
          <w:szCs w:val="20"/>
          <w:color w:val="auto"/>
        </w:rPr>
      </w:pPr>
    </w:p>
    <w:p>
      <w:pPr>
        <w:ind w:right="80"/>
        <w:spacing w:after="0" w:line="342" w:lineRule="auto"/>
        <w:rPr>
          <w:rFonts w:ascii="Arial" w:cs="Arial" w:eastAsia="Arial" w:hAnsi="Arial"/>
          <w:sz w:val="16"/>
          <w:szCs w:val="16"/>
          <w:color w:val="auto"/>
        </w:rPr>
      </w:pPr>
      <w:r>
        <w:rPr>
          <w:rFonts w:ascii="Arial" w:cs="Arial" w:eastAsia="Arial" w:hAnsi="Arial"/>
          <w:sz w:val="16"/>
          <w:szCs w:val="16"/>
          <w:color w:val="auto"/>
        </w:rPr>
        <w:t xml:space="preserve">There have been no significant changes to off-balance sheet commitments from those previously disclosed in Item 7 of our 2019 Annual Report on Form 10-K filed with the SEC except for the items described in </w:t>
      </w:r>
      <w:hyperlink w:anchor="page21">
        <w:r>
          <w:rPr>
            <w:rFonts w:ascii="Arial" w:cs="Arial" w:eastAsia="Arial" w:hAnsi="Arial"/>
            <w:sz w:val="16"/>
            <w:szCs w:val="16"/>
            <w:u w:val="single" w:color="auto"/>
            <w:color w:val="0000EE"/>
          </w:rPr>
          <w:t>Note 7</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Condensed Consolidated Financial Statements in this Quarterly Report on</w:t>
      </w:r>
    </w:p>
    <w:p>
      <w:pPr>
        <w:sectPr>
          <w:pgSz w:w="11900" w:h="16838" w:orient="portrait"/>
          <w:cols w:equalWidth="0" w:num="1">
            <w:col w:w="11240"/>
          </w:cols>
          <w:pgMar w:left="320" w:top="126" w:right="339" w:bottom="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Form 10-Q.</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jc w:val="both"/>
        <w:ind w:right="60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Other than the pronouncements reported in our 2019 Annual Report on Form 10-K filed with the SEC and those discussed in </w:t>
      </w:r>
      <w:hyperlink w:anchor="page13">
        <w:r>
          <w:rPr>
            <w:rFonts w:ascii="Arial" w:cs="Arial" w:eastAsia="Arial" w:hAnsi="Arial"/>
            <w:sz w:val="18"/>
            <w:szCs w:val="18"/>
            <w:u w:val="single" w:color="auto"/>
            <w:color w:val="0000EE"/>
          </w:rPr>
          <w:t>Note 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Notes to Condensed Consolidated Financial Statements in this Quarterly Report on Form 10-Q, there have been no new accounting pronouncements that are expected to have a material effect on our financial position, results of operations, or cash flows.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INFORMATION</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This Quarterly Report on Form 10-Q contains forward-looking statements as defined by the SEC. Forward-looking statements are all statements other than statements of historical fact, including without limitation those statements that are identified by the words “anticipates,” “estimates,” “expects,” “intends,” “plans,” “predicts” and similar expressions, and include statements concerning plans, objectives, goals, strategies, future events or performance, and underlying assumptions and other statements that are other than statements of historical facts. From time to time, the Company may publish or otherwise make available forward-looking statements of this nature, including statements contained within Item 2 - Management’s Discussion &amp; Analysis of Financial Condition and Results of Operations.</w:t>
      </w:r>
    </w:p>
    <w:p>
      <w:pPr>
        <w:spacing w:after="0" w:line="19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Forward-looking statements involve risks and uncertainties, which could cause actual results or outcomes to differ materially from those expressed. The Company’s expectations, beliefs and projections are expressed in good faith and are believed by the Company to have a reasonable basis, including without limitation, management’s examination of historical operating trends, data contained in the Company’s records and other data available from third parties. Nonetheless, the Company’s expectations, beliefs or projections may not be achieved or accomplished.</w:t>
      </w:r>
    </w:p>
    <w:p>
      <w:pPr>
        <w:spacing w:after="0" w:line="171" w:lineRule="exact"/>
        <w:rPr>
          <w:sz w:val="20"/>
          <w:szCs w:val="20"/>
          <w:color w:val="auto"/>
        </w:rPr>
      </w:pPr>
    </w:p>
    <w:p>
      <w:pPr>
        <w:ind w:right="60"/>
        <w:spacing w:after="0" w:line="271" w:lineRule="auto"/>
        <w:rPr>
          <w:rFonts w:ascii="Arial" w:cs="Arial" w:eastAsia="Arial" w:hAnsi="Arial"/>
          <w:sz w:val="17"/>
          <w:szCs w:val="17"/>
          <w:color w:val="auto"/>
        </w:rPr>
      </w:pPr>
      <w:r>
        <w:rPr>
          <w:rFonts w:ascii="Arial" w:cs="Arial" w:eastAsia="Arial" w:hAnsi="Arial"/>
          <w:sz w:val="17"/>
          <w:szCs w:val="17"/>
          <w:color w:val="auto"/>
        </w:rPr>
        <w:t xml:space="preserve">Any forward-looking statement contained in this document speaks only as of the date the statement was made. The Company undertakes no obligation to update any forward-looking statement or statements to reflect events or circumstances that occur after the date on which the statement was made or to reflect the occurrence of unanticipated events. New factors emerge from time to time, such as the COVID-19 pandemic, and it is not possible for management to predict all of the factors, nor can it assess the effect of each factor on the Company’s business or the extent to which any factor, or combination of factors, may cause actual results to differ materially from those contained in any forward-looking statement. All forward-looking statements, whether written or oral and whether made by or on behalf of the Company, are expressly qualified by the risk factors and cautionary statements described in our 2019 Annual Report on Form 10-K including statements contained within Item 1A - Risk Factors of our 2019 Annual Report on Form 10-K, Part II, </w:t>
      </w:r>
      <w:hyperlink w:anchor="page50">
        <w:r>
          <w:rPr>
            <w:rFonts w:ascii="Arial" w:cs="Arial" w:eastAsia="Arial" w:hAnsi="Arial"/>
            <w:sz w:val="17"/>
            <w:szCs w:val="17"/>
            <w:u w:val="single" w:color="auto"/>
            <w:color w:val="0000EE"/>
          </w:rPr>
          <w:t>Item 1A</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this Quarterly Report on Form 10-Q and other reports that we file with the SEC from time to time.</w:t>
      </w:r>
    </w:p>
    <w:p>
      <w:pPr>
        <w:spacing w:after="0" w:line="39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right="80"/>
        <w:spacing w:after="0" w:line="308" w:lineRule="auto"/>
        <w:rPr>
          <w:rFonts w:ascii="Arial" w:cs="Arial" w:eastAsia="Arial" w:hAnsi="Arial"/>
          <w:sz w:val="17"/>
          <w:szCs w:val="17"/>
          <w:color w:val="0000EE"/>
        </w:rPr>
      </w:pPr>
      <w:hyperlink w:anchor="page22">
        <w:r>
          <w:rPr>
            <w:rFonts w:ascii="Arial" w:cs="Arial" w:eastAsia="Arial" w:hAnsi="Arial"/>
            <w:sz w:val="17"/>
            <w:szCs w:val="17"/>
            <w:color w:val="auto"/>
          </w:rPr>
          <w:t xml:space="preserve">Information regarding our quantitative and qualitative disclosures about market risk is disclosed in Item 7A of our Annual Report on Form 10-K. See </w:t>
        </w:r>
        <w:r>
          <w:rPr>
            <w:rFonts w:ascii="Arial" w:cs="Arial" w:eastAsia="Arial" w:hAnsi="Arial"/>
            <w:sz w:val="17"/>
            <w:szCs w:val="17"/>
            <w:u w:val="single" w:color="auto"/>
            <w:color w:val="0000EE"/>
          </w:rPr>
          <w:t>Note</w:t>
        </w:r>
      </w:hyperlink>
      <w:r>
        <w:rPr>
          <w:rFonts w:ascii="Arial" w:cs="Arial" w:eastAsia="Arial" w:hAnsi="Arial"/>
          <w:sz w:val="17"/>
          <w:szCs w:val="17"/>
          <w:color w:val="auto"/>
        </w:rPr>
        <w:t xml:space="preserve"> </w:t>
      </w:r>
      <w:hyperlink w:anchor="page22">
        <w:r>
          <w:rPr>
            <w:rFonts w:ascii="Arial" w:cs="Arial" w:eastAsia="Arial" w:hAnsi="Arial"/>
            <w:sz w:val="17"/>
            <w:szCs w:val="17"/>
            <w:u w:val="single" w:color="auto"/>
            <w:color w:val="0000EE"/>
          </w:rPr>
          <w:t>9</w:t>
        </w:r>
        <w:r>
          <w:rPr>
            <w:rFonts w:ascii="Arial" w:cs="Arial" w:eastAsia="Arial" w:hAnsi="Arial"/>
            <w:sz w:val="17"/>
            <w:szCs w:val="17"/>
            <w:color w:val="0000EE"/>
          </w:rPr>
          <w:t xml:space="preserve"> </w:t>
        </w:r>
        <w:r>
          <w:rPr>
            <w:rFonts w:ascii="Arial" w:cs="Arial" w:eastAsia="Arial" w:hAnsi="Arial"/>
            <w:sz w:val="17"/>
            <w:szCs w:val="17"/>
            <w:color w:val="000000"/>
          </w:rPr>
          <w:t>of the Notes to Condensed Consolidated Financial Statements for updates to market risks during the three months ended March 31, 2020.</w:t>
        </w:r>
      </w:hyperlink>
    </w:p>
    <w:p>
      <w:pPr>
        <w:spacing w:after="0" w:line="35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Our Chief Executive Officer and Chief Financial Officer evaluated the effectiveness of our disclosure controls and procedures (as defined in Rules 13a-15(e) and 15d-15(e) of the Securities Exchange Act of 1934, as amended (the “Exchange Act”)) as of March 31, 2020. Based on their evaluation, they have concluded that our disclosure controls and procedures were effective at March 31, 2020.</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disclosure controls and procedures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the quarter ended March 31, 2020, there have been no changes in our internal controls over financial reporting that have materially affected or are reasonably likely to materially affect our internal control over financial reporting. Although we have altered some work routines due to the COVID-19 pandemic, the changes in our work environment (i.e. remote work arrangements) have not materially impacted our internal controls over financial reporting and have not adversely affected the Company’s ability to maintain operations, including financial reporting systems, ICFR, and disclosure controls and procedures.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PART II.</w:t>
        <w:tab/>
        <w:t>OTHER INFORMATION</w:t>
      </w:r>
    </w:p>
    <w:p>
      <w:pPr>
        <w:spacing w:after="0" w:line="21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02" w:lineRule="exact"/>
        <w:rPr>
          <w:sz w:val="20"/>
          <w:szCs w:val="20"/>
          <w:color w:val="auto"/>
        </w:rPr>
      </w:pPr>
    </w:p>
    <w:p>
      <w:pPr>
        <w:ind w:right="58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For information regarding legal proceedings, see Note 19 in Item 8 of our 2019 Annual Report on Form 10-K and </w:t>
      </w:r>
      <w:hyperlink w:anchor="page30">
        <w:r>
          <w:rPr>
            <w:rFonts w:ascii="Arial" w:cs="Arial" w:eastAsia="Arial" w:hAnsi="Arial"/>
            <w:sz w:val="18"/>
            <w:szCs w:val="18"/>
            <w:u w:val="single" w:color="auto"/>
            <w:color w:val="0000EE"/>
          </w:rPr>
          <w:t>Note 13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in Item 1 of Part I of this Quarterly Report on Form 10-Q, which information from </w:t>
      </w:r>
      <w:hyperlink w:anchor="page30">
        <w:r>
          <w:rPr>
            <w:rFonts w:ascii="Arial" w:cs="Arial" w:eastAsia="Arial" w:hAnsi="Arial"/>
            <w:sz w:val="18"/>
            <w:szCs w:val="18"/>
            <w:u w:val="single" w:color="auto"/>
            <w:color w:val="0000EE"/>
          </w:rPr>
          <w:t>Note 13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is incorporated by reference into this item.</w:t>
      </w:r>
    </w:p>
    <w:p>
      <w:pPr>
        <w:spacing w:after="0" w:line="15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0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There are no material changes to the risk factors previously disclosed in Item 1A of Part I in our 2019 Annual Report on Form 10-K filed with the SEC except as shown below:</w:t>
      </w:r>
    </w:p>
    <w:p>
      <w:pPr>
        <w:spacing w:after="0" w:line="180" w:lineRule="exact"/>
        <w:rPr>
          <w:sz w:val="20"/>
          <w:szCs w:val="20"/>
          <w:color w:val="auto"/>
        </w:rPr>
      </w:pPr>
    </w:p>
    <w:p>
      <w:pPr>
        <w:ind w:right="760"/>
        <w:spacing w:after="0" w:line="282" w:lineRule="auto"/>
        <w:rPr>
          <w:sz w:val="20"/>
          <w:szCs w:val="20"/>
          <w:color w:val="auto"/>
        </w:rPr>
      </w:pPr>
      <w:r>
        <w:rPr>
          <w:rFonts w:ascii="Arial" w:cs="Arial" w:eastAsia="Arial" w:hAnsi="Arial"/>
          <w:sz w:val="18"/>
          <w:szCs w:val="18"/>
          <w:b w:val="1"/>
          <w:bCs w:val="1"/>
          <w:color w:val="auto"/>
        </w:rPr>
        <w:t>Our business, results of operations, financial condition and cash flows could be adversely affected by the recent coronavirus (COVID-19) pandemic.</w:t>
      </w:r>
    </w:p>
    <w:p>
      <w:pPr>
        <w:spacing w:after="0" w:line="16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212529"/>
        </w:rPr>
        <w:t>We are responding to the global pandemic of COVID-19 by taking steps to mitigate the potential risks to us posed by its spread. We provide an essential service to our customers which means it is critical we keep our employees who operate our businesses healthy and minimize unnecessary exposure to the virus. We continue to execute our business continuity plan and have implemented a comprehensive set of actions for the health and safety of our customers, employees, business partners and the communities we serve. We have taken extra precautions for our employees who work in the field and for employees who continue to work in our facilities and we have implemented work from home policies where appropriate. We have implemented sequestration plans for employees critical to maintaining reliable service.</w:t>
      </w:r>
    </w:p>
    <w:p>
      <w:pPr>
        <w:spacing w:after="0" w:line="192"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212529"/>
        </w:rPr>
        <w:t>We have informed both our customers and regulators that disconnections for non-payment will be temporarily suspended. We have instituted measures to ensure our supply chain remains open to us. We continue to implement strong physical and cyber-security measures to ensure our systems remain functional to both serve our operational needs with a remote workforce and to provide uninterrupted service to our customers.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March 31, 2020, the impacts of COVID-19 had a minimal financial impact on our business, operations and financial condition.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particular, we experienced minimal financial impacts to the following due to COVID-19:</w:t>
      </w:r>
    </w:p>
    <w:p>
      <w:pPr>
        <w:spacing w:after="0" w:line="211" w:lineRule="exact"/>
        <w:rPr>
          <w:sz w:val="20"/>
          <w:szCs w:val="20"/>
          <w:color w:val="auto"/>
        </w:rPr>
      </w:pPr>
    </w:p>
    <w:p>
      <w:pPr>
        <w:ind w:left="660" w:right="320" w:hanging="328"/>
        <w:spacing w:after="0" w:line="258"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Volatility in electricity and natural gas usage from our residential, commercial and industrial customers resulting in a minimal decrease in total demand;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Delayed payments from an isolated population of our commercial and industrial customers within hard-hit industries;</w:t>
      </w:r>
    </w:p>
    <w:p>
      <w:pPr>
        <w:spacing w:after="0" w:line="9"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Minimal disruptions receiving the materials and supplies necessary to maintain operations and continue executing our capital investment plans as planned;</w:t>
      </w: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Reduced availability and productivity of our employees;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Minimal impacts to the availability of our third-party resources;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Minimal decline in the funded status of our pension plan;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Increased costs due to sequestration of mission critical and essential employees;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Reduced training, travel and outside services related expenses.</w:t>
      </w:r>
    </w:p>
    <w:p>
      <w:pPr>
        <w:spacing w:after="0" w:line="21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Should the COVID-19 pandemic continue for a prolonged period, or impact the areas we serve more significantly than it has today, our business, operations and financial condition could be impacted in more significant ways. The continued spread of COVID-19 and efforts to contain the virus could have the following impacts, in addition to exacerbating the impacts described above:</w:t>
      </w:r>
    </w:p>
    <w:p>
      <w:pPr>
        <w:spacing w:after="0" w:line="184"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212529"/>
        </w:rPr>
      </w:pPr>
      <w:r>
        <w:rPr>
          <w:rFonts w:ascii="Arial" w:cs="Arial" w:eastAsia="Arial" w:hAnsi="Arial"/>
          <w:sz w:val="18"/>
          <w:szCs w:val="18"/>
          <w:color w:val="212529"/>
        </w:rPr>
        <w:t>Adversely impact our strategic business plans, growth strategy and capital investment plans;</w:t>
      </w:r>
    </w:p>
    <w:p>
      <w:pPr>
        <w:spacing w:after="0" w:line="23" w:lineRule="exact"/>
        <w:rPr>
          <w:rFonts w:ascii="Arial" w:cs="Arial" w:eastAsia="Arial" w:hAnsi="Arial"/>
          <w:sz w:val="18"/>
          <w:szCs w:val="18"/>
          <w:color w:val="212529"/>
        </w:rPr>
      </w:pPr>
    </w:p>
    <w:p>
      <w:pPr>
        <w:ind w:left="660" w:hanging="328"/>
        <w:spacing w:after="0"/>
        <w:tabs>
          <w:tab w:leader="none" w:pos="660" w:val="left"/>
        </w:tabs>
        <w:numPr>
          <w:ilvl w:val="0"/>
          <w:numId w:val="41"/>
        </w:numPr>
        <w:rPr>
          <w:rFonts w:ascii="Arial" w:cs="Arial" w:eastAsia="Arial" w:hAnsi="Arial"/>
          <w:sz w:val="17"/>
          <w:szCs w:val="17"/>
          <w:color w:val="212529"/>
        </w:rPr>
      </w:pPr>
      <w:r>
        <w:rPr>
          <w:rFonts w:ascii="Arial" w:cs="Arial" w:eastAsia="Arial" w:hAnsi="Arial"/>
          <w:sz w:val="17"/>
          <w:szCs w:val="17"/>
          <w:color w:val="212529"/>
        </w:rPr>
        <w:t>Adversely impact electricity and natural gas demand from our customers, particularly from businesses, commercial and industrial customers;</w:t>
      </w:r>
    </w:p>
    <w:p>
      <w:pPr>
        <w:spacing w:after="0" w:line="20" w:lineRule="exact"/>
        <w:rPr>
          <w:rFonts w:ascii="Arial" w:cs="Arial" w:eastAsia="Arial" w:hAnsi="Arial"/>
          <w:sz w:val="17"/>
          <w:szCs w:val="17"/>
          <w:color w:val="212529"/>
        </w:rPr>
      </w:pPr>
    </w:p>
    <w:p>
      <w:pPr>
        <w:ind w:left="660" w:hanging="328"/>
        <w:spacing w:after="0"/>
        <w:tabs>
          <w:tab w:leader="none" w:pos="660" w:val="left"/>
        </w:tabs>
        <w:numPr>
          <w:ilvl w:val="0"/>
          <w:numId w:val="41"/>
        </w:numPr>
        <w:rPr>
          <w:rFonts w:ascii="Arial" w:cs="Arial" w:eastAsia="Arial" w:hAnsi="Arial"/>
          <w:sz w:val="18"/>
          <w:szCs w:val="18"/>
          <w:color w:val="212529"/>
        </w:rPr>
      </w:pPr>
      <w:r>
        <w:rPr>
          <w:rFonts w:ascii="Arial" w:cs="Arial" w:eastAsia="Arial" w:hAnsi="Arial"/>
          <w:sz w:val="18"/>
          <w:szCs w:val="18"/>
          <w:color w:val="212529"/>
        </w:rPr>
        <w:t>Reduce the availability and productivity of our employees and third-party resources;</w:t>
      </w:r>
    </w:p>
    <w:p>
      <w:pPr>
        <w:spacing w:after="0" w:line="9" w:lineRule="exact"/>
        <w:rPr>
          <w:rFonts w:ascii="Arial" w:cs="Arial" w:eastAsia="Arial" w:hAnsi="Arial"/>
          <w:sz w:val="18"/>
          <w:szCs w:val="18"/>
          <w:color w:val="212529"/>
        </w:rPr>
      </w:pPr>
    </w:p>
    <w:p>
      <w:pPr>
        <w:ind w:left="660" w:hanging="328"/>
        <w:spacing w:after="0"/>
        <w:tabs>
          <w:tab w:leader="none" w:pos="660" w:val="left"/>
        </w:tabs>
        <w:numPr>
          <w:ilvl w:val="0"/>
          <w:numId w:val="41"/>
        </w:numPr>
        <w:rPr>
          <w:rFonts w:ascii="Arial" w:cs="Arial" w:eastAsia="Arial" w:hAnsi="Arial"/>
          <w:sz w:val="18"/>
          <w:szCs w:val="18"/>
          <w:color w:val="212529"/>
        </w:rPr>
      </w:pPr>
      <w:r>
        <w:rPr>
          <w:rFonts w:ascii="Arial" w:cs="Arial" w:eastAsia="Arial" w:hAnsi="Arial"/>
          <w:sz w:val="18"/>
          <w:szCs w:val="18"/>
          <w:color w:val="212529"/>
        </w:rPr>
        <w:t>Cause us to experience an increase in costs as a result of our emergency measures;</w:t>
      </w:r>
    </w:p>
    <w:p>
      <w:pPr>
        <w:spacing w:after="0" w:line="9" w:lineRule="exact"/>
        <w:rPr>
          <w:rFonts w:ascii="Arial" w:cs="Arial" w:eastAsia="Arial" w:hAnsi="Arial"/>
          <w:sz w:val="18"/>
          <w:szCs w:val="18"/>
          <w:color w:val="212529"/>
        </w:rPr>
      </w:pPr>
    </w:p>
    <w:p>
      <w:pPr>
        <w:ind w:left="660" w:right="380" w:hanging="328"/>
        <w:spacing w:after="0" w:line="281" w:lineRule="auto"/>
        <w:tabs>
          <w:tab w:leader="none" w:pos="660" w:val="left"/>
        </w:tabs>
        <w:numPr>
          <w:ilvl w:val="0"/>
          <w:numId w:val="41"/>
        </w:numPr>
        <w:rPr>
          <w:rFonts w:ascii="Arial" w:cs="Arial" w:eastAsia="Arial" w:hAnsi="Arial"/>
          <w:sz w:val="16"/>
          <w:szCs w:val="16"/>
          <w:color w:val="212529"/>
        </w:rPr>
      </w:pPr>
      <w:r>
        <w:rPr>
          <w:rFonts w:ascii="Arial" w:cs="Arial" w:eastAsia="Arial" w:hAnsi="Arial"/>
          <w:sz w:val="16"/>
          <w:szCs w:val="16"/>
          <w:color w:val="212529"/>
        </w:rPr>
        <w:t>Result in i</w:t>
      </w:r>
      <w:r>
        <w:rPr>
          <w:rFonts w:ascii="Arial" w:cs="Arial" w:eastAsia="Arial" w:hAnsi="Arial"/>
          <w:sz w:val="16"/>
          <w:szCs w:val="16"/>
          <w:color w:val="000000"/>
        </w:rPr>
        <w:t>ncreased allowance for credit losses and bad debt expense</w:t>
      </w:r>
      <w:r>
        <w:rPr>
          <w:rFonts w:ascii="Arial" w:cs="Arial" w:eastAsia="Arial" w:hAnsi="Arial"/>
          <w:sz w:val="16"/>
          <w:szCs w:val="16"/>
          <w:color w:val="212529"/>
        </w:rPr>
        <w:t xml:space="preserve"> as a result of delayed or non-payment from our customers, both of which could be magnified by Federal or state government legislation that requires us to extend suspensions of disconnections for non-payment;</w:t>
      </w:r>
    </w:p>
    <w:p>
      <w:pPr>
        <w:spacing w:after="0" w:line="1" w:lineRule="exact"/>
        <w:rPr>
          <w:rFonts w:ascii="Arial" w:cs="Arial" w:eastAsia="Arial" w:hAnsi="Arial"/>
          <w:sz w:val="16"/>
          <w:szCs w:val="16"/>
          <w:color w:val="212529"/>
        </w:rPr>
      </w:pPr>
    </w:p>
    <w:p>
      <w:pPr>
        <w:ind w:left="660" w:hanging="328"/>
        <w:spacing w:after="0"/>
        <w:tabs>
          <w:tab w:leader="none" w:pos="660" w:val="left"/>
        </w:tabs>
        <w:numPr>
          <w:ilvl w:val="0"/>
          <w:numId w:val="41"/>
        </w:numPr>
        <w:rPr>
          <w:rFonts w:ascii="Arial" w:cs="Arial" w:eastAsia="Arial" w:hAnsi="Arial"/>
          <w:sz w:val="18"/>
          <w:szCs w:val="18"/>
          <w:color w:val="212529"/>
        </w:rPr>
      </w:pPr>
      <w:r>
        <w:rPr>
          <w:rFonts w:ascii="Arial" w:cs="Arial" w:eastAsia="Arial" w:hAnsi="Arial"/>
          <w:sz w:val="18"/>
          <w:szCs w:val="18"/>
          <w:color w:val="212529"/>
        </w:rPr>
        <w:t>Cause delays and disruptions in the availability, timely delivery and cost of materials and components used in our operations;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26" w:right="339" w:bottom="1440" w:gutter="0" w:footer="0" w:header="0"/>
        </w:sectPr>
      </w:pPr>
    </w:p>
    <w:bookmarkStart w:id="50" w:name="page51"/>
    <w:bookmarkEnd w:id="50"/>
    <w:p>
      <w:pPr>
        <w:spacing w:after="0" w:line="26" w:lineRule="exact"/>
        <w:rPr>
          <w:sz w:val="20"/>
          <w:szCs w:val="20"/>
          <w:color w:val="auto"/>
        </w:rPr>
      </w:pPr>
    </w:p>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ind w:left="660" w:right="780" w:hanging="328"/>
        <w:spacing w:after="0" w:line="258" w:lineRule="auto"/>
        <w:tabs>
          <w:tab w:leader="none" w:pos="660" w:val="left"/>
        </w:tabs>
        <w:numPr>
          <w:ilvl w:val="0"/>
          <w:numId w:val="42"/>
        </w:numPr>
        <w:rPr>
          <w:rFonts w:ascii="Arial" w:cs="Arial" w:eastAsia="Arial" w:hAnsi="Arial"/>
          <w:sz w:val="18"/>
          <w:szCs w:val="18"/>
          <w:color w:val="212529"/>
        </w:rPr>
      </w:pPr>
      <w:r>
        <w:rPr>
          <w:rFonts w:ascii="Arial" w:cs="Arial" w:eastAsia="Arial" w:hAnsi="Arial"/>
          <w:sz w:val="18"/>
          <w:szCs w:val="18"/>
          <w:color w:val="212529"/>
        </w:rPr>
        <w:t>Cause delays and disruptions in the supply chain resulting in disruptions in the commercial operation dates of certain projects impacting qualification criteria for certain tax credits and potential damages in our power purchase agreements;</w:t>
      </w:r>
    </w:p>
    <w:p>
      <w:pPr>
        <w:spacing w:after="0" w:line="1" w:lineRule="exact"/>
        <w:rPr>
          <w:rFonts w:ascii="Arial" w:cs="Arial" w:eastAsia="Arial" w:hAnsi="Arial"/>
          <w:sz w:val="18"/>
          <w:szCs w:val="18"/>
          <w:color w:val="212529"/>
        </w:rPr>
      </w:pPr>
    </w:p>
    <w:p>
      <w:pPr>
        <w:ind w:left="660" w:right="420" w:hanging="328"/>
        <w:spacing w:after="0" w:line="250" w:lineRule="auto"/>
        <w:tabs>
          <w:tab w:leader="none" w:pos="660" w:val="left"/>
        </w:tabs>
        <w:numPr>
          <w:ilvl w:val="0"/>
          <w:numId w:val="42"/>
        </w:numPr>
        <w:rPr>
          <w:rFonts w:ascii="Arial" w:cs="Arial" w:eastAsia="Arial" w:hAnsi="Arial"/>
          <w:sz w:val="18"/>
          <w:szCs w:val="18"/>
          <w:color w:val="212529"/>
        </w:rPr>
      </w:pPr>
      <w:r>
        <w:rPr>
          <w:rFonts w:ascii="Arial" w:cs="Arial" w:eastAsia="Arial" w:hAnsi="Arial"/>
          <w:sz w:val="18"/>
          <w:szCs w:val="18"/>
          <w:color w:val="212529"/>
        </w:rPr>
        <w:t>Cause a deterioration of the credit quality of our counterparties, including gas commodity contract counterparties, power purchase agreement counterparties, contractors or retail customers, that could result in credit losses;</w:t>
      </w:r>
    </w:p>
    <w:p>
      <w:pPr>
        <w:ind w:left="660" w:hanging="328"/>
        <w:spacing w:after="0"/>
        <w:tabs>
          <w:tab w:leader="none" w:pos="660" w:val="left"/>
        </w:tabs>
        <w:numPr>
          <w:ilvl w:val="0"/>
          <w:numId w:val="42"/>
        </w:numPr>
        <w:rPr>
          <w:rFonts w:ascii="Arial" w:cs="Arial" w:eastAsia="Arial" w:hAnsi="Arial"/>
          <w:sz w:val="18"/>
          <w:szCs w:val="18"/>
          <w:color w:val="212529"/>
        </w:rPr>
      </w:pPr>
      <w:r>
        <w:rPr>
          <w:rFonts w:ascii="Arial" w:cs="Arial" w:eastAsia="Arial" w:hAnsi="Arial"/>
          <w:sz w:val="18"/>
          <w:szCs w:val="18"/>
          <w:color w:val="212529"/>
        </w:rPr>
        <w:t>Cause impairment of goodwill or long-lived assets;</w:t>
      </w:r>
    </w:p>
    <w:p>
      <w:pPr>
        <w:spacing w:after="0" w:line="9" w:lineRule="exact"/>
        <w:rPr>
          <w:rFonts w:ascii="Arial" w:cs="Arial" w:eastAsia="Arial" w:hAnsi="Arial"/>
          <w:sz w:val="18"/>
          <w:szCs w:val="18"/>
          <w:color w:val="212529"/>
        </w:rPr>
      </w:pPr>
    </w:p>
    <w:p>
      <w:pPr>
        <w:ind w:left="660" w:hanging="328"/>
        <w:spacing w:after="0"/>
        <w:tabs>
          <w:tab w:leader="none" w:pos="660" w:val="left"/>
        </w:tabs>
        <w:numPr>
          <w:ilvl w:val="0"/>
          <w:numId w:val="42"/>
        </w:numPr>
        <w:rPr>
          <w:rFonts w:ascii="Arial" w:cs="Arial" w:eastAsia="Arial" w:hAnsi="Arial"/>
          <w:sz w:val="18"/>
          <w:szCs w:val="18"/>
          <w:color w:val="212529"/>
        </w:rPr>
      </w:pPr>
      <w:r>
        <w:rPr>
          <w:rFonts w:ascii="Arial" w:cs="Arial" w:eastAsia="Arial" w:hAnsi="Arial"/>
          <w:sz w:val="18"/>
          <w:szCs w:val="18"/>
          <w:color w:val="212529"/>
        </w:rPr>
        <w:t>Adversely impact our ability to develop, construct and operate facilities;</w:t>
      </w:r>
    </w:p>
    <w:p>
      <w:pPr>
        <w:spacing w:after="0" w:line="9" w:lineRule="exact"/>
        <w:rPr>
          <w:rFonts w:ascii="Arial" w:cs="Arial" w:eastAsia="Arial" w:hAnsi="Arial"/>
          <w:sz w:val="18"/>
          <w:szCs w:val="18"/>
          <w:color w:val="212529"/>
        </w:rPr>
      </w:pPr>
    </w:p>
    <w:p>
      <w:pPr>
        <w:ind w:left="660" w:right="500" w:hanging="328"/>
        <w:spacing w:after="0" w:line="250" w:lineRule="auto"/>
        <w:tabs>
          <w:tab w:leader="none" w:pos="660" w:val="left"/>
        </w:tabs>
        <w:numPr>
          <w:ilvl w:val="0"/>
          <w:numId w:val="42"/>
        </w:numPr>
        <w:rPr>
          <w:rFonts w:ascii="Arial" w:cs="Arial" w:eastAsia="Arial" w:hAnsi="Arial"/>
          <w:sz w:val="18"/>
          <w:szCs w:val="18"/>
          <w:color w:val="212529"/>
        </w:rPr>
      </w:pPr>
      <w:r>
        <w:rPr>
          <w:rFonts w:ascii="Arial" w:cs="Arial" w:eastAsia="Arial" w:hAnsi="Arial"/>
          <w:sz w:val="18"/>
          <w:szCs w:val="18"/>
          <w:color w:val="212529"/>
        </w:rPr>
        <w:t>Result in our inability to meet the requirements of the covenants in our existing credit facilities, including covenants regarding Consolidated Indebtedness to Capitalization Ratio;</w:t>
      </w:r>
    </w:p>
    <w:p>
      <w:pPr>
        <w:ind w:left="660" w:hanging="328"/>
        <w:spacing w:after="0"/>
        <w:tabs>
          <w:tab w:leader="none" w:pos="660" w:val="left"/>
        </w:tabs>
        <w:numPr>
          <w:ilvl w:val="0"/>
          <w:numId w:val="42"/>
        </w:numPr>
        <w:rPr>
          <w:rFonts w:ascii="Arial" w:cs="Arial" w:eastAsia="Arial" w:hAnsi="Arial"/>
          <w:sz w:val="18"/>
          <w:szCs w:val="18"/>
          <w:color w:val="212529"/>
        </w:rPr>
      </w:pPr>
      <w:r>
        <w:rPr>
          <w:rFonts w:ascii="Arial" w:cs="Arial" w:eastAsia="Arial" w:hAnsi="Arial"/>
          <w:sz w:val="18"/>
          <w:szCs w:val="18"/>
          <w:color w:val="212529"/>
        </w:rPr>
        <w:t>Cause a deterioration in our financial metrics or the business environment that adversely impacts our credit ratings;</w:t>
      </w:r>
    </w:p>
    <w:p>
      <w:pPr>
        <w:spacing w:after="0" w:line="9" w:lineRule="exact"/>
        <w:rPr>
          <w:rFonts w:ascii="Arial" w:cs="Arial" w:eastAsia="Arial" w:hAnsi="Arial"/>
          <w:sz w:val="18"/>
          <w:szCs w:val="18"/>
          <w:color w:val="212529"/>
        </w:rPr>
      </w:pPr>
    </w:p>
    <w:p>
      <w:pPr>
        <w:ind w:left="660" w:right="540" w:hanging="328"/>
        <w:spacing w:after="0" w:line="250" w:lineRule="auto"/>
        <w:tabs>
          <w:tab w:leader="none" w:pos="660" w:val="left"/>
        </w:tabs>
        <w:numPr>
          <w:ilvl w:val="0"/>
          <w:numId w:val="42"/>
        </w:numPr>
        <w:rPr>
          <w:rFonts w:ascii="Arial" w:cs="Arial" w:eastAsia="Arial" w:hAnsi="Arial"/>
          <w:sz w:val="18"/>
          <w:szCs w:val="18"/>
          <w:color w:val="212529"/>
        </w:rPr>
      </w:pPr>
      <w:r>
        <w:rPr>
          <w:rFonts w:ascii="Arial" w:cs="Arial" w:eastAsia="Arial" w:hAnsi="Arial"/>
          <w:sz w:val="18"/>
          <w:szCs w:val="18"/>
          <w:color w:val="212529"/>
        </w:rPr>
        <w:t>Cause a delay in the permitting process of certain development projects, affecting the timing of final investment decisions and start dates of construction;</w:t>
      </w:r>
    </w:p>
    <w:p>
      <w:pPr>
        <w:ind w:left="660" w:hanging="328"/>
        <w:spacing w:after="0"/>
        <w:tabs>
          <w:tab w:leader="none" w:pos="660" w:val="left"/>
        </w:tabs>
        <w:numPr>
          <w:ilvl w:val="0"/>
          <w:numId w:val="42"/>
        </w:numPr>
        <w:rPr>
          <w:rFonts w:ascii="Arial" w:cs="Arial" w:eastAsia="Arial" w:hAnsi="Arial"/>
          <w:sz w:val="18"/>
          <w:szCs w:val="18"/>
          <w:color w:val="212529"/>
        </w:rPr>
      </w:pPr>
      <w:r>
        <w:rPr>
          <w:rFonts w:ascii="Arial" w:cs="Arial" w:eastAsia="Arial" w:hAnsi="Arial"/>
          <w:sz w:val="18"/>
          <w:szCs w:val="18"/>
          <w:color w:val="212529"/>
        </w:rPr>
        <w:t>Adversely impact our liquidity position and cost of and ability to access funds from financial institutions and capital markets;</w:t>
      </w:r>
    </w:p>
    <w:p>
      <w:pPr>
        <w:spacing w:after="0" w:line="9" w:lineRule="exact"/>
        <w:rPr>
          <w:rFonts w:ascii="Arial" w:cs="Arial" w:eastAsia="Arial" w:hAnsi="Arial"/>
          <w:sz w:val="18"/>
          <w:szCs w:val="18"/>
          <w:color w:val="212529"/>
        </w:rPr>
      </w:pPr>
    </w:p>
    <w:p>
      <w:pPr>
        <w:ind w:left="660" w:hanging="328"/>
        <w:spacing w:after="0"/>
        <w:tabs>
          <w:tab w:leader="none" w:pos="660" w:val="left"/>
        </w:tabs>
        <w:numPr>
          <w:ilvl w:val="0"/>
          <w:numId w:val="42"/>
        </w:numPr>
        <w:rPr>
          <w:rFonts w:ascii="Arial" w:cs="Arial" w:eastAsia="Arial" w:hAnsi="Arial"/>
          <w:sz w:val="18"/>
          <w:szCs w:val="18"/>
          <w:color w:val="212529"/>
        </w:rPr>
      </w:pPr>
      <w:r>
        <w:rPr>
          <w:rFonts w:ascii="Arial" w:cs="Arial" w:eastAsia="Arial" w:hAnsi="Arial"/>
          <w:sz w:val="18"/>
          <w:szCs w:val="18"/>
          <w:color w:val="212529"/>
        </w:rPr>
        <w:t>Cause delays in our ability to change rates through regulatory proceedings; and</w:t>
      </w:r>
    </w:p>
    <w:p>
      <w:pPr>
        <w:spacing w:after="0" w:line="9" w:lineRule="exact"/>
        <w:rPr>
          <w:rFonts w:ascii="Arial" w:cs="Arial" w:eastAsia="Arial" w:hAnsi="Arial"/>
          <w:sz w:val="18"/>
          <w:szCs w:val="18"/>
          <w:color w:val="212529"/>
        </w:rPr>
      </w:pPr>
    </w:p>
    <w:p>
      <w:pPr>
        <w:ind w:left="660" w:right="100" w:hanging="328"/>
        <w:spacing w:after="0" w:line="260" w:lineRule="auto"/>
        <w:tabs>
          <w:tab w:leader="none" w:pos="660" w:val="left"/>
        </w:tabs>
        <w:numPr>
          <w:ilvl w:val="0"/>
          <w:numId w:val="42"/>
        </w:numPr>
        <w:rPr>
          <w:rFonts w:ascii="Arial" w:cs="Arial" w:eastAsia="Arial" w:hAnsi="Arial"/>
          <w:sz w:val="18"/>
          <w:szCs w:val="18"/>
          <w:color w:val="212529"/>
        </w:rPr>
      </w:pPr>
      <w:r>
        <w:rPr>
          <w:rFonts w:ascii="Arial" w:cs="Arial" w:eastAsia="Arial" w:hAnsi="Arial"/>
          <w:sz w:val="18"/>
          <w:szCs w:val="18"/>
          <w:color w:val="212529"/>
        </w:rPr>
        <w:t>Cause other risks to impact us, such as the risks described in the “Risk Factors” section of our 2019 Annual Report on Form 10-K, and our ability to meet our financial obligations.</w:t>
      </w:r>
    </w:p>
    <w:p>
      <w:pPr>
        <w:spacing w:after="0" w:line="18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212529"/>
        </w:rPr>
        <w:t>To date, we have not experienced significant impacts to our results of operations, financial condition, cash flows or business plans. However, the situation remains fluid and it is difficult to predict with certainty the potential impact of COVID-19 on our business, results of operations, financial condition and cash flows.</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Information concerning mine safety violations or other regulatory matters required by Sections 1503(a) of Dodd-Frank is included in Exhibit 95 of this Quarterly Report on Form 10-Q.</w:t>
      </w:r>
    </w:p>
    <w:p>
      <w:pPr>
        <w:spacing w:after="0" w:line="15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80" w:type="dxa"/>
            <w:vAlign w:val="bottom"/>
          </w:tcPr>
          <w:p>
            <w:pPr>
              <w:ind w:left="40"/>
              <w:spacing w:after="0"/>
              <w:rPr>
                <w:sz w:val="20"/>
                <w:szCs w:val="20"/>
                <w:color w:val="auto"/>
              </w:rPr>
            </w:pPr>
            <w:r>
              <w:rPr>
                <w:rFonts w:ascii="Arial" w:cs="Arial" w:eastAsia="Arial" w:hAnsi="Arial"/>
                <w:sz w:val="18"/>
                <w:szCs w:val="18"/>
                <w:b w:val="1"/>
                <w:bCs w:val="1"/>
                <w:color w:val="auto"/>
              </w:rPr>
              <w:t>Exhibit Number</w:t>
            </w:r>
          </w:p>
        </w:tc>
        <w:tc>
          <w:tcPr>
            <w:tcW w:w="8960" w:type="dxa"/>
            <w:vAlign w:val="bottom"/>
            <w:gridSpan w:val="31"/>
          </w:tcPr>
          <w:p>
            <w:pPr>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22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425"/>
        </w:trPr>
        <w:tc>
          <w:tcPr>
            <w:tcW w:w="2280" w:type="dxa"/>
            <w:vAlign w:val="bottom"/>
          </w:tcPr>
          <w:p>
            <w:pPr>
              <w:ind w:left="40"/>
              <w:spacing w:after="0"/>
              <w:rPr>
                <w:sz w:val="20"/>
                <w:szCs w:val="20"/>
                <w:color w:val="auto"/>
              </w:rPr>
            </w:pPr>
            <w:r>
              <w:rPr>
                <w:rFonts w:ascii="Arial" w:cs="Arial" w:eastAsia="Arial" w:hAnsi="Arial"/>
                <w:sz w:val="18"/>
                <w:szCs w:val="18"/>
                <w:color w:val="auto"/>
              </w:rPr>
              <w:t>Exhibit 3.1*</w:t>
            </w:r>
          </w:p>
        </w:tc>
        <w:tc>
          <w:tcPr>
            <w:tcW w:w="8880" w:type="dxa"/>
            <w:vAlign w:val="bottom"/>
            <w:tcBorders>
              <w:bottom w:val="single" w:sz="8" w:color="0000FF"/>
            </w:tcBorders>
            <w:gridSpan w:val="28"/>
          </w:tcPr>
          <w:p>
            <w:pPr>
              <w:spacing w:after="0"/>
              <w:rPr>
                <w:rFonts w:ascii="Arial" w:cs="Arial" w:eastAsia="Arial" w:hAnsi="Arial"/>
                <w:sz w:val="18"/>
                <w:szCs w:val="18"/>
                <w:color w:val="0000FF"/>
                <w:w w:val="91"/>
              </w:rPr>
            </w:pPr>
            <w:hyperlink r:id="rId59">
              <w:r>
                <w:rPr>
                  <w:rFonts w:ascii="Arial" w:cs="Arial" w:eastAsia="Arial" w:hAnsi="Arial"/>
                  <w:sz w:val="18"/>
                  <w:szCs w:val="18"/>
                  <w:color w:val="0000FF"/>
                  <w:w w:val="91"/>
                </w:rPr>
                <w:t>Restated Articles of Incorporation of the Registrant dated January 30, 2018 (filed as Exhibit 3 to the Registrant’s Form 8-K</w:t>
              </w:r>
            </w:hyperlink>
          </w:p>
        </w:tc>
        <w:tc>
          <w:tcPr>
            <w:tcW w:w="80" w:type="dxa"/>
            <w:vAlign w:val="bottom"/>
            <w:gridSpan w:val="3"/>
          </w:tcPr>
          <w:p>
            <w:pPr>
              <w:spacing w:after="0"/>
              <w:rPr>
                <w:sz w:val="24"/>
                <w:szCs w:val="24"/>
                <w:color w:val="auto"/>
              </w:rPr>
            </w:pPr>
          </w:p>
        </w:tc>
      </w:tr>
      <w:tr>
        <w:trPr>
          <w:trHeight w:val="196"/>
        </w:trPr>
        <w:tc>
          <w:tcPr>
            <w:tcW w:w="2280" w:type="dxa"/>
            <w:vAlign w:val="bottom"/>
          </w:tcPr>
          <w:p>
            <w:pPr>
              <w:spacing w:after="0"/>
              <w:rPr>
                <w:sz w:val="17"/>
                <w:szCs w:val="17"/>
                <w:color w:val="auto"/>
              </w:rPr>
            </w:pPr>
          </w:p>
        </w:tc>
        <w:tc>
          <w:tcPr>
            <w:tcW w:w="8960" w:type="dxa"/>
            <w:vAlign w:val="bottom"/>
            <w:gridSpan w:val="31"/>
          </w:tcPr>
          <w:p>
            <w:pPr>
              <w:spacing w:after="0" w:line="196" w:lineRule="exact"/>
              <w:rPr>
                <w:rFonts w:ascii="Arial" w:cs="Arial" w:eastAsia="Arial" w:hAnsi="Arial"/>
                <w:sz w:val="18"/>
                <w:szCs w:val="18"/>
                <w:color w:val="0000FF"/>
              </w:rPr>
            </w:pPr>
            <w:hyperlink r:id="rId59">
              <w:r>
                <w:rPr>
                  <w:rFonts w:ascii="Arial" w:cs="Arial" w:eastAsia="Arial" w:hAnsi="Arial"/>
                  <w:sz w:val="18"/>
                  <w:szCs w:val="18"/>
                  <w:color w:val="0000FF"/>
                </w:rPr>
                <w:t>filed on February 5, 2018).</w:t>
              </w:r>
            </w:hyperlink>
          </w:p>
        </w:tc>
      </w:tr>
      <w:tr>
        <w:trPr>
          <w:trHeight w:val="20"/>
        </w:trPr>
        <w:tc>
          <w:tcPr>
            <w:tcW w:w="22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2280" w:type="dxa"/>
            <w:vAlign w:val="bottom"/>
          </w:tcPr>
          <w:p>
            <w:pPr>
              <w:ind w:left="40"/>
              <w:spacing w:after="0"/>
              <w:rPr>
                <w:sz w:val="20"/>
                <w:szCs w:val="20"/>
                <w:color w:val="auto"/>
              </w:rPr>
            </w:pPr>
            <w:r>
              <w:rPr>
                <w:rFonts w:ascii="Arial" w:cs="Arial" w:eastAsia="Arial" w:hAnsi="Arial"/>
                <w:sz w:val="18"/>
                <w:szCs w:val="18"/>
                <w:color w:val="auto"/>
              </w:rPr>
              <w:t>Exhibit 3.2*</w:t>
            </w:r>
          </w:p>
        </w:tc>
        <w:tc>
          <w:tcPr>
            <w:tcW w:w="8960" w:type="dxa"/>
            <w:vAlign w:val="bottom"/>
            <w:gridSpan w:val="31"/>
          </w:tcPr>
          <w:p>
            <w:pPr>
              <w:spacing w:after="0"/>
              <w:rPr>
                <w:rFonts w:ascii="Arial" w:cs="Arial" w:eastAsia="Arial" w:hAnsi="Arial"/>
                <w:sz w:val="18"/>
                <w:szCs w:val="18"/>
                <w:color w:val="0000FF"/>
                <w:w w:val="92"/>
              </w:rPr>
            </w:pPr>
            <w:hyperlink r:id="rId60">
              <w:r>
                <w:rPr>
                  <w:rFonts w:ascii="Arial" w:cs="Arial" w:eastAsia="Arial" w:hAnsi="Arial"/>
                  <w:sz w:val="18"/>
                  <w:szCs w:val="18"/>
                  <w:color w:val="0000FF"/>
                  <w:w w:val="92"/>
                </w:rPr>
                <w:t>Amended and Restated Bylaws of the Registrant dated April 24, 2017 (filed as Exhibit 3 to the Registrant’s Form 8-K filed</w:t>
              </w:r>
            </w:hyperlink>
          </w:p>
        </w:tc>
      </w:tr>
      <w:tr>
        <w:trPr>
          <w:trHeight w:val="196"/>
        </w:trPr>
        <w:tc>
          <w:tcPr>
            <w:tcW w:w="2280" w:type="dxa"/>
            <w:vAlign w:val="bottom"/>
          </w:tcPr>
          <w:p>
            <w:pPr>
              <w:spacing w:after="0"/>
              <w:rPr>
                <w:sz w:val="17"/>
                <w:szCs w:val="17"/>
                <w:color w:val="auto"/>
              </w:rPr>
            </w:pPr>
          </w:p>
        </w:tc>
        <w:tc>
          <w:tcPr>
            <w:tcW w:w="140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3"/>
              </w:rPr>
            </w:pPr>
            <w:hyperlink r:id="rId60">
              <w:r>
                <w:rPr>
                  <w:rFonts w:ascii="Arial" w:cs="Arial" w:eastAsia="Arial" w:hAnsi="Arial"/>
                  <w:sz w:val="18"/>
                  <w:szCs w:val="18"/>
                  <w:color w:val="0000FF"/>
                  <w:w w:val="93"/>
                </w:rPr>
                <w:t>on April 28, 2017).</w:t>
              </w:r>
            </w:hyperlink>
          </w:p>
        </w:tc>
        <w:tc>
          <w:tcPr>
            <w:tcW w:w="7460" w:type="dxa"/>
            <w:vAlign w:val="bottom"/>
            <w:tcBorders>
              <w:top w:val="single" w:sz="8" w:color="0000FF"/>
            </w:tcBorders>
            <w:gridSpan w:val="24"/>
          </w:tcPr>
          <w:p>
            <w:pPr>
              <w:spacing w:after="0"/>
              <w:rPr>
                <w:sz w:val="17"/>
                <w:szCs w:val="17"/>
                <w:color w:val="auto"/>
              </w:rPr>
            </w:pPr>
          </w:p>
        </w:tc>
        <w:tc>
          <w:tcPr>
            <w:tcW w:w="100" w:type="dxa"/>
            <w:vAlign w:val="bottom"/>
            <w:gridSpan w:val="4"/>
          </w:tcPr>
          <w:p>
            <w:pPr>
              <w:spacing w:after="0"/>
              <w:rPr>
                <w:sz w:val="17"/>
                <w:szCs w:val="17"/>
                <w:color w:val="auto"/>
              </w:rPr>
            </w:pPr>
          </w:p>
        </w:tc>
      </w:tr>
      <w:tr>
        <w:trPr>
          <w:trHeight w:val="479"/>
        </w:trPr>
        <w:tc>
          <w:tcPr>
            <w:tcW w:w="2280" w:type="dxa"/>
            <w:vAlign w:val="bottom"/>
          </w:tcPr>
          <w:p>
            <w:pPr>
              <w:ind w:left="40"/>
              <w:spacing w:after="0"/>
              <w:rPr>
                <w:sz w:val="20"/>
                <w:szCs w:val="20"/>
                <w:color w:val="auto"/>
              </w:rPr>
            </w:pPr>
            <w:r>
              <w:rPr>
                <w:rFonts w:ascii="Arial" w:cs="Arial" w:eastAsia="Arial" w:hAnsi="Arial"/>
                <w:sz w:val="18"/>
                <w:szCs w:val="18"/>
                <w:color w:val="auto"/>
              </w:rPr>
              <w:t>Exhibit 4.1*</w:t>
            </w:r>
          </w:p>
        </w:tc>
        <w:tc>
          <w:tcPr>
            <w:tcW w:w="8960" w:type="dxa"/>
            <w:vAlign w:val="bottom"/>
            <w:gridSpan w:val="31"/>
          </w:tcPr>
          <w:p>
            <w:pPr>
              <w:spacing w:after="0"/>
              <w:rPr>
                <w:rFonts w:ascii="Arial" w:cs="Arial" w:eastAsia="Arial" w:hAnsi="Arial"/>
                <w:sz w:val="18"/>
                <w:szCs w:val="18"/>
                <w:color w:val="0000FF"/>
                <w:w w:val="92"/>
              </w:rPr>
            </w:pPr>
            <w:hyperlink r:id="rId61">
              <w:r>
                <w:rPr>
                  <w:rFonts w:ascii="Arial" w:cs="Arial" w:eastAsia="Arial" w:hAnsi="Arial"/>
                  <w:sz w:val="18"/>
                  <w:szCs w:val="18"/>
                  <w:color w:val="0000FF"/>
                  <w:w w:val="92"/>
                </w:rPr>
                <w:t>Indenture dated as of May 21, 2003 between the Registrant and Wells Fargo Bank, National Association (as successor to</w:t>
              </w:r>
            </w:hyperlink>
          </w:p>
        </w:tc>
      </w:tr>
      <w:tr>
        <w:trPr>
          <w:trHeight w:val="20"/>
        </w:trPr>
        <w:tc>
          <w:tcPr>
            <w:tcW w:w="22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280" w:type="dxa"/>
            <w:vAlign w:val="bottom"/>
          </w:tcPr>
          <w:p>
            <w:pPr>
              <w:spacing w:after="0"/>
              <w:rPr>
                <w:sz w:val="17"/>
                <w:szCs w:val="17"/>
                <w:color w:val="auto"/>
              </w:rPr>
            </w:pPr>
          </w:p>
        </w:tc>
        <w:tc>
          <w:tcPr>
            <w:tcW w:w="8820" w:type="dxa"/>
            <w:vAlign w:val="bottom"/>
            <w:tcBorders>
              <w:bottom w:val="single" w:sz="8" w:color="0000FF"/>
            </w:tcBorders>
            <w:gridSpan w:val="26"/>
          </w:tcPr>
          <w:p>
            <w:pPr>
              <w:spacing w:after="0" w:line="196" w:lineRule="exact"/>
              <w:rPr>
                <w:rFonts w:ascii="Arial" w:cs="Arial" w:eastAsia="Arial" w:hAnsi="Arial"/>
                <w:sz w:val="18"/>
                <w:szCs w:val="18"/>
                <w:color w:val="0000FF"/>
                <w:w w:val="91"/>
              </w:rPr>
            </w:pPr>
            <w:hyperlink r:id="rId61">
              <w:r>
                <w:rPr>
                  <w:rFonts w:ascii="Arial" w:cs="Arial" w:eastAsia="Arial" w:hAnsi="Arial"/>
                  <w:sz w:val="18"/>
                  <w:szCs w:val="18"/>
                  <w:color w:val="0000FF"/>
                  <w:w w:val="91"/>
                </w:rPr>
                <w:t>LaSalle Bank National Association), as Trustee (filed as Exhibit 4.1 to the Registrant’s Form 10-Q for the quarterly period</w:t>
              </w:r>
            </w:hyperlink>
          </w:p>
        </w:tc>
        <w:tc>
          <w:tcPr>
            <w:tcW w:w="140" w:type="dxa"/>
            <w:vAlign w:val="bottom"/>
            <w:gridSpan w:val="5"/>
          </w:tcPr>
          <w:p>
            <w:pPr>
              <w:spacing w:after="0"/>
              <w:rPr>
                <w:sz w:val="17"/>
                <w:szCs w:val="17"/>
                <w:color w:val="auto"/>
              </w:rPr>
            </w:pPr>
          </w:p>
        </w:tc>
      </w:tr>
      <w:tr>
        <w:trPr>
          <w:trHeight w:val="196"/>
        </w:trPr>
        <w:tc>
          <w:tcPr>
            <w:tcW w:w="2280" w:type="dxa"/>
            <w:vAlign w:val="bottom"/>
          </w:tcPr>
          <w:p>
            <w:pPr>
              <w:spacing w:after="0"/>
              <w:rPr>
                <w:sz w:val="17"/>
                <w:szCs w:val="17"/>
                <w:color w:val="auto"/>
              </w:rPr>
            </w:pPr>
          </w:p>
        </w:tc>
        <w:tc>
          <w:tcPr>
            <w:tcW w:w="1600" w:type="dxa"/>
            <w:vAlign w:val="bottom"/>
            <w:tcBorders>
              <w:bottom w:val="single" w:sz="8" w:color="0000FF"/>
            </w:tcBorders>
            <w:gridSpan w:val="5"/>
          </w:tcPr>
          <w:p>
            <w:pPr>
              <w:spacing w:after="0" w:line="196" w:lineRule="exact"/>
              <w:rPr>
                <w:rFonts w:ascii="Arial" w:cs="Arial" w:eastAsia="Arial" w:hAnsi="Arial"/>
                <w:sz w:val="18"/>
                <w:szCs w:val="18"/>
                <w:color w:val="0000FF"/>
                <w:w w:val="87"/>
              </w:rPr>
            </w:pPr>
            <w:hyperlink r:id="rId61">
              <w:r>
                <w:rPr>
                  <w:rFonts w:ascii="Arial" w:cs="Arial" w:eastAsia="Arial" w:hAnsi="Arial"/>
                  <w:sz w:val="18"/>
                  <w:szCs w:val="18"/>
                  <w:color w:val="0000FF"/>
                  <w:w w:val="87"/>
                </w:rPr>
                <w:t>ended June 30, 2003).</w:t>
              </w:r>
            </w:hyperlink>
          </w:p>
        </w:tc>
        <w:tc>
          <w:tcPr>
            <w:tcW w:w="7360" w:type="dxa"/>
            <w:vAlign w:val="bottom"/>
            <w:gridSpan w:val="26"/>
          </w:tcPr>
          <w:p>
            <w:pPr>
              <w:spacing w:after="0"/>
              <w:rPr>
                <w:sz w:val="17"/>
                <w:szCs w:val="17"/>
                <w:color w:val="auto"/>
              </w:rPr>
            </w:pPr>
          </w:p>
        </w:tc>
      </w:tr>
      <w:tr>
        <w:trPr>
          <w:trHeight w:val="250"/>
        </w:trPr>
        <w:tc>
          <w:tcPr>
            <w:tcW w:w="2280" w:type="dxa"/>
            <w:vAlign w:val="bottom"/>
          </w:tcPr>
          <w:p>
            <w:pPr>
              <w:spacing w:after="0"/>
              <w:rPr>
                <w:sz w:val="21"/>
                <w:szCs w:val="21"/>
                <w:color w:val="auto"/>
              </w:rPr>
            </w:pPr>
          </w:p>
        </w:tc>
        <w:tc>
          <w:tcPr>
            <w:tcW w:w="8880" w:type="dxa"/>
            <w:vAlign w:val="bottom"/>
            <w:tcBorders>
              <w:bottom w:val="single" w:sz="8" w:color="0000FF"/>
            </w:tcBorders>
            <w:gridSpan w:val="28"/>
          </w:tcPr>
          <w:p>
            <w:pPr>
              <w:spacing w:after="0"/>
              <w:rPr>
                <w:rFonts w:ascii="Arial" w:cs="Arial" w:eastAsia="Arial" w:hAnsi="Arial"/>
                <w:sz w:val="18"/>
                <w:szCs w:val="18"/>
                <w:color w:val="0000FF"/>
                <w:w w:val="91"/>
              </w:rPr>
            </w:pPr>
            <w:hyperlink r:id="rId62">
              <w:r>
                <w:rPr>
                  <w:rFonts w:ascii="Arial" w:cs="Arial" w:eastAsia="Arial" w:hAnsi="Arial"/>
                  <w:sz w:val="18"/>
                  <w:szCs w:val="18"/>
                  <w:color w:val="0000FF"/>
                  <w:w w:val="91"/>
                </w:rPr>
                <w:t>First Supplemental Indenture dated as of May 21, 2003 (filed as Exhibit 4.2 to the Registrant’s Form 10-Q for the quarterly</w:t>
              </w:r>
            </w:hyperlink>
          </w:p>
        </w:tc>
        <w:tc>
          <w:tcPr>
            <w:tcW w:w="80" w:type="dxa"/>
            <w:vAlign w:val="bottom"/>
            <w:gridSpan w:val="3"/>
          </w:tcPr>
          <w:p>
            <w:pPr>
              <w:spacing w:after="0"/>
              <w:rPr>
                <w:sz w:val="21"/>
                <w:szCs w:val="21"/>
                <w:color w:val="auto"/>
              </w:rPr>
            </w:pPr>
          </w:p>
        </w:tc>
      </w:tr>
      <w:tr>
        <w:trPr>
          <w:trHeight w:val="196"/>
        </w:trPr>
        <w:tc>
          <w:tcPr>
            <w:tcW w:w="2280" w:type="dxa"/>
            <w:vAlign w:val="bottom"/>
          </w:tcPr>
          <w:p>
            <w:pPr>
              <w:spacing w:after="0"/>
              <w:rPr>
                <w:sz w:val="17"/>
                <w:szCs w:val="17"/>
                <w:color w:val="auto"/>
              </w:rPr>
            </w:pPr>
          </w:p>
        </w:tc>
        <w:tc>
          <w:tcPr>
            <w:tcW w:w="2100" w:type="dxa"/>
            <w:vAlign w:val="bottom"/>
            <w:tcBorders>
              <w:bottom w:val="single" w:sz="8" w:color="0000FF"/>
            </w:tcBorders>
            <w:gridSpan w:val="7"/>
          </w:tcPr>
          <w:p>
            <w:pPr>
              <w:spacing w:after="0" w:line="196" w:lineRule="exact"/>
              <w:rPr>
                <w:rFonts w:ascii="Arial" w:cs="Arial" w:eastAsia="Arial" w:hAnsi="Arial"/>
                <w:sz w:val="18"/>
                <w:szCs w:val="18"/>
                <w:color w:val="0000FF"/>
                <w:w w:val="88"/>
              </w:rPr>
            </w:pPr>
            <w:hyperlink r:id="rId62">
              <w:r>
                <w:rPr>
                  <w:rFonts w:ascii="Arial" w:cs="Arial" w:eastAsia="Arial" w:hAnsi="Arial"/>
                  <w:sz w:val="18"/>
                  <w:szCs w:val="18"/>
                  <w:color w:val="0000FF"/>
                  <w:w w:val="88"/>
                </w:rPr>
                <w:t>period ended June 30, 2003).</w:t>
              </w:r>
            </w:hyperlink>
          </w:p>
        </w:tc>
        <w:tc>
          <w:tcPr>
            <w:tcW w:w="6860" w:type="dxa"/>
            <w:vAlign w:val="bottom"/>
            <w:gridSpan w:val="24"/>
          </w:tcPr>
          <w:p>
            <w:pPr>
              <w:spacing w:after="0"/>
              <w:rPr>
                <w:sz w:val="17"/>
                <w:szCs w:val="17"/>
                <w:color w:val="auto"/>
              </w:rPr>
            </w:pPr>
          </w:p>
        </w:tc>
      </w:tr>
      <w:tr>
        <w:trPr>
          <w:trHeight w:val="250"/>
        </w:trPr>
        <w:tc>
          <w:tcPr>
            <w:tcW w:w="2280" w:type="dxa"/>
            <w:vAlign w:val="bottom"/>
          </w:tcPr>
          <w:p>
            <w:pPr>
              <w:spacing w:after="0"/>
              <w:rPr>
                <w:sz w:val="21"/>
                <w:szCs w:val="21"/>
                <w:color w:val="auto"/>
              </w:rPr>
            </w:pPr>
          </w:p>
        </w:tc>
        <w:tc>
          <w:tcPr>
            <w:tcW w:w="8960" w:type="dxa"/>
            <w:vAlign w:val="bottom"/>
            <w:gridSpan w:val="31"/>
          </w:tcPr>
          <w:p>
            <w:pPr>
              <w:spacing w:after="0"/>
              <w:rPr>
                <w:rFonts w:ascii="Arial" w:cs="Arial" w:eastAsia="Arial" w:hAnsi="Arial"/>
                <w:sz w:val="18"/>
                <w:szCs w:val="18"/>
                <w:color w:val="0000FF"/>
                <w:w w:val="92"/>
              </w:rPr>
            </w:pPr>
            <w:hyperlink r:id="rId63">
              <w:r>
                <w:rPr>
                  <w:rFonts w:ascii="Arial" w:cs="Arial" w:eastAsia="Arial" w:hAnsi="Arial"/>
                  <w:sz w:val="18"/>
                  <w:szCs w:val="18"/>
                  <w:color w:val="0000FF"/>
                  <w:w w:val="92"/>
                </w:rPr>
                <w:t>Second Supplemental Indenture dated as of May 14, 2009 (filed as Exhibit 4 to the Registrant’s Form 8-K filed on May 14,</w:t>
              </w:r>
            </w:hyperlink>
          </w:p>
        </w:tc>
      </w:tr>
      <w:tr>
        <w:trPr>
          <w:trHeight w:val="196"/>
        </w:trPr>
        <w:tc>
          <w:tcPr>
            <w:tcW w:w="2280" w:type="dxa"/>
            <w:vAlign w:val="bottom"/>
          </w:tcPr>
          <w:p>
            <w:pPr>
              <w:spacing w:after="0"/>
              <w:rPr>
                <w:sz w:val="17"/>
                <w:szCs w:val="17"/>
                <w:color w:val="auto"/>
              </w:rPr>
            </w:pPr>
          </w:p>
        </w:tc>
        <w:tc>
          <w:tcPr>
            <w:tcW w:w="48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0"/>
              </w:rPr>
            </w:pPr>
            <w:hyperlink r:id="rId63">
              <w:r>
                <w:rPr>
                  <w:rFonts w:ascii="Arial" w:cs="Arial" w:eastAsia="Arial" w:hAnsi="Arial"/>
                  <w:sz w:val="18"/>
                  <w:szCs w:val="18"/>
                  <w:color w:val="0000FF"/>
                  <w:w w:val="90"/>
                </w:rPr>
                <w:t>2009).</w:t>
              </w:r>
            </w:hyperlink>
          </w:p>
        </w:tc>
        <w:tc>
          <w:tcPr>
            <w:tcW w:w="8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040" w:type="dxa"/>
            <w:vAlign w:val="bottom"/>
            <w:tcBorders>
              <w:top w:val="single" w:sz="8" w:color="0000FF"/>
            </w:tcBorders>
          </w:tcPr>
          <w:p>
            <w:pPr>
              <w:spacing w:after="0"/>
              <w:rPr>
                <w:sz w:val="17"/>
                <w:szCs w:val="17"/>
                <w:color w:val="auto"/>
              </w:rPr>
            </w:pPr>
          </w:p>
        </w:tc>
        <w:tc>
          <w:tcPr>
            <w:tcW w:w="182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13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2280" w:type="dxa"/>
            <w:vAlign w:val="bottom"/>
          </w:tcPr>
          <w:p>
            <w:pPr>
              <w:spacing w:after="0"/>
              <w:rPr>
                <w:sz w:val="21"/>
                <w:szCs w:val="21"/>
                <w:color w:val="auto"/>
              </w:rPr>
            </w:pPr>
          </w:p>
        </w:tc>
        <w:tc>
          <w:tcPr>
            <w:tcW w:w="8960" w:type="dxa"/>
            <w:vAlign w:val="bottom"/>
            <w:gridSpan w:val="31"/>
          </w:tcPr>
          <w:p>
            <w:pPr>
              <w:spacing w:after="0"/>
              <w:rPr>
                <w:rFonts w:ascii="Arial" w:cs="Arial" w:eastAsia="Arial" w:hAnsi="Arial"/>
                <w:sz w:val="18"/>
                <w:szCs w:val="18"/>
                <w:color w:val="0000FF"/>
                <w:w w:val="97"/>
              </w:rPr>
            </w:pPr>
            <w:hyperlink r:id="rId64">
              <w:r>
                <w:rPr>
                  <w:rFonts w:ascii="Arial" w:cs="Arial" w:eastAsia="Arial" w:hAnsi="Arial"/>
                  <w:sz w:val="18"/>
                  <w:szCs w:val="18"/>
                  <w:color w:val="0000FF"/>
                  <w:w w:val="97"/>
                </w:rPr>
                <w:t>Third Supplemental Indenture dated as of July 16, 2010 (filed as Exhibit 4 to Registrant’s Form 8-K filed on July 15,</w:t>
              </w:r>
            </w:hyperlink>
          </w:p>
        </w:tc>
      </w:tr>
      <w:tr>
        <w:trPr>
          <w:trHeight w:val="196"/>
        </w:trPr>
        <w:tc>
          <w:tcPr>
            <w:tcW w:w="2280" w:type="dxa"/>
            <w:vAlign w:val="bottom"/>
          </w:tcPr>
          <w:p>
            <w:pPr>
              <w:spacing w:after="0"/>
              <w:rPr>
                <w:sz w:val="17"/>
                <w:szCs w:val="17"/>
                <w:color w:val="auto"/>
              </w:rPr>
            </w:pPr>
          </w:p>
        </w:tc>
        <w:tc>
          <w:tcPr>
            <w:tcW w:w="48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0"/>
              </w:rPr>
            </w:pPr>
            <w:hyperlink r:id="rId64">
              <w:r>
                <w:rPr>
                  <w:rFonts w:ascii="Arial" w:cs="Arial" w:eastAsia="Arial" w:hAnsi="Arial"/>
                  <w:sz w:val="18"/>
                  <w:szCs w:val="18"/>
                  <w:color w:val="0000FF"/>
                  <w:w w:val="90"/>
                </w:rPr>
                <w:t>2010).</w:t>
              </w:r>
            </w:hyperlink>
          </w:p>
        </w:tc>
        <w:tc>
          <w:tcPr>
            <w:tcW w:w="8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040" w:type="dxa"/>
            <w:vAlign w:val="bottom"/>
            <w:tcBorders>
              <w:top w:val="single" w:sz="8" w:color="0000FF"/>
            </w:tcBorders>
          </w:tcPr>
          <w:p>
            <w:pPr>
              <w:spacing w:after="0"/>
              <w:rPr>
                <w:sz w:val="17"/>
                <w:szCs w:val="17"/>
                <w:color w:val="auto"/>
              </w:rPr>
            </w:pPr>
          </w:p>
        </w:tc>
        <w:tc>
          <w:tcPr>
            <w:tcW w:w="182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13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2280" w:type="dxa"/>
            <w:vAlign w:val="bottom"/>
          </w:tcPr>
          <w:p>
            <w:pPr>
              <w:spacing w:after="0"/>
              <w:rPr>
                <w:sz w:val="21"/>
                <w:szCs w:val="21"/>
                <w:color w:val="auto"/>
              </w:rPr>
            </w:pPr>
          </w:p>
        </w:tc>
        <w:tc>
          <w:tcPr>
            <w:tcW w:w="8620" w:type="dxa"/>
            <w:vAlign w:val="bottom"/>
            <w:tcBorders>
              <w:bottom w:val="single" w:sz="8" w:color="0000FF"/>
            </w:tcBorders>
            <w:gridSpan w:val="22"/>
          </w:tcPr>
          <w:p>
            <w:pPr>
              <w:spacing w:after="0"/>
              <w:rPr>
                <w:rFonts w:ascii="Arial" w:cs="Arial" w:eastAsia="Arial" w:hAnsi="Arial"/>
                <w:sz w:val="18"/>
                <w:szCs w:val="18"/>
                <w:color w:val="0000FF"/>
                <w:w w:val="91"/>
              </w:rPr>
            </w:pPr>
            <w:hyperlink r:id="rId65">
              <w:r>
                <w:rPr>
                  <w:rFonts w:ascii="Arial" w:cs="Arial" w:eastAsia="Arial" w:hAnsi="Arial"/>
                  <w:sz w:val="18"/>
                  <w:szCs w:val="18"/>
                  <w:color w:val="0000FF"/>
                  <w:w w:val="91"/>
                </w:rPr>
                <w:t>Fourth Supplemental Indenture dated as of November 19, 2013 (filed as Exhibit 4 to the Registrant’s Form 8-K filed on</w:t>
              </w:r>
            </w:hyperlink>
          </w:p>
        </w:tc>
        <w:tc>
          <w:tcPr>
            <w:tcW w:w="340" w:type="dxa"/>
            <w:vAlign w:val="bottom"/>
            <w:gridSpan w:val="9"/>
          </w:tcPr>
          <w:p>
            <w:pPr>
              <w:spacing w:after="0"/>
              <w:rPr>
                <w:sz w:val="21"/>
                <w:szCs w:val="21"/>
                <w:color w:val="auto"/>
              </w:rPr>
            </w:pPr>
          </w:p>
        </w:tc>
      </w:tr>
      <w:tr>
        <w:trPr>
          <w:trHeight w:val="196"/>
        </w:trPr>
        <w:tc>
          <w:tcPr>
            <w:tcW w:w="2280" w:type="dxa"/>
            <w:vAlign w:val="bottom"/>
          </w:tcPr>
          <w:p>
            <w:pPr>
              <w:spacing w:after="0"/>
              <w:rPr>
                <w:sz w:val="17"/>
                <w:szCs w:val="17"/>
                <w:color w:val="auto"/>
              </w:rPr>
            </w:pPr>
          </w:p>
        </w:tc>
        <w:tc>
          <w:tcPr>
            <w:tcW w:w="8960" w:type="dxa"/>
            <w:vAlign w:val="bottom"/>
            <w:gridSpan w:val="31"/>
          </w:tcPr>
          <w:p>
            <w:pPr>
              <w:spacing w:after="0" w:line="196" w:lineRule="exact"/>
              <w:rPr>
                <w:rFonts w:ascii="Arial" w:cs="Arial" w:eastAsia="Arial" w:hAnsi="Arial"/>
                <w:sz w:val="18"/>
                <w:szCs w:val="18"/>
                <w:color w:val="0000FF"/>
              </w:rPr>
            </w:pPr>
            <w:hyperlink r:id="rId65">
              <w:r>
                <w:rPr>
                  <w:rFonts w:ascii="Arial" w:cs="Arial" w:eastAsia="Arial" w:hAnsi="Arial"/>
                  <w:sz w:val="18"/>
                  <w:szCs w:val="18"/>
                  <w:color w:val="0000FF"/>
                </w:rPr>
                <w:t>November 18, 2013).</w:t>
              </w:r>
            </w:hyperlink>
          </w:p>
        </w:tc>
      </w:tr>
      <w:tr>
        <w:trPr>
          <w:trHeight w:val="20"/>
        </w:trPr>
        <w:tc>
          <w:tcPr>
            <w:tcW w:w="2280" w:type="dxa"/>
            <w:vAlign w:val="bottom"/>
          </w:tcPr>
          <w:p>
            <w:pPr>
              <w:spacing w:after="0" w:line="20" w:lineRule="exact"/>
              <w:rPr>
                <w:sz w:val="1"/>
                <w:szCs w:val="1"/>
                <w:color w:val="auto"/>
              </w:rPr>
            </w:pPr>
          </w:p>
        </w:tc>
        <w:tc>
          <w:tcPr>
            <w:tcW w:w="130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280" w:type="dxa"/>
            <w:vAlign w:val="bottom"/>
          </w:tcPr>
          <w:p>
            <w:pPr>
              <w:spacing w:after="0"/>
              <w:rPr>
                <w:sz w:val="21"/>
                <w:szCs w:val="21"/>
                <w:color w:val="auto"/>
              </w:rPr>
            </w:pPr>
          </w:p>
        </w:tc>
        <w:tc>
          <w:tcPr>
            <w:tcW w:w="8440" w:type="dxa"/>
            <w:vAlign w:val="bottom"/>
            <w:tcBorders>
              <w:bottom w:val="single" w:sz="8" w:color="0000FF"/>
            </w:tcBorders>
            <w:gridSpan w:val="17"/>
          </w:tcPr>
          <w:p>
            <w:pPr>
              <w:spacing w:after="0"/>
              <w:rPr>
                <w:rFonts w:ascii="Arial" w:cs="Arial" w:eastAsia="Arial" w:hAnsi="Arial"/>
                <w:sz w:val="18"/>
                <w:szCs w:val="18"/>
                <w:color w:val="0000FF"/>
                <w:w w:val="91"/>
              </w:rPr>
            </w:pPr>
            <w:hyperlink r:id="rId66">
              <w:r>
                <w:rPr>
                  <w:rFonts w:ascii="Arial" w:cs="Arial" w:eastAsia="Arial" w:hAnsi="Arial"/>
                  <w:sz w:val="18"/>
                  <w:szCs w:val="18"/>
                  <w:color w:val="0000FF"/>
                  <w:w w:val="91"/>
                </w:rPr>
                <w:t>Fifth Supplemental Indenture dated as of January 13, 2016 (filed as Exhibit 4.1 to the Registrant’s Form 8-K filed on</w:t>
              </w:r>
            </w:hyperlink>
          </w:p>
        </w:tc>
        <w:tc>
          <w:tcPr>
            <w:tcW w:w="520" w:type="dxa"/>
            <w:vAlign w:val="bottom"/>
            <w:gridSpan w:val="14"/>
          </w:tcPr>
          <w:p>
            <w:pPr>
              <w:spacing w:after="0"/>
              <w:rPr>
                <w:sz w:val="21"/>
                <w:szCs w:val="21"/>
                <w:color w:val="auto"/>
              </w:rPr>
            </w:pPr>
          </w:p>
        </w:tc>
      </w:tr>
      <w:tr>
        <w:trPr>
          <w:trHeight w:val="196"/>
        </w:trPr>
        <w:tc>
          <w:tcPr>
            <w:tcW w:w="2280" w:type="dxa"/>
            <w:vAlign w:val="bottom"/>
          </w:tcPr>
          <w:p>
            <w:pPr>
              <w:spacing w:after="0"/>
              <w:rPr>
                <w:sz w:val="17"/>
                <w:szCs w:val="17"/>
                <w:color w:val="auto"/>
              </w:rPr>
            </w:pPr>
          </w:p>
        </w:tc>
        <w:tc>
          <w:tcPr>
            <w:tcW w:w="8960" w:type="dxa"/>
            <w:vAlign w:val="bottom"/>
            <w:gridSpan w:val="31"/>
          </w:tcPr>
          <w:p>
            <w:pPr>
              <w:spacing w:after="0" w:line="196" w:lineRule="exact"/>
              <w:rPr>
                <w:rFonts w:ascii="Arial" w:cs="Arial" w:eastAsia="Arial" w:hAnsi="Arial"/>
                <w:sz w:val="18"/>
                <w:szCs w:val="18"/>
                <w:color w:val="0000FF"/>
              </w:rPr>
            </w:pPr>
            <w:hyperlink r:id="rId66">
              <w:r>
                <w:rPr>
                  <w:rFonts w:ascii="Arial" w:cs="Arial" w:eastAsia="Arial" w:hAnsi="Arial"/>
                  <w:sz w:val="18"/>
                  <w:szCs w:val="18"/>
                  <w:color w:val="0000FF"/>
                </w:rPr>
                <w:t>January 13, 2016).</w:t>
              </w:r>
            </w:hyperlink>
          </w:p>
        </w:tc>
      </w:tr>
      <w:tr>
        <w:trPr>
          <w:trHeight w:val="20"/>
        </w:trPr>
        <w:tc>
          <w:tcPr>
            <w:tcW w:w="2280" w:type="dxa"/>
            <w:vAlign w:val="bottom"/>
          </w:tcPr>
          <w:p>
            <w:pPr>
              <w:spacing w:after="0" w:line="20" w:lineRule="exact"/>
              <w:rPr>
                <w:sz w:val="1"/>
                <w:szCs w:val="1"/>
                <w:color w:val="auto"/>
              </w:rPr>
            </w:pPr>
          </w:p>
        </w:tc>
        <w:tc>
          <w:tcPr>
            <w:tcW w:w="1300" w:type="dxa"/>
            <w:vAlign w:val="bottom"/>
            <w:tcBorders>
              <w:right w:val="single" w:sz="8" w:color="0000FF"/>
            </w:tcBorders>
            <w:gridSpan w:val="2"/>
            <w:shd w:val="clear" w:color="auto" w:fill="0000FF"/>
          </w:tcPr>
          <w:p>
            <w:pPr>
              <w:spacing w:after="0" w:line="20" w:lineRule="exact"/>
              <w:rPr>
                <w:sz w:val="1"/>
                <w:szCs w:val="1"/>
                <w:color w:val="auto"/>
              </w:rPr>
            </w:pPr>
          </w:p>
        </w:tc>
        <w:tc>
          <w:tcPr>
            <w:tcW w:w="1840" w:type="dxa"/>
            <w:vAlign w:val="bottom"/>
            <w:tcBorders>
              <w:left w:val="single" w:sz="8" w:color="0000FF"/>
            </w:tcBorders>
            <w:gridSpan w:val="6"/>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280" w:type="dxa"/>
            <w:vAlign w:val="bottom"/>
          </w:tcPr>
          <w:p>
            <w:pPr>
              <w:spacing w:after="0"/>
              <w:rPr>
                <w:sz w:val="21"/>
                <w:szCs w:val="21"/>
                <w:color w:val="auto"/>
              </w:rPr>
            </w:pPr>
          </w:p>
        </w:tc>
        <w:tc>
          <w:tcPr>
            <w:tcW w:w="8960" w:type="dxa"/>
            <w:vAlign w:val="bottom"/>
            <w:gridSpan w:val="31"/>
          </w:tcPr>
          <w:p>
            <w:pPr>
              <w:spacing w:after="0"/>
              <w:rPr>
                <w:rFonts w:ascii="Arial" w:cs="Arial" w:eastAsia="Arial" w:hAnsi="Arial"/>
                <w:sz w:val="18"/>
                <w:szCs w:val="18"/>
                <w:color w:val="0000FF"/>
                <w:w w:val="97"/>
              </w:rPr>
            </w:pPr>
            <w:hyperlink r:id="rId67">
              <w:r>
                <w:rPr>
                  <w:rFonts w:ascii="Arial" w:cs="Arial" w:eastAsia="Arial" w:hAnsi="Arial"/>
                  <w:sz w:val="18"/>
                  <w:szCs w:val="18"/>
                  <w:color w:val="0000FF"/>
                  <w:w w:val="97"/>
                </w:rPr>
                <w:t>Sixth Supplemental Indenture dated as of August 19, 2016 (filed as Exhibit 4.1 to the Registrant’s Form 8-K filed on</w:t>
              </w:r>
            </w:hyperlink>
          </w:p>
        </w:tc>
      </w:tr>
      <w:tr>
        <w:trPr>
          <w:trHeight w:val="196"/>
        </w:trPr>
        <w:tc>
          <w:tcPr>
            <w:tcW w:w="2280" w:type="dxa"/>
            <w:vAlign w:val="bottom"/>
          </w:tcPr>
          <w:p>
            <w:pPr>
              <w:spacing w:after="0"/>
              <w:rPr>
                <w:sz w:val="17"/>
                <w:szCs w:val="17"/>
                <w:color w:val="auto"/>
              </w:rPr>
            </w:pPr>
          </w:p>
        </w:tc>
        <w:tc>
          <w:tcPr>
            <w:tcW w:w="840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67">
              <w:r>
                <w:rPr>
                  <w:rFonts w:ascii="Arial" w:cs="Arial" w:eastAsia="Arial" w:hAnsi="Arial"/>
                  <w:sz w:val="18"/>
                  <w:szCs w:val="18"/>
                  <w:color w:val="0000FF"/>
                </w:rPr>
                <w:t>August 19, 2016).</w:t>
              </w:r>
            </w:hyperlink>
          </w:p>
        </w:tc>
        <w:tc>
          <w:tcPr>
            <w:tcW w:w="560" w:type="dxa"/>
            <w:vAlign w:val="bottom"/>
            <w:gridSpan w:val="16"/>
          </w:tcPr>
          <w:p>
            <w:pPr>
              <w:spacing w:after="0"/>
              <w:rPr>
                <w:sz w:val="17"/>
                <w:szCs w:val="17"/>
                <w:color w:val="auto"/>
              </w:rPr>
            </w:pPr>
          </w:p>
        </w:tc>
      </w:tr>
      <w:tr>
        <w:trPr>
          <w:trHeight w:val="20"/>
        </w:trPr>
        <w:tc>
          <w:tcPr>
            <w:tcW w:w="2280" w:type="dxa"/>
            <w:vAlign w:val="bottom"/>
          </w:tcPr>
          <w:p>
            <w:pPr>
              <w:spacing w:after="0" w:line="20" w:lineRule="exact"/>
              <w:rPr>
                <w:sz w:val="1"/>
                <w:szCs w:val="1"/>
                <w:color w:val="auto"/>
              </w:rPr>
            </w:pPr>
          </w:p>
        </w:tc>
        <w:tc>
          <w:tcPr>
            <w:tcW w:w="1300" w:type="dxa"/>
            <w:vAlign w:val="bottom"/>
            <w:tcBorders>
              <w:right w:val="single" w:sz="8" w:color="0000FF"/>
            </w:tcBorders>
            <w:gridSpan w:val="2"/>
            <w:shd w:val="clear" w:color="auto" w:fill="0000FF"/>
          </w:tcPr>
          <w:p>
            <w:pPr>
              <w:spacing w:after="0" w:line="20" w:lineRule="exact"/>
              <w:rPr>
                <w:sz w:val="1"/>
                <w:szCs w:val="1"/>
                <w:color w:val="auto"/>
              </w:rPr>
            </w:pPr>
          </w:p>
        </w:tc>
        <w:tc>
          <w:tcPr>
            <w:tcW w:w="1840" w:type="dxa"/>
            <w:vAlign w:val="bottom"/>
            <w:gridSpan w:val="6"/>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280" w:type="dxa"/>
            <w:vAlign w:val="bottom"/>
          </w:tcPr>
          <w:p>
            <w:pPr>
              <w:spacing w:after="0"/>
              <w:rPr>
                <w:sz w:val="21"/>
                <w:szCs w:val="21"/>
                <w:color w:val="auto"/>
              </w:rPr>
            </w:pPr>
          </w:p>
        </w:tc>
        <w:tc>
          <w:tcPr>
            <w:tcW w:w="8960" w:type="dxa"/>
            <w:vAlign w:val="bottom"/>
            <w:gridSpan w:val="31"/>
          </w:tcPr>
          <w:p>
            <w:pPr>
              <w:spacing w:after="0"/>
              <w:rPr>
                <w:rFonts w:ascii="Arial" w:cs="Arial" w:eastAsia="Arial" w:hAnsi="Arial"/>
                <w:sz w:val="18"/>
                <w:szCs w:val="18"/>
                <w:color w:val="0000FF"/>
                <w:w w:val="94"/>
              </w:rPr>
            </w:pPr>
            <w:hyperlink r:id="rId68">
              <w:r>
                <w:rPr>
                  <w:rFonts w:ascii="Arial" w:cs="Arial" w:eastAsia="Arial" w:hAnsi="Arial"/>
                  <w:sz w:val="18"/>
                  <w:szCs w:val="18"/>
                  <w:color w:val="0000FF"/>
                  <w:w w:val="94"/>
                </w:rPr>
                <w:t>Seventh Supplemental Indenture dated as of August 17, 2018 (filed as Exhibit 4.2 to the Registrant’s Form 8-K filed on</w:t>
              </w:r>
            </w:hyperlink>
          </w:p>
        </w:tc>
      </w:tr>
      <w:tr>
        <w:trPr>
          <w:trHeight w:val="196"/>
        </w:trPr>
        <w:tc>
          <w:tcPr>
            <w:tcW w:w="2280" w:type="dxa"/>
            <w:vAlign w:val="bottom"/>
          </w:tcPr>
          <w:p>
            <w:pPr>
              <w:spacing w:after="0"/>
              <w:rPr>
                <w:sz w:val="17"/>
                <w:szCs w:val="17"/>
                <w:color w:val="auto"/>
              </w:rPr>
            </w:pPr>
          </w:p>
        </w:tc>
        <w:tc>
          <w:tcPr>
            <w:tcW w:w="860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68">
              <w:r>
                <w:rPr>
                  <w:rFonts w:ascii="Arial" w:cs="Arial" w:eastAsia="Arial" w:hAnsi="Arial"/>
                  <w:sz w:val="18"/>
                  <w:szCs w:val="18"/>
                  <w:color w:val="0000FF"/>
                </w:rPr>
                <w:t>August 17, 2018).</w:t>
              </w:r>
            </w:hyperlink>
          </w:p>
        </w:tc>
        <w:tc>
          <w:tcPr>
            <w:tcW w:w="360" w:type="dxa"/>
            <w:vAlign w:val="bottom"/>
            <w:gridSpan w:val="10"/>
          </w:tcPr>
          <w:p>
            <w:pPr>
              <w:spacing w:after="0"/>
              <w:rPr>
                <w:sz w:val="17"/>
                <w:szCs w:val="17"/>
                <w:color w:val="auto"/>
              </w:rPr>
            </w:pPr>
          </w:p>
        </w:tc>
      </w:tr>
      <w:tr>
        <w:trPr>
          <w:trHeight w:val="20"/>
        </w:trPr>
        <w:tc>
          <w:tcPr>
            <w:tcW w:w="2280" w:type="dxa"/>
            <w:vAlign w:val="bottom"/>
          </w:tcPr>
          <w:p>
            <w:pPr>
              <w:spacing w:after="0" w:line="20" w:lineRule="exact"/>
              <w:rPr>
                <w:sz w:val="1"/>
                <w:szCs w:val="1"/>
                <w:color w:val="auto"/>
              </w:rPr>
            </w:pPr>
          </w:p>
        </w:tc>
        <w:tc>
          <w:tcPr>
            <w:tcW w:w="1300" w:type="dxa"/>
            <w:vAlign w:val="bottom"/>
            <w:tcBorders>
              <w:right w:val="single" w:sz="8" w:color="0000FF"/>
            </w:tcBorders>
            <w:gridSpan w:val="2"/>
            <w:shd w:val="clear" w:color="auto" w:fill="0000FF"/>
          </w:tcPr>
          <w:p>
            <w:pPr>
              <w:spacing w:after="0" w:line="20" w:lineRule="exact"/>
              <w:rPr>
                <w:sz w:val="1"/>
                <w:szCs w:val="1"/>
                <w:color w:val="auto"/>
              </w:rPr>
            </w:pPr>
          </w:p>
        </w:tc>
        <w:tc>
          <w:tcPr>
            <w:tcW w:w="1840" w:type="dxa"/>
            <w:vAlign w:val="bottom"/>
            <w:gridSpan w:val="6"/>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280" w:type="dxa"/>
            <w:vAlign w:val="bottom"/>
          </w:tcPr>
          <w:p>
            <w:pPr>
              <w:spacing w:after="0"/>
              <w:rPr>
                <w:sz w:val="21"/>
                <w:szCs w:val="21"/>
                <w:color w:val="auto"/>
              </w:rPr>
            </w:pPr>
          </w:p>
        </w:tc>
        <w:tc>
          <w:tcPr>
            <w:tcW w:w="8480" w:type="dxa"/>
            <w:vAlign w:val="bottom"/>
            <w:tcBorders>
              <w:bottom w:val="single" w:sz="8" w:color="0000FF"/>
            </w:tcBorders>
            <w:gridSpan w:val="19"/>
          </w:tcPr>
          <w:p>
            <w:pPr>
              <w:spacing w:after="0"/>
              <w:rPr>
                <w:rFonts w:ascii="Arial" w:cs="Arial" w:eastAsia="Arial" w:hAnsi="Arial"/>
                <w:sz w:val="18"/>
                <w:szCs w:val="18"/>
                <w:color w:val="0000FF"/>
                <w:w w:val="91"/>
              </w:rPr>
            </w:pPr>
            <w:hyperlink r:id="rId69">
              <w:r>
                <w:rPr>
                  <w:rFonts w:ascii="Arial" w:cs="Arial" w:eastAsia="Arial" w:hAnsi="Arial"/>
                  <w:sz w:val="18"/>
                  <w:szCs w:val="18"/>
                  <w:color w:val="0000FF"/>
                  <w:w w:val="91"/>
                </w:rPr>
                <w:t>Eighth Supplemental Indenture dated as of October 3, 2019 (filed as Exhibit 4.1 to the Registrant’s Form 8-K filed on</w:t>
              </w:r>
            </w:hyperlink>
          </w:p>
        </w:tc>
        <w:tc>
          <w:tcPr>
            <w:tcW w:w="480" w:type="dxa"/>
            <w:vAlign w:val="bottom"/>
            <w:gridSpan w:val="12"/>
          </w:tcPr>
          <w:p>
            <w:pPr>
              <w:spacing w:after="0"/>
              <w:rPr>
                <w:sz w:val="21"/>
                <w:szCs w:val="21"/>
                <w:color w:val="auto"/>
              </w:rPr>
            </w:pPr>
          </w:p>
        </w:tc>
      </w:tr>
      <w:tr>
        <w:trPr>
          <w:trHeight w:val="196"/>
        </w:trPr>
        <w:tc>
          <w:tcPr>
            <w:tcW w:w="2280" w:type="dxa"/>
            <w:vAlign w:val="bottom"/>
          </w:tcPr>
          <w:p>
            <w:pPr>
              <w:spacing w:after="0"/>
              <w:rPr>
                <w:sz w:val="17"/>
                <w:szCs w:val="17"/>
                <w:color w:val="auto"/>
              </w:rPr>
            </w:pPr>
          </w:p>
        </w:tc>
        <w:tc>
          <w:tcPr>
            <w:tcW w:w="130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r:id="rId69">
              <w:r>
                <w:rPr>
                  <w:rFonts w:ascii="Arial" w:cs="Arial" w:eastAsia="Arial" w:hAnsi="Arial"/>
                  <w:sz w:val="18"/>
                  <w:szCs w:val="18"/>
                  <w:color w:val="0000FF"/>
                  <w:w w:val="89"/>
                </w:rPr>
                <w:t>October 4, 2019).</w:t>
              </w:r>
            </w:hyperlink>
          </w:p>
        </w:tc>
        <w:tc>
          <w:tcPr>
            <w:tcW w:w="7660" w:type="dxa"/>
            <w:vAlign w:val="bottom"/>
            <w:gridSpan w:val="29"/>
          </w:tcPr>
          <w:p>
            <w:pPr>
              <w:spacing w:after="0"/>
              <w:rPr>
                <w:sz w:val="17"/>
                <w:szCs w:val="17"/>
                <w:color w:val="auto"/>
              </w:rPr>
            </w:pPr>
          </w:p>
        </w:tc>
      </w:tr>
      <w:tr>
        <w:trPr>
          <w:trHeight w:val="480"/>
        </w:trPr>
        <w:tc>
          <w:tcPr>
            <w:tcW w:w="2280" w:type="dxa"/>
            <w:vAlign w:val="bottom"/>
          </w:tcPr>
          <w:p>
            <w:pPr>
              <w:ind w:left="40"/>
              <w:spacing w:after="0"/>
              <w:rPr>
                <w:sz w:val="20"/>
                <w:szCs w:val="20"/>
                <w:color w:val="auto"/>
              </w:rPr>
            </w:pPr>
            <w:r>
              <w:rPr>
                <w:rFonts w:ascii="Arial" w:cs="Arial" w:eastAsia="Arial" w:hAnsi="Arial"/>
                <w:sz w:val="18"/>
                <w:szCs w:val="18"/>
                <w:color w:val="auto"/>
              </w:rPr>
              <w:t>Exhibit 4.2*</w:t>
            </w:r>
          </w:p>
        </w:tc>
        <w:tc>
          <w:tcPr>
            <w:tcW w:w="8420" w:type="dxa"/>
            <w:vAlign w:val="bottom"/>
            <w:tcBorders>
              <w:bottom w:val="single" w:sz="8" w:color="0000FF"/>
            </w:tcBorders>
            <w:gridSpan w:val="16"/>
          </w:tcPr>
          <w:p>
            <w:pPr>
              <w:spacing w:after="0"/>
              <w:rPr>
                <w:rFonts w:ascii="Arial" w:cs="Arial" w:eastAsia="Arial" w:hAnsi="Arial"/>
                <w:sz w:val="18"/>
                <w:szCs w:val="18"/>
                <w:color w:val="0000FF"/>
                <w:w w:val="92"/>
              </w:rPr>
            </w:pPr>
            <w:hyperlink r:id="rId70">
              <w:r>
                <w:rPr>
                  <w:rFonts w:ascii="Arial" w:cs="Arial" w:eastAsia="Arial" w:hAnsi="Arial"/>
                  <w:sz w:val="18"/>
                  <w:szCs w:val="18"/>
                  <w:color w:val="0000FF"/>
                  <w:w w:val="92"/>
                </w:rPr>
                <w:t>Restated and Amended Indenture of Mortgage and Deed of Trust of Black Hills Corporation (now called Black Hills</w:t>
              </w:r>
            </w:hyperlink>
          </w:p>
        </w:tc>
        <w:tc>
          <w:tcPr>
            <w:tcW w:w="540" w:type="dxa"/>
            <w:vAlign w:val="bottom"/>
            <w:gridSpan w:val="15"/>
          </w:tcPr>
          <w:p>
            <w:pPr>
              <w:spacing w:after="0"/>
              <w:rPr>
                <w:sz w:val="24"/>
                <w:szCs w:val="24"/>
                <w:color w:val="auto"/>
              </w:rPr>
            </w:pPr>
          </w:p>
        </w:tc>
      </w:tr>
      <w:tr>
        <w:trPr>
          <w:trHeight w:val="196"/>
        </w:trPr>
        <w:tc>
          <w:tcPr>
            <w:tcW w:w="2280" w:type="dxa"/>
            <w:vAlign w:val="bottom"/>
          </w:tcPr>
          <w:p>
            <w:pPr>
              <w:spacing w:after="0"/>
              <w:rPr>
                <w:sz w:val="17"/>
                <w:szCs w:val="17"/>
                <w:color w:val="auto"/>
              </w:rPr>
            </w:pPr>
          </w:p>
        </w:tc>
        <w:tc>
          <w:tcPr>
            <w:tcW w:w="8940" w:type="dxa"/>
            <w:vAlign w:val="bottom"/>
            <w:tcBorders>
              <w:bottom w:val="single" w:sz="8" w:color="0000FF"/>
            </w:tcBorders>
            <w:gridSpan w:val="30"/>
          </w:tcPr>
          <w:p>
            <w:pPr>
              <w:spacing w:after="0" w:line="196" w:lineRule="exact"/>
              <w:rPr>
                <w:rFonts w:ascii="Arial" w:cs="Arial" w:eastAsia="Arial" w:hAnsi="Arial"/>
                <w:sz w:val="18"/>
                <w:szCs w:val="18"/>
                <w:color w:val="0000FF"/>
                <w:w w:val="90"/>
              </w:rPr>
            </w:pPr>
            <w:hyperlink r:id="rId70">
              <w:r>
                <w:rPr>
                  <w:rFonts w:ascii="Arial" w:cs="Arial" w:eastAsia="Arial" w:hAnsi="Arial"/>
                  <w:sz w:val="18"/>
                  <w:szCs w:val="18"/>
                  <w:color w:val="0000FF"/>
                  <w:w w:val="90"/>
                </w:rPr>
                <w:t>Power, Inc.) dated as of September 1, 1999 (filed as Exhibit 4.19 to the Registrant’s Post-Effective Amendment No. 1 to the</w:t>
              </w:r>
            </w:hyperlink>
          </w:p>
        </w:tc>
        <w:tc>
          <w:tcPr>
            <w:tcW w:w="20" w:type="dxa"/>
            <w:vAlign w:val="bottom"/>
          </w:tcPr>
          <w:p>
            <w:pPr>
              <w:spacing w:after="0"/>
              <w:rPr>
                <w:sz w:val="17"/>
                <w:szCs w:val="17"/>
                <w:color w:val="auto"/>
              </w:rPr>
            </w:pPr>
          </w:p>
        </w:tc>
      </w:tr>
      <w:tr>
        <w:trPr>
          <w:trHeight w:val="196"/>
        </w:trPr>
        <w:tc>
          <w:tcPr>
            <w:tcW w:w="2280" w:type="dxa"/>
            <w:vAlign w:val="bottom"/>
          </w:tcPr>
          <w:p>
            <w:pPr>
              <w:spacing w:after="0"/>
              <w:rPr>
                <w:sz w:val="17"/>
                <w:szCs w:val="17"/>
                <w:color w:val="auto"/>
              </w:rPr>
            </w:pPr>
          </w:p>
        </w:tc>
        <w:tc>
          <w:tcPr>
            <w:tcW w:w="8960" w:type="dxa"/>
            <w:vAlign w:val="bottom"/>
            <w:gridSpan w:val="31"/>
          </w:tcPr>
          <w:p>
            <w:pPr>
              <w:spacing w:after="0" w:line="196" w:lineRule="exact"/>
              <w:rPr>
                <w:rFonts w:ascii="Arial" w:cs="Arial" w:eastAsia="Arial" w:hAnsi="Arial"/>
                <w:sz w:val="18"/>
                <w:szCs w:val="18"/>
                <w:color w:val="0000FF"/>
              </w:rPr>
            </w:pPr>
            <w:hyperlink r:id="rId70">
              <w:r>
                <w:rPr>
                  <w:rFonts w:ascii="Arial" w:cs="Arial" w:eastAsia="Arial" w:hAnsi="Arial"/>
                  <w:sz w:val="18"/>
                  <w:szCs w:val="18"/>
                  <w:color w:val="0000FF"/>
                </w:rPr>
                <w:t>Registrant’s Registration Statement on Form S-3 (No. 333-150669)).</w:t>
              </w:r>
            </w:hyperlink>
          </w:p>
        </w:tc>
      </w:tr>
      <w:tr>
        <w:trPr>
          <w:trHeight w:val="20"/>
        </w:trPr>
        <w:tc>
          <w:tcPr>
            <w:tcW w:w="2280" w:type="dxa"/>
            <w:vAlign w:val="bottom"/>
          </w:tcPr>
          <w:p>
            <w:pPr>
              <w:spacing w:after="0" w:line="20" w:lineRule="exact"/>
              <w:rPr>
                <w:sz w:val="1"/>
                <w:szCs w:val="1"/>
                <w:color w:val="auto"/>
              </w:rPr>
            </w:pPr>
          </w:p>
        </w:tc>
        <w:tc>
          <w:tcPr>
            <w:tcW w:w="3140" w:type="dxa"/>
            <w:vAlign w:val="bottom"/>
            <w:gridSpan w:val="8"/>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0"/>
        </w:trPr>
        <w:tc>
          <w:tcPr>
            <w:tcW w:w="2280" w:type="dxa"/>
            <w:vAlign w:val="bottom"/>
          </w:tcPr>
          <w:p>
            <w:pPr>
              <w:spacing w:after="0"/>
              <w:rPr>
                <w:sz w:val="21"/>
                <w:szCs w:val="21"/>
                <w:color w:val="auto"/>
              </w:rPr>
            </w:pPr>
          </w:p>
        </w:tc>
        <w:tc>
          <w:tcPr>
            <w:tcW w:w="8680" w:type="dxa"/>
            <w:vAlign w:val="bottom"/>
            <w:tcBorders>
              <w:bottom w:val="single" w:sz="8" w:color="0000FF"/>
            </w:tcBorders>
            <w:gridSpan w:val="23"/>
          </w:tcPr>
          <w:p>
            <w:pPr>
              <w:spacing w:after="0"/>
              <w:rPr>
                <w:rFonts w:ascii="Arial" w:cs="Arial" w:eastAsia="Arial" w:hAnsi="Arial"/>
                <w:sz w:val="18"/>
                <w:szCs w:val="18"/>
                <w:color w:val="0000FF"/>
                <w:w w:val="91"/>
              </w:rPr>
            </w:pPr>
            <w:hyperlink r:id="rId71">
              <w:r>
                <w:rPr>
                  <w:rFonts w:ascii="Arial" w:cs="Arial" w:eastAsia="Arial" w:hAnsi="Arial"/>
                  <w:sz w:val="18"/>
                  <w:szCs w:val="18"/>
                  <w:color w:val="0000FF"/>
                  <w:w w:val="91"/>
                </w:rPr>
                <w:t>First Supplemental Indenture, dated as of August 13, 2002, between Black Hills Power, Inc. and The Bank of New York</w:t>
              </w:r>
            </w:hyperlink>
          </w:p>
        </w:tc>
        <w:tc>
          <w:tcPr>
            <w:tcW w:w="280" w:type="dxa"/>
            <w:vAlign w:val="bottom"/>
            <w:gridSpan w:val="8"/>
          </w:tcPr>
          <w:p>
            <w:pPr>
              <w:spacing w:after="0"/>
              <w:rPr>
                <w:sz w:val="21"/>
                <w:szCs w:val="21"/>
                <w:color w:val="auto"/>
              </w:rPr>
            </w:pPr>
          </w:p>
        </w:tc>
      </w:tr>
      <w:tr>
        <w:trPr>
          <w:trHeight w:val="196"/>
        </w:trPr>
        <w:tc>
          <w:tcPr>
            <w:tcW w:w="2280" w:type="dxa"/>
            <w:vAlign w:val="bottom"/>
          </w:tcPr>
          <w:p>
            <w:pPr>
              <w:spacing w:after="0"/>
              <w:rPr>
                <w:sz w:val="17"/>
                <w:szCs w:val="17"/>
                <w:color w:val="auto"/>
              </w:rPr>
            </w:pPr>
          </w:p>
        </w:tc>
        <w:tc>
          <w:tcPr>
            <w:tcW w:w="8960" w:type="dxa"/>
            <w:vAlign w:val="bottom"/>
            <w:gridSpan w:val="31"/>
          </w:tcPr>
          <w:p>
            <w:pPr>
              <w:spacing w:after="0" w:line="196" w:lineRule="exact"/>
              <w:rPr>
                <w:rFonts w:ascii="Arial" w:cs="Arial" w:eastAsia="Arial" w:hAnsi="Arial"/>
                <w:sz w:val="18"/>
                <w:szCs w:val="18"/>
                <w:color w:val="0000FF"/>
                <w:w w:val="97"/>
              </w:rPr>
            </w:pPr>
            <w:hyperlink r:id="rId71">
              <w:r>
                <w:rPr>
                  <w:rFonts w:ascii="Arial" w:cs="Arial" w:eastAsia="Arial" w:hAnsi="Arial"/>
                  <w:sz w:val="18"/>
                  <w:szCs w:val="18"/>
                  <w:color w:val="0000FF"/>
                  <w:w w:val="97"/>
                </w:rPr>
                <w:t>Mellon (as successor to JPMorgan Chase Bank), as Trustee (filed as Exhibit 4.20 to the Registrant’s Post-Effective</w:t>
              </w:r>
            </w:hyperlink>
          </w:p>
        </w:tc>
      </w:tr>
      <w:tr>
        <w:trPr>
          <w:trHeight w:val="196"/>
        </w:trPr>
        <w:tc>
          <w:tcPr>
            <w:tcW w:w="2280" w:type="dxa"/>
            <w:vAlign w:val="bottom"/>
          </w:tcPr>
          <w:p>
            <w:pPr>
              <w:spacing w:after="0"/>
              <w:rPr>
                <w:sz w:val="17"/>
                <w:szCs w:val="17"/>
                <w:color w:val="auto"/>
              </w:rPr>
            </w:pPr>
          </w:p>
        </w:tc>
        <w:tc>
          <w:tcPr>
            <w:tcW w:w="680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1"/>
              </w:rPr>
            </w:pPr>
            <w:hyperlink r:id="rId71">
              <w:r>
                <w:rPr>
                  <w:rFonts w:ascii="Arial" w:cs="Arial" w:eastAsia="Arial" w:hAnsi="Arial"/>
                  <w:sz w:val="18"/>
                  <w:szCs w:val="18"/>
                  <w:color w:val="0000FF"/>
                  <w:w w:val="91"/>
                </w:rPr>
                <w:t>Amendment No. 1 to the Registrant’s Registration Statement on Form S</w:t>
              </w:r>
              <w:r>
                <w:rPr>
                  <w:rFonts w:ascii="MS PGothic" w:cs="MS PGothic" w:eastAsia="MS PGothic" w:hAnsi="MS PGothic"/>
                  <w:sz w:val="18"/>
                  <w:szCs w:val="18"/>
                  <w:color w:val="0000FF"/>
                  <w:w w:val="91"/>
                </w:rPr>
                <w:t>‑</w:t>
              </w:r>
              <w:r>
                <w:rPr>
                  <w:rFonts w:ascii="Arial" w:cs="Arial" w:eastAsia="Arial" w:hAnsi="Arial"/>
                  <w:sz w:val="18"/>
                  <w:szCs w:val="18"/>
                  <w:color w:val="0000FF"/>
                  <w:w w:val="91"/>
                </w:rPr>
                <w:t>3 (No. 333</w:t>
              </w:r>
              <w:r>
                <w:rPr>
                  <w:rFonts w:ascii="MS PGothic" w:cs="MS PGothic" w:eastAsia="MS PGothic" w:hAnsi="MS PGothic"/>
                  <w:sz w:val="18"/>
                  <w:szCs w:val="18"/>
                  <w:color w:val="0000FF"/>
                  <w:w w:val="91"/>
                </w:rPr>
                <w:t>‑</w:t>
              </w:r>
              <w:r>
                <w:rPr>
                  <w:rFonts w:ascii="Arial" w:cs="Arial" w:eastAsia="Arial" w:hAnsi="Arial"/>
                  <w:sz w:val="18"/>
                  <w:szCs w:val="18"/>
                  <w:color w:val="0000FF"/>
                  <w:w w:val="91"/>
                </w:rPr>
                <w:t>150669)).</w:t>
              </w:r>
            </w:hyperlink>
          </w:p>
        </w:tc>
        <w:tc>
          <w:tcPr>
            <w:tcW w:w="1460" w:type="dxa"/>
            <w:vAlign w:val="bottom"/>
            <w:tcBorders>
              <w:top w:val="single" w:sz="8" w:color="0000FF"/>
            </w:tcBorders>
            <w:gridSpan w:val="2"/>
          </w:tcPr>
          <w:p>
            <w:pPr>
              <w:spacing w:after="0"/>
              <w:rPr>
                <w:sz w:val="17"/>
                <w:szCs w:val="17"/>
                <w:color w:val="auto"/>
              </w:rPr>
            </w:pPr>
          </w:p>
        </w:tc>
        <w:tc>
          <w:tcPr>
            <w:tcW w:w="700" w:type="dxa"/>
            <w:vAlign w:val="bottom"/>
            <w:gridSpan w:val="17"/>
          </w:tcPr>
          <w:p>
            <w:pPr>
              <w:spacing w:after="0"/>
              <w:rPr>
                <w:sz w:val="17"/>
                <w:szCs w:val="17"/>
                <w:color w:val="auto"/>
              </w:rPr>
            </w:pPr>
          </w:p>
        </w:tc>
      </w:tr>
      <w:tr>
        <w:trPr>
          <w:trHeight w:val="250"/>
        </w:trPr>
        <w:tc>
          <w:tcPr>
            <w:tcW w:w="2280" w:type="dxa"/>
            <w:vAlign w:val="bottom"/>
          </w:tcPr>
          <w:p>
            <w:pPr>
              <w:spacing w:after="0"/>
              <w:rPr>
                <w:sz w:val="21"/>
                <w:szCs w:val="21"/>
                <w:color w:val="auto"/>
              </w:rPr>
            </w:pPr>
          </w:p>
        </w:tc>
        <w:tc>
          <w:tcPr>
            <w:tcW w:w="8920" w:type="dxa"/>
            <w:vAlign w:val="bottom"/>
            <w:tcBorders>
              <w:bottom w:val="single" w:sz="8" w:color="0000FF"/>
            </w:tcBorders>
            <w:gridSpan w:val="29"/>
          </w:tcPr>
          <w:p>
            <w:pPr>
              <w:spacing w:after="0"/>
              <w:rPr>
                <w:rFonts w:ascii="Arial" w:cs="Arial" w:eastAsia="Arial" w:hAnsi="Arial"/>
                <w:sz w:val="18"/>
                <w:szCs w:val="18"/>
                <w:color w:val="0000FF"/>
                <w:w w:val="90"/>
              </w:rPr>
            </w:pPr>
            <w:hyperlink r:id="rId72">
              <w:r>
                <w:rPr>
                  <w:rFonts w:ascii="Arial" w:cs="Arial" w:eastAsia="Arial" w:hAnsi="Arial"/>
                  <w:sz w:val="18"/>
                  <w:szCs w:val="18"/>
                  <w:color w:val="0000FF"/>
                  <w:w w:val="90"/>
                </w:rPr>
                <w:t>Second Supplemental Indenture, dated as of October 27, 2009, between Black Hills Power, Inc. and The Bank of New York</w:t>
              </w:r>
            </w:hyperlink>
          </w:p>
        </w:tc>
        <w:tc>
          <w:tcPr>
            <w:tcW w:w="40" w:type="dxa"/>
            <w:vAlign w:val="bottom"/>
            <w:gridSpan w:val="2"/>
          </w:tcPr>
          <w:p>
            <w:pPr>
              <w:spacing w:after="0"/>
              <w:rPr>
                <w:sz w:val="21"/>
                <w:szCs w:val="21"/>
                <w:color w:val="auto"/>
              </w:rPr>
            </w:pPr>
          </w:p>
        </w:tc>
      </w:tr>
      <w:tr>
        <w:trPr>
          <w:trHeight w:val="196"/>
        </w:trPr>
        <w:tc>
          <w:tcPr>
            <w:tcW w:w="2280" w:type="dxa"/>
            <w:vAlign w:val="bottom"/>
          </w:tcPr>
          <w:p>
            <w:pPr>
              <w:spacing w:after="0"/>
              <w:rPr>
                <w:sz w:val="17"/>
                <w:szCs w:val="17"/>
                <w:color w:val="auto"/>
              </w:rPr>
            </w:pPr>
          </w:p>
        </w:tc>
        <w:tc>
          <w:tcPr>
            <w:tcW w:w="8180" w:type="dxa"/>
            <w:vAlign w:val="bottom"/>
            <w:tcBorders>
              <w:bottom w:val="single" w:sz="8" w:color="0000FF"/>
            </w:tcBorders>
            <w:gridSpan w:val="13"/>
          </w:tcPr>
          <w:p>
            <w:pPr>
              <w:spacing w:after="0" w:line="196" w:lineRule="exact"/>
              <w:rPr>
                <w:rFonts w:ascii="Arial" w:cs="Arial" w:eastAsia="Arial" w:hAnsi="Arial"/>
                <w:sz w:val="18"/>
                <w:szCs w:val="18"/>
                <w:color w:val="0000FF"/>
                <w:w w:val="91"/>
              </w:rPr>
            </w:pPr>
            <w:hyperlink r:id="rId72">
              <w:r>
                <w:rPr>
                  <w:rFonts w:ascii="Arial" w:cs="Arial" w:eastAsia="Arial" w:hAnsi="Arial"/>
                  <w:sz w:val="18"/>
                  <w:szCs w:val="18"/>
                  <w:color w:val="0000FF"/>
                  <w:w w:val="91"/>
                </w:rPr>
                <w:t>Mellon (filed as Exhibit 4.21 to the Registrant’s Post-Effective Amendment No. 2 to the Registrant’s Registration</w:t>
              </w:r>
            </w:hyperlink>
          </w:p>
        </w:tc>
        <w:tc>
          <w:tcPr>
            <w:tcW w:w="780" w:type="dxa"/>
            <w:vAlign w:val="bottom"/>
            <w:gridSpan w:val="18"/>
          </w:tcPr>
          <w:p>
            <w:pPr>
              <w:spacing w:after="0"/>
              <w:rPr>
                <w:sz w:val="17"/>
                <w:szCs w:val="17"/>
                <w:color w:val="auto"/>
              </w:rPr>
            </w:pPr>
          </w:p>
        </w:tc>
      </w:tr>
      <w:tr>
        <w:trPr>
          <w:trHeight w:val="196"/>
        </w:trPr>
        <w:tc>
          <w:tcPr>
            <w:tcW w:w="2280" w:type="dxa"/>
            <w:vAlign w:val="bottom"/>
          </w:tcPr>
          <w:p>
            <w:pPr>
              <w:spacing w:after="0"/>
              <w:rPr>
                <w:sz w:val="17"/>
                <w:szCs w:val="17"/>
                <w:color w:val="auto"/>
              </w:rPr>
            </w:pPr>
          </w:p>
        </w:tc>
        <w:tc>
          <w:tcPr>
            <w:tcW w:w="3140" w:type="dxa"/>
            <w:vAlign w:val="bottom"/>
            <w:tcBorders>
              <w:bottom w:val="single" w:sz="8" w:color="0000FF"/>
            </w:tcBorders>
            <w:gridSpan w:val="8"/>
          </w:tcPr>
          <w:p>
            <w:pPr>
              <w:spacing w:after="0" w:line="196" w:lineRule="exact"/>
              <w:rPr>
                <w:rFonts w:ascii="Arial" w:cs="Arial" w:eastAsia="Arial" w:hAnsi="Arial"/>
                <w:sz w:val="18"/>
                <w:szCs w:val="18"/>
                <w:color w:val="0000FF"/>
                <w:w w:val="90"/>
              </w:rPr>
            </w:pPr>
            <w:hyperlink r:id="rId72">
              <w:r>
                <w:rPr>
                  <w:rFonts w:ascii="Arial" w:cs="Arial" w:eastAsia="Arial" w:hAnsi="Arial"/>
                  <w:sz w:val="18"/>
                  <w:szCs w:val="18"/>
                  <w:color w:val="0000FF"/>
                  <w:w w:val="90"/>
                </w:rPr>
                <w:t>Statement on Form S-3 (No. 333-150669)).</w:t>
              </w:r>
            </w:hyperlink>
          </w:p>
        </w:tc>
        <w:tc>
          <w:tcPr>
            <w:tcW w:w="5820" w:type="dxa"/>
            <w:vAlign w:val="bottom"/>
            <w:gridSpan w:val="23"/>
          </w:tcPr>
          <w:p>
            <w:pPr>
              <w:spacing w:after="0"/>
              <w:rPr>
                <w:sz w:val="17"/>
                <w:szCs w:val="17"/>
                <w:color w:val="auto"/>
              </w:rPr>
            </w:pPr>
          </w:p>
        </w:tc>
      </w:tr>
      <w:tr>
        <w:trPr>
          <w:trHeight w:val="250"/>
        </w:trPr>
        <w:tc>
          <w:tcPr>
            <w:tcW w:w="2280" w:type="dxa"/>
            <w:vAlign w:val="bottom"/>
          </w:tcPr>
          <w:p>
            <w:pPr>
              <w:spacing w:after="0"/>
              <w:rPr>
                <w:sz w:val="21"/>
                <w:szCs w:val="21"/>
                <w:color w:val="auto"/>
              </w:rPr>
            </w:pPr>
          </w:p>
        </w:tc>
        <w:tc>
          <w:tcPr>
            <w:tcW w:w="8700" w:type="dxa"/>
            <w:vAlign w:val="bottom"/>
            <w:tcBorders>
              <w:bottom w:val="single" w:sz="8" w:color="0000FF"/>
            </w:tcBorders>
            <w:gridSpan w:val="24"/>
          </w:tcPr>
          <w:p>
            <w:pPr>
              <w:spacing w:after="0"/>
              <w:rPr>
                <w:rFonts w:ascii="Arial" w:cs="Arial" w:eastAsia="Arial" w:hAnsi="Arial"/>
                <w:sz w:val="18"/>
                <w:szCs w:val="18"/>
                <w:color w:val="0000FF"/>
                <w:w w:val="91"/>
              </w:rPr>
            </w:pPr>
            <w:hyperlink r:id="rId73">
              <w:r>
                <w:rPr>
                  <w:rFonts w:ascii="Arial" w:cs="Arial" w:eastAsia="Arial" w:hAnsi="Arial"/>
                  <w:sz w:val="18"/>
                  <w:szCs w:val="18"/>
                  <w:color w:val="0000FF"/>
                  <w:w w:val="91"/>
                </w:rPr>
                <w:t>Third Supplemental Indenture, dated as of October 1, 2014, between Black Hills Power, Inc. and The Bank of New York</w:t>
              </w:r>
            </w:hyperlink>
          </w:p>
        </w:tc>
        <w:tc>
          <w:tcPr>
            <w:tcW w:w="260" w:type="dxa"/>
            <w:vAlign w:val="bottom"/>
            <w:gridSpan w:val="7"/>
          </w:tcPr>
          <w:p>
            <w:pPr>
              <w:spacing w:after="0"/>
              <w:rPr>
                <w:sz w:val="21"/>
                <w:szCs w:val="21"/>
                <w:color w:val="auto"/>
              </w:rPr>
            </w:pPr>
          </w:p>
        </w:tc>
      </w:tr>
      <w:tr>
        <w:trPr>
          <w:trHeight w:val="196"/>
        </w:trPr>
        <w:tc>
          <w:tcPr>
            <w:tcW w:w="2280" w:type="dxa"/>
            <w:vAlign w:val="bottom"/>
          </w:tcPr>
          <w:p>
            <w:pPr>
              <w:spacing w:after="0"/>
              <w:rPr>
                <w:sz w:val="17"/>
                <w:szCs w:val="17"/>
                <w:color w:val="auto"/>
              </w:rPr>
            </w:pPr>
          </w:p>
        </w:tc>
        <w:tc>
          <w:tcPr>
            <w:tcW w:w="8960" w:type="dxa"/>
            <w:vAlign w:val="bottom"/>
            <w:gridSpan w:val="31"/>
          </w:tcPr>
          <w:p>
            <w:pPr>
              <w:spacing w:after="0" w:line="196" w:lineRule="exact"/>
              <w:rPr>
                <w:rFonts w:ascii="Arial" w:cs="Arial" w:eastAsia="Arial" w:hAnsi="Arial"/>
                <w:sz w:val="18"/>
                <w:szCs w:val="18"/>
                <w:color w:val="0000FF"/>
              </w:rPr>
            </w:pPr>
            <w:hyperlink r:id="rId73">
              <w:r>
                <w:rPr>
                  <w:rFonts w:ascii="Arial" w:cs="Arial" w:eastAsia="Arial" w:hAnsi="Arial"/>
                  <w:sz w:val="18"/>
                  <w:szCs w:val="18"/>
                  <w:color w:val="0000FF"/>
                </w:rPr>
                <w:t>Mellon (filed as Exhibit 10.1 to the Registrant’s Form 8-K filed on October 2, 2014).</w:t>
              </w:r>
            </w:hyperlink>
          </w:p>
        </w:tc>
      </w:tr>
      <w:tr>
        <w:trPr>
          <w:trHeight w:val="20"/>
        </w:trPr>
        <w:tc>
          <w:tcPr>
            <w:tcW w:w="2280" w:type="dxa"/>
            <w:vAlign w:val="bottom"/>
          </w:tcPr>
          <w:p>
            <w:pPr>
              <w:spacing w:after="0" w:line="20" w:lineRule="exact"/>
              <w:rPr>
                <w:sz w:val="1"/>
                <w:szCs w:val="1"/>
                <w:color w:val="auto"/>
              </w:rPr>
            </w:pPr>
          </w:p>
        </w:tc>
        <w:tc>
          <w:tcPr>
            <w:tcW w:w="5560" w:type="dxa"/>
            <w:vAlign w:val="bottom"/>
            <w:gridSpan w:val="10"/>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20" w:type="dxa"/>
            <w:vAlign w:val="bottom"/>
            <w:gridSpan w:val="9"/>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r>
      <w:tr>
        <w:trPr>
          <w:trHeight w:val="479"/>
        </w:trPr>
        <w:tc>
          <w:tcPr>
            <w:tcW w:w="2280" w:type="dxa"/>
            <w:vAlign w:val="bottom"/>
          </w:tcPr>
          <w:p>
            <w:pPr>
              <w:ind w:left="40"/>
              <w:spacing w:after="0"/>
              <w:rPr>
                <w:sz w:val="20"/>
                <w:szCs w:val="20"/>
                <w:color w:val="auto"/>
              </w:rPr>
            </w:pPr>
            <w:r>
              <w:rPr>
                <w:rFonts w:ascii="Arial" w:cs="Arial" w:eastAsia="Arial" w:hAnsi="Arial"/>
                <w:sz w:val="18"/>
                <w:szCs w:val="18"/>
                <w:color w:val="auto"/>
              </w:rPr>
              <w:t>Exhibit 4.3*</w:t>
            </w:r>
          </w:p>
        </w:tc>
        <w:tc>
          <w:tcPr>
            <w:tcW w:w="8800" w:type="dxa"/>
            <w:vAlign w:val="bottom"/>
            <w:tcBorders>
              <w:bottom w:val="single" w:sz="8" w:color="0000FF"/>
            </w:tcBorders>
            <w:gridSpan w:val="25"/>
          </w:tcPr>
          <w:p>
            <w:pPr>
              <w:spacing w:after="0"/>
              <w:rPr>
                <w:rFonts w:ascii="Arial" w:cs="Arial" w:eastAsia="Arial" w:hAnsi="Arial"/>
                <w:sz w:val="18"/>
                <w:szCs w:val="18"/>
                <w:color w:val="0000FF"/>
                <w:w w:val="89"/>
              </w:rPr>
            </w:pPr>
            <w:hyperlink r:id="rId74">
              <w:r>
                <w:rPr>
                  <w:rFonts w:ascii="Arial" w:cs="Arial" w:eastAsia="Arial" w:hAnsi="Arial"/>
                  <w:sz w:val="18"/>
                  <w:szCs w:val="18"/>
                  <w:color w:val="0000FF"/>
                  <w:w w:val="89"/>
                </w:rPr>
                <w:t>Restated Indenture of Mortgage, Deed of Trust, Security Agreement and Financing Statement, amended and restated as of</w:t>
              </w:r>
            </w:hyperlink>
          </w:p>
        </w:tc>
        <w:tc>
          <w:tcPr>
            <w:tcW w:w="160" w:type="dxa"/>
            <w:vAlign w:val="bottom"/>
            <w:gridSpan w:val="6"/>
          </w:tcPr>
          <w:p>
            <w:pPr>
              <w:spacing w:after="0"/>
              <w:rPr>
                <w:sz w:val="24"/>
                <w:szCs w:val="24"/>
                <w:color w:val="auto"/>
              </w:rPr>
            </w:pPr>
          </w:p>
        </w:tc>
      </w:tr>
      <w:tr>
        <w:trPr>
          <w:trHeight w:val="196"/>
        </w:trPr>
        <w:tc>
          <w:tcPr>
            <w:tcW w:w="2280" w:type="dxa"/>
            <w:vAlign w:val="bottom"/>
          </w:tcPr>
          <w:p>
            <w:pPr>
              <w:spacing w:after="0"/>
              <w:rPr>
                <w:sz w:val="17"/>
                <w:szCs w:val="17"/>
                <w:color w:val="auto"/>
              </w:rPr>
            </w:pPr>
          </w:p>
        </w:tc>
        <w:tc>
          <w:tcPr>
            <w:tcW w:w="8960" w:type="dxa"/>
            <w:vAlign w:val="bottom"/>
            <w:gridSpan w:val="31"/>
          </w:tcPr>
          <w:p>
            <w:pPr>
              <w:spacing w:after="0" w:line="196" w:lineRule="exact"/>
              <w:rPr>
                <w:rFonts w:ascii="Arial" w:cs="Arial" w:eastAsia="Arial" w:hAnsi="Arial"/>
                <w:sz w:val="18"/>
                <w:szCs w:val="18"/>
                <w:color w:val="0000FF"/>
                <w:w w:val="95"/>
              </w:rPr>
            </w:pPr>
            <w:hyperlink r:id="rId74">
              <w:r>
                <w:rPr>
                  <w:rFonts w:ascii="Arial" w:cs="Arial" w:eastAsia="Arial" w:hAnsi="Arial"/>
                  <w:sz w:val="18"/>
                  <w:szCs w:val="18"/>
                  <w:color w:val="0000FF"/>
                  <w:w w:val="95"/>
                </w:rPr>
                <w:t>November 20, 2007, between Cheyenne Light, Fuel and Power Company and Wells Fargo Bank, National Association</w:t>
              </w:r>
            </w:hyperlink>
          </w:p>
        </w:tc>
      </w:tr>
      <w:tr>
        <w:trPr>
          <w:trHeight w:val="196"/>
        </w:trPr>
        <w:tc>
          <w:tcPr>
            <w:tcW w:w="2280" w:type="dxa"/>
            <w:vAlign w:val="bottom"/>
          </w:tcPr>
          <w:p>
            <w:pPr>
              <w:spacing w:after="0"/>
              <w:rPr>
                <w:sz w:val="17"/>
                <w:szCs w:val="17"/>
                <w:color w:val="auto"/>
              </w:rPr>
            </w:pPr>
          </w:p>
        </w:tc>
        <w:tc>
          <w:tcPr>
            <w:tcW w:w="556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2"/>
              </w:rPr>
            </w:pPr>
            <w:hyperlink r:id="rId74">
              <w:r>
                <w:rPr>
                  <w:rFonts w:ascii="Arial" w:cs="Arial" w:eastAsia="Arial" w:hAnsi="Arial"/>
                  <w:sz w:val="18"/>
                  <w:szCs w:val="18"/>
                  <w:color w:val="0000FF"/>
                  <w:w w:val="92"/>
                </w:rPr>
                <w:t>(filed as Exhibit 10.2 to the Registrant’s Form 8-K filed on October 2, 2014).</w:t>
              </w:r>
            </w:hyperlink>
          </w:p>
        </w:tc>
        <w:tc>
          <w:tcPr>
            <w:tcW w:w="2980" w:type="dxa"/>
            <w:vAlign w:val="bottom"/>
            <w:tcBorders>
              <w:top w:val="single" w:sz="8" w:color="0000FF"/>
            </w:tcBorders>
            <w:gridSpan w:val="10"/>
          </w:tcPr>
          <w:p>
            <w:pPr>
              <w:spacing w:after="0"/>
              <w:rPr>
                <w:sz w:val="17"/>
                <w:szCs w:val="17"/>
                <w:color w:val="auto"/>
              </w:rPr>
            </w:pPr>
          </w:p>
        </w:tc>
        <w:tc>
          <w:tcPr>
            <w:tcW w:w="420" w:type="dxa"/>
            <w:vAlign w:val="bottom"/>
            <w:gridSpan w:val="11"/>
          </w:tcPr>
          <w:p>
            <w:pPr>
              <w:spacing w:after="0"/>
              <w:rPr>
                <w:sz w:val="17"/>
                <w:szCs w:val="17"/>
                <w:color w:val="auto"/>
              </w:rPr>
            </w:pPr>
          </w:p>
        </w:tc>
      </w:tr>
    </w:tbl>
    <w:p>
      <w:pPr>
        <w:sectPr>
          <w:pgSz w:w="11900" w:h="16864" w:orient="portrait"/>
          <w:cols w:equalWidth="0" w:num="1">
            <w:col w:w="11240"/>
          </w:cols>
          <w:pgMar w:left="320" w:top="126" w:right="339" w:bottom="0" w:gutter="0" w:footer="0" w:header="0"/>
        </w:sectPr>
      </w:pPr>
    </w:p>
    <w:bookmarkStart w:id="51" w:name="page52"/>
    <w:bookmarkEnd w:id="51"/>
    <w:p>
      <w:pPr>
        <w:jc w:val="both"/>
        <w:ind w:left="1160"/>
        <w:spacing w:after="0" w:line="316" w:lineRule="auto"/>
        <w:rPr>
          <w:rFonts w:ascii="Arial" w:cs="Arial" w:eastAsia="Arial" w:hAnsi="Arial"/>
          <w:sz w:val="16"/>
          <w:szCs w:val="16"/>
          <w:u w:val="single" w:color="auto"/>
          <w:color w:val="0000FF"/>
        </w:rPr>
      </w:pPr>
      <w:hyperlink r:id="rId75">
        <w:r>
          <w:rPr>
            <w:rFonts w:ascii="Arial" w:cs="Arial" w:eastAsia="Arial" w:hAnsi="Arial"/>
            <w:sz w:val="16"/>
            <w:szCs w:val="16"/>
            <w:u w:val="single" w:color="auto"/>
            <w:color w:val="0000FF"/>
          </w:rPr>
          <w:t>First Supplemental Indenture, dated as of September 3, 2009, between Cheyenne Light, Fuel and Power Company and</w:t>
        </w:r>
      </w:hyperlink>
      <w:r>
        <w:rPr>
          <w:rFonts w:ascii="Arial" w:cs="Arial" w:eastAsia="Arial" w:hAnsi="Arial"/>
          <w:sz w:val="16"/>
          <w:szCs w:val="16"/>
          <w:u w:val="single" w:color="auto"/>
          <w:color w:val="0000FF"/>
        </w:rPr>
        <w:t xml:space="preserve"> </w:t>
      </w:r>
      <w:hyperlink r:id="rId75">
        <w:r>
          <w:rPr>
            <w:rFonts w:ascii="Arial" w:cs="Arial" w:eastAsia="Arial" w:hAnsi="Arial"/>
            <w:sz w:val="16"/>
            <w:szCs w:val="16"/>
            <w:u w:val="single" w:color="auto"/>
            <w:color w:val="0000FF"/>
          </w:rPr>
          <w:t>Wells Fargo Bank, National Association (filed as Exhibit 10.3 to the Registrant’s Form 8-K filed on October 2, 2014).</w:t>
        </w:r>
      </w:hyperlink>
    </w:p>
    <w:p>
      <w:pPr>
        <w:spacing w:after="0" w:line="2" w:lineRule="exact"/>
        <w:rPr>
          <w:sz w:val="20"/>
          <w:szCs w:val="20"/>
          <w:color w:val="auto"/>
        </w:rPr>
      </w:pPr>
    </w:p>
    <w:p>
      <w:pPr>
        <w:jc w:val="both"/>
        <w:ind w:left="1160"/>
        <w:spacing w:after="0" w:line="342" w:lineRule="auto"/>
        <w:rPr>
          <w:rFonts w:ascii="Arial" w:cs="Arial" w:eastAsia="Arial" w:hAnsi="Arial"/>
          <w:sz w:val="16"/>
          <w:szCs w:val="16"/>
          <w:u w:val="single" w:color="auto"/>
          <w:color w:val="0000FF"/>
        </w:rPr>
      </w:pPr>
      <w:hyperlink r:id="rId76">
        <w:r>
          <w:rPr>
            <w:rFonts w:ascii="Arial" w:cs="Arial" w:eastAsia="Arial" w:hAnsi="Arial"/>
            <w:sz w:val="16"/>
            <w:szCs w:val="16"/>
            <w:u w:val="single" w:color="auto"/>
            <w:color w:val="0000FF"/>
          </w:rPr>
          <w:t>Second Supplemental Indenture, dated as of October 1, 2014, between Cheyenne Light, Fuel and Power Company and</w:t>
        </w:r>
      </w:hyperlink>
      <w:r>
        <w:rPr>
          <w:rFonts w:ascii="Arial" w:cs="Arial" w:eastAsia="Arial" w:hAnsi="Arial"/>
          <w:sz w:val="16"/>
          <w:szCs w:val="16"/>
          <w:u w:val="single" w:color="auto"/>
          <w:color w:val="0000FF"/>
        </w:rPr>
        <w:t xml:space="preserve"> </w:t>
      </w:r>
      <w:hyperlink r:id="rId76">
        <w:r>
          <w:rPr>
            <w:rFonts w:ascii="Arial" w:cs="Arial" w:eastAsia="Arial" w:hAnsi="Arial"/>
            <w:sz w:val="16"/>
            <w:szCs w:val="16"/>
            <w:u w:val="single" w:color="auto"/>
            <w:color w:val="0000FF"/>
          </w:rPr>
          <w:t>Wells Fargo Bank, National Association (filed as Exhibit 10.4 to the Registrant’s Form 8-K filed on October 2, 2014).</w:t>
        </w:r>
      </w:hyperlink>
    </w:p>
    <w:p>
      <w:pPr>
        <w:spacing w:after="0" w:line="15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9700"/>
          </w:cols>
          <w:pgMar w:left="1440" w:top="152" w:right="75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2280" w:type="dxa"/>
            <w:vAlign w:val="bottom"/>
          </w:tcPr>
          <w:p>
            <w:pPr>
              <w:ind w:left="40"/>
              <w:spacing w:after="0"/>
              <w:rPr>
                <w:sz w:val="20"/>
                <w:szCs w:val="20"/>
                <w:color w:val="auto"/>
              </w:rPr>
            </w:pPr>
            <w:r>
              <w:rPr>
                <w:rFonts w:ascii="Arial" w:cs="Arial" w:eastAsia="Arial" w:hAnsi="Arial"/>
                <w:sz w:val="18"/>
                <w:szCs w:val="18"/>
                <w:color w:val="auto"/>
              </w:rPr>
              <w:t>Exhibit 4.4*</w:t>
            </w:r>
          </w:p>
        </w:tc>
        <w:tc>
          <w:tcPr>
            <w:tcW w:w="8920" w:type="dxa"/>
            <w:vAlign w:val="bottom"/>
            <w:tcBorders>
              <w:bottom w:val="single" w:sz="8" w:color="0000FF"/>
            </w:tcBorders>
            <w:gridSpan w:val="8"/>
          </w:tcPr>
          <w:p>
            <w:pPr>
              <w:spacing w:after="0"/>
              <w:rPr>
                <w:rFonts w:ascii="Arial" w:cs="Arial" w:eastAsia="Arial" w:hAnsi="Arial"/>
                <w:sz w:val="18"/>
                <w:szCs w:val="18"/>
                <w:color w:val="0000FF"/>
                <w:w w:val="91"/>
              </w:rPr>
            </w:pPr>
            <w:hyperlink r:id="rId77">
              <w:r>
                <w:rPr>
                  <w:rFonts w:ascii="Arial" w:cs="Arial" w:eastAsia="Arial" w:hAnsi="Arial"/>
                  <w:sz w:val="18"/>
                  <w:szCs w:val="18"/>
                  <w:color w:val="0000FF"/>
                  <w:w w:val="91"/>
                </w:rPr>
                <w:t xml:space="preserve">Form of Stock Certificate for Common Stock, Par Value </w:t>
              </w:r>
              <w:r>
                <w:rPr>
                  <w:rFonts w:ascii="Arial" w:cs="Arial" w:eastAsia="Arial" w:hAnsi="Arial"/>
                  <w:sz w:val="18"/>
                  <w:szCs w:val="18"/>
                  <w:u w:val="single" w:color="auto"/>
                  <w:color w:val="0000FF"/>
                  <w:w w:val="91"/>
                </w:rPr>
                <w:t>$</w:t>
              </w:r>
              <w:r>
                <w:rPr>
                  <w:rFonts w:ascii="Arial" w:cs="Arial" w:eastAsia="Arial" w:hAnsi="Arial"/>
                  <w:sz w:val="18"/>
                  <w:szCs w:val="18"/>
                  <w:color w:val="0000FF"/>
                  <w:w w:val="91"/>
                </w:rPr>
                <w:t>1.00 Per Share (filed as Exhibit 4.2 to the Registrant’s Form 10-K</w:t>
              </w:r>
            </w:hyperlink>
          </w:p>
        </w:tc>
      </w:tr>
      <w:tr>
        <w:trPr>
          <w:trHeight w:val="196"/>
        </w:trPr>
        <w:tc>
          <w:tcPr>
            <w:tcW w:w="2280" w:type="dxa"/>
            <w:vAlign w:val="bottom"/>
          </w:tcPr>
          <w:p>
            <w:pPr>
              <w:spacing w:after="0"/>
              <w:rPr>
                <w:sz w:val="17"/>
                <w:szCs w:val="17"/>
                <w:color w:val="auto"/>
              </w:rPr>
            </w:pPr>
          </w:p>
        </w:tc>
        <w:tc>
          <w:tcPr>
            <w:tcW w:w="8920" w:type="dxa"/>
            <w:vAlign w:val="bottom"/>
            <w:gridSpan w:val="8"/>
          </w:tcPr>
          <w:p>
            <w:pPr>
              <w:spacing w:after="0" w:line="196" w:lineRule="exact"/>
              <w:rPr>
                <w:rFonts w:ascii="Arial" w:cs="Arial" w:eastAsia="Arial" w:hAnsi="Arial"/>
                <w:sz w:val="18"/>
                <w:szCs w:val="18"/>
                <w:color w:val="0000FF"/>
              </w:rPr>
            </w:pPr>
            <w:hyperlink r:id="rId77">
              <w:r>
                <w:rPr>
                  <w:rFonts w:ascii="Arial" w:cs="Arial" w:eastAsia="Arial" w:hAnsi="Arial"/>
                  <w:sz w:val="18"/>
                  <w:szCs w:val="18"/>
                  <w:color w:val="0000FF"/>
                </w:rPr>
                <w:t>for 2000).</w:t>
              </w:r>
            </w:hyperlink>
          </w:p>
        </w:tc>
      </w:tr>
      <w:tr>
        <w:trPr>
          <w:trHeight w:val="20"/>
        </w:trPr>
        <w:tc>
          <w:tcPr>
            <w:tcW w:w="22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520"/>
        </w:trPr>
        <w:tc>
          <w:tcPr>
            <w:tcW w:w="2280" w:type="dxa"/>
            <w:vAlign w:val="bottom"/>
          </w:tcPr>
          <w:p>
            <w:pPr>
              <w:ind w:left="40"/>
              <w:spacing w:after="0"/>
              <w:rPr>
                <w:sz w:val="20"/>
                <w:szCs w:val="20"/>
                <w:color w:val="auto"/>
              </w:rPr>
            </w:pPr>
            <w:r>
              <w:rPr>
                <w:rFonts w:ascii="Arial" w:cs="Arial" w:eastAsia="Arial" w:hAnsi="Arial"/>
                <w:sz w:val="18"/>
                <w:szCs w:val="18"/>
                <w:color w:val="auto"/>
              </w:rPr>
              <w:t>Exhibit 18.1</w:t>
            </w:r>
          </w:p>
        </w:tc>
        <w:tc>
          <w:tcPr>
            <w:tcW w:w="8920" w:type="dxa"/>
            <w:vAlign w:val="bottom"/>
            <w:gridSpan w:val="8"/>
          </w:tcPr>
          <w:p>
            <w:pPr>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Preferability letter from Deloitte &amp; Touche LLP regarding change in pension accounting asset method.</w:t>
              </w:r>
            </w:hyperlink>
          </w:p>
        </w:tc>
      </w:tr>
      <w:tr>
        <w:trPr>
          <w:trHeight w:val="459"/>
        </w:trPr>
        <w:tc>
          <w:tcPr>
            <w:tcW w:w="2280" w:type="dxa"/>
            <w:vAlign w:val="bottom"/>
          </w:tcPr>
          <w:p>
            <w:pPr>
              <w:ind w:left="40"/>
              <w:spacing w:after="0"/>
              <w:rPr>
                <w:sz w:val="20"/>
                <w:szCs w:val="20"/>
                <w:color w:val="auto"/>
              </w:rPr>
            </w:pPr>
            <w:r>
              <w:rPr>
                <w:rFonts w:ascii="Arial" w:cs="Arial" w:eastAsia="Arial" w:hAnsi="Arial"/>
                <w:sz w:val="18"/>
                <w:szCs w:val="18"/>
                <w:color w:val="auto"/>
              </w:rPr>
              <w:t>Exhibit 31.1</w:t>
            </w:r>
          </w:p>
        </w:tc>
        <w:tc>
          <w:tcPr>
            <w:tcW w:w="8680" w:type="dxa"/>
            <w:vAlign w:val="bottom"/>
            <w:tcBorders>
              <w:bottom w:val="single" w:sz="8" w:color="0000FF"/>
            </w:tcBorders>
            <w:gridSpan w:val="7"/>
          </w:tcPr>
          <w:p>
            <w:pPr>
              <w:spacing w:after="0"/>
              <w:rPr>
                <w:rFonts w:ascii="Arial" w:cs="Arial" w:eastAsia="Arial" w:hAnsi="Arial"/>
                <w:sz w:val="18"/>
                <w:szCs w:val="18"/>
                <w:color w:val="0000FF"/>
                <w:w w:val="91"/>
              </w:rPr>
            </w:pPr>
            <w:hyperlink w:anchor="page56">
              <w:r>
                <w:rPr>
                  <w:rFonts w:ascii="Arial" w:cs="Arial" w:eastAsia="Arial" w:hAnsi="Arial"/>
                  <w:sz w:val="18"/>
                  <w:szCs w:val="18"/>
                  <w:color w:val="0000FF"/>
                  <w:w w:val="91"/>
                </w:rPr>
                <w:t>Certification of Chief Executive Officer pursuant to Rule 13a - 14(a) of the Securities Exchange Act of 1934, as adopted</w:t>
              </w:r>
            </w:hyperlink>
          </w:p>
        </w:tc>
        <w:tc>
          <w:tcPr>
            <w:tcW w:w="240" w:type="dxa"/>
            <w:vAlign w:val="bottom"/>
          </w:tcPr>
          <w:p>
            <w:pPr>
              <w:spacing w:after="0"/>
              <w:rPr>
                <w:sz w:val="24"/>
                <w:szCs w:val="24"/>
                <w:color w:val="auto"/>
              </w:rPr>
            </w:pPr>
          </w:p>
        </w:tc>
      </w:tr>
      <w:tr>
        <w:trPr>
          <w:trHeight w:val="196"/>
        </w:trPr>
        <w:tc>
          <w:tcPr>
            <w:tcW w:w="2280" w:type="dxa"/>
            <w:vAlign w:val="bottom"/>
          </w:tcPr>
          <w:p>
            <w:pPr>
              <w:spacing w:after="0"/>
              <w:rPr>
                <w:sz w:val="17"/>
                <w:szCs w:val="17"/>
                <w:color w:val="auto"/>
              </w:rPr>
            </w:pPr>
          </w:p>
        </w:tc>
        <w:tc>
          <w:tcPr>
            <w:tcW w:w="8920" w:type="dxa"/>
            <w:vAlign w:val="bottom"/>
            <w:gridSpan w:val="8"/>
          </w:tcPr>
          <w:p>
            <w:pPr>
              <w:spacing w:after="0" w:line="196" w:lineRule="exact"/>
              <w:rPr>
                <w:rFonts w:ascii="Arial" w:cs="Arial" w:eastAsia="Arial" w:hAnsi="Arial"/>
                <w:sz w:val="18"/>
                <w:szCs w:val="18"/>
                <w:color w:val="0000FF"/>
              </w:rPr>
            </w:pPr>
            <w:hyperlink w:anchor="page56">
              <w:r>
                <w:rPr>
                  <w:rFonts w:ascii="Arial" w:cs="Arial" w:eastAsia="Arial" w:hAnsi="Arial"/>
                  <w:sz w:val="18"/>
                  <w:szCs w:val="18"/>
                  <w:color w:val="0000FF"/>
                </w:rPr>
                <w:t>pursuant to Section 302 of the Sarbanes - Oxley Act of 2002.</w:t>
              </w:r>
            </w:hyperlink>
          </w:p>
        </w:tc>
      </w:tr>
      <w:tr>
        <w:trPr>
          <w:trHeight w:val="20"/>
        </w:trPr>
        <w:tc>
          <w:tcPr>
            <w:tcW w:w="2280" w:type="dxa"/>
            <w:vAlign w:val="bottom"/>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480"/>
        </w:trPr>
        <w:tc>
          <w:tcPr>
            <w:tcW w:w="2280" w:type="dxa"/>
            <w:vAlign w:val="bottom"/>
          </w:tcPr>
          <w:p>
            <w:pPr>
              <w:ind w:left="40"/>
              <w:spacing w:after="0"/>
              <w:rPr>
                <w:sz w:val="20"/>
                <w:szCs w:val="20"/>
                <w:color w:val="auto"/>
              </w:rPr>
            </w:pPr>
            <w:r>
              <w:rPr>
                <w:rFonts w:ascii="Arial" w:cs="Arial" w:eastAsia="Arial" w:hAnsi="Arial"/>
                <w:sz w:val="18"/>
                <w:szCs w:val="18"/>
                <w:color w:val="auto"/>
              </w:rPr>
              <w:t>Exhibit 31.2</w:t>
            </w:r>
          </w:p>
        </w:tc>
        <w:tc>
          <w:tcPr>
            <w:tcW w:w="864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57">
              <w:r>
                <w:rPr>
                  <w:rFonts w:ascii="Arial" w:cs="Arial" w:eastAsia="Arial" w:hAnsi="Arial"/>
                  <w:sz w:val="18"/>
                  <w:szCs w:val="18"/>
                  <w:color w:val="0000FF"/>
                  <w:w w:val="91"/>
                </w:rPr>
                <w:t>Certification of Chief Financial Officer pursuant to Rule 13a - 14(a) of the Securities Exchange Act of 1934, as adopted</w:t>
              </w:r>
            </w:hyperlink>
          </w:p>
        </w:tc>
        <w:tc>
          <w:tcPr>
            <w:tcW w:w="280" w:type="dxa"/>
            <w:vAlign w:val="bottom"/>
            <w:gridSpan w:val="2"/>
          </w:tcPr>
          <w:p>
            <w:pPr>
              <w:spacing w:after="0"/>
              <w:rPr>
                <w:sz w:val="24"/>
                <w:szCs w:val="24"/>
                <w:color w:val="auto"/>
              </w:rPr>
            </w:pPr>
          </w:p>
        </w:tc>
      </w:tr>
      <w:tr>
        <w:trPr>
          <w:trHeight w:val="196"/>
        </w:trPr>
        <w:tc>
          <w:tcPr>
            <w:tcW w:w="2280" w:type="dxa"/>
            <w:vAlign w:val="bottom"/>
          </w:tcPr>
          <w:p>
            <w:pPr>
              <w:spacing w:after="0"/>
              <w:rPr>
                <w:sz w:val="17"/>
                <w:szCs w:val="17"/>
                <w:color w:val="auto"/>
              </w:rPr>
            </w:pPr>
          </w:p>
        </w:tc>
        <w:tc>
          <w:tcPr>
            <w:tcW w:w="8920" w:type="dxa"/>
            <w:vAlign w:val="bottom"/>
            <w:gridSpan w:val="8"/>
          </w:tcPr>
          <w:p>
            <w:pPr>
              <w:spacing w:after="0" w:line="196" w:lineRule="exact"/>
              <w:rPr>
                <w:rFonts w:ascii="Arial" w:cs="Arial" w:eastAsia="Arial" w:hAnsi="Arial"/>
                <w:sz w:val="18"/>
                <w:szCs w:val="18"/>
                <w:color w:val="0000FF"/>
              </w:rPr>
            </w:pPr>
            <w:hyperlink w:anchor="page57">
              <w:r>
                <w:rPr>
                  <w:rFonts w:ascii="Arial" w:cs="Arial" w:eastAsia="Arial" w:hAnsi="Arial"/>
                  <w:sz w:val="18"/>
                  <w:szCs w:val="18"/>
                  <w:color w:val="0000FF"/>
                </w:rPr>
                <w:t>pursuant to Section 302 of the Sarbanes - Oxley Act of 2002.</w:t>
              </w:r>
            </w:hyperlink>
          </w:p>
        </w:tc>
      </w:tr>
      <w:tr>
        <w:trPr>
          <w:trHeight w:val="20"/>
        </w:trPr>
        <w:tc>
          <w:tcPr>
            <w:tcW w:w="2280" w:type="dxa"/>
            <w:vAlign w:val="bottom"/>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r>
      <w:tr>
        <w:trPr>
          <w:trHeight w:val="479"/>
        </w:trPr>
        <w:tc>
          <w:tcPr>
            <w:tcW w:w="2280" w:type="dxa"/>
            <w:vAlign w:val="bottom"/>
          </w:tcPr>
          <w:p>
            <w:pPr>
              <w:ind w:left="40"/>
              <w:spacing w:after="0"/>
              <w:rPr>
                <w:sz w:val="20"/>
                <w:szCs w:val="20"/>
                <w:color w:val="auto"/>
              </w:rPr>
            </w:pPr>
            <w:r>
              <w:rPr>
                <w:rFonts w:ascii="Arial" w:cs="Arial" w:eastAsia="Arial" w:hAnsi="Arial"/>
                <w:sz w:val="18"/>
                <w:szCs w:val="18"/>
                <w:color w:val="auto"/>
              </w:rPr>
              <w:t>Exhibit 32.1</w:t>
            </w:r>
          </w:p>
        </w:tc>
        <w:tc>
          <w:tcPr>
            <w:tcW w:w="8920" w:type="dxa"/>
            <w:vAlign w:val="bottom"/>
            <w:gridSpan w:val="8"/>
          </w:tcPr>
          <w:p>
            <w:pPr>
              <w:spacing w:after="0"/>
              <w:rPr>
                <w:rFonts w:ascii="Arial" w:cs="Arial" w:eastAsia="Arial" w:hAnsi="Arial"/>
                <w:sz w:val="18"/>
                <w:szCs w:val="18"/>
                <w:color w:val="0000FF"/>
                <w:w w:val="95"/>
              </w:rPr>
            </w:pPr>
            <w:hyperlink w:anchor="page58">
              <w:r>
                <w:rPr>
                  <w:rFonts w:ascii="Arial" w:cs="Arial" w:eastAsia="Arial" w:hAnsi="Arial"/>
                  <w:sz w:val="18"/>
                  <w:szCs w:val="18"/>
                  <w:color w:val="0000FF"/>
                  <w:w w:val="95"/>
                </w:rPr>
                <w:t>Certification of Chief Executive Officer pursuant to 18 U.S.C. Section 1350, as adopted pursuant to Section 906 of the</w:t>
              </w:r>
            </w:hyperlink>
          </w:p>
        </w:tc>
      </w:tr>
      <w:tr>
        <w:trPr>
          <w:trHeight w:val="196"/>
        </w:trPr>
        <w:tc>
          <w:tcPr>
            <w:tcW w:w="2280" w:type="dxa"/>
            <w:vAlign w:val="bottom"/>
          </w:tcPr>
          <w:p>
            <w:pPr>
              <w:spacing w:after="0"/>
              <w:rPr>
                <w:sz w:val="17"/>
                <w:szCs w:val="17"/>
                <w:color w:val="auto"/>
              </w:rPr>
            </w:pPr>
          </w:p>
        </w:tc>
        <w:tc>
          <w:tcPr>
            <w:tcW w:w="220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0"/>
              </w:rPr>
            </w:pPr>
            <w:hyperlink w:anchor="page58">
              <w:r>
                <w:rPr>
                  <w:rFonts w:ascii="Arial" w:cs="Arial" w:eastAsia="Arial" w:hAnsi="Arial"/>
                  <w:sz w:val="18"/>
                  <w:szCs w:val="18"/>
                  <w:color w:val="0000FF"/>
                  <w:w w:val="90"/>
                </w:rPr>
                <w:t>Sarbanes - Oxley Act of 2002.</w:t>
              </w:r>
            </w:hyperlink>
          </w:p>
        </w:tc>
        <w:tc>
          <w:tcPr>
            <w:tcW w:w="6340" w:type="dxa"/>
            <w:vAlign w:val="bottom"/>
            <w:tcBorders>
              <w:top w:val="single" w:sz="8" w:color="0000FF"/>
            </w:tcBorders>
            <w:gridSpan w:val="3"/>
          </w:tcPr>
          <w:p>
            <w:pPr>
              <w:spacing w:after="0"/>
              <w:rPr>
                <w:sz w:val="17"/>
                <w:szCs w:val="17"/>
                <w:color w:val="auto"/>
              </w:rPr>
            </w:pPr>
          </w:p>
        </w:tc>
        <w:tc>
          <w:tcPr>
            <w:tcW w:w="380" w:type="dxa"/>
            <w:vAlign w:val="bottom"/>
            <w:gridSpan w:val="3"/>
          </w:tcPr>
          <w:p>
            <w:pPr>
              <w:spacing w:after="0"/>
              <w:rPr>
                <w:sz w:val="17"/>
                <w:szCs w:val="17"/>
                <w:color w:val="auto"/>
              </w:rPr>
            </w:pPr>
          </w:p>
        </w:tc>
      </w:tr>
      <w:tr>
        <w:trPr>
          <w:trHeight w:val="480"/>
        </w:trPr>
        <w:tc>
          <w:tcPr>
            <w:tcW w:w="2280" w:type="dxa"/>
            <w:vAlign w:val="bottom"/>
          </w:tcPr>
          <w:p>
            <w:pPr>
              <w:ind w:left="40"/>
              <w:spacing w:after="0"/>
              <w:rPr>
                <w:sz w:val="20"/>
                <w:szCs w:val="20"/>
                <w:color w:val="auto"/>
              </w:rPr>
            </w:pPr>
            <w:r>
              <w:rPr>
                <w:rFonts w:ascii="Arial" w:cs="Arial" w:eastAsia="Arial" w:hAnsi="Arial"/>
                <w:sz w:val="18"/>
                <w:szCs w:val="18"/>
                <w:color w:val="auto"/>
              </w:rPr>
              <w:t>Exhibit 32.2</w:t>
            </w:r>
          </w:p>
        </w:tc>
        <w:tc>
          <w:tcPr>
            <w:tcW w:w="8500" w:type="dxa"/>
            <w:vAlign w:val="bottom"/>
            <w:tcBorders>
              <w:bottom w:val="single" w:sz="8" w:color="0000FF"/>
            </w:tcBorders>
            <w:gridSpan w:val="4"/>
          </w:tcPr>
          <w:p>
            <w:pPr>
              <w:spacing w:after="0"/>
              <w:rPr>
                <w:rFonts w:ascii="Arial" w:cs="Arial" w:eastAsia="Arial" w:hAnsi="Arial"/>
                <w:sz w:val="18"/>
                <w:szCs w:val="18"/>
                <w:color w:val="0000FF"/>
                <w:w w:val="91"/>
              </w:rPr>
            </w:pPr>
            <w:hyperlink w:anchor="page59">
              <w:r>
                <w:rPr>
                  <w:rFonts w:ascii="Arial" w:cs="Arial" w:eastAsia="Arial" w:hAnsi="Arial"/>
                  <w:sz w:val="18"/>
                  <w:szCs w:val="18"/>
                  <w:color w:val="0000FF"/>
                  <w:w w:val="91"/>
                </w:rPr>
                <w:t>Certification of Chief Financial Officer pursuant to 18 U.S.C. Section 1350, as adopted pursuant to Section 906 of the</w:t>
              </w:r>
            </w:hyperlink>
          </w:p>
        </w:tc>
        <w:tc>
          <w:tcPr>
            <w:tcW w:w="420" w:type="dxa"/>
            <w:vAlign w:val="bottom"/>
            <w:gridSpan w:val="4"/>
          </w:tcPr>
          <w:p>
            <w:pPr>
              <w:spacing w:after="0"/>
              <w:rPr>
                <w:sz w:val="24"/>
                <w:szCs w:val="24"/>
                <w:color w:val="auto"/>
              </w:rPr>
            </w:pPr>
          </w:p>
        </w:tc>
      </w:tr>
      <w:tr>
        <w:trPr>
          <w:trHeight w:val="196"/>
        </w:trPr>
        <w:tc>
          <w:tcPr>
            <w:tcW w:w="2280" w:type="dxa"/>
            <w:vAlign w:val="bottom"/>
          </w:tcPr>
          <w:p>
            <w:pPr>
              <w:spacing w:after="0"/>
              <w:rPr>
                <w:sz w:val="17"/>
                <w:szCs w:val="17"/>
                <w:color w:val="auto"/>
              </w:rPr>
            </w:pPr>
          </w:p>
        </w:tc>
        <w:tc>
          <w:tcPr>
            <w:tcW w:w="2200" w:type="dxa"/>
            <w:vAlign w:val="bottom"/>
            <w:tcBorders>
              <w:bottom w:val="single" w:sz="8" w:color="0000FF"/>
            </w:tcBorders>
            <w:gridSpan w:val="2"/>
          </w:tcPr>
          <w:p>
            <w:pPr>
              <w:spacing w:after="0" w:line="196" w:lineRule="exact"/>
              <w:rPr>
                <w:rFonts w:ascii="Arial" w:cs="Arial" w:eastAsia="Arial" w:hAnsi="Arial"/>
                <w:sz w:val="18"/>
                <w:szCs w:val="18"/>
                <w:color w:val="0000FF"/>
                <w:w w:val="90"/>
              </w:rPr>
            </w:pPr>
            <w:hyperlink w:anchor="page59">
              <w:r>
                <w:rPr>
                  <w:rFonts w:ascii="Arial" w:cs="Arial" w:eastAsia="Arial" w:hAnsi="Arial"/>
                  <w:sz w:val="18"/>
                  <w:szCs w:val="18"/>
                  <w:color w:val="0000FF"/>
                  <w:w w:val="90"/>
                </w:rPr>
                <w:t>Sarbanes - Oxley Act of 2002.</w:t>
              </w:r>
            </w:hyperlink>
          </w:p>
        </w:tc>
        <w:tc>
          <w:tcPr>
            <w:tcW w:w="6720" w:type="dxa"/>
            <w:vAlign w:val="bottom"/>
            <w:gridSpan w:val="6"/>
          </w:tcPr>
          <w:p>
            <w:pPr>
              <w:spacing w:after="0"/>
              <w:rPr>
                <w:sz w:val="17"/>
                <w:szCs w:val="17"/>
                <w:color w:val="auto"/>
              </w:rPr>
            </w:pPr>
          </w:p>
        </w:tc>
      </w:tr>
      <w:tr>
        <w:trPr>
          <w:trHeight w:val="520"/>
        </w:trPr>
        <w:tc>
          <w:tcPr>
            <w:tcW w:w="2280" w:type="dxa"/>
            <w:vAlign w:val="bottom"/>
          </w:tcPr>
          <w:p>
            <w:pPr>
              <w:ind w:left="40"/>
              <w:spacing w:after="0"/>
              <w:rPr>
                <w:sz w:val="20"/>
                <w:szCs w:val="20"/>
                <w:color w:val="auto"/>
              </w:rPr>
            </w:pPr>
            <w:r>
              <w:rPr>
                <w:rFonts w:ascii="Arial" w:cs="Arial" w:eastAsia="Arial" w:hAnsi="Arial"/>
                <w:sz w:val="18"/>
                <w:szCs w:val="18"/>
                <w:color w:val="auto"/>
              </w:rPr>
              <w:t>Exhibit 95</w:t>
            </w:r>
          </w:p>
        </w:tc>
        <w:tc>
          <w:tcPr>
            <w:tcW w:w="8920" w:type="dxa"/>
            <w:vAlign w:val="bottom"/>
            <w:gridSpan w:val="8"/>
          </w:tcPr>
          <w:p>
            <w:pPr>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Mine Safety and Health Administration Safety Data.</w:t>
              </w:r>
            </w:hyperlink>
          </w:p>
        </w:tc>
      </w:tr>
      <w:tr>
        <w:trPr>
          <w:trHeight w:val="485"/>
        </w:trPr>
        <w:tc>
          <w:tcPr>
            <w:tcW w:w="2280" w:type="dxa"/>
            <w:vAlign w:val="bottom"/>
          </w:tcPr>
          <w:p>
            <w:pPr>
              <w:spacing w:after="0"/>
              <w:rPr>
                <w:sz w:val="24"/>
                <w:szCs w:val="24"/>
                <w:color w:val="auto"/>
              </w:rPr>
            </w:pPr>
          </w:p>
        </w:tc>
        <w:tc>
          <w:tcPr>
            <w:tcW w:w="8920" w:type="dxa"/>
            <w:vAlign w:val="bottom"/>
            <w:gridSpan w:val="8"/>
          </w:tcPr>
          <w:p>
            <w:pPr>
              <w:spacing w:after="0"/>
              <w:rPr>
                <w:sz w:val="20"/>
                <w:szCs w:val="20"/>
                <w:color w:val="auto"/>
              </w:rPr>
            </w:pPr>
            <w:r>
              <w:rPr>
                <w:rFonts w:ascii="Arial" w:cs="Arial" w:eastAsia="Arial" w:hAnsi="Arial"/>
                <w:sz w:val="18"/>
                <w:szCs w:val="18"/>
                <w:color w:val="auto"/>
                <w:w w:val="91"/>
              </w:rPr>
              <w:t>XBRL Instance Document - the instance document does not appear in the Interactive Data File because its XBRL tags are</w:t>
            </w:r>
          </w:p>
        </w:tc>
      </w:tr>
      <w:tr>
        <w:trPr>
          <w:trHeight w:val="230"/>
        </w:trPr>
        <w:tc>
          <w:tcPr>
            <w:tcW w:w="2280" w:type="dxa"/>
            <w:vAlign w:val="bottom"/>
          </w:tcPr>
          <w:p>
            <w:pPr>
              <w:ind w:left="40"/>
              <w:spacing w:after="0"/>
              <w:rPr>
                <w:sz w:val="20"/>
                <w:szCs w:val="20"/>
                <w:color w:val="auto"/>
              </w:rPr>
            </w:pPr>
            <w:r>
              <w:rPr>
                <w:rFonts w:ascii="Arial" w:cs="Arial" w:eastAsia="Arial" w:hAnsi="Arial"/>
                <w:sz w:val="18"/>
                <w:szCs w:val="18"/>
                <w:color w:val="auto"/>
              </w:rPr>
              <w:t>101.INS</w:t>
            </w:r>
          </w:p>
        </w:tc>
        <w:tc>
          <w:tcPr>
            <w:tcW w:w="8920" w:type="dxa"/>
            <w:vAlign w:val="bottom"/>
            <w:gridSpan w:val="8"/>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70"/>
        </w:trPr>
        <w:tc>
          <w:tcPr>
            <w:tcW w:w="2280" w:type="dxa"/>
            <w:vAlign w:val="bottom"/>
          </w:tcPr>
          <w:p>
            <w:pPr>
              <w:ind w:left="40"/>
              <w:spacing w:after="0"/>
              <w:rPr>
                <w:sz w:val="20"/>
                <w:szCs w:val="20"/>
                <w:color w:val="auto"/>
              </w:rPr>
            </w:pPr>
            <w:r>
              <w:rPr>
                <w:rFonts w:ascii="Arial" w:cs="Arial" w:eastAsia="Arial" w:hAnsi="Arial"/>
                <w:sz w:val="18"/>
                <w:szCs w:val="18"/>
                <w:color w:val="auto"/>
              </w:rPr>
              <w:t>101.SCH</w:t>
            </w:r>
          </w:p>
        </w:tc>
        <w:tc>
          <w:tcPr>
            <w:tcW w:w="8920" w:type="dxa"/>
            <w:vAlign w:val="bottom"/>
            <w:gridSpan w:val="8"/>
          </w:tcPr>
          <w:p>
            <w:pPr>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2280" w:type="dxa"/>
            <w:vAlign w:val="bottom"/>
          </w:tcPr>
          <w:p>
            <w:pPr>
              <w:ind w:left="40"/>
              <w:spacing w:after="0"/>
              <w:rPr>
                <w:sz w:val="20"/>
                <w:szCs w:val="20"/>
                <w:color w:val="auto"/>
              </w:rPr>
            </w:pPr>
            <w:r>
              <w:rPr>
                <w:rFonts w:ascii="Arial" w:cs="Arial" w:eastAsia="Arial" w:hAnsi="Arial"/>
                <w:sz w:val="18"/>
                <w:szCs w:val="18"/>
                <w:color w:val="auto"/>
              </w:rPr>
              <w:t>101.CAL</w:t>
            </w:r>
          </w:p>
        </w:tc>
        <w:tc>
          <w:tcPr>
            <w:tcW w:w="892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2280" w:type="dxa"/>
            <w:vAlign w:val="bottom"/>
          </w:tcPr>
          <w:p>
            <w:pPr>
              <w:ind w:left="40"/>
              <w:spacing w:after="0"/>
              <w:rPr>
                <w:sz w:val="20"/>
                <w:szCs w:val="20"/>
                <w:color w:val="auto"/>
              </w:rPr>
            </w:pPr>
            <w:r>
              <w:rPr>
                <w:rFonts w:ascii="Arial" w:cs="Arial" w:eastAsia="Arial" w:hAnsi="Arial"/>
                <w:sz w:val="18"/>
                <w:szCs w:val="18"/>
                <w:color w:val="auto"/>
              </w:rPr>
              <w:t>101.DEF</w:t>
            </w:r>
          </w:p>
        </w:tc>
        <w:tc>
          <w:tcPr>
            <w:tcW w:w="892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2280" w:type="dxa"/>
            <w:vAlign w:val="bottom"/>
          </w:tcPr>
          <w:p>
            <w:pPr>
              <w:ind w:left="40"/>
              <w:spacing w:after="0"/>
              <w:rPr>
                <w:sz w:val="20"/>
                <w:szCs w:val="20"/>
                <w:color w:val="auto"/>
              </w:rPr>
            </w:pPr>
            <w:r>
              <w:rPr>
                <w:rFonts w:ascii="Arial" w:cs="Arial" w:eastAsia="Arial" w:hAnsi="Arial"/>
                <w:sz w:val="18"/>
                <w:szCs w:val="18"/>
                <w:color w:val="auto"/>
              </w:rPr>
              <w:t>101.LAB</w:t>
            </w:r>
          </w:p>
        </w:tc>
        <w:tc>
          <w:tcPr>
            <w:tcW w:w="8920" w:type="dxa"/>
            <w:vAlign w:val="bottom"/>
            <w:gridSpan w:val="8"/>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2280" w:type="dxa"/>
            <w:vAlign w:val="bottom"/>
          </w:tcPr>
          <w:p>
            <w:pPr>
              <w:ind w:left="40"/>
              <w:spacing w:after="0"/>
              <w:rPr>
                <w:sz w:val="20"/>
                <w:szCs w:val="20"/>
                <w:color w:val="auto"/>
              </w:rPr>
            </w:pPr>
            <w:r>
              <w:rPr>
                <w:rFonts w:ascii="Arial" w:cs="Arial" w:eastAsia="Arial" w:hAnsi="Arial"/>
                <w:sz w:val="18"/>
                <w:szCs w:val="18"/>
                <w:color w:val="auto"/>
              </w:rPr>
              <w:t>101.PRE</w:t>
            </w:r>
          </w:p>
        </w:tc>
        <w:tc>
          <w:tcPr>
            <w:tcW w:w="892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99"/>
        </w:trPr>
        <w:tc>
          <w:tcPr>
            <w:tcW w:w="2280" w:type="dxa"/>
            <w:vAlign w:val="bottom"/>
          </w:tcPr>
          <w:p>
            <w:pPr>
              <w:ind w:left="40"/>
              <w:spacing w:after="0"/>
              <w:rPr>
                <w:sz w:val="20"/>
                <w:szCs w:val="20"/>
                <w:color w:val="auto"/>
              </w:rPr>
            </w:pPr>
            <w:r>
              <w:rPr>
                <w:rFonts w:ascii="Arial" w:cs="Arial" w:eastAsia="Arial" w:hAnsi="Arial"/>
                <w:sz w:val="18"/>
                <w:szCs w:val="18"/>
                <w:color w:val="auto"/>
              </w:rPr>
              <w:t>104</w:t>
            </w:r>
          </w:p>
        </w:tc>
        <w:tc>
          <w:tcPr>
            <w:tcW w:w="8920" w:type="dxa"/>
            <w:vAlign w:val="bottom"/>
            <w:gridSpan w:val="8"/>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r>
        <w:trPr>
          <w:trHeight w:val="243"/>
        </w:trPr>
        <w:tc>
          <w:tcPr>
            <w:tcW w:w="2280" w:type="dxa"/>
            <w:vAlign w:val="bottom"/>
          </w:tcPr>
          <w:p>
            <w:pPr>
              <w:spacing w:after="0"/>
              <w:rPr>
                <w:sz w:val="20"/>
                <w:szCs w:val="20"/>
                <w:color w:val="auto"/>
              </w:rPr>
            </w:pPr>
            <w:r>
              <w:rPr>
                <w:rFonts w:ascii="Arial" w:cs="Arial" w:eastAsia="Arial" w:hAnsi="Arial"/>
                <w:sz w:val="18"/>
                <w:szCs w:val="18"/>
                <w:color w:val="auto"/>
              </w:rPr>
              <w:t>__________</w:t>
            </w:r>
          </w:p>
        </w:tc>
        <w:tc>
          <w:tcPr>
            <w:tcW w:w="7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r>
    </w:tbl>
    <w:p>
      <w:pPr>
        <w:ind w:left="340" w:hanging="332"/>
        <w:spacing w:after="0"/>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Previously filed as part of the filing indicated and incorporated by reference herein.</w:t>
      </w:r>
    </w:p>
    <w:p>
      <w:pPr>
        <w:spacing w:after="0" w:line="395"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48</w:t>
      </w:r>
    </w:p>
    <w:p>
      <w:pPr>
        <w:sectPr>
          <w:pgSz w:w="11900" w:h="16838" w:orient="portrait"/>
          <w:cols w:equalWidth="0" w:num="1">
            <w:col w:w="11200"/>
          </w:cols>
          <w:pgMar w:left="320" w:top="716" w:right="379" w:bottom="1440" w:gutter="0" w:footer="0" w:header="0"/>
        </w:sectPr>
      </w:pPr>
    </w:p>
    <w:bookmarkStart w:id="53" w:name="page54"/>
    <w:bookmarkEnd w:id="5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BLACK HILLS CORPORATION</w:t>
      </w:r>
    </w:p>
    <w:p>
      <w:pPr>
        <w:spacing w:after="0" w:line="171"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31750</wp:posOffset>
            </wp:positionV>
            <wp:extent cx="3703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8">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57"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Linden R. Evans, President and</w:t>
      </w:r>
    </w:p>
    <w:p>
      <w:pPr>
        <w:spacing w:after="0" w:line="6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Chief Executive Officer</w:t>
      </w:r>
    </w:p>
    <w:p>
      <w:pPr>
        <w:spacing w:after="0" w:line="387"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 Richard W. Kinzley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31750</wp:posOffset>
            </wp:positionV>
            <wp:extent cx="3703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9">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57"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Richard W. Kinzley, Senior Vice President and</w:t>
      </w:r>
    </w:p>
    <w:p>
      <w:pPr>
        <w:spacing w:after="0" w:line="6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Chief Financial Officer</w:t>
      </w:r>
    </w:p>
    <w:p>
      <w:pPr>
        <w:spacing w:after="0" w:line="29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Dated:</w:t>
            </w:r>
          </w:p>
        </w:tc>
        <w:tc>
          <w:tcPr>
            <w:tcW w:w="1180" w:type="dxa"/>
            <w:vAlign w:val="bottom"/>
          </w:tcPr>
          <w:p>
            <w:pPr>
              <w:ind w:left="260"/>
              <w:spacing w:after="0"/>
              <w:rPr>
                <w:sz w:val="20"/>
                <w:szCs w:val="20"/>
                <w:color w:val="auto"/>
              </w:rPr>
            </w:pPr>
            <w:r>
              <w:rPr>
                <w:rFonts w:ascii="Arial" w:cs="Arial" w:eastAsia="Arial" w:hAnsi="Arial"/>
                <w:sz w:val="18"/>
                <w:szCs w:val="18"/>
                <w:color w:val="auto"/>
                <w:w w:val="90"/>
              </w:rPr>
              <w:t>May 5, 2020</w:t>
            </w:r>
          </w:p>
        </w:tc>
      </w:tr>
    </w:tbl>
    <w:p>
      <w:pPr>
        <w:spacing w:after="0" w:line="200" w:lineRule="exact"/>
        <w:rPr>
          <w:sz w:val="20"/>
          <w:szCs w:val="20"/>
          <w:color w:val="auto"/>
        </w:rPr>
      </w:pPr>
    </w:p>
    <w:p>
      <w:pPr>
        <w:spacing w:after="0" w:line="38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80"/>
          </w:cols>
          <w:pgMar w:left="320" w:top="126" w:right="59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May 5,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Black Hills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7001 Mount Rushmore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Rapid City, South Dakota 57702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Sirs/Madams:</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At your request, we have read the description included in your Quarterly Report on Form 10-Q for Black Hills Corporation and its subsidiaries (the Company) to the Securities and Exchange Commission for the quarter ended March 31, 2020, of the facts relating to the Company’s election to change its principle of accounting for defined benefit pension costs. Notes 1 and 12 to such financial statements contain a description of your adoption of the change for determining the market-related value of plan assets from a calculated value method to a fair value method for the liability-hedging assets in the plan assets portfolio. We believe, on the basis of the facts so set forth and other information furnished to us by appropriate officials of the Company, that the accounting change described in your Form 10-Q is to an alternative accounting principle that is preferable under the circumstances.</w:t>
      </w:r>
    </w:p>
    <w:p>
      <w:pPr>
        <w:spacing w:after="0" w:line="16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have not audited any consolidated financial statements of Black Hills Corporation and its subsidiaries as of any date or for any period subsequent to December 31, 2019. Therefore, we are unable to express, and we do not express, an opinion on the facts set forth in the above-mentioned Form 10-Q, on the related information furnished to us by officials of the Company, or on the financial position, results of operations, or cash flows of Black Hills Corporation and its subsidiaries as of any date or for any period subsequent to December 31,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Yours truly,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5, 2020</w:t>
      </w:r>
    </w:p>
    <w:p>
      <w:pPr>
        <w:sectPr>
          <w:pgSz w:w="11900" w:h="16838" w:orient="portrait"/>
          <w:cols w:equalWidth="0" w:num="1">
            <w:col w:w="11100"/>
          </w:cols>
          <w:pgMar w:left="320" w:top="557" w:right="47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Linden R. Evans, certify that:</w:t>
      </w:r>
    </w:p>
    <w:p>
      <w:pPr>
        <w:spacing w:after="0" w:line="387" w:lineRule="exact"/>
        <w:rPr>
          <w:sz w:val="20"/>
          <w:szCs w:val="20"/>
          <w:color w:val="auto"/>
        </w:rPr>
      </w:pPr>
    </w:p>
    <w:p>
      <w:pPr>
        <w:ind w:left="840" w:hanging="805"/>
        <w:spacing w:after="0"/>
        <w:tabs>
          <w:tab w:leader="none" w:pos="8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Black Hills Corporation;</w:t>
      </w:r>
    </w:p>
    <w:p>
      <w:pPr>
        <w:spacing w:after="0" w:line="292" w:lineRule="exact"/>
        <w:rPr>
          <w:rFonts w:ascii="Arial" w:cs="Arial" w:eastAsia="Arial" w:hAnsi="Arial"/>
          <w:sz w:val="18"/>
          <w:szCs w:val="18"/>
          <w:color w:val="auto"/>
        </w:rPr>
      </w:pPr>
    </w:p>
    <w:p>
      <w:pPr>
        <w:jc w:val="both"/>
        <w:ind w:left="840" w:right="200" w:hanging="805"/>
        <w:spacing w:after="0" w:line="263" w:lineRule="auto"/>
        <w:tabs>
          <w:tab w:leader="none" w:pos="8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51" w:lineRule="exact"/>
        <w:rPr>
          <w:rFonts w:ascii="Arial" w:cs="Arial" w:eastAsia="Arial" w:hAnsi="Arial"/>
          <w:sz w:val="18"/>
          <w:szCs w:val="18"/>
          <w:color w:val="auto"/>
        </w:rPr>
      </w:pPr>
    </w:p>
    <w:p>
      <w:pPr>
        <w:ind w:left="840" w:right="180" w:hanging="805"/>
        <w:spacing w:after="0" w:line="308" w:lineRule="auto"/>
        <w:tabs>
          <w:tab w:leader="none" w:pos="8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3" w:lineRule="exact"/>
        <w:rPr>
          <w:rFonts w:ascii="Arial" w:cs="Arial" w:eastAsia="Arial" w:hAnsi="Arial"/>
          <w:sz w:val="17"/>
          <w:szCs w:val="17"/>
          <w:color w:val="auto"/>
        </w:rPr>
      </w:pPr>
    </w:p>
    <w:p>
      <w:pPr>
        <w:jc w:val="both"/>
        <w:ind w:left="840" w:right="120" w:hanging="805"/>
        <w:spacing w:after="0" w:line="291" w:lineRule="auto"/>
        <w:tabs>
          <w:tab w:leader="none" w:pos="8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8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78" w:lineRule="exact"/>
        <w:rPr>
          <w:rFonts w:ascii="Arial" w:cs="Arial" w:eastAsia="Arial" w:hAnsi="Arial"/>
          <w:sz w:val="16"/>
          <w:szCs w:val="16"/>
          <w:color w:val="auto"/>
        </w:rPr>
      </w:pPr>
    </w:p>
    <w:p>
      <w:pPr>
        <w:ind w:left="1620" w:right="40" w:hanging="789"/>
        <w:spacing w:after="0" w:line="286" w:lineRule="auto"/>
        <w:tabs>
          <w:tab w:leader="none" w:pos="1620" w:val="left"/>
        </w:tabs>
        <w:numPr>
          <w:ilvl w:val="1"/>
          <w:numId w:val="4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2" w:lineRule="exact"/>
        <w:rPr>
          <w:rFonts w:ascii="Arial" w:cs="Arial" w:eastAsia="Arial" w:hAnsi="Arial"/>
          <w:sz w:val="17"/>
          <w:szCs w:val="17"/>
          <w:color w:val="auto"/>
        </w:rPr>
      </w:pPr>
    </w:p>
    <w:p>
      <w:pPr>
        <w:ind w:left="1620" w:right="100" w:hanging="789"/>
        <w:spacing w:after="0" w:line="263" w:lineRule="auto"/>
        <w:tabs>
          <w:tab w:leader="none" w:pos="16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51" w:lineRule="exact"/>
        <w:rPr>
          <w:rFonts w:ascii="Arial" w:cs="Arial" w:eastAsia="Arial" w:hAnsi="Arial"/>
          <w:sz w:val="18"/>
          <w:szCs w:val="18"/>
          <w:color w:val="auto"/>
        </w:rPr>
      </w:pPr>
    </w:p>
    <w:p>
      <w:pPr>
        <w:ind w:left="1620" w:right="200" w:hanging="789"/>
        <w:spacing w:after="0" w:line="263" w:lineRule="auto"/>
        <w:tabs>
          <w:tab w:leader="none" w:pos="16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1" w:lineRule="exact"/>
        <w:rPr>
          <w:rFonts w:ascii="Arial" w:cs="Arial" w:eastAsia="Arial" w:hAnsi="Arial"/>
          <w:sz w:val="18"/>
          <w:szCs w:val="18"/>
          <w:color w:val="auto"/>
        </w:rPr>
      </w:pPr>
    </w:p>
    <w:p>
      <w:pPr>
        <w:ind w:left="1620" w:right="300" w:hanging="789"/>
        <w:spacing w:after="0" w:line="263" w:lineRule="auto"/>
        <w:tabs>
          <w:tab w:leader="none" w:pos="16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51" w:lineRule="exact"/>
        <w:rPr>
          <w:rFonts w:ascii="Arial" w:cs="Arial" w:eastAsia="Arial" w:hAnsi="Arial"/>
          <w:sz w:val="18"/>
          <w:szCs w:val="18"/>
          <w:color w:val="auto"/>
        </w:rPr>
      </w:pPr>
    </w:p>
    <w:p>
      <w:pPr>
        <w:ind w:left="840" w:right="80" w:hanging="805"/>
        <w:spacing w:after="0" w:line="342" w:lineRule="auto"/>
        <w:tabs>
          <w:tab w:leader="none" w:pos="8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91" w:lineRule="exact"/>
        <w:rPr>
          <w:rFonts w:ascii="Arial" w:cs="Arial" w:eastAsia="Arial" w:hAnsi="Arial"/>
          <w:sz w:val="16"/>
          <w:szCs w:val="16"/>
          <w:color w:val="auto"/>
        </w:rPr>
      </w:pPr>
    </w:p>
    <w:p>
      <w:pPr>
        <w:ind w:left="1620" w:right="140" w:hanging="789"/>
        <w:spacing w:after="0" w:line="342" w:lineRule="auto"/>
        <w:tabs>
          <w:tab w:leader="none" w:pos="162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1" w:lineRule="exact"/>
        <w:rPr>
          <w:rFonts w:ascii="Arial" w:cs="Arial" w:eastAsia="Arial" w:hAnsi="Arial"/>
          <w:sz w:val="16"/>
          <w:szCs w:val="16"/>
          <w:color w:val="auto"/>
        </w:rPr>
      </w:pPr>
    </w:p>
    <w:p>
      <w:pPr>
        <w:ind w:left="1620" w:right="420" w:hanging="789"/>
        <w:spacing w:after="0" w:line="277" w:lineRule="auto"/>
        <w:tabs>
          <w:tab w:leader="none" w:pos="16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1120" w:type="dxa"/>
            <w:vAlign w:val="bottom"/>
          </w:tcPr>
          <w:p>
            <w:pPr>
              <w:ind w:left="220"/>
              <w:spacing w:after="0"/>
              <w:rPr>
                <w:sz w:val="20"/>
                <w:szCs w:val="20"/>
                <w:color w:val="auto"/>
              </w:rPr>
            </w:pPr>
            <w:r>
              <w:rPr>
                <w:rFonts w:ascii="Arial" w:cs="Arial" w:eastAsia="Arial" w:hAnsi="Arial"/>
                <w:sz w:val="18"/>
                <w:szCs w:val="18"/>
                <w:color w:val="auto"/>
                <w:w w:val="88"/>
              </w:rPr>
              <w:t>May 5, 2020</w:t>
            </w:r>
          </w:p>
        </w:tc>
      </w:tr>
    </w:tbl>
    <w:p>
      <w:pPr>
        <w:spacing w:after="0" w:line="4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31750</wp:posOffset>
            </wp:positionV>
            <wp:extent cx="292290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0">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5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Linden R. Evans</w:t>
      </w:r>
    </w:p>
    <w:p>
      <w:pPr>
        <w:spacing w:after="0" w:line="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553"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Richard W. Kinzley, certify that:</w:t>
      </w:r>
    </w:p>
    <w:p>
      <w:pPr>
        <w:spacing w:after="0" w:line="387" w:lineRule="exact"/>
        <w:rPr>
          <w:sz w:val="20"/>
          <w:szCs w:val="20"/>
          <w:color w:val="auto"/>
        </w:rPr>
      </w:pPr>
    </w:p>
    <w:p>
      <w:pPr>
        <w:ind w:left="840" w:hanging="805"/>
        <w:spacing w:after="0"/>
        <w:tabs>
          <w:tab w:leader="none" w:pos="8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Black Hills Corporation;</w:t>
      </w:r>
    </w:p>
    <w:p>
      <w:pPr>
        <w:spacing w:after="0" w:line="292" w:lineRule="exact"/>
        <w:rPr>
          <w:rFonts w:ascii="Arial" w:cs="Arial" w:eastAsia="Arial" w:hAnsi="Arial"/>
          <w:sz w:val="18"/>
          <w:szCs w:val="18"/>
          <w:color w:val="auto"/>
        </w:rPr>
      </w:pPr>
    </w:p>
    <w:p>
      <w:pPr>
        <w:jc w:val="both"/>
        <w:ind w:left="840" w:right="200" w:hanging="805"/>
        <w:spacing w:after="0" w:line="263" w:lineRule="auto"/>
        <w:tabs>
          <w:tab w:leader="none" w:pos="8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51" w:lineRule="exact"/>
        <w:rPr>
          <w:rFonts w:ascii="Arial" w:cs="Arial" w:eastAsia="Arial" w:hAnsi="Arial"/>
          <w:sz w:val="18"/>
          <w:szCs w:val="18"/>
          <w:color w:val="auto"/>
        </w:rPr>
      </w:pPr>
    </w:p>
    <w:p>
      <w:pPr>
        <w:ind w:left="840" w:right="180" w:hanging="805"/>
        <w:spacing w:after="0" w:line="308" w:lineRule="auto"/>
        <w:tabs>
          <w:tab w:leader="none" w:pos="8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3" w:lineRule="exact"/>
        <w:rPr>
          <w:rFonts w:ascii="Arial" w:cs="Arial" w:eastAsia="Arial" w:hAnsi="Arial"/>
          <w:sz w:val="17"/>
          <w:szCs w:val="17"/>
          <w:color w:val="auto"/>
        </w:rPr>
      </w:pPr>
    </w:p>
    <w:p>
      <w:pPr>
        <w:jc w:val="both"/>
        <w:ind w:left="840" w:right="120" w:hanging="805"/>
        <w:spacing w:after="0" w:line="291" w:lineRule="auto"/>
        <w:tabs>
          <w:tab w:leader="none" w:pos="8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8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78" w:lineRule="exact"/>
        <w:rPr>
          <w:rFonts w:ascii="Arial" w:cs="Arial" w:eastAsia="Arial" w:hAnsi="Arial"/>
          <w:sz w:val="16"/>
          <w:szCs w:val="16"/>
          <w:color w:val="auto"/>
        </w:rPr>
      </w:pPr>
    </w:p>
    <w:p>
      <w:pPr>
        <w:ind w:left="1620" w:right="40" w:hanging="789"/>
        <w:spacing w:after="0" w:line="286" w:lineRule="auto"/>
        <w:tabs>
          <w:tab w:leader="none" w:pos="1620" w:val="left"/>
        </w:tabs>
        <w:numPr>
          <w:ilvl w:val="1"/>
          <w:numId w:val="4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2" w:lineRule="exact"/>
        <w:rPr>
          <w:rFonts w:ascii="Arial" w:cs="Arial" w:eastAsia="Arial" w:hAnsi="Arial"/>
          <w:sz w:val="17"/>
          <w:szCs w:val="17"/>
          <w:color w:val="auto"/>
        </w:rPr>
      </w:pPr>
    </w:p>
    <w:p>
      <w:pPr>
        <w:ind w:left="1620" w:right="100" w:hanging="789"/>
        <w:spacing w:after="0" w:line="263" w:lineRule="auto"/>
        <w:tabs>
          <w:tab w:leader="none" w:pos="16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51" w:lineRule="exact"/>
        <w:rPr>
          <w:rFonts w:ascii="Arial" w:cs="Arial" w:eastAsia="Arial" w:hAnsi="Arial"/>
          <w:sz w:val="18"/>
          <w:szCs w:val="18"/>
          <w:color w:val="auto"/>
        </w:rPr>
      </w:pPr>
    </w:p>
    <w:p>
      <w:pPr>
        <w:ind w:left="1620" w:right="200" w:hanging="789"/>
        <w:spacing w:after="0" w:line="263" w:lineRule="auto"/>
        <w:tabs>
          <w:tab w:leader="none" w:pos="16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1" w:lineRule="exact"/>
        <w:rPr>
          <w:rFonts w:ascii="Arial" w:cs="Arial" w:eastAsia="Arial" w:hAnsi="Arial"/>
          <w:sz w:val="18"/>
          <w:szCs w:val="18"/>
          <w:color w:val="auto"/>
        </w:rPr>
      </w:pPr>
    </w:p>
    <w:p>
      <w:pPr>
        <w:ind w:left="1620" w:right="300" w:hanging="789"/>
        <w:spacing w:after="0" w:line="263" w:lineRule="auto"/>
        <w:tabs>
          <w:tab w:leader="none" w:pos="16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51" w:lineRule="exact"/>
        <w:rPr>
          <w:rFonts w:ascii="Arial" w:cs="Arial" w:eastAsia="Arial" w:hAnsi="Arial"/>
          <w:sz w:val="18"/>
          <w:szCs w:val="18"/>
          <w:color w:val="auto"/>
        </w:rPr>
      </w:pPr>
    </w:p>
    <w:p>
      <w:pPr>
        <w:ind w:left="840" w:right="80" w:hanging="805"/>
        <w:spacing w:after="0" w:line="342" w:lineRule="auto"/>
        <w:tabs>
          <w:tab w:leader="none" w:pos="8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91" w:lineRule="exact"/>
        <w:rPr>
          <w:rFonts w:ascii="Arial" w:cs="Arial" w:eastAsia="Arial" w:hAnsi="Arial"/>
          <w:sz w:val="16"/>
          <w:szCs w:val="16"/>
          <w:color w:val="auto"/>
        </w:rPr>
      </w:pPr>
    </w:p>
    <w:p>
      <w:pPr>
        <w:ind w:left="1620" w:right="140" w:hanging="789"/>
        <w:spacing w:after="0" w:line="342" w:lineRule="auto"/>
        <w:tabs>
          <w:tab w:leader="none" w:pos="162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1" w:lineRule="exact"/>
        <w:rPr>
          <w:rFonts w:ascii="Arial" w:cs="Arial" w:eastAsia="Arial" w:hAnsi="Arial"/>
          <w:sz w:val="16"/>
          <w:szCs w:val="16"/>
          <w:color w:val="auto"/>
        </w:rPr>
      </w:pPr>
    </w:p>
    <w:p>
      <w:pPr>
        <w:ind w:left="1620" w:right="420" w:hanging="789"/>
        <w:spacing w:after="0" w:line="277" w:lineRule="auto"/>
        <w:tabs>
          <w:tab w:leader="none" w:pos="16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1120" w:type="dxa"/>
            <w:vAlign w:val="bottom"/>
          </w:tcPr>
          <w:p>
            <w:pPr>
              <w:ind w:left="220"/>
              <w:spacing w:after="0"/>
              <w:rPr>
                <w:sz w:val="20"/>
                <w:szCs w:val="20"/>
                <w:color w:val="auto"/>
              </w:rPr>
            </w:pPr>
            <w:r>
              <w:rPr>
                <w:rFonts w:ascii="Arial" w:cs="Arial" w:eastAsia="Arial" w:hAnsi="Arial"/>
                <w:sz w:val="18"/>
                <w:szCs w:val="18"/>
                <w:color w:val="auto"/>
                <w:w w:val="88"/>
              </w:rPr>
              <w:t>May 5, 2020</w:t>
            </w:r>
          </w:p>
        </w:tc>
      </w:tr>
    </w:tbl>
    <w:p>
      <w:pPr>
        <w:spacing w:after="0" w:line="4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 RICHARD W. KINZLEY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31750</wp:posOffset>
            </wp:positionV>
            <wp:extent cx="292290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1">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5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Richard W. Kinzley</w:t>
      </w:r>
    </w:p>
    <w:p>
      <w:pPr>
        <w:spacing w:after="0" w:line="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240"/>
          </w:cols>
          <w:pgMar w:left="320" w:top="553"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32.1</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7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connection with the Quarterly Report of Black Hills Corporation (the “Company”) on Form 10-Q for the period ended March 31, 2020 as filed with the Securities and Exchange Commission on the date hereof (the “Report”), I, Linden R. Evans, President and Chief Executive Officer of the Company, certify, pursuant to 18 U.S.C. ss. 1350, as adopted pursuant to ss. 906 of the Sarbanes-Oxley Act of 2002, that:</w:t>
      </w:r>
    </w:p>
    <w:p>
      <w:pPr>
        <w:spacing w:after="0" w:line="292" w:lineRule="exact"/>
        <w:rPr>
          <w:sz w:val="20"/>
          <w:szCs w:val="20"/>
          <w:color w:val="auto"/>
        </w:rPr>
      </w:pPr>
    </w:p>
    <w:p>
      <w:pPr>
        <w:ind w:left="1620" w:hanging="789"/>
        <w:spacing w:after="0"/>
        <w:tabs>
          <w:tab w:leader="none" w:pos="1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292" w:lineRule="exact"/>
        <w:rPr>
          <w:rFonts w:ascii="Arial" w:cs="Arial" w:eastAsia="Arial" w:hAnsi="Arial"/>
          <w:sz w:val="18"/>
          <w:szCs w:val="18"/>
          <w:color w:val="auto"/>
        </w:rPr>
      </w:pPr>
    </w:p>
    <w:p>
      <w:pPr>
        <w:ind w:left="1620" w:right="220" w:hanging="789"/>
        <w:spacing w:after="0" w:line="277" w:lineRule="auto"/>
        <w:tabs>
          <w:tab w:leader="none" w:pos="1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1120" w:type="dxa"/>
            <w:vAlign w:val="bottom"/>
          </w:tcPr>
          <w:p>
            <w:pPr>
              <w:ind w:left="220"/>
              <w:spacing w:after="0"/>
              <w:rPr>
                <w:sz w:val="20"/>
                <w:szCs w:val="20"/>
                <w:color w:val="auto"/>
              </w:rPr>
            </w:pPr>
            <w:r>
              <w:rPr>
                <w:rFonts w:ascii="Arial" w:cs="Arial" w:eastAsia="Arial" w:hAnsi="Arial"/>
                <w:sz w:val="18"/>
                <w:szCs w:val="18"/>
                <w:color w:val="auto"/>
                <w:w w:val="88"/>
              </w:rPr>
              <w:t>May 5, 2020</w:t>
            </w:r>
          </w:p>
        </w:tc>
      </w:tr>
    </w:tbl>
    <w:p>
      <w:pPr>
        <w:spacing w:after="0" w:line="36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31750</wp:posOffset>
            </wp:positionV>
            <wp:extent cx="292290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2">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5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Linden R. Evans</w:t>
      </w:r>
    </w:p>
    <w:p>
      <w:pPr>
        <w:spacing w:after="0" w:line="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553"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32.2</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76"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In connection with the Quarterly Report of Black Hills Corporation (the “Company”) on Form 10-Q for the period ended March 31, 2020 as filed with the Securities and Exchange Commission on the date hereof (the “Report”), I, Richard W. Kinzley, Senior Vice President and Chief Financial Officer of the Company, certify, pursuant to 18 U.S.C. ss. 1350, as adopted pursuant to ss. 906 of the Sarbanes-Oxley Act of 2002, that:</w:t>
      </w:r>
    </w:p>
    <w:p>
      <w:pPr>
        <w:spacing w:after="0" w:line="273" w:lineRule="exact"/>
        <w:rPr>
          <w:sz w:val="20"/>
          <w:szCs w:val="20"/>
          <w:color w:val="auto"/>
        </w:rPr>
      </w:pPr>
    </w:p>
    <w:p>
      <w:pPr>
        <w:ind w:left="1620" w:hanging="789"/>
        <w:spacing w:after="0"/>
        <w:tabs>
          <w:tab w:leader="none" w:pos="16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292" w:lineRule="exact"/>
        <w:rPr>
          <w:rFonts w:ascii="Arial" w:cs="Arial" w:eastAsia="Arial" w:hAnsi="Arial"/>
          <w:sz w:val="18"/>
          <w:szCs w:val="18"/>
          <w:color w:val="auto"/>
        </w:rPr>
      </w:pPr>
    </w:p>
    <w:p>
      <w:pPr>
        <w:ind w:left="1620" w:right="220" w:hanging="789"/>
        <w:spacing w:after="0" w:line="277" w:lineRule="auto"/>
        <w:tabs>
          <w:tab w:leader="none" w:pos="16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1120" w:type="dxa"/>
            <w:vAlign w:val="bottom"/>
          </w:tcPr>
          <w:p>
            <w:pPr>
              <w:ind w:left="220"/>
              <w:spacing w:after="0"/>
              <w:rPr>
                <w:sz w:val="20"/>
                <w:szCs w:val="20"/>
                <w:color w:val="auto"/>
              </w:rPr>
            </w:pPr>
            <w:r>
              <w:rPr>
                <w:rFonts w:ascii="Arial" w:cs="Arial" w:eastAsia="Arial" w:hAnsi="Arial"/>
                <w:sz w:val="18"/>
                <w:szCs w:val="18"/>
                <w:color w:val="auto"/>
                <w:w w:val="88"/>
              </w:rPr>
              <w:t>May 5, 2020</w:t>
            </w:r>
          </w:p>
        </w:tc>
      </w:tr>
    </w:tbl>
    <w:p>
      <w:pPr>
        <w:spacing w:after="0" w:line="36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 RICHARD W. KINZLEY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31750</wp:posOffset>
            </wp:positionV>
            <wp:extent cx="292290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3">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5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Richard W. Kinzley</w:t>
      </w:r>
    </w:p>
    <w:p>
      <w:pPr>
        <w:spacing w:after="0" w:line="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240"/>
          </w:cols>
          <w:pgMar w:left="320" w:top="553"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95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Information concerning mine safety violations or other regulatory matters required by Sections 1503(a) of Dodd-Frank is included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Mine Safety and Health Administration Safety Data</w:t>
      </w:r>
    </w:p>
    <w:p>
      <w:pPr>
        <w:spacing w:after="0" w:line="18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Safety is a core value at Black Hills Corporation and at each of its subsidiary operations. We have in place a comprehensive safety program that includes extensive health and safety training for all employees, site inspections, emergency response preparedness, crisis communications training, incident investigation, regulatory compliance training and process auditing, as well as an open dialogue between all levels of employees. The goals of our processes are to eliminate exposure to hazards in the workplace, ensure that we comply with all mine safety regulations, and support regulatory and industry efforts to improve the health and safety of our employees along with the industry as a whole.</w:t>
      </w:r>
    </w:p>
    <w:p>
      <w:pPr>
        <w:spacing w:after="0" w:line="17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Under the Dodd-Frank Act, each operator of a coal or other mine is required to include certain mine safety results in its periodic reports filed with the SEC. Our mining operation, consisting of Wyodak Coal Mine, is subject to regulation by the federal Mine Safety and Health Administration ("MSHA") under the Federal Mine Safety and Health Act of 1977 (the “Mine Act”). Below we present the following information regarding certain mining safety and health matters for the three month period ended March 31, 2020. In evaluating this information, consideration should be given to factors such as: (i) the number of citations and orders will vary depending on the size of the coal mine, (ii) the number of citations issued will vary from inspector to inspector and mine to mine, and (iii) citations and orders can be contested and appealed, and in that process, are often reduced in severity and amount, and are sometimes dismissed. The information presented includes:</w:t>
      </w:r>
    </w:p>
    <w:p>
      <w:pPr>
        <w:spacing w:after="0" w:line="195" w:lineRule="exact"/>
        <w:rPr>
          <w:sz w:val="20"/>
          <w:szCs w:val="20"/>
          <w:color w:val="auto"/>
        </w:rPr>
      </w:pPr>
    </w:p>
    <w:p>
      <w:pPr>
        <w:ind w:left="660" w:right="100" w:hanging="328"/>
        <w:spacing w:after="0" w:line="308"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Total number of violations of mandatory health and safety standards that could significantly and substantially contribute to the cause and effect of a coal or other mine safety or health hazard under section 104 of the Mine Act for which we have received a citation from MSHA;</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Total number of orders issued under section 104(b) of the Mine Act;</w:t>
      </w:r>
    </w:p>
    <w:p>
      <w:pPr>
        <w:spacing w:after="0" w:line="225"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Total number of citations and orders for unwarrantable failure of the mine operator to comply with mandatory health and safety standards under section 104(d) of the Mine Act;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Total number of imminent danger orders issued under section 107(a) of the Mine Act;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Total dollar value of proposed assessments from MSHA under the Mine Act.</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table below sets forth the total number of citations and/or orders issued by MSHA to WRDC under the indicated provisions of the Mine Act, together with the total dollar value of proposed MSHA assessments received during the three months ended March 31, 2020 and legal actions pending before the Federal Mine Safety and Health Review Commission, together with the Administrative Law Judges thereof, for WRDC, our only mining complex. All citations were abated within 24 hours of issue.</w:t>
      </w:r>
    </w:p>
    <w:p>
      <w:pPr>
        <w:spacing w:after="0" w:line="32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3"/>
              </w:rPr>
              <w:t>Mine Act Section</w:t>
            </w:r>
          </w:p>
        </w:tc>
        <w:tc>
          <w:tcPr>
            <w:tcW w:w="6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9"/>
              </w:rPr>
              <w:t>Mine Act</w:t>
            </w:r>
          </w:p>
        </w:tc>
        <w:tc>
          <w:tcPr>
            <w:tcW w:w="9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9"/>
              </w:rPr>
              <w:t>Mine Act</w:t>
            </w: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1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2"/>
              </w:rPr>
              <w:t>Legal</w:t>
            </w: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Legal</w:t>
            </w: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Legal</w:t>
            </w: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104 S&amp;S</w:t>
            </w: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Mine Act</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Section</w:t>
            </w: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Mine Act</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Section</w:t>
            </w:r>
          </w:p>
        </w:tc>
        <w:tc>
          <w:tcPr>
            <w:tcW w:w="200" w:type="dxa"/>
            <w:vAlign w:val="bottom"/>
          </w:tcPr>
          <w:p>
            <w:pPr>
              <w:spacing w:after="0"/>
              <w:rPr>
                <w:sz w:val="12"/>
                <w:szCs w:val="12"/>
                <w:color w:val="auto"/>
              </w:rPr>
            </w:pPr>
          </w:p>
        </w:tc>
        <w:tc>
          <w:tcPr>
            <w:tcW w:w="98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6"/>
              </w:rPr>
              <w:t>Total Dollar</w:t>
            </w:r>
          </w:p>
        </w:tc>
        <w:tc>
          <w:tcPr>
            <w:tcW w:w="880" w:type="dxa"/>
            <w:vAlign w:val="bottom"/>
            <w:vMerge w:val="continue"/>
          </w:tcPr>
          <w:p>
            <w:pPr>
              <w:spacing w:after="0"/>
              <w:rPr>
                <w:sz w:val="12"/>
                <w:szCs w:val="12"/>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Received Notice of</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Actions</w:t>
            </w:r>
          </w:p>
        </w:tc>
        <w:tc>
          <w:tcPr>
            <w:tcW w:w="76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Citations issued</w:t>
            </w:r>
          </w:p>
        </w:tc>
        <w:tc>
          <w:tcPr>
            <w:tcW w:w="680" w:type="dxa"/>
            <w:vAlign w:val="bottom"/>
            <w:vMerge w:val="continue"/>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104(d)</w:t>
            </w:r>
          </w:p>
        </w:tc>
        <w:tc>
          <w:tcPr>
            <w:tcW w:w="960" w:type="dxa"/>
            <w:vAlign w:val="bottom"/>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107(a)</w:t>
            </w:r>
          </w:p>
        </w:tc>
        <w:tc>
          <w:tcPr>
            <w:tcW w:w="2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1220" w:type="dxa"/>
            <w:vAlign w:val="bottom"/>
            <w:vMerge w:val="continue"/>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Pending as</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Actions</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Actions</w:t>
            </w:r>
          </w:p>
        </w:tc>
        <w:tc>
          <w:tcPr>
            <w:tcW w:w="0" w:type="dxa"/>
            <w:vAlign w:val="bottom"/>
          </w:tcPr>
          <w:p>
            <w:pPr>
              <w:spacing w:after="0"/>
              <w:rPr>
                <w:sz w:val="1"/>
                <w:szCs w:val="1"/>
                <w:color w:val="auto"/>
              </w:rPr>
            </w:pPr>
          </w:p>
        </w:tc>
      </w:tr>
      <w:tr>
        <w:trPr>
          <w:trHeight w:val="148"/>
        </w:trPr>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Mine/ MSHA</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during three</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Section</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Citations</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Section</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Imminent</w:t>
            </w:r>
          </w:p>
        </w:tc>
        <w:tc>
          <w:tcPr>
            <w:tcW w:w="200" w:type="dxa"/>
            <w:vAlign w:val="bottom"/>
          </w:tcPr>
          <w:p>
            <w:pPr>
              <w:spacing w:after="0"/>
              <w:rPr>
                <w:sz w:val="12"/>
                <w:szCs w:val="12"/>
                <w:color w:val="auto"/>
              </w:rPr>
            </w:pPr>
          </w:p>
        </w:tc>
        <w:tc>
          <w:tcPr>
            <w:tcW w:w="98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1"/>
              </w:rPr>
              <w:t>Value of</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Mining</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Potential to Have</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of Last Day</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Initiated</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Resolved</w:t>
            </w:r>
          </w:p>
        </w:tc>
        <w:tc>
          <w:tcPr>
            <w:tcW w:w="0" w:type="dxa"/>
            <w:vAlign w:val="bottom"/>
          </w:tcPr>
          <w:p>
            <w:pPr>
              <w:spacing w:after="0"/>
              <w:rPr>
                <w:sz w:val="1"/>
                <w:szCs w:val="1"/>
                <w:color w:val="auto"/>
              </w:rPr>
            </w:pPr>
          </w:p>
        </w:tc>
      </w:tr>
      <w:tr>
        <w:trPr>
          <w:trHeight w:val="186"/>
        </w:trPr>
        <w:tc>
          <w:tcPr>
            <w:tcW w:w="1220" w:type="dxa"/>
            <w:vAlign w:val="bottom"/>
            <w:vMerge w:val="continue"/>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9"/>
              </w:rPr>
              <w:t>months ended</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6"/>
              </w:rPr>
              <w:t>104(b)</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8"/>
              </w:rPr>
              <w:t>and</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5"/>
              </w:rPr>
              <w:t>110(b)(2)</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5"/>
              </w:rPr>
              <w:t>Danger</w:t>
            </w: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Proposed MSHA</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4"/>
              </w:rPr>
              <w:t>Related</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5"/>
              </w:rPr>
              <w:t>Pattern Under</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0"/>
              </w:rPr>
              <w:t>of</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7"/>
              </w:rPr>
              <w:t>During</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7"/>
              </w:rPr>
              <w:t>During</w:t>
            </w:r>
          </w:p>
        </w:tc>
        <w:tc>
          <w:tcPr>
            <w:tcW w:w="0" w:type="dxa"/>
            <w:vAlign w:val="bottom"/>
          </w:tcPr>
          <w:p>
            <w:pPr>
              <w:spacing w:after="0"/>
              <w:rPr>
                <w:sz w:val="1"/>
                <w:szCs w:val="1"/>
                <w:color w:val="auto"/>
              </w:rPr>
            </w:pPr>
          </w:p>
        </w:tc>
      </w:tr>
      <w:tr>
        <w:trPr>
          <w:trHeight w:val="165"/>
        </w:trPr>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6"/>
              </w:rPr>
              <w:t>Identification</w:t>
            </w: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March 31, 2020</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5"/>
              </w:rPr>
              <w:t>Orders</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Orders (#)</w:t>
            </w: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Violations (#)</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Orders (#)</w:t>
            </w:r>
          </w:p>
        </w:tc>
        <w:tc>
          <w:tcPr>
            <w:tcW w:w="200" w:type="dxa"/>
            <w:vAlign w:val="bottom"/>
          </w:tcPr>
          <w:p>
            <w:pPr>
              <w:spacing w:after="0"/>
              <w:rPr>
                <w:sz w:val="14"/>
                <w:szCs w:val="14"/>
                <w:color w:val="auto"/>
              </w:rPr>
            </w:pPr>
          </w:p>
        </w:tc>
        <w:tc>
          <w:tcPr>
            <w:tcW w:w="98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84"/>
              </w:rPr>
              <w:t>Assessments</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Fatalities (#)</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0"/>
              </w:rPr>
              <w:t>Section 104(e)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2"/>
              </w:rPr>
              <w:t>Period (#)</w:t>
            </w: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Period (#)</w:t>
            </w: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Period (#)</w:t>
            </w:r>
          </w:p>
        </w:tc>
        <w:tc>
          <w:tcPr>
            <w:tcW w:w="0" w:type="dxa"/>
            <w:vAlign w:val="bottom"/>
          </w:tcPr>
          <w:p>
            <w:pPr>
              <w:spacing w:after="0"/>
              <w:rPr>
                <w:sz w:val="1"/>
                <w:szCs w:val="1"/>
                <w:color w:val="auto"/>
              </w:rPr>
            </w:pPr>
          </w:p>
        </w:tc>
      </w:tr>
      <w:tr>
        <w:trPr>
          <w:trHeight w:val="192"/>
        </w:trPr>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16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78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(yes/no)</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w:t>
            </w:r>
          </w:p>
        </w:tc>
        <w:tc>
          <w:tcPr>
            <w:tcW w:w="76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220" w:type="dxa"/>
            <w:vAlign w:val="bottom"/>
          </w:tcPr>
          <w:p>
            <w:pPr>
              <w:ind w:left="20"/>
              <w:spacing w:after="0" w:line="156" w:lineRule="exact"/>
              <w:rPr>
                <w:sz w:val="20"/>
                <w:szCs w:val="20"/>
                <w:color w:val="auto"/>
              </w:rPr>
            </w:pPr>
            <w:r>
              <w:rPr>
                <w:rFonts w:ascii="Arial" w:cs="Arial" w:eastAsia="Arial" w:hAnsi="Arial"/>
                <w:sz w:val="14"/>
                <w:szCs w:val="14"/>
                <w:color w:val="auto"/>
              </w:rPr>
              <w:t>Wyodak Coal Mine</w:t>
            </w:r>
          </w:p>
        </w:tc>
        <w:tc>
          <w:tcPr>
            <w:tcW w:w="1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220" w:type="dxa"/>
            <w:vAlign w:val="bottom"/>
          </w:tcPr>
          <w:p>
            <w:pPr>
              <w:ind w:left="20"/>
              <w:spacing w:after="0"/>
              <w:rPr>
                <w:sz w:val="20"/>
                <w:szCs w:val="20"/>
                <w:color w:val="auto"/>
              </w:rPr>
            </w:pPr>
            <w:r>
              <w:rPr>
                <w:rFonts w:ascii="Arial" w:cs="Arial" w:eastAsia="Arial" w:hAnsi="Arial"/>
                <w:sz w:val="14"/>
                <w:szCs w:val="14"/>
                <w:color w:val="auto"/>
              </w:rPr>
              <w:t>- 4800083</w:t>
            </w:r>
          </w:p>
        </w:tc>
        <w:tc>
          <w:tcPr>
            <w:tcW w:w="1160" w:type="dxa"/>
            <w:vAlign w:val="bottom"/>
          </w:tcPr>
          <w:p>
            <w:pPr>
              <w:jc w:val="center"/>
              <w:spacing w:after="0"/>
              <w:rPr>
                <w:sz w:val="20"/>
                <w:szCs w:val="20"/>
                <w:color w:val="auto"/>
              </w:rPr>
            </w:pPr>
            <w:r>
              <w:rPr>
                <w:rFonts w:ascii="Arial" w:cs="Arial" w:eastAsia="Arial" w:hAnsi="Arial"/>
                <w:sz w:val="14"/>
                <w:szCs w:val="14"/>
                <w:color w:val="auto"/>
                <w:w w:val="76"/>
              </w:rPr>
              <w:t>1</w:t>
            </w:r>
          </w:p>
        </w:tc>
        <w:tc>
          <w:tcPr>
            <w:tcW w:w="6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tcPr>
          <w:p>
            <w:pPr>
              <w:jc w:val="center"/>
              <w:spacing w:after="0"/>
              <w:rPr>
                <w:sz w:val="20"/>
                <w:szCs w:val="20"/>
                <w:color w:val="auto"/>
              </w:rPr>
            </w:pPr>
            <w:r>
              <w:rPr>
                <w:rFonts w:ascii="Arial" w:cs="Arial" w:eastAsia="Arial" w:hAnsi="Arial"/>
                <w:sz w:val="14"/>
                <w:szCs w:val="14"/>
                <w:color w:val="auto"/>
              </w:rPr>
              <w:t>—</w:t>
            </w:r>
          </w:p>
        </w:tc>
        <w:tc>
          <w:tcPr>
            <w:tcW w:w="8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412</w:t>
            </w: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20" w:type="dxa"/>
            <w:vAlign w:val="bottom"/>
          </w:tcPr>
          <w:p>
            <w:pPr>
              <w:jc w:val="center"/>
              <w:spacing w:after="0"/>
              <w:rPr>
                <w:sz w:val="20"/>
                <w:szCs w:val="20"/>
                <w:color w:val="auto"/>
              </w:rPr>
            </w:pPr>
            <w:r>
              <w:rPr>
                <w:rFonts w:ascii="Arial" w:cs="Arial" w:eastAsia="Arial" w:hAnsi="Arial"/>
                <w:sz w:val="14"/>
                <w:szCs w:val="14"/>
                <w:color w:val="auto"/>
              </w:rPr>
              <w:t>No</w:t>
            </w:r>
          </w:p>
        </w:tc>
        <w:tc>
          <w:tcPr>
            <w:tcW w:w="820" w:type="dxa"/>
            <w:vAlign w:val="bottom"/>
          </w:tcPr>
          <w:p>
            <w:pPr>
              <w:ind w:left="540"/>
              <w:spacing w:after="0"/>
              <w:rPr>
                <w:sz w:val="20"/>
                <w:szCs w:val="20"/>
                <w:color w:val="auto"/>
              </w:rPr>
            </w:pPr>
            <w:r>
              <w:rPr>
                <w:rFonts w:ascii="Arial" w:cs="Arial" w:eastAsia="Arial" w:hAnsi="Arial"/>
                <w:sz w:val="14"/>
                <w:szCs w:val="14"/>
                <w:color w:val="auto"/>
              </w:rPr>
              <w:t>—</w:t>
            </w:r>
          </w:p>
        </w:tc>
        <w:tc>
          <w:tcPr>
            <w:tcW w:w="760" w:type="dxa"/>
            <w:vAlign w:val="bottom"/>
          </w:tcPr>
          <w:p>
            <w:pPr>
              <w:ind w:left="480"/>
              <w:spacing w:after="0"/>
              <w:rPr>
                <w:sz w:val="20"/>
                <w:szCs w:val="20"/>
                <w:color w:val="auto"/>
              </w:rPr>
            </w:pPr>
            <w:r>
              <w:rPr>
                <w:rFonts w:ascii="Arial" w:cs="Arial" w:eastAsia="Arial" w:hAnsi="Arial"/>
                <w:sz w:val="14"/>
                <w:szCs w:val="14"/>
                <w:color w:val="auto"/>
              </w:rPr>
              <w:t>—</w:t>
            </w:r>
          </w:p>
        </w:tc>
        <w:tc>
          <w:tcPr>
            <w:tcW w:w="740" w:type="dxa"/>
            <w:vAlign w:val="bottom"/>
          </w:tcPr>
          <w:p>
            <w:pPr>
              <w:ind w:left="5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w:t>
      </w:r>
    </w:p>
    <w:p>
      <w:pPr>
        <w:spacing w:after="0" w:line="21" w:lineRule="exact"/>
        <w:rPr>
          <w:sz w:val="20"/>
          <w:szCs w:val="20"/>
          <w:color w:val="auto"/>
        </w:rPr>
      </w:pPr>
    </w:p>
    <w:p>
      <w:pPr>
        <w:ind w:left="340" w:hanging="332"/>
        <w:spacing w:after="0" w:line="254" w:lineRule="auto"/>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types of proceedings by class: (1) contests of citations and orders - none; (2) contests of proposed penalties - none; (3) complaints for compensation - none; (4) complaints of discharge, discrimination or interference under Section 105 of the Mine Act - none; (5) applications for temporary relief - none; and (6) appeals of judges' decisions or orders to the FMSHRC - none.</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lvl w:ilvl="1">
      <w:lvlJc w:val="left"/>
      <w:lvlText w:val="☒"/>
      <w:numFmt w:val="bullet"/>
      <w:start w:val="1"/>
    </w:lvl>
  </w:abstractNum>
  <w:abstractNum w:abstractNumId="1">
    <w:nsid w:val="4353D0CD"/>
    <w:multiLevelType w:val="hybridMultilevel"/>
    <w:lvl w:ilvl="0">
      <w:lvlJc w:val="left"/>
      <w:lvlText w:val="(%1)"/>
      <w:numFmt w:val="decimal"/>
      <w:start w:val="1"/>
    </w:lvl>
  </w:abstractNum>
  <w:abstractNum w:abstractNumId="2">
    <w:nsid w:val="B03E0C6"/>
    <w:multiLevelType w:val="hybridMultilevel"/>
    <w:lvl w:ilvl="0">
      <w:lvlJc w:val="left"/>
      <w:lvlText w:val="(%1)"/>
      <w:numFmt w:val="decimal"/>
      <w:start w:val="2"/>
    </w:lvl>
  </w:abstractNum>
  <w:abstractNum w:abstractNumId="3">
    <w:nsid w:val="189A769B"/>
    <w:multiLevelType w:val="hybridMultilevel"/>
    <w:lvl w:ilvl="0">
      <w:lvlJc w:val="left"/>
      <w:lvlText w:val="(%1)"/>
      <w:numFmt w:val="decimal"/>
      <w:start w:val="3"/>
    </w:lvl>
  </w:abstractNum>
  <w:abstractNum w:abstractNumId="4">
    <w:nsid w:val="54E49EB4"/>
    <w:multiLevelType w:val="hybridMultilevel"/>
    <w:lvl w:ilvl="0">
      <w:lvlJc w:val="left"/>
      <w:lvlText w:val="(%1)"/>
      <w:numFmt w:val="lowerLetter"/>
      <w:start w:val="1"/>
    </w:lvl>
  </w:abstractNum>
  <w:abstractNum w:abstractNumId="5">
    <w:nsid w:val="71F32454"/>
    <w:multiLevelType w:val="hybridMultilevel"/>
    <w:lvl w:ilvl="0">
      <w:lvlJc w:val="left"/>
      <w:lvlText w:val="(%1)"/>
      <w:numFmt w:val="decimal"/>
      <w:start w:val="4"/>
    </w:lvl>
  </w:abstractNum>
  <w:abstractNum w:abstractNumId="6">
    <w:nsid w:val="2CA88611"/>
    <w:multiLevelType w:val="hybridMultilevel"/>
    <w:lvl w:ilvl="0">
      <w:lvlJc w:val="left"/>
      <w:lvlText w:val="(%1)"/>
      <w:numFmt w:val="decimal"/>
      <w:start w:val="5"/>
    </w:lvl>
  </w:abstractNum>
  <w:abstractNum w:abstractNumId="7">
    <w:nsid w:val="836C40E"/>
    <w:multiLevelType w:val="hybridMultilevel"/>
    <w:lvl w:ilvl="0">
      <w:lvlJc w:val="left"/>
      <w:lvlText w:val="(%1)"/>
      <w:numFmt w:val="lowerLetter"/>
      <w:start w:val="1"/>
    </w:lvl>
  </w:abstractNum>
  <w:abstractNum w:abstractNumId="8">
    <w:nsid w:val="2901D82"/>
    <w:multiLevelType w:val="hybridMultilevel"/>
    <w:lvl w:ilvl="0">
      <w:lvlJc w:val="left"/>
      <w:lvlText w:val="(%1)"/>
      <w:numFmt w:val="decimal"/>
      <w:start w:val="6"/>
    </w:lvl>
  </w:abstractNum>
  <w:abstractNum w:abstractNumId="9">
    <w:nsid w:val="3A95F874"/>
    <w:multiLevelType w:val="hybridMultilevel"/>
    <w:lvl w:ilvl="0">
      <w:lvlJc w:val="left"/>
      <w:lvlText w:val="(%1)"/>
      <w:numFmt w:val="decimal"/>
      <w:start w:val="7"/>
    </w:lvl>
  </w:abstractNum>
  <w:abstractNum w:abstractNumId="10">
    <w:nsid w:val="8138641"/>
    <w:multiLevelType w:val="hybridMultilevel"/>
    <w:lvl w:ilvl="0">
      <w:lvlJc w:val="left"/>
      <w:lvlText w:val="(%1)"/>
      <w:numFmt w:val="lowerLetter"/>
      <w:start w:val="1"/>
    </w:lvl>
  </w:abstractNum>
  <w:abstractNum w:abstractNumId="11">
    <w:nsid w:val="1E7FF521"/>
    <w:multiLevelType w:val="hybridMultilevel"/>
    <w:lvl w:ilvl="0">
      <w:lvlJc w:val="left"/>
      <w:lvlText w:val="(%1)"/>
      <w:numFmt w:val="decimal"/>
      <w:start w:val="8"/>
    </w:lvl>
  </w:abstractNum>
  <w:abstractNum w:abstractNumId="12">
    <w:nsid w:val="7C3DBD3D"/>
    <w:multiLevelType w:val="hybridMultilevel"/>
    <w:lvl w:ilvl="0">
      <w:lvlJc w:val="left"/>
      <w:lvlText w:val="(%1)"/>
      <w:numFmt w:val="decimal"/>
      <w:start w:val="9"/>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1)"/>
      <w:numFmt w:val="lowerLetter"/>
      <w:start w:val="1"/>
    </w:lvl>
  </w:abstractNum>
  <w:abstractNum w:abstractNumId="15">
    <w:nsid w:val="22221A70"/>
    <w:multiLevelType w:val="hybridMultilevel"/>
    <w:lvl w:ilvl="0">
      <w:lvlJc w:val="left"/>
      <w:lvlText w:val="(%1)"/>
      <w:numFmt w:val="lowerLetter"/>
      <w:start w:val="1"/>
    </w:lvl>
  </w:abstractNum>
  <w:abstractNum w:abstractNumId="16">
    <w:nsid w:val="4516DDE9"/>
    <w:multiLevelType w:val="hybridMultilevel"/>
    <w:lvl w:ilvl="0">
      <w:lvlJc w:val="left"/>
      <w:lvlText w:val="(%1)"/>
      <w:numFmt w:val="decimal"/>
      <w:start w:val="11"/>
    </w:lvl>
  </w:abstractNum>
  <w:abstractNum w:abstractNumId="17">
    <w:nsid w:val="3006C83E"/>
    <w:multiLevelType w:val="hybridMultilevel"/>
    <w:lvl w:ilvl="0">
      <w:lvlJc w:val="left"/>
      <w:lvlText w:val="(%1)"/>
      <w:numFmt w:val="decimal"/>
      <w:start w:val="14"/>
    </w:lvl>
  </w:abstractNum>
  <w:abstractNum w:abstractNumId="18">
    <w:nsid w:val="614FD4A1"/>
    <w:multiLevelType w:val="hybridMultilevel"/>
    <w:lvl w:ilvl="0">
      <w:lvlJc w:val="left"/>
      <w:lvlText w:val="(%1)"/>
      <w:numFmt w:val="decimal"/>
      <w:start w:val="15"/>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1)"/>
      <w:numFmt w:val="lowerLetter"/>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1)"/>
      <w:numFmt w:val="lowerLetter"/>
      <w:start w:val="1"/>
    </w:lvl>
  </w:abstractNum>
  <w:abstractNum w:abstractNumId="27">
    <w:nsid w:val="2463B9EA"/>
    <w:multiLevelType w:val="hybridMultilevel"/>
    <w:lvl w:ilvl="0">
      <w:lvlJc w:val="left"/>
      <w:lvlText w:val="(%1)"/>
      <w:numFmt w:val="lowerLetter"/>
      <w:start w:val="1"/>
    </w:lvl>
  </w:abstractNum>
  <w:abstractNum w:abstractNumId="28">
    <w:nsid w:val="5E884ADC"/>
    <w:multiLevelType w:val="hybridMultilevel"/>
    <w:lvl w:ilvl="0">
      <w:lvlJc w:val="left"/>
      <w:lvlText w:val="(%1)"/>
      <w:numFmt w:val="lowerLetter"/>
      <w:start w:val="1"/>
    </w:lvl>
  </w:abstractNum>
  <w:abstractNum w:abstractNumId="29">
    <w:nsid w:val="51EAD36B"/>
    <w:multiLevelType w:val="hybridMultilevel"/>
    <w:lvl w:ilvl="0">
      <w:lvlJc w:val="left"/>
      <w:lvlText w:val="(%1)"/>
      <w:numFmt w:val="lowerLetter"/>
      <w:start w:val="1"/>
    </w:lvl>
  </w:abstractNum>
  <w:abstractNum w:abstractNumId="30">
    <w:nsid w:val="2D517796"/>
    <w:multiLevelType w:val="hybridMultilevel"/>
    <w:lvl w:ilvl="0">
      <w:lvlJc w:val="left"/>
      <w:lvlText w:val="(%1)"/>
      <w:numFmt w:val="lowerLetter"/>
      <w:start w:val="1"/>
    </w:lvl>
  </w:abstractNum>
  <w:abstractNum w:abstractNumId="31">
    <w:nsid w:val="580BD78F"/>
    <w:multiLevelType w:val="hybridMultilevel"/>
    <w:lvl w:ilvl="0">
      <w:lvlJc w:val="left"/>
      <w:lvlText w:val="(%1)"/>
      <w:numFmt w:val="lowerLetter"/>
      <w:start w:val="1"/>
    </w:lvl>
  </w:abstractNum>
  <w:abstractNum w:abstractNumId="32">
    <w:nsid w:val="153EA438"/>
    <w:multiLevelType w:val="hybridMultilevel"/>
    <w:lvl w:ilvl="0">
      <w:lvlJc w:val="left"/>
      <w:lvlText w:val="•"/>
      <w:numFmt w:val="bullet"/>
      <w:start w:val="1"/>
    </w:lvl>
    <w:lvl w:ilvl="1">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1)"/>
      <w:numFmt w:val="lowerLetter"/>
      <w:start w:val="1"/>
    </w:lvl>
  </w:abstractNum>
  <w:abstractNum w:abstractNumId="38">
    <w:nsid w:val="725A06FB"/>
    <w:multiLevelType w:val="hybridMultilevel"/>
    <w:lvl w:ilvl="0">
      <w:lvlJc w:val="left"/>
      <w:lvlText w:val="(%1)"/>
      <w:numFmt w:val="lowerLetter"/>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1."/>
      <w:numFmt w:val="decimal"/>
      <w:start w:val="1"/>
    </w:lvl>
    <w:lvl w:ilvl="1">
      <w:lvlJc w:val="left"/>
      <w:lvlText w:val="%2)"/>
      <w:numFmt w:val="lowerLetter"/>
      <w:start w:val="1"/>
    </w:lvl>
  </w:abstractNum>
  <w:abstractNum w:abstractNumId="44">
    <w:nsid w:val="6DE91B18"/>
    <w:multiLevelType w:val="hybridMultilevel"/>
    <w:lvl w:ilvl="0">
      <w:lvlJc w:val="left"/>
      <w:lvlText w:val="%1."/>
      <w:numFmt w:val="decimal"/>
      <w:start w:val="1"/>
    </w:lvl>
    <w:lvl w:ilvl="1">
      <w:lvlJc w:val="left"/>
      <w:lvlText w:val="%2)"/>
      <w:numFmt w:val="lowerLetter"/>
      <w:start w:val="1"/>
    </w:lvl>
  </w:abstractNum>
  <w:abstractNum w:abstractNumId="45">
    <w:nsid w:val="38437FDB"/>
    <w:multiLevelType w:val="hybridMultilevel"/>
    <w:lvl w:ilvl="0">
      <w:lvlJc w:val="left"/>
      <w:lvlText w:val="(%1)"/>
      <w:numFmt w:val="decimal"/>
      <w:start w:val="1"/>
    </w:lvl>
  </w:abstractNum>
  <w:abstractNum w:abstractNumId="46">
    <w:nsid w:val="7644A45C"/>
    <w:multiLevelType w:val="hybridMultilevel"/>
    <w:lvl w:ilvl="0">
      <w:lvlJc w:val="left"/>
      <w:lvlText w:val="(%1)"/>
      <w:numFmt w:val="decimal"/>
      <w:start w:val="1"/>
    </w:lvl>
  </w:abstractNum>
  <w:abstractNum w:abstractNumId="47">
    <w:nsid w:val="32FFF902"/>
    <w:multiLevelType w:val="hybridMultilevel"/>
    <w:lvl w:ilvl="0">
      <w:lvlJc w:val="left"/>
      <w:lvlText w:val="•"/>
      <w:numFmt w:val="bullet"/>
      <w:start w:val="1"/>
    </w:lvl>
  </w:abstractNum>
  <w:abstractNum w:abstractNumId="48">
    <w:nsid w:val="684A481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78" Type="http://schemas.openxmlformats.org/officeDocument/2006/relationships/image" Target="media/image52.png"/><Relationship Id="rId79" Type="http://schemas.openxmlformats.org/officeDocument/2006/relationships/image" Target="media/image53.png"/><Relationship Id="rId80" Type="http://schemas.openxmlformats.org/officeDocument/2006/relationships/image" Target="media/image54.png"/><Relationship Id="rId81" Type="http://schemas.openxmlformats.org/officeDocument/2006/relationships/image" Target="media/image55.png"/><Relationship Id="rId82" Type="http://schemas.openxmlformats.org/officeDocument/2006/relationships/image" Target="media/image56.png"/><Relationship Id="rId83" Type="http://schemas.openxmlformats.org/officeDocument/2006/relationships/image" Target="media/image57.png"/><Relationship Id="rId59" Type="http://schemas.openxmlformats.org/officeDocument/2006/relationships/hyperlink" Target="http://www.sec.gov/Archives/edgar/data/1130464/000113046418000007/bhcamendedarticles.htm" TargetMode="External"/><Relationship Id="rId60" Type="http://schemas.openxmlformats.org/officeDocument/2006/relationships/hyperlink" Target="http://www.sec.gov/Archives/edgar/data/1130464/000113046417000016/bkhexh3-amdrestatedbylawso.htm" TargetMode="External"/><Relationship Id="rId61" Type="http://schemas.openxmlformats.org/officeDocument/2006/relationships/hyperlink" Target="http://www.sec.gov/Archives/edgar/data/1130464/000113046403000214/ex4-1_10q603.htm" TargetMode="External"/><Relationship Id="rId62" Type="http://schemas.openxmlformats.org/officeDocument/2006/relationships/hyperlink" Target="http://www.sec.gov/Archives/edgar/data/1130464/000113046403000214/ex4-2_10q603.htm" TargetMode="External"/><Relationship Id="rId63" Type="http://schemas.openxmlformats.org/officeDocument/2006/relationships/hyperlink" Target="http://www.sec.gov/Archives/edgar/data/1130464/000110465909032244/a09-13238_3ex4.htm" TargetMode="External"/><Relationship Id="rId64" Type="http://schemas.openxmlformats.org/officeDocument/2006/relationships/hyperlink" Target="http://www.sec.gov/Archives/edgar/data/1130464/000110465910038202/a10-11184_5ex4.htm" TargetMode="External"/><Relationship Id="rId65" Type="http://schemas.openxmlformats.org/officeDocument/2006/relationships/hyperlink" Target="http://www.sec.gov/Archives/edgar/data/1130464/000110465913085420/a13-24110_4ex4.htm" TargetMode="External"/><Relationship Id="rId66" Type="http://schemas.openxmlformats.org/officeDocument/2006/relationships/hyperlink" Target="http://www.sec.gov/Archives/edgar/data/1130464/000110465916089656/a16-1059_4ex4d1.htm" TargetMode="External"/><Relationship Id="rId67" Type="http://schemas.openxmlformats.org/officeDocument/2006/relationships/hyperlink" Target="http://www.sec.gov/Archives/edgar/data/1130464/000110465916140657/a16-17027_1ex4d1.htm" TargetMode="External"/><Relationship Id="rId68" Type="http://schemas.openxmlformats.org/officeDocument/2006/relationships/hyperlink" Target="http://www.sec.gov/Archives/edgar/data/1130464/000110465918052602/a18-18564_4ex4d2.htm" TargetMode="External"/><Relationship Id="rId69" Type="http://schemas.openxmlformats.org/officeDocument/2006/relationships/hyperlink" Target="http://www.sec.gov/Archives/edgar/data/1130464/000141057819001533/tv530573_ex4-1.htm" TargetMode="External"/><Relationship Id="rId70" Type="http://schemas.openxmlformats.org/officeDocument/2006/relationships/hyperlink" Target="http://www.sec.gov/Archives/edgar/data/12400/000104746909009108/a2195001zex-4_19.htm" TargetMode="External"/><Relationship Id="rId71" Type="http://schemas.openxmlformats.org/officeDocument/2006/relationships/hyperlink" Target="http://www.sec.gov/Archives/edgar/data/12400/000093066102002633/dex42.txt" TargetMode="External"/><Relationship Id="rId72" Type="http://schemas.openxmlformats.org/officeDocument/2006/relationships/hyperlink" Target="http://www.sec.gov/Archives/edgar/data/12400/000110465909060487/a09-31821_7ex4d21.htm" TargetMode="External"/><Relationship Id="rId73" Type="http://schemas.openxmlformats.org/officeDocument/2006/relationships/hyperlink" Target="http://www.sec.gov/Archives/edgar/data/12400/000113046414000164/ex_10-1thirdsuppindentureb.htm" TargetMode="External"/><Relationship Id="rId74" Type="http://schemas.openxmlformats.org/officeDocument/2006/relationships/hyperlink" Target="http://www.sec.gov/Archives/edgar/data/12400/000113046414000164/ex_10-2restatedindenture.htm" TargetMode="External"/><Relationship Id="rId75" Type="http://schemas.openxmlformats.org/officeDocument/2006/relationships/hyperlink" Target="http://www.sec.gov/Archives/edgar/data/12400/000113046414000164/ex_10-3clfpfirstsupplement.htm" TargetMode="External"/><Relationship Id="rId76" Type="http://schemas.openxmlformats.org/officeDocument/2006/relationships/hyperlink" Target="http://www.sec.gov/Archives/edgar/data/12400/000113046414000164/ex_10-4clfpsupplementalind.htm" TargetMode="External"/><Relationship Id="rId77" Type="http://schemas.openxmlformats.org/officeDocument/2006/relationships/hyperlink" Target="http://www.sec.gov/Archives/edgar/data/1130464/000001240001000024/0000012400-01-000024-0002.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2020-05-05T12:17:26Z</dcterms:created>
  <dcterms:modified xsi:type="dcterms:W3CDTF">2020-05-05T12:17:26Z</dcterms:modified>
</cp:coreProperties>
</file>