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3940" w:right="1380" w:hanging="2549"/>
        <w:spacing w:after="0" w:line="286" w:lineRule="auto"/>
        <w:tabs>
          <w:tab w:leader="none" w:pos="157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March 31, 2026</w:t>
      </w:r>
    </w:p>
    <w:p>
      <w:pPr>
        <w:spacing w:after="0" w:line="129" w:lineRule="exact"/>
        <w:rPr>
          <w:sz w:val="24"/>
          <w:szCs w:val="24"/>
          <w:color w:val="auto"/>
        </w:rPr>
      </w:pPr>
    </w:p>
    <w:p>
      <w:pPr>
        <w:ind w:left="3540" w:right="1360" w:hanging="2167"/>
        <w:spacing w:after="0" w:line="286" w:lineRule="auto"/>
        <w:tabs>
          <w:tab w:leader="none" w:pos="16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001-31303</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167"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(605) 721-1700</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151" w:lineRule="exact"/>
        <w:rPr>
          <w:sz w:val="24"/>
          <w:szCs w:val="24"/>
          <w:color w:val="auto"/>
        </w:rPr>
      </w:pPr>
    </w:p>
    <w:p>
      <w:pPr>
        <w:jc w:val="both"/>
        <w:ind w:right="4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6"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86" w:lineRule="exact"/>
        <w:rPr>
          <w:sz w:val="24"/>
          <w:szCs w:val="24"/>
          <w:color w:val="auto"/>
        </w:rPr>
      </w:pPr>
    </w:p>
    <w:p>
      <w:pPr>
        <w:ind w:left="240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20" w:space="720"/>
            <w:col w:w="1440" w:space="720"/>
            <w:col w:w="4040"/>
          </w:cols>
          <w:pgMar w:left="320" w:top="233"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580" w:space="720"/>
            <w:col w:w="3400"/>
          </w:cols>
          <w:pgMar w:left="320" w:top="233" w:right="3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jc w:val="center"/>
              <w:ind w:left="2379"/>
              <w:spacing w:after="0"/>
              <w:rPr>
                <w:sz w:val="20"/>
                <w:szCs w:val="20"/>
                <w:color w:val="auto"/>
              </w:rPr>
            </w:pPr>
            <w:r>
              <w:rPr>
                <w:rFonts w:ascii="Arial" w:cs="Arial" w:eastAsia="Arial" w:hAnsi="Arial"/>
                <w:sz w:val="16"/>
                <w:szCs w:val="16"/>
                <w:color w:val="auto"/>
                <w:w w:val="99"/>
              </w:rPr>
              <w:t>Class</w:t>
            </w:r>
          </w:p>
        </w:tc>
        <w:tc>
          <w:tcPr>
            <w:tcW w:w="5460" w:type="dxa"/>
            <w:vAlign w:val="bottom"/>
          </w:tcPr>
          <w:p>
            <w:pPr>
              <w:ind w:left="540"/>
              <w:spacing w:after="0"/>
              <w:rPr>
                <w:sz w:val="20"/>
                <w:szCs w:val="20"/>
                <w:color w:val="auto"/>
              </w:rPr>
            </w:pPr>
            <w:r>
              <w:rPr>
                <w:rFonts w:ascii="Arial" w:cs="Arial" w:eastAsia="Arial" w:hAnsi="Arial"/>
                <w:sz w:val="16"/>
                <w:szCs w:val="16"/>
                <w:color w:val="auto"/>
              </w:rPr>
              <w:t>Outstanding at May 4, 2026</w:t>
            </w:r>
          </w:p>
        </w:tc>
      </w:tr>
      <w:tr>
        <w:trPr>
          <w:trHeight w:val="270"/>
        </w:trPr>
        <w:tc>
          <w:tcPr>
            <w:tcW w:w="5780" w:type="dxa"/>
            <w:vAlign w:val="bottom"/>
          </w:tcPr>
          <w:p>
            <w:pPr>
              <w:jc w:val="center"/>
              <w:ind w:left="2339"/>
              <w:spacing w:after="0"/>
              <w:rPr>
                <w:sz w:val="20"/>
                <w:szCs w:val="20"/>
                <w:color w:val="auto"/>
              </w:rPr>
            </w:pPr>
            <w:r>
              <w:rPr>
                <w:rFonts w:ascii="Arial" w:cs="Arial" w:eastAsia="Arial" w:hAnsi="Arial"/>
                <w:sz w:val="16"/>
                <w:szCs w:val="16"/>
                <w:color w:val="auto"/>
              </w:rPr>
              <w:t>Common stock, $1.00 par value</w:t>
            </w:r>
          </w:p>
        </w:tc>
        <w:tc>
          <w:tcPr>
            <w:tcW w:w="5460" w:type="dxa"/>
            <w:vAlign w:val="bottom"/>
          </w:tcPr>
          <w:p>
            <w:pPr>
              <w:ind w:left="700"/>
              <w:spacing w:after="0"/>
              <w:rPr>
                <w:sz w:val="20"/>
                <w:szCs w:val="20"/>
                <w:color w:val="auto"/>
              </w:rPr>
            </w:pPr>
            <w:r>
              <w:rPr>
                <w:rFonts w:ascii="Arial" w:cs="Arial" w:eastAsia="Arial" w:hAnsi="Arial"/>
                <w:sz w:val="16"/>
                <w:szCs w:val="16"/>
                <w:color w:val="auto"/>
              </w:rPr>
              <w:t>76,128,592 shares</w:t>
            </w:r>
          </w:p>
        </w:tc>
      </w:tr>
      <w:tr>
        <w:trPr>
          <w:trHeight w:val="121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gridSpan w:val="10"/>
          </w:tcPr>
          <w:p>
            <w:pPr>
              <w:ind w:left="120"/>
              <w:spacing w:after="0"/>
              <w:rPr>
                <w:sz w:val="20"/>
                <w:szCs w:val="20"/>
                <w:color w:val="auto"/>
              </w:rPr>
            </w:pPr>
            <w:r>
              <w:rPr>
                <w:rFonts w:ascii="Arial" w:cs="Arial" w:eastAsia="Arial" w:hAnsi="Arial"/>
                <w:sz w:val="16"/>
                <w:szCs w:val="16"/>
                <w:b w:val="1"/>
                <w:bCs w:val="1"/>
                <w:color w:val="auto"/>
              </w:rPr>
              <w:t>TABLE OF CONTENTS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gridSpan w:val="4"/>
          </w:tcPr>
          <w:p>
            <w:pPr>
              <w:ind w:left="580"/>
              <w:spacing w:after="0"/>
              <w:rPr>
                <w:sz w:val="20"/>
                <w:szCs w:val="20"/>
                <w:color w:val="auto"/>
              </w:rPr>
            </w:pPr>
            <w:r>
              <w:rPr>
                <w:rFonts w:ascii="Arial" w:cs="Arial" w:eastAsia="Arial" w:hAnsi="Arial"/>
                <w:sz w:val="16"/>
                <w:szCs w:val="16"/>
                <w:color w:val="auto"/>
              </w:rPr>
              <w:t>Page</w:t>
            </w:r>
          </w:p>
        </w:tc>
      </w:tr>
      <w:tr>
        <w:trPr>
          <w:trHeight w:val="156"/>
        </w:trPr>
        <w:tc>
          <w:tcPr>
            <w:tcW w:w="2680" w:type="dxa"/>
            <w:vAlign w:val="bottom"/>
            <w:tcBorders>
              <w:top w:val="single" w:sz="8" w:color="CFF0FC"/>
              <w:bottom w:val="single" w:sz="8" w:color="0000FF"/>
              <w:right w:val="single" w:sz="8" w:color="CFF0FC"/>
            </w:tcBorders>
            <w:gridSpan w:val="10"/>
            <w:shd w:val="clear" w:color="auto" w:fill="CFF0FC"/>
          </w:tcPr>
          <w:p>
            <w:pPr>
              <w:spacing w:after="0" w:line="148" w:lineRule="exact"/>
              <w:rPr>
                <w:sz w:val="20"/>
                <w:szCs w:val="20"/>
                <w:color w:val="auto"/>
              </w:rPr>
            </w:pPr>
            <w:r>
              <w:rPr>
                <w:rFonts w:ascii="Arial" w:cs="Arial" w:eastAsia="Arial" w:hAnsi="Arial"/>
                <w:sz w:val="16"/>
                <w:szCs w:val="16"/>
                <w:color w:val="0000FF"/>
              </w:rPr>
              <w:t>Glossary of Terms and Abbreviations</w:t>
            </w:r>
          </w:p>
        </w:tc>
        <w:tc>
          <w:tcPr>
            <w:tcW w:w="7000" w:type="dxa"/>
            <w:vAlign w:val="bottom"/>
            <w:tcBorders>
              <w:top w:val="single" w:sz="8" w:color="CFF0FC"/>
              <w:bottom w:val="single" w:sz="8" w:color="CFF0FC"/>
            </w:tcBorders>
            <w:gridSpan w:val="22"/>
            <w:shd w:val="clear" w:color="auto" w:fill="CFF0FC"/>
          </w:tcPr>
          <w:p>
            <w:pPr>
              <w:spacing w:after="0"/>
              <w:rPr>
                <w:sz w:val="13"/>
                <w:szCs w:val="13"/>
                <w:color w:val="auto"/>
              </w:rPr>
            </w:pPr>
          </w:p>
        </w:tc>
        <w:tc>
          <w:tcPr>
            <w:tcW w:w="720" w:type="dxa"/>
            <w:vAlign w:val="bottom"/>
            <w:tcBorders>
              <w:top w:val="single" w:sz="8" w:color="auto"/>
              <w:bottom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0000FF"/>
            </w:tcBorders>
            <w:shd w:val="clear" w:color="auto" w:fill="CFF0FC"/>
          </w:tcPr>
          <w:p>
            <w:pPr>
              <w:jc w:val="center"/>
              <w:spacing w:after="0" w:line="148" w:lineRule="exact"/>
              <w:rPr>
                <w:sz w:val="20"/>
                <w:szCs w:val="20"/>
                <w:color w:val="auto"/>
              </w:rPr>
            </w:pPr>
            <w:r>
              <w:rPr>
                <w:rFonts w:ascii="Arial" w:cs="Arial" w:eastAsia="Arial" w:hAnsi="Arial"/>
                <w:sz w:val="16"/>
                <w:szCs w:val="16"/>
                <w:color w:val="0000FF"/>
              </w:rPr>
              <w:t>3</w:t>
            </w:r>
          </w:p>
        </w:tc>
        <w:tc>
          <w:tcPr>
            <w:tcW w:w="720" w:type="dxa"/>
            <w:vAlign w:val="bottom"/>
            <w:tcBorders>
              <w:top w:val="single" w:sz="8" w:color="auto"/>
              <w:left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62"/>
        </w:trPr>
        <w:tc>
          <w:tcPr>
            <w:tcW w:w="2480" w:type="dxa"/>
            <w:vAlign w:val="bottom"/>
            <w:gridSpan w:val="9"/>
          </w:tcPr>
          <w:p>
            <w:pPr>
              <w:ind w:left="20"/>
              <w:spacing w:after="0" w:line="162" w:lineRule="exact"/>
              <w:rPr>
                <w:sz w:val="20"/>
                <w:szCs w:val="20"/>
                <w:color w:val="auto"/>
              </w:rPr>
            </w:pPr>
            <w:r>
              <w:rPr>
                <w:rFonts w:ascii="Arial" w:cs="Arial" w:eastAsia="Arial" w:hAnsi="Arial"/>
                <w:sz w:val="16"/>
                <w:szCs w:val="16"/>
                <w:color w:val="0000FF"/>
              </w:rPr>
              <w:t>Forward-Looking Information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6</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9680" w:type="dxa"/>
            <w:vAlign w:val="bottom"/>
            <w:gridSpan w:val="32"/>
            <w:shd w:val="clear" w:color="auto" w:fill="CFF0FC"/>
          </w:tcPr>
          <w:p>
            <w:pPr>
              <w:spacing w:after="0" w:line="162" w:lineRule="exact"/>
              <w:rPr>
                <w:sz w:val="20"/>
                <w:szCs w:val="20"/>
                <w:color w:val="auto"/>
              </w:rPr>
            </w:pPr>
            <w:r>
              <w:rPr>
                <w:rFonts w:ascii="Arial" w:cs="Arial" w:eastAsia="Arial" w:hAnsi="Arial"/>
                <w:sz w:val="16"/>
                <w:szCs w:val="16"/>
                <w:color w:val="0000FF"/>
              </w:rPr>
              <w:t>PART I. FINANCIAL INFORMATION</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7</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Financial Statements - unaudited</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7</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CFF0FC"/>
            </w:tcBorders>
            <w:shd w:val="clear" w:color="auto" w:fill="0000FF"/>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Income</w:t>
            </w: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7</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Balance Sheets</w:t>
            </w: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9</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Cash Flows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11</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Equity</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12</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13</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w w:val="99"/>
              </w:rPr>
              <w:t>Note 1. Management’s Statement</w:t>
            </w:r>
          </w:p>
        </w:tc>
        <w:tc>
          <w:tcPr>
            <w:tcW w:w="1520" w:type="dxa"/>
            <w:vAlign w:val="bottom"/>
            <w:gridSpan w:val="7"/>
          </w:tcPr>
          <w:p>
            <w:pPr>
              <w:spacing w:after="0"/>
              <w:rPr>
                <w:sz w:val="14"/>
                <w:szCs w:val="14"/>
                <w:color w:val="auto"/>
              </w:rPr>
            </w:pP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rPr>
              <w:t>Note 2.</w:t>
            </w:r>
          </w:p>
        </w:tc>
        <w:tc>
          <w:tcPr>
            <w:tcW w:w="1800" w:type="dxa"/>
            <w:vAlign w:val="bottom"/>
            <w:tcBorders>
              <w:right w:val="single" w:sz="8" w:color="CFF0FC"/>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5400" w:type="dxa"/>
            <w:vAlign w:val="bottom"/>
            <w:tcBorders>
              <w:left w:val="single" w:sz="8" w:color="CFF0FC"/>
            </w:tcBorders>
            <w:gridSpan w:val="12"/>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CFF0FC"/>
            </w:tcBorders>
            <w:shd w:val="clear" w:color="auto" w:fill="0000FF"/>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gridSpan w:val="22"/>
          </w:tcPr>
          <w:p>
            <w:pPr>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940" w:type="dxa"/>
            <w:vAlign w:val="bottom"/>
            <w:gridSpan w:val="22"/>
            <w:shd w:val="clear" w:color="auto" w:fill="CFF0FC"/>
          </w:tcPr>
          <w:p>
            <w:pPr>
              <w:spacing w:after="0" w:line="162" w:lineRule="exact"/>
              <w:rPr>
                <w:sz w:val="20"/>
                <w:szCs w:val="20"/>
                <w:color w:val="auto"/>
              </w:rPr>
            </w:pPr>
            <w:r>
              <w:rPr>
                <w:rFonts w:ascii="Arial" w:cs="Arial" w:eastAsia="Arial" w:hAnsi="Arial"/>
                <w:sz w:val="16"/>
                <w:szCs w:val="16"/>
                <w:color w:val="0000FF"/>
              </w:rPr>
              <w:t>Note 4. Revenue</w:t>
            </w:r>
          </w:p>
        </w:tc>
        <w:tc>
          <w:tcPr>
            <w:tcW w:w="3880" w:type="dxa"/>
            <w:vAlign w:val="bottom"/>
            <w:tcBorders>
              <w:left w:val="single" w:sz="8" w:color="CFF0FC"/>
            </w:tcBorders>
            <w:gridSpan w:val="5"/>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0000FF"/>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rPr>
              <w:t>Note 5.</w:t>
            </w:r>
          </w:p>
        </w:tc>
        <w:tc>
          <w:tcPr>
            <w:tcW w:w="700" w:type="dxa"/>
            <w:vAlign w:val="bottom"/>
            <w:gridSpan w:val="5"/>
          </w:tcPr>
          <w:p>
            <w:pPr>
              <w:spacing w:after="0" w:line="162" w:lineRule="exact"/>
              <w:rPr>
                <w:sz w:val="20"/>
                <w:szCs w:val="20"/>
                <w:color w:val="auto"/>
              </w:rPr>
            </w:pPr>
            <w:r>
              <w:rPr>
                <w:rFonts w:ascii="Arial" w:cs="Arial" w:eastAsia="Arial" w:hAnsi="Arial"/>
                <w:sz w:val="16"/>
                <w:szCs w:val="16"/>
                <w:color w:val="0000FF"/>
                <w:w w:val="95"/>
              </w:rPr>
              <w:t>Financing</w:t>
            </w:r>
          </w:p>
        </w:tc>
        <w:tc>
          <w:tcPr>
            <w:tcW w:w="6500" w:type="dxa"/>
            <w:vAlign w:val="bottom"/>
            <w:gridSpan w:val="18"/>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7820" w:type="dxa"/>
            <w:vAlign w:val="bottom"/>
            <w:gridSpan w:val="27"/>
            <w:shd w:val="clear" w:color="auto" w:fill="CFF0FC"/>
          </w:tcPr>
          <w:p>
            <w:pPr>
              <w:spacing w:after="0" w:line="162" w:lineRule="exact"/>
              <w:rPr>
                <w:sz w:val="20"/>
                <w:szCs w:val="20"/>
                <w:color w:val="auto"/>
              </w:rPr>
            </w:pPr>
            <w:r>
              <w:rPr>
                <w:rFonts w:ascii="Arial" w:cs="Arial" w:eastAsia="Arial" w:hAnsi="Arial"/>
                <w:sz w:val="16"/>
                <w:szCs w:val="16"/>
                <w:color w:val="0000FF"/>
              </w:rPr>
              <w:t>Note 6. Earnings Per Share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18</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20" w:type="dxa"/>
            <w:vAlign w:val="bottom"/>
            <w:gridSpan w:val="27"/>
          </w:tcPr>
          <w:p>
            <w:pPr>
              <w:spacing w:after="0" w:line="162" w:lineRule="exact"/>
              <w:rPr>
                <w:sz w:val="20"/>
                <w:szCs w:val="20"/>
                <w:color w:val="auto"/>
              </w:rPr>
            </w:pPr>
            <w:r>
              <w:rPr>
                <w:rFonts w:ascii="Arial" w:cs="Arial" w:eastAsia="Arial" w:hAnsi="Arial"/>
                <w:sz w:val="16"/>
                <w:szCs w:val="16"/>
                <w:color w:val="0000FF"/>
              </w:rPr>
              <w:t>Note 7. Risk Management and Derivatives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080" w:type="dxa"/>
            <w:vAlign w:val="bottom"/>
            <w:gridSpan w:val="19"/>
            <w:shd w:val="clear" w:color="auto" w:fill="CFF0FC"/>
          </w:tcPr>
          <w:p>
            <w:pPr>
              <w:spacing w:after="0" w:line="162" w:lineRule="exact"/>
              <w:rPr>
                <w:sz w:val="20"/>
                <w:szCs w:val="20"/>
                <w:color w:val="auto"/>
              </w:rPr>
            </w:pPr>
            <w:r>
              <w:rPr>
                <w:rFonts w:ascii="Arial" w:cs="Arial" w:eastAsia="Arial" w:hAnsi="Arial"/>
                <w:sz w:val="16"/>
                <w:szCs w:val="16"/>
                <w:color w:val="0000FF"/>
              </w:rPr>
              <w:t>Note 8. Fair Value Measurements</w:t>
            </w:r>
          </w:p>
        </w:tc>
        <w:tc>
          <w:tcPr>
            <w:tcW w:w="4740" w:type="dxa"/>
            <w:vAlign w:val="bottom"/>
            <w:gridSpan w:val="8"/>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17"/>
          </w:tcPr>
          <w:p>
            <w:pPr>
              <w:spacing w:after="0" w:line="162" w:lineRule="exact"/>
              <w:rPr>
                <w:sz w:val="20"/>
                <w:szCs w:val="20"/>
                <w:color w:val="auto"/>
              </w:rPr>
            </w:pPr>
            <w:r>
              <w:rPr>
                <w:rFonts w:ascii="Arial" w:cs="Arial" w:eastAsia="Arial" w:hAnsi="Arial"/>
                <w:sz w:val="16"/>
                <w:szCs w:val="16"/>
                <w:color w:val="0000FF"/>
              </w:rPr>
              <w:t>Note 9. Other Comprehensive Income</w:t>
            </w:r>
          </w:p>
        </w:tc>
        <w:tc>
          <w:tcPr>
            <w:tcW w:w="5040" w:type="dxa"/>
            <w:vAlign w:val="bottom"/>
            <w:gridSpan w:val="10"/>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22</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10.</w:t>
            </w:r>
          </w:p>
        </w:tc>
        <w:tc>
          <w:tcPr>
            <w:tcW w:w="2160" w:type="dxa"/>
            <w:vAlign w:val="bottom"/>
            <w:gridSpan w:val="13"/>
            <w:shd w:val="clear" w:color="auto" w:fill="CFF0FC"/>
          </w:tcPr>
          <w:p>
            <w:pPr>
              <w:ind w:left="80"/>
              <w:spacing w:after="0" w:line="162" w:lineRule="exact"/>
              <w:rPr>
                <w:sz w:val="20"/>
                <w:szCs w:val="20"/>
                <w:color w:val="auto"/>
              </w:rPr>
            </w:pPr>
            <w:r>
              <w:rPr>
                <w:rFonts w:ascii="Arial" w:cs="Arial" w:eastAsia="Arial" w:hAnsi="Arial"/>
                <w:sz w:val="16"/>
                <w:szCs w:val="16"/>
                <w:color w:val="0000FF"/>
              </w:rPr>
              <w:t>Employee Benefit Plans</w:t>
            </w:r>
          </w:p>
        </w:tc>
        <w:tc>
          <w:tcPr>
            <w:tcW w:w="5040" w:type="dxa"/>
            <w:vAlign w:val="bottom"/>
            <w:tcBorders>
              <w:left w:val="single" w:sz="8" w:color="CFF0FC"/>
            </w:tcBorders>
            <w:gridSpan w:val="10"/>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23</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rPr>
              <w:t>Note 11. Income Taxes</w:t>
            </w:r>
          </w:p>
        </w:tc>
        <w:tc>
          <w:tcPr>
            <w:tcW w:w="5400" w:type="dxa"/>
            <w:vAlign w:val="bottom"/>
            <w:gridSpan w:val="12"/>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24</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12.</w:t>
            </w:r>
          </w:p>
        </w:tc>
        <w:tc>
          <w:tcPr>
            <w:tcW w:w="7200" w:type="dxa"/>
            <w:vAlign w:val="bottom"/>
            <w:gridSpan w:val="23"/>
            <w:shd w:val="clear" w:color="auto" w:fill="CFF0FC"/>
          </w:tcPr>
          <w:p>
            <w:pPr>
              <w:ind w:left="80"/>
              <w:spacing w:after="0" w:line="162" w:lineRule="exact"/>
              <w:rPr>
                <w:sz w:val="20"/>
                <w:szCs w:val="20"/>
                <w:color w:val="auto"/>
              </w:rPr>
            </w:pPr>
            <w:r>
              <w:rPr>
                <w:rFonts w:ascii="Arial" w:cs="Arial" w:eastAsia="Arial" w:hAnsi="Arial"/>
                <w:sz w:val="16"/>
                <w:szCs w:val="16"/>
                <w:color w:val="0000FF"/>
              </w:rPr>
              <w:t>Business Segment Information</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w w:val="99"/>
              </w:rPr>
              <w:t>Note 13.</w:t>
            </w:r>
          </w:p>
        </w:tc>
        <w:tc>
          <w:tcPr>
            <w:tcW w:w="7200" w:type="dxa"/>
            <w:vAlign w:val="bottom"/>
            <w:gridSpan w:val="23"/>
          </w:tcPr>
          <w:p>
            <w:pPr>
              <w:ind w:left="80"/>
              <w:spacing w:after="0" w:line="162" w:lineRule="exact"/>
              <w:rPr>
                <w:sz w:val="20"/>
                <w:szCs w:val="20"/>
                <w:color w:val="auto"/>
              </w:rPr>
            </w:pPr>
            <w:r>
              <w:rPr>
                <w:rFonts w:ascii="Arial" w:cs="Arial" w:eastAsia="Arial" w:hAnsi="Arial"/>
                <w:sz w:val="16"/>
                <w:szCs w:val="16"/>
                <w:color w:val="0000FF"/>
              </w:rPr>
              <w:t>Selected Balance Sheet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26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280" w:type="dxa"/>
            <w:vAlign w:val="bottom"/>
            <w:tcBorders>
              <w:right w:val="single" w:sz="8" w:color="CFF0FC"/>
            </w:tcBorders>
            <w:gridSpan w:val="20"/>
            <w:shd w:val="clear" w:color="auto" w:fill="CFF0FC"/>
          </w:tcPr>
          <w:p>
            <w:pPr>
              <w:spacing w:after="0" w:line="162" w:lineRule="exact"/>
              <w:rPr>
                <w:sz w:val="20"/>
                <w:szCs w:val="20"/>
                <w:color w:val="auto"/>
              </w:rPr>
            </w:pPr>
            <w:r>
              <w:rPr>
                <w:rFonts w:ascii="Arial" w:cs="Arial" w:eastAsia="Arial" w:hAnsi="Arial"/>
                <w:sz w:val="16"/>
                <w:szCs w:val="16"/>
                <w:color w:val="0000FF"/>
              </w:rPr>
              <w:t>Note 14. Pending Merger with NorthWestern</w:t>
            </w:r>
          </w:p>
        </w:tc>
        <w:tc>
          <w:tcPr>
            <w:tcW w:w="4540" w:type="dxa"/>
            <w:vAlign w:val="bottom"/>
            <w:gridSpan w:val="7"/>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27</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0000FF"/>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20"/>
          </w:tcPr>
          <w:p>
            <w:pPr>
              <w:spacing w:after="0" w:line="162" w:lineRule="exact"/>
              <w:rPr>
                <w:sz w:val="20"/>
                <w:szCs w:val="20"/>
                <w:color w:val="auto"/>
              </w:rPr>
            </w:pPr>
            <w:r>
              <w:rPr>
                <w:rFonts w:ascii="Arial" w:cs="Arial" w:eastAsia="Arial" w:hAnsi="Arial"/>
                <w:sz w:val="16"/>
                <w:szCs w:val="16"/>
                <w:color w:val="0000FF"/>
              </w:rPr>
              <w:t>Note 15. Subsequent Events</w:t>
            </w:r>
          </w:p>
        </w:tc>
        <w:tc>
          <w:tcPr>
            <w:tcW w:w="4540" w:type="dxa"/>
            <w:vAlign w:val="bottom"/>
            <w:gridSpan w:val="7"/>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27</w:t>
            </w:r>
          </w:p>
        </w:tc>
        <w:tc>
          <w:tcPr>
            <w:tcW w:w="20" w:type="dxa"/>
            <w:vAlign w:val="bottom"/>
          </w:tcPr>
          <w:p>
            <w:pPr>
              <w:spacing w:after="0"/>
              <w:rPr>
                <w:sz w:val="14"/>
                <w:szCs w:val="14"/>
                <w:color w:val="auto"/>
              </w:rPr>
            </w:pPr>
          </w:p>
        </w:tc>
      </w:tr>
      <w:tr>
        <w:trPr>
          <w:trHeight w:val="189"/>
        </w:trPr>
        <w:tc>
          <w:tcPr>
            <w:tcW w:w="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0000FF"/>
              <w:right w:val="single" w:sz="8" w:color="CFF0FC"/>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160" w:type="dxa"/>
            <w:vAlign w:val="bottom"/>
            <w:tcBorders>
              <w:top w:val="single" w:sz="8" w:color="0000FF"/>
            </w:tcBorders>
            <w:shd w:val="clear" w:color="auto" w:fill="CFF0FC"/>
          </w:tcPr>
          <w:p>
            <w:pPr>
              <w:spacing w:after="0"/>
              <w:rPr>
                <w:sz w:val="16"/>
                <w:szCs w:val="16"/>
                <w:color w:val="auto"/>
              </w:rPr>
            </w:pPr>
          </w:p>
        </w:tc>
        <w:tc>
          <w:tcPr>
            <w:tcW w:w="420" w:type="dxa"/>
            <w:vAlign w:val="bottom"/>
            <w:tcBorders>
              <w:top w:val="single" w:sz="8" w:color="0000FF"/>
              <w:right w:val="single" w:sz="8" w:color="CFF0FC"/>
            </w:tcBorders>
            <w:gridSpan w:val="2"/>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80" w:type="dxa"/>
            <w:vAlign w:val="bottom"/>
            <w:tcBorders>
              <w:top w:val="single" w:sz="8" w:color="0000FF"/>
              <w:lef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0000FF"/>
              <w:left w:val="single" w:sz="8" w:color="CFF0FC"/>
            </w:tcBorders>
            <w:shd w:val="clear" w:color="auto" w:fill="CFF0FC"/>
          </w:tcPr>
          <w:p>
            <w:pPr>
              <w:spacing w:after="0"/>
              <w:rPr>
                <w:sz w:val="16"/>
                <w:szCs w:val="16"/>
                <w:color w:val="auto"/>
              </w:rPr>
            </w:pPr>
          </w:p>
        </w:tc>
        <w:tc>
          <w:tcPr>
            <w:tcW w:w="100" w:type="dxa"/>
            <w:vAlign w:val="bottom"/>
            <w:tcBorders>
              <w:top w:val="single" w:sz="8" w:color="0000FF"/>
              <w:righ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40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0000FF"/>
            </w:tcBorders>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28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380" w:type="dxa"/>
            <w:vAlign w:val="bottom"/>
            <w:gridSpan w:val="27"/>
            <w:shd w:val="clear" w:color="auto" w:fill="CFF0FC"/>
          </w:tcPr>
          <w:p>
            <w:pPr>
              <w:ind w:left="10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28</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Recent Developments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28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Results of Operations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29</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CFF0FC"/>
            </w:tcBorders>
            <w:shd w:val="clear" w:color="auto" w:fill="0000FF"/>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29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Non-GAAP Financial Measure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7"/>
          </w:tcPr>
          <w:p>
            <w:pPr>
              <w:spacing w:after="0" w:line="162" w:lineRule="exact"/>
              <w:rPr>
                <w:sz w:val="20"/>
                <w:szCs w:val="20"/>
                <w:color w:val="auto"/>
              </w:rPr>
            </w:pPr>
            <w:r>
              <w:rPr>
                <w:rFonts w:ascii="Arial" w:cs="Arial" w:eastAsia="Arial" w:hAnsi="Arial"/>
                <w:sz w:val="16"/>
                <w:szCs w:val="16"/>
                <w:color w:val="0000FF"/>
                <w:w w:val="94"/>
              </w:rPr>
              <w:t>Electric Utilities</w:t>
            </w:r>
          </w:p>
        </w:tc>
        <w:tc>
          <w:tcPr>
            <w:tcW w:w="6640" w:type="dxa"/>
            <w:vAlign w:val="bottom"/>
            <w:gridSpan w:val="19"/>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60" w:type="dxa"/>
            <w:vAlign w:val="bottom"/>
            <w:gridSpan w:val="7"/>
            <w:shd w:val="clear" w:color="auto" w:fill="CFF0FC"/>
          </w:tcPr>
          <w:p>
            <w:pPr>
              <w:spacing w:after="0" w:line="162" w:lineRule="exact"/>
              <w:rPr>
                <w:sz w:val="20"/>
                <w:szCs w:val="20"/>
                <w:color w:val="auto"/>
              </w:rPr>
            </w:pPr>
            <w:r>
              <w:rPr>
                <w:rFonts w:ascii="Arial" w:cs="Arial" w:eastAsia="Arial" w:hAnsi="Arial"/>
                <w:sz w:val="16"/>
                <w:szCs w:val="16"/>
                <w:color w:val="0000FF"/>
              </w:rPr>
              <w:t>Gas Utilities</w:t>
            </w:r>
          </w:p>
        </w:tc>
        <w:tc>
          <w:tcPr>
            <w:tcW w:w="6640" w:type="dxa"/>
            <w:vAlign w:val="bottom"/>
            <w:tcBorders>
              <w:left w:val="single" w:sz="8" w:color="CFF0FC"/>
            </w:tcBorders>
            <w:gridSpan w:val="19"/>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Corporate and Other</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Liquidity and Capital Resources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400" w:type="dxa"/>
            <w:vAlign w:val="bottom"/>
            <w:tcBorders>
              <w:right w:val="single" w:sz="8" w:color="CFF0FC"/>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w w:val="94"/>
              </w:rPr>
              <w:t>Cash Flow Activities</w:t>
            </w:r>
          </w:p>
        </w:tc>
        <w:tc>
          <w:tcPr>
            <w:tcW w:w="700" w:type="dxa"/>
            <w:vAlign w:val="bottom"/>
            <w:tcBorders>
              <w:left w:val="single" w:sz="8" w:color="CFF0FC"/>
              <w:right w:val="single" w:sz="8" w:color="CFF0FC"/>
            </w:tcBorders>
            <w:gridSpan w:val="3"/>
            <w:shd w:val="clear" w:color="auto" w:fill="CFF0FC"/>
          </w:tcPr>
          <w:p>
            <w:pPr>
              <w:spacing w:after="0"/>
              <w:rPr>
                <w:sz w:val="14"/>
                <w:szCs w:val="14"/>
                <w:color w:val="auto"/>
              </w:rPr>
            </w:pPr>
          </w:p>
        </w:tc>
        <w:tc>
          <w:tcPr>
            <w:tcW w:w="5600" w:type="dxa"/>
            <w:vAlign w:val="bottom"/>
            <w:tcBorders>
              <w:left w:val="single" w:sz="8" w:color="CFF0FC"/>
            </w:tcBorders>
            <w:gridSpan w:val="13"/>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37</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10"/>
          </w:tcPr>
          <w:p>
            <w:pPr>
              <w:spacing w:after="0" w:line="162" w:lineRule="exact"/>
              <w:rPr>
                <w:sz w:val="20"/>
                <w:szCs w:val="20"/>
                <w:color w:val="auto"/>
              </w:rPr>
            </w:pPr>
            <w:r>
              <w:rPr>
                <w:rFonts w:ascii="Arial" w:cs="Arial" w:eastAsia="Arial" w:hAnsi="Arial"/>
                <w:sz w:val="16"/>
                <w:szCs w:val="16"/>
                <w:color w:val="0000FF"/>
              </w:rPr>
              <w:t>Capital Resources</w:t>
            </w:r>
          </w:p>
        </w:tc>
        <w:tc>
          <w:tcPr>
            <w:tcW w:w="6300" w:type="dxa"/>
            <w:vAlign w:val="bottom"/>
            <w:gridSpan w:val="16"/>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300" w:type="dxa"/>
            <w:vAlign w:val="bottom"/>
            <w:gridSpan w:val="9"/>
            <w:shd w:val="clear" w:color="auto" w:fill="CFF0FC"/>
          </w:tcPr>
          <w:p>
            <w:pPr>
              <w:spacing w:after="0" w:line="162" w:lineRule="exact"/>
              <w:rPr>
                <w:sz w:val="20"/>
                <w:szCs w:val="20"/>
                <w:color w:val="auto"/>
              </w:rPr>
            </w:pPr>
            <w:r>
              <w:rPr>
                <w:rFonts w:ascii="Arial" w:cs="Arial" w:eastAsia="Arial" w:hAnsi="Arial"/>
                <w:sz w:val="16"/>
                <w:szCs w:val="16"/>
                <w:color w:val="0000FF"/>
              </w:rPr>
              <w:t>Credit Ratings</w:t>
            </w:r>
          </w:p>
        </w:tc>
        <w:tc>
          <w:tcPr>
            <w:tcW w:w="6400" w:type="dxa"/>
            <w:vAlign w:val="bottom"/>
            <w:gridSpan w:val="17"/>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38</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11"/>
          </w:tcPr>
          <w:p>
            <w:pPr>
              <w:spacing w:after="0" w:line="162" w:lineRule="exact"/>
              <w:rPr>
                <w:sz w:val="20"/>
                <w:szCs w:val="20"/>
                <w:color w:val="auto"/>
              </w:rPr>
            </w:pPr>
            <w:r>
              <w:rPr>
                <w:rFonts w:ascii="Arial" w:cs="Arial" w:eastAsia="Arial" w:hAnsi="Arial"/>
                <w:sz w:val="16"/>
                <w:szCs w:val="16"/>
                <w:color w:val="0000FF"/>
                <w:w w:val="97"/>
              </w:rPr>
              <w:t>Capital Requirements</w:t>
            </w:r>
          </w:p>
        </w:tc>
        <w:tc>
          <w:tcPr>
            <w:tcW w:w="6160" w:type="dxa"/>
            <w:vAlign w:val="bottom"/>
            <w:gridSpan w:val="1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Critical Accounting Estimates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39</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New Accounting Pronouncements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39</w:t>
            </w:r>
          </w:p>
        </w:tc>
        <w:tc>
          <w:tcPr>
            <w:tcW w:w="20" w:type="dxa"/>
            <w:vAlign w:val="bottom"/>
          </w:tcPr>
          <w:p>
            <w:pPr>
              <w:spacing w:after="0"/>
              <w:rPr>
                <w:sz w:val="14"/>
                <w:szCs w:val="14"/>
                <w:color w:val="auto"/>
              </w:rPr>
            </w:pPr>
          </w:p>
        </w:tc>
      </w:tr>
      <w:tr>
        <w:trPr>
          <w:trHeight w:val="189"/>
        </w:trPr>
        <w:tc>
          <w:tcPr>
            <w:tcW w:w="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0000FF"/>
              <w:right w:val="single" w:sz="8" w:color="CFF0FC"/>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160" w:type="dxa"/>
            <w:vAlign w:val="bottom"/>
            <w:tcBorders>
              <w:top w:val="single" w:sz="8" w:color="0000FF"/>
            </w:tcBorders>
            <w:shd w:val="clear" w:color="auto" w:fill="CFF0FC"/>
          </w:tcPr>
          <w:p>
            <w:pPr>
              <w:spacing w:after="0"/>
              <w:rPr>
                <w:sz w:val="16"/>
                <w:szCs w:val="16"/>
                <w:color w:val="auto"/>
              </w:rPr>
            </w:pPr>
          </w:p>
        </w:tc>
        <w:tc>
          <w:tcPr>
            <w:tcW w:w="420" w:type="dxa"/>
            <w:vAlign w:val="bottom"/>
            <w:tcBorders>
              <w:top w:val="single" w:sz="8" w:color="0000FF"/>
              <w:right w:val="single" w:sz="8" w:color="CFF0FC"/>
            </w:tcBorders>
            <w:gridSpan w:val="2"/>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140" w:type="dxa"/>
            <w:vAlign w:val="bottom"/>
            <w:tcBorders>
              <w:top w:val="single" w:sz="8" w:color="0000FF"/>
            </w:tcBorders>
            <w:shd w:val="clear" w:color="auto" w:fill="CFF0FC"/>
          </w:tcPr>
          <w:p>
            <w:pPr>
              <w:spacing w:after="0"/>
              <w:rPr>
                <w:sz w:val="16"/>
                <w:szCs w:val="16"/>
                <w:color w:val="auto"/>
              </w:rPr>
            </w:pPr>
          </w:p>
        </w:tc>
        <w:tc>
          <w:tcPr>
            <w:tcW w:w="80" w:type="dxa"/>
            <w:vAlign w:val="bottom"/>
            <w:tcBorders>
              <w:top w:val="single" w:sz="8" w:color="0000FF"/>
              <w:lef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0000FF"/>
              <w:left w:val="single" w:sz="8" w:color="CFF0FC"/>
            </w:tcBorders>
            <w:shd w:val="clear" w:color="auto" w:fill="CFF0FC"/>
          </w:tcPr>
          <w:p>
            <w:pPr>
              <w:spacing w:after="0"/>
              <w:rPr>
                <w:sz w:val="16"/>
                <w:szCs w:val="16"/>
                <w:color w:val="auto"/>
              </w:rPr>
            </w:pPr>
          </w:p>
        </w:tc>
        <w:tc>
          <w:tcPr>
            <w:tcW w:w="100" w:type="dxa"/>
            <w:vAlign w:val="bottom"/>
            <w:tcBorders>
              <w:top w:val="single" w:sz="8" w:color="0000FF"/>
              <w:right w:val="single" w:sz="8" w:color="CFF0FC"/>
            </w:tcBorders>
            <w:shd w:val="clear" w:color="auto" w:fill="CFF0FC"/>
          </w:tcPr>
          <w:p>
            <w:pPr>
              <w:spacing w:after="0"/>
              <w:rPr>
                <w:sz w:val="16"/>
                <w:szCs w:val="16"/>
                <w:color w:val="auto"/>
              </w:rPr>
            </w:pPr>
          </w:p>
        </w:tc>
        <w:tc>
          <w:tcPr>
            <w:tcW w:w="14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40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16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200" w:type="dxa"/>
            <w:vAlign w:val="bottom"/>
            <w:tcBorders>
              <w:top w:val="single" w:sz="8" w:color="0000FF"/>
              <w:left w:val="single" w:sz="8" w:color="CFF0FC"/>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0000FF"/>
            </w:tcBorders>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3.</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Controls and Procedures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39</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920" w:type="dxa"/>
            <w:vAlign w:val="bottom"/>
            <w:tcBorders>
              <w:top w:val="single" w:sz="8" w:color="CFF0FC"/>
            </w:tcBorders>
            <w:gridSpan w:val="2"/>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89"/>
        </w:trPr>
        <w:tc>
          <w:tcPr>
            <w:tcW w:w="2480" w:type="dxa"/>
            <w:vAlign w:val="bottom"/>
            <w:gridSpan w:val="9"/>
            <w:shd w:val="clear" w:color="auto" w:fill="CFF0FC"/>
          </w:tcPr>
          <w:p>
            <w:pPr>
              <w:spacing w:after="0"/>
              <w:rPr>
                <w:sz w:val="20"/>
                <w:szCs w:val="20"/>
                <w:color w:val="auto"/>
              </w:rPr>
            </w:pPr>
            <w:r>
              <w:rPr>
                <w:rFonts w:ascii="Arial" w:cs="Arial" w:eastAsia="Arial" w:hAnsi="Arial"/>
                <w:sz w:val="16"/>
                <w:szCs w:val="16"/>
                <w:color w:val="auto"/>
              </w:rPr>
              <w:t>PART II. OTHER INFORMATION</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400" w:type="dxa"/>
            <w:vAlign w:val="bottom"/>
            <w:tcBorders>
              <w:left w:val="single" w:sz="8" w:color="CFF0FC"/>
              <w:right w:val="single" w:sz="8" w:color="CFF0FC"/>
            </w:tcBorders>
            <w:shd w:val="clear" w:color="auto" w:fill="CFF0FC"/>
          </w:tcPr>
          <w:p>
            <w:pPr>
              <w:spacing w:after="0"/>
              <w:rPr>
                <w:sz w:val="16"/>
                <w:szCs w:val="16"/>
                <w:color w:val="auto"/>
              </w:rPr>
            </w:pPr>
          </w:p>
        </w:tc>
        <w:tc>
          <w:tcPr>
            <w:tcW w:w="160" w:type="dxa"/>
            <w:vAlign w:val="bottom"/>
            <w:tcBorders>
              <w:left w:val="single" w:sz="8" w:color="CFF0FC"/>
              <w:right w:val="single" w:sz="8" w:color="CFF0FC"/>
            </w:tcBorders>
            <w:shd w:val="clear" w:color="auto" w:fill="CFF0FC"/>
          </w:tcPr>
          <w:p>
            <w:pPr>
              <w:spacing w:after="0"/>
              <w:rPr>
                <w:sz w:val="16"/>
                <w:szCs w:val="16"/>
                <w:color w:val="auto"/>
              </w:rPr>
            </w:pPr>
          </w:p>
        </w:tc>
        <w:tc>
          <w:tcPr>
            <w:tcW w:w="200" w:type="dxa"/>
            <w:vAlign w:val="bottom"/>
            <w:tcBorders>
              <w:left w:val="single" w:sz="8" w:color="CFF0FC"/>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Legal Proceedings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1A.</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Risk Factors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0000FF"/>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tcBorders>
              <w:left w:val="single" w:sz="8" w:color="0000FF"/>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Mine Safety Disclosures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CFF0FC"/>
          </w:tcPr>
          <w:p>
            <w:pPr>
              <w:spacing w:after="0"/>
              <w:rPr>
                <w:sz w:val="2"/>
                <w:szCs w:val="2"/>
                <w:color w:val="auto"/>
              </w:rPr>
            </w:pPr>
          </w:p>
        </w:tc>
        <w:tc>
          <w:tcPr>
            <w:tcW w:w="400" w:type="dxa"/>
            <w:vAlign w:val="bottom"/>
            <w:tcBorders>
              <w:left w:val="single" w:sz="8" w:color="CFF0FC"/>
              <w:right w:val="single" w:sz="8" w:color="CFF0FC"/>
            </w:tcBorders>
            <w:shd w:val="clear" w:color="auto" w:fill="CFF0FC"/>
          </w:tcPr>
          <w:p>
            <w:pPr>
              <w:spacing w:after="0"/>
              <w:rPr>
                <w:sz w:val="2"/>
                <w:szCs w:val="2"/>
                <w:color w:val="auto"/>
              </w:rPr>
            </w:pPr>
          </w:p>
        </w:tc>
        <w:tc>
          <w:tcPr>
            <w:tcW w:w="160" w:type="dxa"/>
            <w:vAlign w:val="bottom"/>
            <w:tcBorders>
              <w:left w:val="single" w:sz="8" w:color="CFF0FC"/>
              <w:right w:val="single" w:sz="8" w:color="CFF0FC"/>
            </w:tcBorders>
            <w:shd w:val="clear" w:color="auto" w:fill="CFF0FC"/>
          </w:tcPr>
          <w:p>
            <w:pPr>
              <w:spacing w:after="0"/>
              <w:rPr>
                <w:sz w:val="2"/>
                <w:szCs w:val="2"/>
                <w:color w:val="auto"/>
              </w:rPr>
            </w:pPr>
          </w:p>
        </w:tc>
        <w:tc>
          <w:tcPr>
            <w:tcW w:w="200" w:type="dxa"/>
            <w:vAlign w:val="bottom"/>
            <w:tcBorders>
              <w:left w:val="single" w:sz="8" w:color="CFF0FC"/>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5.</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Other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6.</w:t>
            </w:r>
          </w:p>
        </w:tc>
        <w:tc>
          <w:tcPr>
            <w:tcW w:w="1240" w:type="dxa"/>
            <w:vAlign w:val="bottom"/>
            <w:gridSpan w:val="6"/>
            <w:shd w:val="clear" w:color="auto" w:fill="CFF0FC"/>
          </w:tcPr>
          <w:p>
            <w:pPr>
              <w:ind w:left="460"/>
              <w:spacing w:after="0" w:line="162" w:lineRule="exact"/>
              <w:rPr>
                <w:sz w:val="20"/>
                <w:szCs w:val="20"/>
                <w:color w:val="auto"/>
              </w:rPr>
            </w:pPr>
            <w:r>
              <w:rPr>
                <w:rFonts w:ascii="Arial" w:cs="Arial" w:eastAsia="Arial" w:hAnsi="Arial"/>
                <w:sz w:val="16"/>
                <w:szCs w:val="16"/>
                <w:color w:val="0000FF"/>
              </w:rPr>
              <w:t>Exhibits</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400" w:type="dxa"/>
            <w:vAlign w:val="bottom"/>
            <w:tcBorders>
              <w:left w:val="single" w:sz="8" w:color="CFF0FC"/>
              <w:right w:val="single" w:sz="8" w:color="CFF0FC"/>
            </w:tcBorders>
            <w:shd w:val="clear" w:color="auto" w:fill="CFF0FC"/>
          </w:tcPr>
          <w:p>
            <w:pPr>
              <w:spacing w:after="0"/>
              <w:rPr>
                <w:sz w:val="14"/>
                <w:szCs w:val="14"/>
                <w:color w:val="auto"/>
              </w:rPr>
            </w:pPr>
          </w:p>
        </w:tc>
        <w:tc>
          <w:tcPr>
            <w:tcW w:w="160" w:type="dxa"/>
            <w:vAlign w:val="bottom"/>
            <w:tcBorders>
              <w:left w:val="single" w:sz="8" w:color="CFF0FC"/>
              <w:right w:val="single" w:sz="8" w:color="CFF0FC"/>
            </w:tcBorders>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0000FF"/>
              </w:rPr>
              <w:t>Signatures</w:t>
            </w: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400" w:type="dxa"/>
            <w:vAlign w:val="bottom"/>
            <w:tcBorders>
              <w:left w:val="single" w:sz="8" w:color="CFF0FC"/>
              <w:right w:val="single" w:sz="8" w:color="CFF0FC"/>
            </w:tcBorders>
            <w:shd w:val="clear" w:color="auto" w:fill="CFF0FC"/>
          </w:tcPr>
          <w:p>
            <w:pPr>
              <w:spacing w:after="0"/>
              <w:rPr>
                <w:sz w:val="14"/>
                <w:szCs w:val="14"/>
                <w:color w:val="auto"/>
              </w:rPr>
            </w:pPr>
          </w:p>
        </w:tc>
        <w:tc>
          <w:tcPr>
            <w:tcW w:w="160" w:type="dxa"/>
            <w:vAlign w:val="bottom"/>
            <w:tcBorders>
              <w:left w:val="single" w:sz="8" w:color="CFF0FC"/>
              <w:right w:val="single" w:sz="8" w:color="CFF0FC"/>
            </w:tcBorders>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shd w:val="clear" w:color="auto" w:fill="CFF0FC"/>
          </w:tcPr>
          <w:p>
            <w:pPr>
              <w:spacing w:after="0"/>
              <w:rPr>
                <w:sz w:val="14"/>
                <w:szCs w:val="14"/>
                <w:color w:val="auto"/>
              </w:rPr>
            </w:pPr>
          </w:p>
        </w:tc>
      </w:tr>
      <w:tr>
        <w:trPr>
          <w:trHeight w:val="416"/>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18"/>
          </w:tcPr>
          <w:p>
            <w:pPr>
              <w:ind w:left="3100"/>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7580" w:type="dxa"/>
            <w:vAlign w:val="bottom"/>
          </w:tcPr>
          <w:p>
            <w:pPr>
              <w:ind w:left="18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660" w:type="dxa"/>
            <w:vAlign w:val="bottom"/>
          </w:tcPr>
          <w:p>
            <w:pPr>
              <w:spacing w:after="0"/>
              <w:rPr>
                <w:sz w:val="15"/>
                <w:szCs w:val="15"/>
                <w:color w:val="auto"/>
              </w:rPr>
            </w:pPr>
          </w:p>
        </w:tc>
        <w:tc>
          <w:tcPr>
            <w:tcW w:w="7580" w:type="dxa"/>
            <w:vAlign w:val="bottom"/>
          </w:tcPr>
          <w:p>
            <w:pPr>
              <w:spacing w:after="0"/>
              <w:rPr>
                <w:sz w:val="15"/>
                <w:szCs w:val="15"/>
                <w:color w:val="auto"/>
              </w:rPr>
            </w:pP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AFUDC</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Allowance for Funds Used During Construction</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AOCI</w:t>
            </w:r>
          </w:p>
        </w:tc>
        <w:tc>
          <w:tcPr>
            <w:tcW w:w="7580" w:type="dxa"/>
            <w:vAlign w:val="bottom"/>
          </w:tcPr>
          <w:p>
            <w:pPr>
              <w:ind w:left="60"/>
              <w:spacing w:after="0"/>
              <w:rPr>
                <w:sz w:val="20"/>
                <w:szCs w:val="20"/>
                <w:color w:val="auto"/>
              </w:rPr>
            </w:pPr>
            <w:r>
              <w:rPr>
                <w:rFonts w:ascii="Arial" w:cs="Arial" w:eastAsia="Arial" w:hAnsi="Arial"/>
                <w:sz w:val="16"/>
                <w:szCs w:val="16"/>
                <w:color w:val="auto"/>
              </w:rPr>
              <w:t>Accumulated Other Comprehensive Income (Loss)</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APSC</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Arkansas Public Service Commission</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Arkansas Gas</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ASU</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Accounting Standards Update as issued by the FASB</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ATM</w:t>
            </w:r>
          </w:p>
        </w:tc>
        <w:tc>
          <w:tcPr>
            <w:tcW w:w="7580" w:type="dxa"/>
            <w:vAlign w:val="bottom"/>
          </w:tcPr>
          <w:p>
            <w:pPr>
              <w:ind w:left="60"/>
              <w:spacing w:after="0"/>
              <w:rPr>
                <w:sz w:val="20"/>
                <w:szCs w:val="20"/>
                <w:color w:val="auto"/>
              </w:rPr>
            </w:pPr>
            <w:r>
              <w:rPr>
                <w:rFonts w:ascii="Arial" w:cs="Arial" w:eastAsia="Arial" w:hAnsi="Arial"/>
                <w:sz w:val="16"/>
                <w:szCs w:val="16"/>
                <w:color w:val="auto"/>
              </w:rPr>
              <w:t>At-the-market equity offering program</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BHC</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Corporation; the Company</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BHSC</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Service Company, LLC, a direct, wholly-owned subsidiary of Black Hills Corporation (doing</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business as Black Hills Energy)</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Black-box Settlement</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Black Hills Electric Generation</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Black Hills Electric Parent Holdings</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Black Hills Energy</w:t>
            </w:r>
          </w:p>
        </w:tc>
        <w:tc>
          <w:tcPr>
            <w:tcW w:w="7580" w:type="dxa"/>
            <w:vAlign w:val="bottom"/>
          </w:tcPr>
          <w:p>
            <w:pPr>
              <w:ind w:left="6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Black Hills Energy Services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Energy).</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Black Hills Non-regulated Holdings</w:t>
            </w:r>
          </w:p>
        </w:tc>
        <w:tc>
          <w:tcPr>
            <w:tcW w:w="7580" w:type="dxa"/>
            <w:vAlign w:val="bottom"/>
          </w:tcPr>
          <w:p>
            <w:pPr>
              <w:ind w:left="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Black Hills Utility Holdings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business as Black Hills Energy)</w:t>
            </w:r>
          </w:p>
        </w:tc>
      </w:tr>
      <w:tr>
        <w:trPr>
          <w:trHeight w:val="229"/>
        </w:trPr>
        <w:tc>
          <w:tcPr>
            <w:tcW w:w="3660" w:type="dxa"/>
            <w:vAlign w:val="bottom"/>
          </w:tcPr>
          <w:p>
            <w:pPr>
              <w:spacing w:after="0"/>
              <w:rPr>
                <w:sz w:val="20"/>
                <w:szCs w:val="20"/>
                <w:color w:val="auto"/>
              </w:rPr>
            </w:pPr>
            <w:r>
              <w:rPr>
                <w:rFonts w:ascii="Arial" w:cs="Arial" w:eastAsia="Arial" w:hAnsi="Arial"/>
                <w:sz w:val="16"/>
                <w:szCs w:val="16"/>
                <w:color w:val="auto"/>
              </w:rPr>
              <w:t>Blockchain Interruptible Service (BCIS) Tariff</w:t>
            </w:r>
          </w:p>
        </w:tc>
        <w:tc>
          <w:tcPr>
            <w:tcW w:w="7580" w:type="dxa"/>
            <w:vAlign w:val="bottom"/>
          </w:tcPr>
          <w:p>
            <w:pPr>
              <w:ind w:left="60"/>
              <w:spacing w:after="0"/>
              <w:rPr>
                <w:sz w:val="20"/>
                <w:szCs w:val="20"/>
                <w:color w:val="auto"/>
              </w:rPr>
            </w:pPr>
            <w:r>
              <w:rPr>
                <w:rFonts w:ascii="Arial" w:cs="Arial" w:eastAsia="Arial" w:hAnsi="Arial"/>
                <w:sz w:val="16"/>
                <w:szCs w:val="16"/>
                <w:color w:val="auto"/>
              </w:rPr>
              <w:t>A WPSC-approved tariff applicable to prospective new Wyoming Electric blockchain customers. The</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tariff allows customers to negotiate rates and terms and conditions for interruptible electric utility service</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of 10 MW or greater that would be interconnected with Wyoming Electric’s system. Agreements under</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the BCIS tariff must be filed with the WPSC prior to the first customer billing, be at least 2 years in</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duration and include specific pricing for all electricity purchased (with pricing terms subject to</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renegotiation every three years). BCIS customers shall not participate in the PCA to the extent of service</w:t>
            </w:r>
          </w:p>
        </w:tc>
      </w:tr>
      <w:tr>
        <w:trPr>
          <w:trHeight w:val="222"/>
        </w:trPr>
        <w:tc>
          <w:tcPr>
            <w:tcW w:w="3660" w:type="dxa"/>
            <w:vAlign w:val="bottom"/>
          </w:tcPr>
          <w:p>
            <w:pPr>
              <w:spacing w:after="0"/>
              <w:rPr>
                <w:sz w:val="19"/>
                <w:szCs w:val="19"/>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received under the tariff.</w:t>
            </w:r>
          </w:p>
        </w:tc>
      </w:tr>
      <w:tr>
        <w:trPr>
          <w:trHeight w:val="183"/>
        </w:trPr>
        <w:tc>
          <w:tcPr>
            <w:tcW w:w="36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Choice Gas Program</w:t>
            </w:r>
          </w:p>
        </w:tc>
        <w:tc>
          <w:tcPr>
            <w:tcW w:w="758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distribution delivery service.</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Chief Operating Decision Maker (CODM)</w:t>
            </w:r>
          </w:p>
        </w:tc>
        <w:tc>
          <w:tcPr>
            <w:tcW w:w="7580" w:type="dxa"/>
            <w:vAlign w:val="bottom"/>
          </w:tcPr>
          <w:p>
            <w:pPr>
              <w:ind w:left="60"/>
              <w:spacing w:after="0"/>
              <w:rPr>
                <w:sz w:val="20"/>
                <w:szCs w:val="20"/>
                <w:color w:val="auto"/>
              </w:rPr>
            </w:pPr>
            <w:r>
              <w:rPr>
                <w:rFonts w:ascii="Arial" w:cs="Arial" w:eastAsia="Arial" w:hAnsi="Arial"/>
                <w:sz w:val="16"/>
                <w:szCs w:val="16"/>
                <w:color w:val="auto"/>
              </w:rPr>
              <w:t>Chief Executive Officer</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CIAC</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Contribution in aid of construction</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Clean Energy Plan</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achieve the State of Colorado's requirement calling upon electric utilities to reduce greenhouse gas</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emissions by a minimum of 80% from 2005 levels by 2030.</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Colorado Electric</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Colorado Gas</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Consolidated Indebtedness to Capitalization Ratio</w:t>
            </w:r>
          </w:p>
        </w:tc>
        <w:tc>
          <w:tcPr>
            <w:tcW w:w="7580" w:type="dxa"/>
            <w:vAlign w:val="bottom"/>
          </w:tcPr>
          <w:p>
            <w:pPr>
              <w:ind w:left="60"/>
              <w:spacing w:after="0"/>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205"/>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net worth (excluding non-controlling interest) plus consolidated indebtedness (including letters of credit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Cooling Degree Day</w:t>
            </w:r>
          </w:p>
        </w:tc>
        <w:tc>
          <w:tcPr>
            <w:tcW w:w="7800" w:type="dxa"/>
            <w:vAlign w:val="bottom"/>
          </w:tcPr>
          <w:p>
            <w:pPr>
              <w:ind w:left="280"/>
              <w:spacing w:after="0"/>
              <w:rPr>
                <w:sz w:val="20"/>
                <w:szCs w:val="20"/>
                <w:color w:val="auto"/>
              </w:rPr>
            </w:pPr>
            <w:r>
              <w:rPr>
                <w:rFonts w:ascii="Arial" w:cs="Arial" w:eastAsia="Arial" w:hAnsi="Arial"/>
                <w:sz w:val="16"/>
                <w:szCs w:val="16"/>
                <w:color w:val="auto"/>
              </w:rPr>
              <w:t>A cooling degree day is equivalent to each degree that the average of the high and the low temperatures</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for a day is above 65 degrees. The warmer the climate, the greater the number of cooling degree days.</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Cooling degree days are used in the utility industry to measure the relative warmth of weather and to</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compare relative temperatures between one geographic area and another. Normal degree days are</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CP Program</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Commercial Paper Program</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CPUC</w:t>
            </w:r>
          </w:p>
        </w:tc>
        <w:tc>
          <w:tcPr>
            <w:tcW w:w="7800" w:type="dxa"/>
            <w:vAlign w:val="bottom"/>
          </w:tcPr>
          <w:p>
            <w:pPr>
              <w:ind w:left="280"/>
              <w:spacing w:after="0"/>
              <w:rPr>
                <w:sz w:val="20"/>
                <w:szCs w:val="20"/>
                <w:color w:val="auto"/>
              </w:rPr>
            </w:pPr>
            <w:r>
              <w:rPr>
                <w:rFonts w:ascii="Arial" w:cs="Arial" w:eastAsia="Arial" w:hAnsi="Arial"/>
                <w:sz w:val="16"/>
                <w:szCs w:val="16"/>
                <w:color w:val="auto"/>
              </w:rPr>
              <w:t>Colorado Public Utilities Commission</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Dth</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FASB</w:t>
            </w:r>
          </w:p>
        </w:tc>
        <w:tc>
          <w:tcPr>
            <w:tcW w:w="7800" w:type="dxa"/>
            <w:vAlign w:val="bottom"/>
          </w:tcPr>
          <w:p>
            <w:pPr>
              <w:ind w:left="280"/>
              <w:spacing w:after="0"/>
              <w:rPr>
                <w:sz w:val="20"/>
                <w:szCs w:val="20"/>
                <w:color w:val="auto"/>
              </w:rPr>
            </w:pPr>
            <w:r>
              <w:rPr>
                <w:rFonts w:ascii="Arial" w:cs="Arial" w:eastAsia="Arial" w:hAnsi="Arial"/>
                <w:sz w:val="16"/>
                <w:szCs w:val="16"/>
                <w:color w:val="auto"/>
              </w:rPr>
              <w:t>Financial Accounting Standards Board</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FCC</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Federal Communications Commission</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FERC</w:t>
            </w:r>
          </w:p>
        </w:tc>
        <w:tc>
          <w:tcPr>
            <w:tcW w:w="7800" w:type="dxa"/>
            <w:vAlign w:val="bottom"/>
          </w:tcPr>
          <w:p>
            <w:pPr>
              <w:ind w:left="280"/>
              <w:spacing w:after="0"/>
              <w:rPr>
                <w:sz w:val="20"/>
                <w:szCs w:val="20"/>
                <w:color w:val="auto"/>
              </w:rPr>
            </w:pPr>
            <w:r>
              <w:rPr>
                <w:rFonts w:ascii="Arial" w:cs="Arial" w:eastAsia="Arial" w:hAnsi="Arial"/>
                <w:sz w:val="16"/>
                <w:szCs w:val="16"/>
                <w:color w:val="auto"/>
              </w:rPr>
              <w:t>Federal Energy Regulatory Commission</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GAAP</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GSRS</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Gas System Reliability Surcharge is a monthly charge that recovers Kansas Gas's costs associated with</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pipeline safety and government-mandated projects.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GW</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Gigawatts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GWh</w:t>
            </w:r>
          </w:p>
        </w:tc>
        <w:tc>
          <w:tcPr>
            <w:tcW w:w="7800" w:type="dxa"/>
            <w:vAlign w:val="bottom"/>
          </w:tcPr>
          <w:p>
            <w:pPr>
              <w:ind w:left="280"/>
              <w:spacing w:after="0"/>
              <w:rPr>
                <w:sz w:val="20"/>
                <w:szCs w:val="20"/>
                <w:color w:val="auto"/>
              </w:rPr>
            </w:pPr>
            <w:r>
              <w:rPr>
                <w:rFonts w:ascii="Arial" w:cs="Arial" w:eastAsia="Arial" w:hAnsi="Arial"/>
                <w:sz w:val="16"/>
                <w:szCs w:val="16"/>
                <w:color w:val="auto"/>
              </w:rPr>
              <w:t>Gigawatt Hours</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Heating Degree Day</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for a day is below 65 degrees. The colder the climate, the greater the number of heating degree days.</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Heating degree days are used in the utility industry to measure the relative coldness of weather and to</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compare relative temperatures between one geographic area and another. Normal degree days are</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HomeServe</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additional home repair service plans.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HSR Act</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Hart-Scott-Rodino Antitrust Improvements Act of 1976</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Integrated Generation</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Non-regulated power generation and mining businesses (Black Hills Electric Generation and WRDC)</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that are vertically integrated within our Electric Utilities segment.</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Iowa Gas</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IRS</w:t>
            </w:r>
          </w:p>
        </w:tc>
        <w:tc>
          <w:tcPr>
            <w:tcW w:w="7800" w:type="dxa"/>
            <w:vAlign w:val="bottom"/>
          </w:tcPr>
          <w:p>
            <w:pPr>
              <w:ind w:left="280"/>
              <w:spacing w:after="0"/>
              <w:rPr>
                <w:sz w:val="20"/>
                <w:szCs w:val="20"/>
                <w:color w:val="auto"/>
              </w:rPr>
            </w:pPr>
            <w:r>
              <w:rPr>
                <w:rFonts w:ascii="Arial" w:cs="Arial" w:eastAsia="Arial" w:hAnsi="Arial"/>
                <w:sz w:val="16"/>
                <w:szCs w:val="16"/>
                <w:color w:val="auto"/>
              </w:rPr>
              <w:t>United States Internal Revenue Service</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Kansas Gas</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Holdings, providing natural gas services to customers in Kansas (doing business as Black Hills Energy).</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KCC</w:t>
            </w:r>
          </w:p>
        </w:tc>
        <w:tc>
          <w:tcPr>
            <w:tcW w:w="7800" w:type="dxa"/>
            <w:vAlign w:val="bottom"/>
          </w:tcPr>
          <w:p>
            <w:pPr>
              <w:ind w:left="280"/>
              <w:spacing w:after="0"/>
              <w:rPr>
                <w:sz w:val="20"/>
                <w:szCs w:val="20"/>
                <w:color w:val="auto"/>
              </w:rPr>
            </w:pPr>
            <w:r>
              <w:rPr>
                <w:rFonts w:ascii="Arial" w:cs="Arial" w:eastAsia="Arial" w:hAnsi="Arial"/>
                <w:sz w:val="16"/>
                <w:szCs w:val="16"/>
                <w:color w:val="auto"/>
              </w:rPr>
              <w:t>Kansas Corporation Commission</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Lange II</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A dual fuel (natural gas and diesel oil) electric generation project in Rapid City, South Dakota with an</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estimated total capacity of 99 MW. This facility will be owned and operated by South Dakota Electric and</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will be located adjacent to the Lange CT generation facility. This project is expected to be in service by</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the second half of 2026. The addition of these resources will replace generation facilities planned for</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retirement and support updated planning reserve margin requirements.</w:t>
            </w:r>
          </w:p>
        </w:tc>
      </w:tr>
      <w:tr>
        <w:trPr>
          <w:trHeight w:val="229"/>
        </w:trPr>
        <w:tc>
          <w:tcPr>
            <w:tcW w:w="3440" w:type="dxa"/>
            <w:vAlign w:val="bottom"/>
          </w:tcPr>
          <w:p>
            <w:pPr>
              <w:spacing w:after="0"/>
              <w:rPr>
                <w:sz w:val="20"/>
                <w:szCs w:val="20"/>
                <w:color w:val="auto"/>
              </w:rPr>
            </w:pPr>
            <w:r>
              <w:rPr>
                <w:rFonts w:ascii="Arial" w:cs="Arial" w:eastAsia="Arial" w:hAnsi="Arial"/>
                <w:sz w:val="16"/>
                <w:szCs w:val="16"/>
                <w:color w:val="auto"/>
              </w:rPr>
              <w:t>Large Power Contract Service (LPCS) Tariff</w:t>
            </w:r>
          </w:p>
        </w:tc>
        <w:tc>
          <w:tcPr>
            <w:tcW w:w="7800" w:type="dxa"/>
            <w:vAlign w:val="bottom"/>
          </w:tcPr>
          <w:p>
            <w:pPr>
              <w:ind w:left="280"/>
              <w:spacing w:after="0"/>
              <w:rPr>
                <w:sz w:val="20"/>
                <w:szCs w:val="20"/>
                <w:color w:val="auto"/>
              </w:rPr>
            </w:pPr>
            <w:r>
              <w:rPr>
                <w:rFonts w:ascii="Arial" w:cs="Arial" w:eastAsia="Arial" w:hAnsi="Arial"/>
                <w:sz w:val="16"/>
                <w:szCs w:val="16"/>
                <w:color w:val="auto"/>
              </w:rPr>
              <w:t>Wyoming Electric offers service under the LPCS tariff approved by the Wyoming Public Service</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Commission. The LPCS Tariff provides a cost-based rate structure for customers with very large electric</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loads, typically data centers or other high-demand facilities.This Tariff is designed to ensure that service</w:t>
            </w:r>
          </w:p>
        </w:tc>
      </w:tr>
      <w:tr>
        <w:trPr>
          <w:trHeight w:val="222"/>
        </w:trPr>
        <w:tc>
          <w:tcPr>
            <w:tcW w:w="3440" w:type="dxa"/>
            <w:vAlign w:val="bottom"/>
          </w:tcPr>
          <w:p>
            <w:pPr>
              <w:spacing w:after="0"/>
              <w:rPr>
                <w:sz w:val="19"/>
                <w:szCs w:val="19"/>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to LPCS customers is fully self-supporting and does not shift costs to other customer classes.</w:t>
            </w:r>
          </w:p>
        </w:tc>
      </w:tr>
      <w:tr>
        <w:trPr>
          <w:trHeight w:val="197"/>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Merger</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Merger Sub merging with and into NorthWestern</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Merger Agreement</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The Agreement and Plan of Merger, dated August 18, 2025, by and among BHC, Merger Sub, and</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NorthWestern</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Merger Sub</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River Merger Sub Inc., a Delaware corporation and direct, wholly owned subsidiary of BHC</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MMBtu</w:t>
            </w:r>
          </w:p>
        </w:tc>
        <w:tc>
          <w:tcPr>
            <w:tcW w:w="7800" w:type="dxa"/>
            <w:vAlign w:val="bottom"/>
          </w:tcPr>
          <w:p>
            <w:pPr>
              <w:ind w:left="280"/>
              <w:spacing w:after="0"/>
              <w:rPr>
                <w:sz w:val="20"/>
                <w:szCs w:val="20"/>
                <w:color w:val="auto"/>
              </w:rPr>
            </w:pPr>
            <w:r>
              <w:rPr>
                <w:rFonts w:ascii="Arial" w:cs="Arial" w:eastAsia="Arial" w:hAnsi="Arial"/>
                <w:sz w:val="16"/>
                <w:szCs w:val="16"/>
                <w:color w:val="auto"/>
              </w:rPr>
              <w:t>Million British thermal units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Moody's</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Moody's Ratings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MPSC</w:t>
            </w:r>
          </w:p>
        </w:tc>
        <w:tc>
          <w:tcPr>
            <w:tcW w:w="7800" w:type="dxa"/>
            <w:vAlign w:val="bottom"/>
          </w:tcPr>
          <w:p>
            <w:pPr>
              <w:ind w:left="280"/>
              <w:spacing w:after="0"/>
              <w:rPr>
                <w:sz w:val="20"/>
                <w:szCs w:val="20"/>
                <w:color w:val="auto"/>
              </w:rPr>
            </w:pPr>
            <w:r>
              <w:rPr>
                <w:rFonts w:ascii="Arial" w:cs="Arial" w:eastAsia="Arial" w:hAnsi="Arial"/>
                <w:sz w:val="16"/>
                <w:szCs w:val="16"/>
                <w:color w:val="auto"/>
              </w:rPr>
              <w:t>Montana Public Service Commission</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MW</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Megawatts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MWh</w:t>
            </w:r>
          </w:p>
        </w:tc>
        <w:tc>
          <w:tcPr>
            <w:tcW w:w="7800" w:type="dxa"/>
            <w:vAlign w:val="bottom"/>
          </w:tcPr>
          <w:p>
            <w:pPr>
              <w:ind w:left="280"/>
              <w:spacing w:after="0"/>
              <w:rPr>
                <w:sz w:val="20"/>
                <w:szCs w:val="20"/>
                <w:color w:val="auto"/>
              </w:rPr>
            </w:pPr>
            <w:r>
              <w:rPr>
                <w:rFonts w:ascii="Arial" w:cs="Arial" w:eastAsia="Arial" w:hAnsi="Arial"/>
                <w:sz w:val="16"/>
                <w:szCs w:val="16"/>
                <w:color w:val="auto"/>
              </w:rPr>
              <w:t>Megawatt-hours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N/A</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Not applicable</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N/M</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Not meaningful</w:t>
            </w:r>
          </w:p>
        </w:tc>
      </w:tr>
      <w:tr>
        <w:trPr>
          <w:trHeight w:val="215"/>
        </w:trPr>
        <w:tc>
          <w:tcPr>
            <w:tcW w:w="3440" w:type="dxa"/>
            <w:vAlign w:val="bottom"/>
          </w:tcPr>
          <w:p>
            <w:pPr>
              <w:spacing w:after="0"/>
              <w:rPr>
                <w:sz w:val="18"/>
                <w:szCs w:val="18"/>
                <w:color w:val="auto"/>
              </w:rPr>
            </w:pPr>
          </w:p>
        </w:tc>
        <w:tc>
          <w:tcPr>
            <w:tcW w:w="7800" w:type="dxa"/>
            <w:vAlign w:val="bottom"/>
          </w:tcPr>
          <w:p>
            <w:pPr>
              <w:ind w:left="2140"/>
              <w:spacing w:after="0"/>
              <w:rPr>
                <w:sz w:val="20"/>
                <w:szCs w:val="20"/>
                <w:color w:val="auto"/>
              </w:rPr>
            </w:pPr>
            <w:r>
              <w:rPr>
                <w:rFonts w:ascii="Arial" w:cs="Arial" w:eastAsia="Arial" w:hAnsi="Arial"/>
                <w:sz w:val="16"/>
                <w:szCs w:val="16"/>
                <w:color w:val="auto"/>
              </w:rPr>
              <w:t>4</w:t>
            </w:r>
          </w:p>
        </w:tc>
      </w:tr>
      <w:tr>
        <w:trPr>
          <w:trHeight w:val="751"/>
        </w:trPr>
        <w:tc>
          <w:tcPr>
            <w:tcW w:w="34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NorthWestern</w:t>
            </w:r>
          </w:p>
        </w:tc>
        <w:tc>
          <w:tcPr>
            <w:tcW w:w="8280" w:type="dxa"/>
            <w:vAlign w:val="bottom"/>
          </w:tcPr>
          <w:p>
            <w:pPr>
              <w:ind w:left="760"/>
              <w:spacing w:after="0"/>
              <w:rPr>
                <w:sz w:val="20"/>
                <w:szCs w:val="20"/>
                <w:color w:val="auto"/>
              </w:rPr>
            </w:pPr>
            <w:r>
              <w:rPr>
                <w:rFonts w:ascii="Arial" w:cs="Arial" w:eastAsia="Arial" w:hAnsi="Arial"/>
                <w:sz w:val="16"/>
                <w:szCs w:val="16"/>
                <w:color w:val="auto"/>
              </w:rPr>
              <w:t>NorthWestern Energy Group, Inc., a Delaware corporation</w:t>
            </w: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NPSC</w:t>
            </w: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Nebraska Public Service Commission</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OCI</w:t>
            </w:r>
          </w:p>
        </w:tc>
        <w:tc>
          <w:tcPr>
            <w:tcW w:w="8280" w:type="dxa"/>
            <w:vAlign w:val="bottom"/>
          </w:tcPr>
          <w:p>
            <w:pPr>
              <w:ind w:left="760"/>
              <w:spacing w:after="0"/>
              <w:rPr>
                <w:sz w:val="20"/>
                <w:szCs w:val="20"/>
                <w:color w:val="auto"/>
              </w:rPr>
            </w:pPr>
            <w:r>
              <w:rPr>
                <w:rFonts w:ascii="Arial" w:cs="Arial" w:eastAsia="Arial" w:hAnsi="Arial"/>
                <w:sz w:val="16"/>
                <w:szCs w:val="16"/>
                <w:color w:val="auto"/>
              </w:rPr>
              <w:t>Other Comprehensive Income</w:t>
            </w: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PPA</w:t>
            </w: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Power Purchase Agreement</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PTC</w:t>
            </w:r>
          </w:p>
        </w:tc>
        <w:tc>
          <w:tcPr>
            <w:tcW w:w="8280" w:type="dxa"/>
            <w:vAlign w:val="bottom"/>
          </w:tcPr>
          <w:p>
            <w:pPr>
              <w:ind w:left="760"/>
              <w:spacing w:after="0"/>
              <w:rPr>
                <w:sz w:val="20"/>
                <w:szCs w:val="20"/>
                <w:color w:val="auto"/>
              </w:rPr>
            </w:pPr>
            <w:r>
              <w:rPr>
                <w:rFonts w:ascii="Arial" w:cs="Arial" w:eastAsia="Arial" w:hAnsi="Arial"/>
                <w:sz w:val="16"/>
                <w:szCs w:val="16"/>
                <w:color w:val="auto"/>
              </w:rPr>
              <w:t>Production Tax Credit</w:t>
            </w:r>
          </w:p>
        </w:tc>
      </w:tr>
      <w:tr>
        <w:trPr>
          <w:trHeight w:val="175"/>
        </w:trPr>
        <w:tc>
          <w:tcPr>
            <w:tcW w:w="2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Ready Wyoming</w:t>
            </w:r>
          </w:p>
        </w:tc>
        <w:tc>
          <w:tcPr>
            <w:tcW w:w="8280" w:type="dxa"/>
            <w:vAlign w:val="bottom"/>
            <w:shd w:val="clear" w:color="auto" w:fill="CFF0FC"/>
          </w:tcPr>
          <w:p>
            <w:pPr>
              <w:ind w:left="760"/>
              <w:spacing w:after="0" w:line="175" w:lineRule="exact"/>
              <w:rPr>
                <w:sz w:val="20"/>
                <w:szCs w:val="20"/>
                <w:color w:val="auto"/>
              </w:rPr>
            </w:pPr>
            <w:r>
              <w:rPr>
                <w:rFonts w:ascii="Arial" w:cs="Arial" w:eastAsia="Arial" w:hAnsi="Arial"/>
                <w:sz w:val="16"/>
                <w:szCs w:val="16"/>
                <w:color w:val="auto"/>
              </w:rPr>
              <w:t>A 260-mile, multi-phase transmission expansion project in Wyoming which was fully completed and</w:t>
            </w:r>
          </w:p>
        </w:tc>
      </w:tr>
      <w:tr>
        <w:trPr>
          <w:trHeight w:val="189"/>
        </w:trPr>
        <w:tc>
          <w:tcPr>
            <w:tcW w:w="2960" w:type="dxa"/>
            <w:vAlign w:val="bottom"/>
            <w:shd w:val="clear" w:color="auto" w:fill="CFF0FC"/>
          </w:tcPr>
          <w:p>
            <w:pPr>
              <w:spacing w:after="0"/>
              <w:rPr>
                <w:sz w:val="16"/>
                <w:szCs w:val="16"/>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placed in service in 2025. The project provides customers long-term price stability and greater flexibility</w:t>
            </w:r>
          </w:p>
        </w:tc>
      </w:tr>
      <w:tr>
        <w:trPr>
          <w:trHeight w:val="189"/>
        </w:trPr>
        <w:tc>
          <w:tcPr>
            <w:tcW w:w="2960" w:type="dxa"/>
            <w:vAlign w:val="bottom"/>
            <w:shd w:val="clear" w:color="auto" w:fill="CFF0FC"/>
          </w:tcPr>
          <w:p>
            <w:pPr>
              <w:spacing w:after="0"/>
              <w:rPr>
                <w:sz w:val="16"/>
                <w:szCs w:val="16"/>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as power markets develop in the western United States. This project is also expected to enable</w:t>
            </w:r>
          </w:p>
        </w:tc>
      </w:tr>
      <w:tr>
        <w:trPr>
          <w:trHeight w:val="189"/>
        </w:trPr>
        <w:tc>
          <w:tcPr>
            <w:tcW w:w="2960" w:type="dxa"/>
            <w:vAlign w:val="bottom"/>
            <w:shd w:val="clear" w:color="auto" w:fill="CFF0FC"/>
          </w:tcPr>
          <w:p>
            <w:pPr>
              <w:spacing w:after="0"/>
              <w:rPr>
                <w:sz w:val="16"/>
                <w:szCs w:val="16"/>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economic growth in Wyoming, expand access to renewable resources and facilitate additional renewable</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development across wind- and sun-rich resource areas.</w:t>
            </w:r>
          </w:p>
        </w:tc>
      </w:tr>
      <w:tr>
        <w:trPr>
          <w:trHeight w:val="175"/>
        </w:trPr>
        <w:tc>
          <w:tcPr>
            <w:tcW w:w="2960" w:type="dxa"/>
            <w:vAlign w:val="bottom"/>
          </w:tcPr>
          <w:p>
            <w:pPr>
              <w:spacing w:after="0" w:line="175" w:lineRule="exact"/>
              <w:rPr>
                <w:sz w:val="20"/>
                <w:szCs w:val="20"/>
                <w:color w:val="auto"/>
              </w:rPr>
            </w:pPr>
            <w:r>
              <w:rPr>
                <w:rFonts w:ascii="Arial" w:cs="Arial" w:eastAsia="Arial" w:hAnsi="Arial"/>
                <w:sz w:val="16"/>
                <w:szCs w:val="16"/>
                <w:color w:val="auto"/>
              </w:rPr>
              <w:t>Revolving Credit Facility</w:t>
            </w:r>
          </w:p>
        </w:tc>
        <w:tc>
          <w:tcPr>
            <w:tcW w:w="8280" w:type="dxa"/>
            <w:vAlign w:val="bottom"/>
          </w:tcPr>
          <w:p>
            <w:pPr>
              <w:ind w:left="760"/>
              <w:spacing w:after="0" w:line="175"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2960" w:type="dxa"/>
            <w:vAlign w:val="bottom"/>
          </w:tcPr>
          <w:p>
            <w:pPr>
              <w:spacing w:after="0"/>
              <w:rPr>
                <w:sz w:val="16"/>
                <w:szCs w:val="16"/>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purposes, which was amended on May 31, 2024, and will terminate on May 31, 2030. This facility</w:t>
            </w:r>
          </w:p>
        </w:tc>
      </w:tr>
      <w:tr>
        <w:trPr>
          <w:trHeight w:val="189"/>
        </w:trPr>
        <w:tc>
          <w:tcPr>
            <w:tcW w:w="2960" w:type="dxa"/>
            <w:vAlign w:val="bottom"/>
          </w:tcPr>
          <w:p>
            <w:pPr>
              <w:spacing w:after="0"/>
              <w:rPr>
                <w:sz w:val="16"/>
                <w:szCs w:val="16"/>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2960" w:type="dxa"/>
            <w:vAlign w:val="bottom"/>
          </w:tcPr>
          <w:p>
            <w:pPr>
              <w:spacing w:after="0"/>
              <w:rPr>
                <w:sz w:val="16"/>
                <w:szCs w:val="16"/>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03"/>
        </w:trPr>
        <w:tc>
          <w:tcPr>
            <w:tcW w:w="2960" w:type="dxa"/>
            <w:vAlign w:val="bottom"/>
          </w:tcPr>
          <w:p>
            <w:pPr>
              <w:spacing w:after="0"/>
              <w:rPr>
                <w:sz w:val="17"/>
                <w:szCs w:val="17"/>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commitment.</w:t>
            </w: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SDPUC</w:t>
            </w: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South Dakota Public Utilities Commission</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SEC</w:t>
            </w:r>
          </w:p>
        </w:tc>
        <w:tc>
          <w:tcPr>
            <w:tcW w:w="8280" w:type="dxa"/>
            <w:vAlign w:val="bottom"/>
          </w:tcPr>
          <w:p>
            <w:pPr>
              <w:ind w:left="760"/>
              <w:spacing w:after="0"/>
              <w:rPr>
                <w:sz w:val="20"/>
                <w:szCs w:val="20"/>
                <w:color w:val="auto"/>
              </w:rPr>
            </w:pPr>
            <w:r>
              <w:rPr>
                <w:rFonts w:ascii="Arial" w:cs="Arial" w:eastAsia="Arial" w:hAnsi="Arial"/>
                <w:sz w:val="16"/>
                <w:szCs w:val="16"/>
                <w:color w:val="auto"/>
              </w:rPr>
              <w:t>United States Securities and Exchange Commission</w:t>
            </w:r>
          </w:p>
        </w:tc>
      </w:tr>
      <w:tr>
        <w:trPr>
          <w:trHeight w:val="175"/>
        </w:trPr>
        <w:tc>
          <w:tcPr>
            <w:tcW w:w="2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Service Guard Comfort Plan</w:t>
            </w:r>
          </w:p>
        </w:tc>
        <w:tc>
          <w:tcPr>
            <w:tcW w:w="8280" w:type="dxa"/>
            <w:vAlign w:val="bottom"/>
            <w:shd w:val="clear" w:color="auto" w:fill="CFF0FC"/>
          </w:tcPr>
          <w:p>
            <w:pPr>
              <w:ind w:left="760"/>
              <w:spacing w:after="0" w:line="175"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agreements to residential utility customers.</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S&amp;P</w:t>
            </w:r>
          </w:p>
        </w:tc>
        <w:tc>
          <w:tcPr>
            <w:tcW w:w="8280" w:type="dxa"/>
            <w:vAlign w:val="bottom"/>
          </w:tcPr>
          <w:p>
            <w:pPr>
              <w:ind w:left="760"/>
              <w:spacing w:after="0"/>
              <w:rPr>
                <w:sz w:val="20"/>
                <w:szCs w:val="20"/>
                <w:color w:val="auto"/>
              </w:rPr>
            </w:pPr>
            <w:r>
              <w:rPr>
                <w:rFonts w:ascii="Arial" w:cs="Arial" w:eastAsia="Arial" w:hAnsi="Arial"/>
                <w:sz w:val="16"/>
                <w:szCs w:val="16"/>
                <w:color w:val="auto"/>
              </w:rPr>
              <w:t>S&amp;P Global Ratings, a division of S&amp;P Global Inc.</w:t>
            </w:r>
          </w:p>
        </w:tc>
      </w:tr>
      <w:tr>
        <w:trPr>
          <w:trHeight w:val="175"/>
        </w:trPr>
        <w:tc>
          <w:tcPr>
            <w:tcW w:w="2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South Dakota Electric</w:t>
            </w:r>
          </w:p>
        </w:tc>
        <w:tc>
          <w:tcPr>
            <w:tcW w:w="8280" w:type="dxa"/>
            <w:vAlign w:val="bottom"/>
            <w:shd w:val="clear" w:color="auto" w:fill="CFF0FC"/>
          </w:tcPr>
          <w:p>
            <w:pPr>
              <w:ind w:left="760"/>
              <w:spacing w:after="0" w:line="175"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175"/>
        </w:trPr>
        <w:tc>
          <w:tcPr>
            <w:tcW w:w="2960" w:type="dxa"/>
            <w:vAlign w:val="bottom"/>
          </w:tcPr>
          <w:p>
            <w:pPr>
              <w:spacing w:after="0" w:line="175" w:lineRule="exact"/>
              <w:rPr>
                <w:sz w:val="20"/>
                <w:szCs w:val="20"/>
                <w:color w:val="auto"/>
              </w:rPr>
            </w:pPr>
            <w:r>
              <w:rPr>
                <w:rFonts w:ascii="Arial" w:cs="Arial" w:eastAsia="Arial" w:hAnsi="Arial"/>
                <w:sz w:val="16"/>
                <w:szCs w:val="16"/>
                <w:color w:val="auto"/>
              </w:rPr>
              <w:t>SSIR</w:t>
            </w:r>
          </w:p>
        </w:tc>
        <w:tc>
          <w:tcPr>
            <w:tcW w:w="8280" w:type="dxa"/>
            <w:vAlign w:val="bottom"/>
          </w:tcPr>
          <w:p>
            <w:pPr>
              <w:ind w:left="760"/>
              <w:spacing w:after="0" w:line="175" w:lineRule="exact"/>
              <w:rPr>
                <w:sz w:val="20"/>
                <w:szCs w:val="20"/>
                <w:color w:val="auto"/>
              </w:rPr>
            </w:pPr>
            <w:r>
              <w:rPr>
                <w:rFonts w:ascii="Arial" w:cs="Arial" w:eastAsia="Arial" w:hAnsi="Arial"/>
                <w:sz w:val="16"/>
                <w:szCs w:val="16"/>
                <w:color w:val="auto"/>
              </w:rPr>
              <w:t>System Safety and Integrity Rider is a mechanism that allows us to recover the costs associated with</w:t>
            </w:r>
          </w:p>
        </w:tc>
      </w:tr>
      <w:tr>
        <w:trPr>
          <w:trHeight w:val="189"/>
        </w:trPr>
        <w:tc>
          <w:tcPr>
            <w:tcW w:w="2960" w:type="dxa"/>
            <w:vAlign w:val="bottom"/>
          </w:tcPr>
          <w:p>
            <w:pPr>
              <w:spacing w:after="0"/>
              <w:rPr>
                <w:sz w:val="16"/>
                <w:szCs w:val="16"/>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certain pipeline safety and integrity investments, including the replacement of higher risk pipe, the</w:t>
            </w:r>
          </w:p>
        </w:tc>
      </w:tr>
      <w:tr>
        <w:trPr>
          <w:trHeight w:val="189"/>
        </w:trPr>
        <w:tc>
          <w:tcPr>
            <w:tcW w:w="2960" w:type="dxa"/>
            <w:vAlign w:val="bottom"/>
          </w:tcPr>
          <w:p>
            <w:pPr>
              <w:spacing w:after="0"/>
              <w:rPr>
                <w:sz w:val="16"/>
                <w:szCs w:val="16"/>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improvement of the data management system, and the mitigation of other safety issues identified on our</w:t>
            </w:r>
          </w:p>
        </w:tc>
      </w:tr>
      <w:tr>
        <w:trPr>
          <w:trHeight w:val="203"/>
        </w:trPr>
        <w:tc>
          <w:tcPr>
            <w:tcW w:w="2960" w:type="dxa"/>
            <w:vAlign w:val="bottom"/>
          </w:tcPr>
          <w:p>
            <w:pPr>
              <w:spacing w:after="0"/>
              <w:rPr>
                <w:sz w:val="17"/>
                <w:szCs w:val="17"/>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natural gas system.</w:t>
            </w:r>
          </w:p>
        </w:tc>
      </w:tr>
      <w:tr>
        <w:trPr>
          <w:trHeight w:val="175"/>
        </w:trPr>
        <w:tc>
          <w:tcPr>
            <w:tcW w:w="2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Tech Services</w:t>
            </w:r>
          </w:p>
        </w:tc>
        <w:tc>
          <w:tcPr>
            <w:tcW w:w="8280" w:type="dxa"/>
            <w:vAlign w:val="bottom"/>
            <w:shd w:val="clear" w:color="auto" w:fill="CFF0FC"/>
          </w:tcPr>
          <w:p>
            <w:pPr>
              <w:ind w:left="760"/>
              <w:spacing w:after="0" w:line="175"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2960" w:type="dxa"/>
            <w:vAlign w:val="bottom"/>
            <w:shd w:val="clear" w:color="auto" w:fill="CFF0FC"/>
          </w:tcPr>
          <w:p>
            <w:pPr>
              <w:spacing w:after="0"/>
              <w:rPr>
                <w:sz w:val="16"/>
                <w:szCs w:val="16"/>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 customers</w:t>
            </w:r>
          </w:p>
        </w:tc>
      </w:tr>
      <w:tr>
        <w:trPr>
          <w:trHeight w:val="189"/>
        </w:trPr>
        <w:tc>
          <w:tcPr>
            <w:tcW w:w="2960" w:type="dxa"/>
            <w:vAlign w:val="bottom"/>
            <w:shd w:val="clear" w:color="auto" w:fill="CFF0FC"/>
          </w:tcPr>
          <w:p>
            <w:pPr>
              <w:spacing w:after="0"/>
              <w:rPr>
                <w:sz w:val="16"/>
                <w:szCs w:val="16"/>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throughout its service territory by constructing and maintaining customer-owned gas infrastructure</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facilities, typically through one-time contracts.</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Utilities</w:t>
            </w:r>
          </w:p>
        </w:tc>
        <w:tc>
          <w:tcPr>
            <w:tcW w:w="8280" w:type="dxa"/>
            <w:vAlign w:val="bottom"/>
          </w:tcPr>
          <w:p>
            <w:pPr>
              <w:ind w:left="760"/>
              <w:spacing w:after="0"/>
              <w:rPr>
                <w:sz w:val="20"/>
                <w:szCs w:val="20"/>
                <w:color w:val="auto"/>
              </w:rPr>
            </w:pPr>
            <w:r>
              <w:rPr>
                <w:rFonts w:ascii="Arial" w:cs="Arial" w:eastAsia="Arial" w:hAnsi="Arial"/>
                <w:sz w:val="16"/>
                <w:szCs w:val="16"/>
                <w:color w:val="auto"/>
              </w:rPr>
              <w:t>Black Hills' Electric and Gas Utilities</w:t>
            </w:r>
          </w:p>
        </w:tc>
      </w:tr>
      <w:tr>
        <w:trPr>
          <w:trHeight w:val="175"/>
        </w:trPr>
        <w:tc>
          <w:tcPr>
            <w:tcW w:w="2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Winter Storm Uri</w:t>
            </w:r>
          </w:p>
        </w:tc>
        <w:tc>
          <w:tcPr>
            <w:tcW w:w="8280" w:type="dxa"/>
            <w:vAlign w:val="bottom"/>
            <w:shd w:val="clear" w:color="auto" w:fill="CFF0FC"/>
          </w:tcPr>
          <w:p>
            <w:pPr>
              <w:ind w:left="760"/>
              <w:spacing w:after="0" w:line="175"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w:t>
            </w:r>
          </w:p>
        </w:tc>
      </w:tr>
      <w:tr>
        <w:trPr>
          <w:trHeight w:val="189"/>
        </w:trPr>
        <w:tc>
          <w:tcPr>
            <w:tcW w:w="2960" w:type="dxa"/>
            <w:vAlign w:val="bottom"/>
            <w:shd w:val="clear" w:color="auto" w:fill="CFF0FC"/>
          </w:tcPr>
          <w:p>
            <w:pPr>
              <w:spacing w:after="0"/>
              <w:rPr>
                <w:sz w:val="16"/>
                <w:szCs w:val="16"/>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and led to unprecedented fluctuations in customer demand and market pricing for natural gas and</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energy.</w:t>
            </w:r>
          </w:p>
        </w:tc>
      </w:tr>
      <w:tr>
        <w:trPr>
          <w:trHeight w:val="175"/>
        </w:trPr>
        <w:tc>
          <w:tcPr>
            <w:tcW w:w="2960" w:type="dxa"/>
            <w:vAlign w:val="bottom"/>
          </w:tcPr>
          <w:p>
            <w:pPr>
              <w:spacing w:after="0" w:line="175" w:lineRule="exact"/>
              <w:rPr>
                <w:sz w:val="20"/>
                <w:szCs w:val="20"/>
                <w:color w:val="auto"/>
              </w:rPr>
            </w:pPr>
            <w:r>
              <w:rPr>
                <w:rFonts w:ascii="Arial" w:cs="Arial" w:eastAsia="Arial" w:hAnsi="Arial"/>
                <w:sz w:val="16"/>
                <w:szCs w:val="16"/>
                <w:color w:val="auto"/>
              </w:rPr>
              <w:t>Wildfire Mitigation Plan (WMP)</w:t>
            </w:r>
          </w:p>
        </w:tc>
        <w:tc>
          <w:tcPr>
            <w:tcW w:w="8280" w:type="dxa"/>
            <w:vAlign w:val="bottom"/>
          </w:tcPr>
          <w:p>
            <w:pPr>
              <w:ind w:left="760"/>
              <w:spacing w:after="0" w:line="175" w:lineRule="exact"/>
              <w:rPr>
                <w:sz w:val="20"/>
                <w:szCs w:val="20"/>
                <w:color w:val="auto"/>
              </w:rPr>
            </w:pPr>
            <w:r>
              <w:rPr>
                <w:rFonts w:ascii="Arial" w:cs="Arial" w:eastAsia="Arial" w:hAnsi="Arial"/>
                <w:sz w:val="16"/>
                <w:szCs w:val="16"/>
                <w:color w:val="auto"/>
              </w:rPr>
              <w:t>Our three-layered approach to manage wildfire risks driven by asset-based risk assessments that</w:t>
            </w:r>
          </w:p>
        </w:tc>
      </w:tr>
      <w:tr>
        <w:trPr>
          <w:trHeight w:val="203"/>
        </w:trPr>
        <w:tc>
          <w:tcPr>
            <w:tcW w:w="2960" w:type="dxa"/>
            <w:vAlign w:val="bottom"/>
          </w:tcPr>
          <w:p>
            <w:pPr>
              <w:spacing w:after="0"/>
              <w:rPr>
                <w:sz w:val="17"/>
                <w:szCs w:val="17"/>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include asset programs, integrity programs and operational response.</w:t>
            </w: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WPSC</w:t>
            </w: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Wyoming Public Service Commission</w:t>
            </w:r>
          </w:p>
        </w:tc>
      </w:tr>
      <w:tr>
        <w:trPr>
          <w:trHeight w:val="175"/>
        </w:trPr>
        <w:tc>
          <w:tcPr>
            <w:tcW w:w="2960" w:type="dxa"/>
            <w:vAlign w:val="bottom"/>
          </w:tcPr>
          <w:p>
            <w:pPr>
              <w:spacing w:after="0" w:line="175" w:lineRule="exact"/>
              <w:rPr>
                <w:sz w:val="20"/>
                <w:szCs w:val="20"/>
                <w:color w:val="auto"/>
              </w:rPr>
            </w:pPr>
            <w:r>
              <w:rPr>
                <w:rFonts w:ascii="Arial" w:cs="Arial" w:eastAsia="Arial" w:hAnsi="Arial"/>
                <w:sz w:val="16"/>
                <w:szCs w:val="16"/>
                <w:color w:val="auto"/>
              </w:rPr>
              <w:t>WRDC</w:t>
            </w:r>
          </w:p>
        </w:tc>
        <w:tc>
          <w:tcPr>
            <w:tcW w:w="8280" w:type="dxa"/>
            <w:vAlign w:val="bottom"/>
          </w:tcPr>
          <w:p>
            <w:pPr>
              <w:ind w:left="760"/>
              <w:spacing w:after="0" w:line="175" w:lineRule="exact"/>
              <w:rPr>
                <w:sz w:val="20"/>
                <w:szCs w:val="20"/>
                <w:color w:val="auto"/>
              </w:rPr>
            </w:pPr>
            <w:r>
              <w:rPr>
                <w:rFonts w:ascii="Arial" w:cs="Arial" w:eastAsia="Arial" w:hAnsi="Arial"/>
                <w:sz w:val="16"/>
                <w:szCs w:val="16"/>
                <w:color w:val="auto"/>
              </w:rPr>
              <w:t>Wyodak Resources Development Corp., a coal mine which is a direct, wholly-owned subsidiary of Black</w:t>
            </w:r>
          </w:p>
        </w:tc>
      </w:tr>
      <w:tr>
        <w:trPr>
          <w:trHeight w:val="189"/>
        </w:trPr>
        <w:tc>
          <w:tcPr>
            <w:tcW w:w="2960" w:type="dxa"/>
            <w:vAlign w:val="bottom"/>
          </w:tcPr>
          <w:p>
            <w:pPr>
              <w:spacing w:after="0"/>
              <w:rPr>
                <w:sz w:val="16"/>
                <w:szCs w:val="16"/>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Hills Non-regulated Holdings, providing coal supply primarily to five on-site, mine-mouth generating</w:t>
            </w:r>
          </w:p>
        </w:tc>
      </w:tr>
      <w:tr>
        <w:trPr>
          <w:trHeight w:val="203"/>
        </w:trPr>
        <w:tc>
          <w:tcPr>
            <w:tcW w:w="2960" w:type="dxa"/>
            <w:vAlign w:val="bottom"/>
          </w:tcPr>
          <w:p>
            <w:pPr>
              <w:spacing w:after="0"/>
              <w:rPr>
                <w:sz w:val="17"/>
                <w:szCs w:val="17"/>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facilities at our Gillette Energy Complex (doing business as Black Hills Energy).</w:t>
            </w:r>
          </w:p>
        </w:tc>
      </w:tr>
      <w:tr>
        <w:trPr>
          <w:trHeight w:val="175"/>
        </w:trPr>
        <w:tc>
          <w:tcPr>
            <w:tcW w:w="2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Wygen III</w:t>
            </w:r>
          </w:p>
        </w:tc>
        <w:tc>
          <w:tcPr>
            <w:tcW w:w="8280" w:type="dxa"/>
            <w:vAlign w:val="bottom"/>
            <w:shd w:val="clear" w:color="auto" w:fill="CFF0FC"/>
          </w:tcPr>
          <w:p>
            <w:pPr>
              <w:ind w:left="760"/>
              <w:spacing w:after="0" w:line="175" w:lineRule="exact"/>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89"/>
        </w:trPr>
        <w:tc>
          <w:tcPr>
            <w:tcW w:w="2960" w:type="dxa"/>
            <w:vAlign w:val="bottom"/>
            <w:shd w:val="clear" w:color="auto" w:fill="CFF0FC"/>
          </w:tcPr>
          <w:p>
            <w:pPr>
              <w:spacing w:after="0"/>
              <w:rPr>
                <w:sz w:val="16"/>
                <w:szCs w:val="16"/>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located at our Gillette Energy Complex. South Dakota Electric owns 52% of the power plant, MDU owns</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25%, and the City of Gillette owns the remaining 23%.</w:t>
            </w:r>
          </w:p>
        </w:tc>
      </w:tr>
      <w:tr>
        <w:trPr>
          <w:trHeight w:val="175"/>
        </w:trPr>
        <w:tc>
          <w:tcPr>
            <w:tcW w:w="2960" w:type="dxa"/>
            <w:vAlign w:val="bottom"/>
          </w:tcPr>
          <w:p>
            <w:pPr>
              <w:spacing w:after="0" w:line="175" w:lineRule="exact"/>
              <w:rPr>
                <w:sz w:val="20"/>
                <w:szCs w:val="20"/>
                <w:color w:val="auto"/>
              </w:rPr>
            </w:pPr>
            <w:r>
              <w:rPr>
                <w:rFonts w:ascii="Arial" w:cs="Arial" w:eastAsia="Arial" w:hAnsi="Arial"/>
                <w:sz w:val="16"/>
                <w:szCs w:val="16"/>
                <w:color w:val="auto"/>
              </w:rPr>
              <w:t>Wyoming Electric</w:t>
            </w:r>
          </w:p>
        </w:tc>
        <w:tc>
          <w:tcPr>
            <w:tcW w:w="8280" w:type="dxa"/>
            <w:vAlign w:val="bottom"/>
          </w:tcPr>
          <w:p>
            <w:pPr>
              <w:ind w:left="760"/>
              <w:spacing w:after="0" w:line="175" w:lineRule="exact"/>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2960" w:type="dxa"/>
            <w:vAlign w:val="bottom"/>
          </w:tcPr>
          <w:p>
            <w:pPr>
              <w:spacing w:after="0"/>
              <w:rPr>
                <w:sz w:val="16"/>
                <w:szCs w:val="16"/>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03"/>
        </w:trPr>
        <w:tc>
          <w:tcPr>
            <w:tcW w:w="2960" w:type="dxa"/>
            <w:vAlign w:val="bottom"/>
          </w:tcPr>
          <w:p>
            <w:pPr>
              <w:spacing w:after="0"/>
              <w:rPr>
                <w:sz w:val="17"/>
                <w:szCs w:val="17"/>
                <w:color w:val="auto"/>
              </w:rPr>
            </w:pPr>
          </w:p>
        </w:tc>
        <w:tc>
          <w:tcPr>
            <w:tcW w:w="8280" w:type="dxa"/>
            <w:vAlign w:val="bottom"/>
          </w:tcPr>
          <w:p>
            <w:pPr>
              <w:ind w:left="760"/>
              <w:spacing w:after="0"/>
              <w:rPr>
                <w:sz w:val="20"/>
                <w:szCs w:val="20"/>
                <w:color w:val="auto"/>
              </w:rPr>
            </w:pPr>
            <w:r>
              <w:rPr>
                <w:rFonts w:ascii="Arial" w:cs="Arial" w:eastAsia="Arial" w:hAnsi="Arial"/>
                <w:sz w:val="16"/>
                <w:szCs w:val="16"/>
                <w:color w:val="auto"/>
              </w:rPr>
              <w:t>Energy).</w:t>
            </w:r>
          </w:p>
        </w:tc>
      </w:tr>
      <w:tr>
        <w:trPr>
          <w:trHeight w:val="175"/>
        </w:trPr>
        <w:tc>
          <w:tcPr>
            <w:tcW w:w="29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Wyoming Gas</w:t>
            </w:r>
          </w:p>
        </w:tc>
        <w:tc>
          <w:tcPr>
            <w:tcW w:w="8280" w:type="dxa"/>
            <w:vAlign w:val="bottom"/>
            <w:shd w:val="clear" w:color="auto" w:fill="CFF0FC"/>
          </w:tcPr>
          <w:p>
            <w:pPr>
              <w:ind w:left="760"/>
              <w:spacing w:after="0" w:line="175" w:lineRule="exact"/>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203"/>
        </w:trPr>
        <w:tc>
          <w:tcPr>
            <w:tcW w:w="2960" w:type="dxa"/>
            <w:vAlign w:val="bottom"/>
            <w:shd w:val="clear" w:color="auto" w:fill="CFF0FC"/>
          </w:tcPr>
          <w:p>
            <w:pPr>
              <w:spacing w:after="0"/>
              <w:rPr>
                <w:sz w:val="17"/>
                <w:szCs w:val="17"/>
                <w:color w:val="auto"/>
              </w:rPr>
            </w:pPr>
          </w:p>
        </w:tc>
        <w:tc>
          <w:tcPr>
            <w:tcW w:w="8280" w:type="dxa"/>
            <w:vAlign w:val="bottom"/>
            <w:shd w:val="clear" w:color="auto" w:fill="CFF0FC"/>
          </w:tcPr>
          <w:p>
            <w:pPr>
              <w:ind w:left="76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215"/>
        </w:trPr>
        <w:tc>
          <w:tcPr>
            <w:tcW w:w="2960" w:type="dxa"/>
            <w:vAlign w:val="bottom"/>
          </w:tcPr>
          <w:p>
            <w:pPr>
              <w:spacing w:after="0"/>
              <w:rPr>
                <w:sz w:val="18"/>
                <w:szCs w:val="18"/>
                <w:color w:val="auto"/>
              </w:rPr>
            </w:pPr>
          </w:p>
        </w:tc>
        <w:tc>
          <w:tcPr>
            <w:tcW w:w="8280" w:type="dxa"/>
            <w:vAlign w:val="bottom"/>
          </w:tcPr>
          <w:p>
            <w:pPr>
              <w:ind w:left="2620"/>
              <w:spacing w:after="0"/>
              <w:rPr>
                <w:sz w:val="20"/>
                <w:szCs w:val="20"/>
                <w:color w:val="auto"/>
              </w:rPr>
            </w:pPr>
            <w:r>
              <w:rPr>
                <w:rFonts w:ascii="Arial" w:cs="Arial" w:eastAsia="Arial" w:hAnsi="Arial"/>
                <w:sz w:val="16"/>
                <w:szCs w:val="16"/>
                <w:color w:val="auto"/>
              </w:rPr>
              <w:t>5</w:t>
            </w:r>
          </w:p>
        </w:tc>
      </w:tr>
      <w:tr>
        <w:trPr>
          <w:trHeight w:val="737"/>
        </w:trPr>
        <w:tc>
          <w:tcPr>
            <w:tcW w:w="296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2025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-144145</wp:posOffset>
            </wp:positionV>
            <wp:extent cx="354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4330" cy="8890"/>
                    </a:xfrm>
                    <a:prstGeom prst="rect">
                      <a:avLst/>
                    </a:prstGeom>
                    <a:noFill/>
                  </pic:spPr>
                </pic:pic>
              </a:graphicData>
            </a:graphic>
          </wp:anchor>
        </w:drawing>
      </w:r>
    </w:p>
    <w:p>
      <w:pPr>
        <w:spacing w:after="0" w:line="61" w:lineRule="exact"/>
        <w:rPr>
          <w:sz w:val="20"/>
          <w:szCs w:val="20"/>
          <w:color w:val="auto"/>
        </w:rPr>
      </w:pPr>
    </w:p>
    <w:p>
      <w:pPr>
        <w:ind w:left="380" w:right="2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6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on our strategy;</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execute our financing plans;</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changing interest rates;</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achieve our greenhouse gas emissions intensity reduction goals;</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future governmental regulation;</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inflation, tariffs and volatile energy prices;</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sufficient insurance coverage at reasonable costs and whether such coverage will protect us against significant losses;</w:t>
      </w:r>
    </w:p>
    <w:p>
      <w:pPr>
        <w:spacing w:after="0" w:line="125" w:lineRule="exact"/>
        <w:rPr>
          <w:rFonts w:ascii="Times New Roman" w:cs="Times New Roman" w:eastAsia="Times New Roman" w:hAnsi="Times New Roman"/>
          <w:sz w:val="16"/>
          <w:szCs w:val="16"/>
          <w:color w:val="auto"/>
        </w:rPr>
      </w:pPr>
    </w:p>
    <w:p>
      <w:pPr>
        <w:ind w:left="380" w:right="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and likelihood of completion and our ability to realize the anticipated benefits of the proposed merger with NorthWestern, including the timing, receipt and terms and conditions of any required governmental and regulatory approvals of the proposed acquisition that could reduce anticipated benefits or give rise to the termination of the merger; and</w:t>
      </w:r>
    </w:p>
    <w:p>
      <w:pPr>
        <w:spacing w:after="0" w:line="6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Other factors discussed from time to time in our filings with the SEC.</w:t>
      </w:r>
    </w:p>
    <w:p>
      <w:pPr>
        <w:spacing w:after="0" w:line="20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INFORMATION</w:t>
            </w:r>
          </w:p>
        </w:tc>
        <w:tc>
          <w:tcPr>
            <w:tcW w:w="2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8"/>
        </w:trPr>
        <w:tc>
          <w:tcPr>
            <w:tcW w:w="98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STATEMENTS</w:t>
            </w:r>
          </w:p>
        </w:tc>
        <w:tc>
          <w:tcPr>
            <w:tcW w:w="2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60" w:type="dxa"/>
            <w:vAlign w:val="bottom"/>
            <w:gridSpan w:val="2"/>
          </w:tcPr>
          <w:p>
            <w:pPr>
              <w:jc w:val="right"/>
              <w:ind w:right="1219"/>
              <w:spacing w:after="0"/>
              <w:rPr>
                <w:sz w:val="20"/>
                <w:szCs w:val="20"/>
                <w:color w:val="auto"/>
              </w:rPr>
            </w:pPr>
            <w:r>
              <w:rPr>
                <w:rFonts w:ascii="Arial" w:cs="Arial" w:eastAsia="Arial" w:hAnsi="Arial"/>
                <w:sz w:val="16"/>
                <w:szCs w:val="16"/>
                <w:b w:val="1"/>
                <w:bCs w:val="1"/>
                <w:color w:val="auto"/>
              </w:rPr>
              <w:t>BLACK HILLS CORPORATION</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26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CONSOLIDATED STATEMENTS OF INCOME</w:t>
            </w: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40" w:type="dxa"/>
            <w:vAlign w:val="bottom"/>
            <w:gridSpan w:val="2"/>
          </w:tcPr>
          <w:p>
            <w:pPr>
              <w:jc w:val="center"/>
              <w:ind w:right="63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24"/>
                <w:szCs w:val="24"/>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(unaudited)</w:t>
            </w:r>
          </w:p>
        </w:tc>
        <w:tc>
          <w:tcPr>
            <w:tcW w:w="28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40" w:type="dxa"/>
            <w:vAlign w:val="bottom"/>
            <w:gridSpan w:val="2"/>
          </w:tcPr>
          <w:p>
            <w:pPr>
              <w:jc w:val="center"/>
              <w:ind w:right="619"/>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6"/>
                <w:szCs w:val="16"/>
                <w:color w:val="auto"/>
              </w:rPr>
            </w:pPr>
          </w:p>
        </w:tc>
      </w:tr>
      <w:tr>
        <w:trPr>
          <w:trHeight w:val="203"/>
        </w:trPr>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2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2026</w:t>
            </w:r>
          </w:p>
        </w:tc>
        <w:tc>
          <w:tcPr>
            <w:tcW w:w="920" w:type="dxa"/>
            <w:vAlign w:val="bottom"/>
          </w:tcPr>
          <w:p>
            <w:pPr>
              <w:spacing w:after="0"/>
              <w:rPr>
                <w:sz w:val="17"/>
                <w:szCs w:val="17"/>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700" w:type="dxa"/>
            <w:vAlign w:val="bottom"/>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Borders>
              <w:top w:val="single" w:sz="8" w:color="auto"/>
              <w:bottom w:val="single" w:sz="8" w:color="auto"/>
            </w:tcBorders>
            <w:gridSpan w:val="3"/>
          </w:tcPr>
          <w:p>
            <w:pPr>
              <w:jc w:val="center"/>
              <w:ind w:left="499"/>
              <w:spacing w:after="0" w:line="183" w:lineRule="exact"/>
              <w:rPr>
                <w:sz w:val="20"/>
                <w:szCs w:val="20"/>
                <w:color w:val="auto"/>
              </w:rPr>
            </w:pPr>
            <w:r>
              <w:rPr>
                <w:rFonts w:ascii="Arial" w:cs="Arial" w:eastAsia="Arial" w:hAnsi="Arial"/>
                <w:sz w:val="16"/>
                <w:szCs w:val="16"/>
                <w:color w:val="auto"/>
              </w:rPr>
              <w:t>(in millions, except per share amounts)</w:t>
            </w:r>
          </w:p>
        </w:tc>
        <w:tc>
          <w:tcPr>
            <w:tcW w:w="700" w:type="dxa"/>
            <w:vAlign w:val="bottom"/>
            <w:tcBorders>
              <w:top w:val="single" w:sz="8" w:color="auto"/>
              <w:bottom w:val="single" w:sz="8" w:color="auto"/>
            </w:tcBorders>
          </w:tcPr>
          <w:p>
            <w:pPr>
              <w:spacing w:after="0"/>
              <w:rPr>
                <w:sz w:val="15"/>
                <w:szCs w:val="15"/>
                <w:color w:val="auto"/>
              </w:rPr>
            </w:pPr>
          </w:p>
        </w:tc>
      </w:tr>
      <w:tr>
        <w:trPr>
          <w:trHeight w:val="183"/>
        </w:trPr>
        <w:tc>
          <w:tcPr>
            <w:tcW w:w="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60" w:type="dxa"/>
            <w:vAlign w:val="bottom"/>
            <w:shd w:val="clear" w:color="auto" w:fill="CFF0FC"/>
          </w:tcPr>
          <w:p>
            <w:pPr>
              <w:spacing w:after="0"/>
              <w:rPr>
                <w:sz w:val="15"/>
                <w:szCs w:val="15"/>
                <w:color w:val="auto"/>
              </w:rPr>
            </w:pPr>
          </w:p>
        </w:tc>
        <w:tc>
          <w:tcPr>
            <w:tcW w:w="4260" w:type="dxa"/>
            <w:vAlign w:val="bottom"/>
            <w:gridSpan w:val="2"/>
            <w:shd w:val="clear" w:color="auto" w:fill="CFF0FC"/>
          </w:tcPr>
          <w:p>
            <w:pPr>
              <w:jc w:val="right"/>
              <w:ind w:right="111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780.7</w:t>
            </w:r>
          </w:p>
        </w:tc>
        <w:tc>
          <w:tcPr>
            <w:tcW w:w="1520" w:type="dxa"/>
            <w:vAlign w:val="bottom"/>
            <w:shd w:val="clear" w:color="auto" w:fill="CFF0FC"/>
          </w:tcPr>
          <w:p>
            <w:pPr>
              <w:jc w:val="right"/>
              <w:ind w:right="133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805.2</w:t>
            </w:r>
          </w:p>
        </w:tc>
      </w:tr>
      <w:tr>
        <w:trPr>
          <w:trHeight w:val="183"/>
        </w:trPr>
        <w:tc>
          <w:tcPr>
            <w:tcW w:w="3840" w:type="dxa"/>
            <w:vAlign w:val="bottom"/>
            <w:tcBorders>
              <w:top w:val="single" w:sz="8" w:color="CFF0FC"/>
            </w:tcBorders>
            <w:gridSpan w:val="2"/>
          </w:tcPr>
          <w:p>
            <w:pPr>
              <w:spacing w:after="0"/>
              <w:rPr>
                <w:sz w:val="15"/>
                <w:szCs w:val="15"/>
                <w:color w:val="auto"/>
              </w:rPr>
            </w:pPr>
          </w:p>
        </w:tc>
        <w:tc>
          <w:tcPr>
            <w:tcW w:w="2980" w:type="dxa"/>
            <w:vAlign w:val="bottom"/>
            <w:tcBorders>
              <w:top w:val="single" w:sz="8" w:color="CFF0FC"/>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9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Fuel, purchased power and cost of natural gas sold</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337.9</w:t>
            </w:r>
          </w:p>
        </w:tc>
        <w:tc>
          <w:tcPr>
            <w:tcW w:w="152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359.7</w:t>
            </w: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29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148.0</w:t>
            </w:r>
          </w:p>
        </w:tc>
        <w:tc>
          <w:tcPr>
            <w:tcW w:w="15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153.7</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74.8</w:t>
            </w:r>
          </w:p>
        </w:tc>
        <w:tc>
          <w:tcPr>
            <w:tcW w:w="152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69.2</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9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18.1</w:t>
            </w:r>
          </w:p>
        </w:tc>
        <w:tc>
          <w:tcPr>
            <w:tcW w:w="15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17.6</w:t>
            </w:r>
          </w:p>
        </w:tc>
      </w:tr>
      <w:tr>
        <w:trPr>
          <w:trHeight w:val="183"/>
        </w:trPr>
        <w:tc>
          <w:tcPr>
            <w:tcW w:w="384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operating expenses</w:t>
            </w:r>
          </w:p>
        </w:tc>
        <w:tc>
          <w:tcPr>
            <w:tcW w:w="2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578.8</w:t>
            </w:r>
          </w:p>
        </w:tc>
        <w:tc>
          <w:tcPr>
            <w:tcW w:w="1520" w:type="dxa"/>
            <w:vAlign w:val="bottom"/>
          </w:tcPr>
          <w:p>
            <w:pPr>
              <w:spacing w:after="0"/>
              <w:rPr>
                <w:sz w:val="15"/>
                <w:szCs w:val="15"/>
                <w:color w:val="auto"/>
              </w:rPr>
            </w:pP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600.2</w:t>
            </w:r>
          </w:p>
        </w:tc>
      </w:tr>
      <w:tr>
        <w:trPr>
          <w:trHeight w:val="189"/>
        </w:trPr>
        <w:tc>
          <w:tcPr>
            <w:tcW w:w="3840" w:type="dxa"/>
            <w:vAlign w:val="bottom"/>
            <w:gridSpan w:val="2"/>
            <w:shd w:val="clear" w:color="auto" w:fill="CFF0FC"/>
          </w:tcPr>
          <w:p>
            <w:pPr>
              <w:spacing w:after="0"/>
              <w:rPr>
                <w:sz w:val="16"/>
                <w:szCs w:val="16"/>
                <w:color w:val="auto"/>
              </w:rPr>
            </w:pPr>
          </w:p>
        </w:tc>
        <w:tc>
          <w:tcPr>
            <w:tcW w:w="29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201.9</w:t>
            </w:r>
          </w:p>
        </w:tc>
        <w:tc>
          <w:tcPr>
            <w:tcW w:w="152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205.0</w:t>
            </w:r>
          </w:p>
        </w:tc>
      </w:tr>
      <w:tr>
        <w:trPr>
          <w:trHeight w:val="189"/>
        </w:trPr>
        <w:tc>
          <w:tcPr>
            <w:tcW w:w="3840" w:type="dxa"/>
            <w:vAlign w:val="bottom"/>
            <w:gridSpan w:val="2"/>
            <w:shd w:val="clear" w:color="auto" w:fill="CFF0FC"/>
          </w:tcPr>
          <w:p>
            <w:pPr>
              <w:spacing w:after="0"/>
              <w:rPr>
                <w:sz w:val="16"/>
                <w:szCs w:val="16"/>
                <w:color w:val="auto"/>
              </w:rPr>
            </w:pPr>
          </w:p>
        </w:tc>
        <w:tc>
          <w:tcPr>
            <w:tcW w:w="29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 incurred net of amounts capitalized</w:t>
            </w:r>
          </w:p>
        </w:tc>
        <w:tc>
          <w:tcPr>
            <w:tcW w:w="29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15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52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29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0.7</w:t>
            </w:r>
          </w:p>
        </w:tc>
        <w:tc>
          <w:tcPr>
            <w:tcW w:w="15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0.8</w:t>
            </w:r>
          </w:p>
        </w:tc>
      </w:tr>
      <w:tr>
        <w:trPr>
          <w:trHeight w:val="183"/>
        </w:trPr>
        <w:tc>
          <w:tcPr>
            <w:tcW w:w="384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Total other (expense)</w:t>
            </w:r>
          </w:p>
        </w:tc>
        <w:tc>
          <w:tcPr>
            <w:tcW w:w="29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(51.2)</w:t>
            </w:r>
          </w:p>
        </w:tc>
        <w:tc>
          <w:tcPr>
            <w:tcW w:w="1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(50.5)</w:t>
            </w:r>
          </w:p>
        </w:tc>
      </w:tr>
      <w:tr>
        <w:trPr>
          <w:trHeight w:val="183"/>
        </w:trPr>
        <w:tc>
          <w:tcPr>
            <w:tcW w:w="3840" w:type="dxa"/>
            <w:vAlign w:val="bottom"/>
            <w:gridSpan w:val="2"/>
            <w:shd w:val="clear" w:color="auto" w:fill="CFF0FC"/>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150.7</w:t>
            </w:r>
          </w:p>
        </w:tc>
        <w:tc>
          <w:tcPr>
            <w:tcW w:w="152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154.5</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9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5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r>
      <w:tr>
        <w:trPr>
          <w:trHeight w:val="183"/>
        </w:trPr>
        <w:tc>
          <w:tcPr>
            <w:tcW w:w="980" w:type="dxa"/>
            <w:vAlign w:val="bottom"/>
          </w:tcPr>
          <w:p>
            <w:pPr>
              <w:ind w:left="80"/>
              <w:spacing w:after="0" w:line="183" w:lineRule="exact"/>
              <w:rPr>
                <w:sz w:val="20"/>
                <w:szCs w:val="20"/>
                <w:color w:val="auto"/>
              </w:rPr>
            </w:pPr>
            <w:r>
              <w:rPr>
                <w:rFonts w:ascii="Arial" w:cs="Arial" w:eastAsia="Arial" w:hAnsi="Arial"/>
                <w:sz w:val="16"/>
                <w:szCs w:val="16"/>
                <w:color w:val="auto"/>
              </w:rPr>
              <w:t>Net income</w:t>
            </w:r>
          </w:p>
        </w:tc>
        <w:tc>
          <w:tcPr>
            <w:tcW w:w="28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133.1</w:t>
            </w:r>
          </w:p>
        </w:tc>
        <w:tc>
          <w:tcPr>
            <w:tcW w:w="1520" w:type="dxa"/>
            <w:vAlign w:val="bottom"/>
          </w:tcPr>
          <w:p>
            <w:pPr>
              <w:spacing w:after="0"/>
              <w:rPr>
                <w:sz w:val="15"/>
                <w:szCs w:val="15"/>
                <w:color w:val="auto"/>
              </w:rPr>
            </w:pP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136.4</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29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5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183"/>
        </w:trPr>
        <w:tc>
          <w:tcPr>
            <w:tcW w:w="3840" w:type="dxa"/>
            <w:vAlign w:val="bottom"/>
            <w:gridSpan w:val="2"/>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4260" w:type="dxa"/>
            <w:vAlign w:val="bottom"/>
            <w:gridSpan w:val="2"/>
          </w:tcPr>
          <w:p>
            <w:pPr>
              <w:jc w:val="right"/>
              <w:ind w:right="1119"/>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131.0</w:t>
            </w:r>
          </w:p>
        </w:tc>
        <w:tc>
          <w:tcPr>
            <w:tcW w:w="1520" w:type="dxa"/>
            <w:vAlign w:val="bottom"/>
          </w:tcPr>
          <w:p>
            <w:pPr>
              <w:jc w:val="right"/>
              <w:ind w:right="1339"/>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134.3</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29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Earnings per share of common stock:</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9"/>
        </w:trPr>
        <w:tc>
          <w:tcPr>
            <w:tcW w:w="384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6"/>
                <w:szCs w:val="16"/>
                <w:color w:val="auto"/>
              </w:rPr>
              <w:t>Earnings per share, Basic</w:t>
            </w:r>
          </w:p>
        </w:tc>
        <w:tc>
          <w:tcPr>
            <w:tcW w:w="4260" w:type="dxa"/>
            <w:vAlign w:val="bottom"/>
            <w:gridSpan w:val="2"/>
            <w:shd w:val="clear" w:color="auto" w:fill="CFF0FC"/>
          </w:tcPr>
          <w:p>
            <w:pPr>
              <w:jc w:val="right"/>
              <w:ind w:right="1119"/>
              <w:spacing w:after="0" w:line="169"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1.74</w:t>
            </w:r>
          </w:p>
        </w:tc>
        <w:tc>
          <w:tcPr>
            <w:tcW w:w="1520" w:type="dxa"/>
            <w:vAlign w:val="bottom"/>
            <w:shd w:val="clear" w:color="auto" w:fill="CFF0FC"/>
          </w:tcPr>
          <w:p>
            <w:pPr>
              <w:jc w:val="right"/>
              <w:ind w:right="1339"/>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1.87</w:t>
            </w:r>
          </w:p>
        </w:tc>
      </w:tr>
      <w:tr>
        <w:trPr>
          <w:trHeight w:val="20"/>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r>
        <w:trPr>
          <w:trHeight w:val="170"/>
        </w:trPr>
        <w:tc>
          <w:tcPr>
            <w:tcW w:w="3840" w:type="dxa"/>
            <w:vAlign w:val="bottom"/>
            <w:gridSpan w:val="2"/>
          </w:tcPr>
          <w:p>
            <w:pPr>
              <w:ind w:left="80"/>
              <w:spacing w:after="0" w:line="169" w:lineRule="exact"/>
              <w:rPr>
                <w:sz w:val="20"/>
                <w:szCs w:val="20"/>
                <w:color w:val="auto"/>
              </w:rPr>
            </w:pPr>
            <w:r>
              <w:rPr>
                <w:rFonts w:ascii="Arial" w:cs="Arial" w:eastAsia="Arial" w:hAnsi="Arial"/>
                <w:sz w:val="16"/>
                <w:szCs w:val="16"/>
                <w:color w:val="auto"/>
              </w:rPr>
              <w:t>Earnings per share, Diluted</w:t>
            </w:r>
          </w:p>
        </w:tc>
        <w:tc>
          <w:tcPr>
            <w:tcW w:w="4260" w:type="dxa"/>
            <w:vAlign w:val="bottom"/>
            <w:gridSpan w:val="2"/>
          </w:tcPr>
          <w:p>
            <w:pPr>
              <w:jc w:val="right"/>
              <w:ind w:right="1119"/>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1.73</w:t>
            </w:r>
          </w:p>
        </w:tc>
        <w:tc>
          <w:tcPr>
            <w:tcW w:w="1520" w:type="dxa"/>
            <w:vAlign w:val="bottom"/>
          </w:tcPr>
          <w:p>
            <w:pPr>
              <w:jc w:val="right"/>
              <w:ind w:right="1339"/>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1.87</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29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2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9"/>
        </w:trPr>
        <w:tc>
          <w:tcPr>
            <w:tcW w:w="980" w:type="dxa"/>
            <w:vAlign w:val="bottom"/>
            <w:tcBorders>
              <w:bottom w:val="single" w:sz="8" w:color="CFF0FC"/>
            </w:tcBorders>
            <w:shd w:val="clear" w:color="auto" w:fill="CFF0FC"/>
          </w:tcPr>
          <w:p>
            <w:pPr>
              <w:ind w:left="80"/>
              <w:spacing w:after="0" w:line="169" w:lineRule="exact"/>
              <w:rPr>
                <w:sz w:val="20"/>
                <w:szCs w:val="20"/>
                <w:color w:val="auto"/>
              </w:rPr>
            </w:pPr>
            <w:r>
              <w:rPr>
                <w:rFonts w:ascii="Arial" w:cs="Arial" w:eastAsia="Arial" w:hAnsi="Arial"/>
                <w:sz w:val="16"/>
                <w:szCs w:val="16"/>
                <w:color w:val="auto"/>
              </w:rPr>
              <w:t>Basic</w:t>
            </w:r>
          </w:p>
        </w:tc>
        <w:tc>
          <w:tcPr>
            <w:tcW w:w="2860" w:type="dxa"/>
            <w:vAlign w:val="bottom"/>
            <w:tcBorders>
              <w:bottom w:val="single" w:sz="8" w:color="CFF0FC"/>
            </w:tcBorders>
            <w:shd w:val="clear" w:color="auto" w:fill="CFF0FC"/>
          </w:tcPr>
          <w:p>
            <w:pPr>
              <w:spacing w:after="0"/>
              <w:rPr>
                <w:sz w:val="19"/>
                <w:szCs w:val="19"/>
                <w:color w:val="auto"/>
              </w:rPr>
            </w:pPr>
          </w:p>
        </w:tc>
        <w:tc>
          <w:tcPr>
            <w:tcW w:w="29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75.4</w:t>
            </w:r>
          </w:p>
        </w:tc>
        <w:tc>
          <w:tcPr>
            <w:tcW w:w="15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71.6</w:t>
            </w:r>
          </w:p>
        </w:tc>
      </w:tr>
      <w:tr>
        <w:trPr>
          <w:trHeight w:val="169"/>
        </w:trPr>
        <w:tc>
          <w:tcPr>
            <w:tcW w:w="980" w:type="dxa"/>
            <w:vAlign w:val="bottom"/>
          </w:tcPr>
          <w:p>
            <w:pPr>
              <w:ind w:left="80"/>
              <w:spacing w:after="0" w:line="169" w:lineRule="exact"/>
              <w:rPr>
                <w:sz w:val="20"/>
                <w:szCs w:val="20"/>
                <w:color w:val="auto"/>
              </w:rPr>
            </w:pPr>
            <w:r>
              <w:rPr>
                <w:rFonts w:ascii="Arial" w:cs="Arial" w:eastAsia="Arial" w:hAnsi="Arial"/>
                <w:sz w:val="16"/>
                <w:szCs w:val="16"/>
                <w:color w:val="auto"/>
              </w:rPr>
              <w:t>Diluted</w:t>
            </w:r>
          </w:p>
        </w:tc>
        <w:tc>
          <w:tcPr>
            <w:tcW w:w="28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75.6</w:t>
            </w:r>
          </w:p>
        </w:tc>
        <w:tc>
          <w:tcPr>
            <w:tcW w:w="1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71.8</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ectPr>
          <w:pgSz w:w="11900" w:h="16838" w:orient="portrait"/>
          <w:cols w:equalWidth="0" w:num="1">
            <w:col w:w="11240"/>
          </w:cols>
          <w:pgMar w:left="320" w:top="125" w:right="339"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Reclassification of benefit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Derivative instruments designated as cash flow hedges:</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Reclassification of settled/amortized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Unrealized gain on commodity derivatives</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Reclassification of settled commodity derivatives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1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183"/>
        </w:trPr>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left="579"/>
              <w:spacing w:after="0" w:line="183" w:lineRule="exact"/>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133.1</w:t>
            </w:r>
          </w:p>
        </w:tc>
        <w:tc>
          <w:tcPr>
            <w:tcW w:w="5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136.4</w:t>
            </w:r>
          </w:p>
        </w:tc>
      </w:tr>
      <w:tr>
        <w:trPr>
          <w:trHeight w:val="57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50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5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50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c>
          <w:tcPr>
            <w:tcW w:w="50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203"/>
        </w:trPr>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r>
      <w:tr>
        <w:trPr>
          <w:trHeight w:val="183"/>
        </w:trPr>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w:t>
            </w: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w:t>
            </w:r>
          </w:p>
        </w:tc>
      </w:tr>
    </w:tbl>
    <w:p>
      <w:pPr>
        <w:spacing w:after="0" w:line="189" w:lineRule="exact"/>
        <w:rPr>
          <w:sz w:val="20"/>
          <w:szCs w:val="20"/>
          <w:color w:val="auto"/>
        </w:rPr>
      </w:pPr>
    </w:p>
    <w:p>
      <w:pPr>
        <w:sectPr>
          <w:pgSz w:w="11900" w:h="16838" w:orient="portrait"/>
          <w:cols w:equalWidth="0" w:num="2">
            <w:col w:w="7420" w:space="720"/>
            <w:col w:w="31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16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135.3</w:t>
            </w:r>
          </w:p>
        </w:tc>
        <w:tc>
          <w:tcPr>
            <w:tcW w:w="5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137.4</w:t>
            </w:r>
          </w:p>
        </w:tc>
      </w:tr>
      <w:tr>
        <w:trPr>
          <w:trHeight w:val="189"/>
        </w:trPr>
        <w:tc>
          <w:tcPr>
            <w:tcW w:w="6480" w:type="dxa"/>
            <w:vAlign w:val="bottom"/>
          </w:tcPr>
          <w:p>
            <w:pPr>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6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64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Comprehensive income available for common stock</w:t>
            </w:r>
          </w:p>
        </w:tc>
        <w:tc>
          <w:tcPr>
            <w:tcW w:w="16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133.2</w:t>
            </w:r>
          </w:p>
        </w:tc>
        <w:tc>
          <w:tcPr>
            <w:tcW w:w="580" w:type="dxa"/>
            <w:vAlign w:val="bottom"/>
            <w:tcBorders>
              <w:bottom w:val="single" w:sz="8" w:color="auto"/>
            </w:tcBorders>
            <w:shd w:val="clear" w:color="auto" w:fill="CFF0FC"/>
          </w:tcPr>
          <w:p>
            <w:pPr>
              <w:jc w:val="right"/>
              <w:ind w:right="379"/>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135.3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-4445</wp:posOffset>
            </wp:positionV>
            <wp:extent cx="302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(unaudited)</w:t>
            </w: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2026</w:t>
            </w:r>
          </w:p>
        </w:tc>
        <w:tc>
          <w:tcPr>
            <w:tcW w:w="12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As of</w:t>
            </w:r>
          </w:p>
        </w:tc>
        <w:tc>
          <w:tcPr>
            <w:tcW w:w="2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660"/>
              <w:spacing w:after="0"/>
              <w:rPr>
                <w:sz w:val="20"/>
                <w:szCs w:val="20"/>
                <w:color w:val="auto"/>
              </w:rPr>
            </w:pPr>
            <w:r>
              <w:rPr>
                <w:rFonts w:ascii="Arial" w:cs="Arial" w:eastAsia="Arial" w:hAnsi="Arial"/>
                <w:sz w:val="16"/>
                <w:szCs w:val="16"/>
                <w:b w:val="1"/>
                <w:bCs w:val="1"/>
                <w:color w:val="auto"/>
              </w:rPr>
              <w:t>ASSETS</w:t>
            </w:r>
          </w:p>
        </w:tc>
        <w:tc>
          <w:tcPr>
            <w:tcW w:w="1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color w:val="auto"/>
              </w:rPr>
              <w:t>(in millions)</w:t>
            </w:r>
          </w:p>
        </w:tc>
        <w:tc>
          <w:tcPr>
            <w:tcW w:w="2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40" w:type="dxa"/>
            <w:vAlign w:val="bottom"/>
          </w:tcPr>
          <w:p>
            <w:pPr>
              <w:jc w:val="right"/>
              <w:ind w:right="168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23.6</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cash and equivalents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383.4</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389.0</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Materials, supplies and fuel</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146.8</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Income tax receivable, net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Regulatory assets, current</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18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788.2</w:t>
            </w: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995.9</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10,556.4</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10,344.9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Less: accumulated depreciation</w:t>
            </w:r>
          </w:p>
        </w:tc>
        <w:tc>
          <w:tcPr>
            <w:tcW w:w="1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(2,162.6)</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(2,110.7)</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property, plant and equipment, net</w:t>
            </w:r>
          </w:p>
        </w:tc>
        <w:tc>
          <w:tcPr>
            <w:tcW w:w="18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8,393.8</w:t>
            </w:r>
          </w:p>
        </w:tc>
        <w:tc>
          <w:tcPr>
            <w:tcW w:w="480" w:type="dxa"/>
            <w:vAlign w:val="bottom"/>
            <w:tcBorders>
              <w:bottom w:val="single" w:sz="8" w:color="auto"/>
            </w:tcBorders>
            <w:shd w:val="clear" w:color="auto" w:fill="CFF0FC"/>
          </w:tcPr>
          <w:p>
            <w:pPr>
              <w:spacing w:after="0"/>
              <w:rPr>
                <w:sz w:val="15"/>
                <w:szCs w:val="15"/>
                <w:color w:val="auto"/>
              </w:rPr>
            </w:pPr>
          </w:p>
        </w:tc>
        <w:tc>
          <w:tcPr>
            <w:tcW w:w="22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8,234.2</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Goodwill</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1,299.5</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1,299.5</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Intangible assets, net</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Regulatory assets, non-current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251.7</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assets, non-current</w:t>
            </w:r>
          </w:p>
        </w:tc>
        <w:tc>
          <w:tcPr>
            <w:tcW w:w="18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81.0</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182"/>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other assets, non-current</w:t>
            </w:r>
          </w:p>
        </w:tc>
        <w:tc>
          <w:tcPr>
            <w:tcW w:w="1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1,638.0</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1,639.7</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69" w:lineRule="exact"/>
              <w:rPr>
                <w:sz w:val="20"/>
                <w:szCs w:val="20"/>
                <w:color w:val="auto"/>
              </w:rPr>
            </w:pPr>
            <w:r>
              <w:rPr>
                <w:rFonts w:ascii="Arial" w:cs="Arial" w:eastAsia="Arial" w:hAnsi="Arial"/>
                <w:sz w:val="16"/>
                <w:szCs w:val="16"/>
                <w:color w:val="auto"/>
              </w:rPr>
              <w:t>TOTAL ASSETS</w:t>
            </w:r>
          </w:p>
        </w:tc>
        <w:tc>
          <w:tcPr>
            <w:tcW w:w="1840" w:type="dxa"/>
            <w:vAlign w:val="bottom"/>
            <w:tcBorders>
              <w:bottom w:val="single" w:sz="8" w:color="auto"/>
            </w:tcBorders>
          </w:tcPr>
          <w:p>
            <w:pPr>
              <w:jc w:val="right"/>
              <w:ind w:right="1682"/>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10,820.0</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10,869.8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(unaudited)</w:t>
            </w: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2026</w:t>
            </w:r>
          </w:p>
        </w:tc>
        <w:tc>
          <w:tcPr>
            <w:tcW w:w="12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As of</w:t>
            </w:r>
          </w:p>
        </w:tc>
        <w:tc>
          <w:tcPr>
            <w:tcW w:w="2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000"/>
              <w:spacing w:after="0"/>
              <w:rPr>
                <w:sz w:val="20"/>
                <w:szCs w:val="20"/>
                <w:color w:val="auto"/>
              </w:rPr>
            </w:pPr>
            <w:r>
              <w:rPr>
                <w:rFonts w:ascii="Arial" w:cs="Arial" w:eastAsia="Arial" w:hAnsi="Arial"/>
                <w:sz w:val="16"/>
                <w:szCs w:val="16"/>
                <w:b w:val="1"/>
                <w:bCs w:val="1"/>
                <w:color w:val="auto"/>
              </w:rPr>
              <w:t>LIABILITIES AND EQUITY</w:t>
            </w:r>
          </w:p>
        </w:tc>
        <w:tc>
          <w:tcPr>
            <w:tcW w:w="1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color w:val="auto"/>
              </w:rPr>
              <w:t>(in millions)</w:t>
            </w:r>
          </w:p>
        </w:tc>
        <w:tc>
          <w:tcPr>
            <w:tcW w:w="2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40" w:type="dxa"/>
            <w:vAlign w:val="bottom"/>
          </w:tcPr>
          <w:p>
            <w:pPr>
              <w:jc w:val="right"/>
              <w:ind w:right="168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210.8</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liabilities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Derivative liabilities, current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Regulatory liabilities, current</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Notes payable</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252.2</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Current maturities of long-term debt</w:t>
            </w:r>
          </w:p>
        </w:tc>
        <w:tc>
          <w:tcPr>
            <w:tcW w:w="18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410.0</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current liabilities</w:t>
            </w:r>
          </w:p>
        </w:tc>
        <w:tc>
          <w:tcPr>
            <w:tcW w:w="1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1,220.9</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740.0</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1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3,992.5</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4,701.1</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income tax liabilities, net</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736.6</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Regulatory liabilities, non-current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490.2</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488.3</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Benefit plan liabilities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Other deferred credits and other liabilities</w:t>
            </w:r>
          </w:p>
        </w:tc>
        <w:tc>
          <w:tcPr>
            <w:tcW w:w="1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213.4</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18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1,579.7</w:t>
            </w:r>
          </w:p>
        </w:tc>
        <w:tc>
          <w:tcPr>
            <w:tcW w:w="480" w:type="dxa"/>
            <w:vAlign w:val="bottom"/>
            <w:tcBorders>
              <w:bottom w:val="single" w:sz="8" w:color="auto"/>
            </w:tcBorders>
            <w:shd w:val="clear" w:color="auto" w:fill="CFF0FC"/>
          </w:tcPr>
          <w:p>
            <w:pPr>
              <w:spacing w:after="0"/>
              <w:rPr>
                <w:sz w:val="15"/>
                <w:szCs w:val="15"/>
                <w:color w:val="auto"/>
              </w:rPr>
            </w:pPr>
          </w:p>
        </w:tc>
        <w:tc>
          <w:tcPr>
            <w:tcW w:w="22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1,523.0</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Commitments, contingencies and guarantees (Note 3)</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Stockholder's equity -</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Common stock $1 par value; 100,000,000 shares authorized; issued</w:t>
            </w:r>
          </w:p>
        </w:tc>
        <w:tc>
          <w:tcPr>
            <w:tcW w:w="18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76,174,264 and 75,520,234 shares, respectively</w:t>
            </w:r>
          </w:p>
        </w:tc>
        <w:tc>
          <w:tcPr>
            <w:tcW w:w="18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480" w:type="dxa"/>
            <w:vAlign w:val="bottom"/>
            <w:shd w:val="clear" w:color="auto" w:fill="CFF0FC"/>
          </w:tcPr>
          <w:p>
            <w:pPr>
              <w:spacing w:after="0"/>
              <w:rPr>
                <w:sz w:val="17"/>
                <w:szCs w:val="17"/>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2,459.4</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2,417.5</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1,420.8</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1,342.9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Treasury stock, at cost - 57,505 and 43,167 shares, respectively</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4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stockholders' equity</w:t>
            </w:r>
          </w:p>
        </w:tc>
        <w:tc>
          <w:tcPr>
            <w:tcW w:w="18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3,945.2</w:t>
            </w:r>
          </w:p>
        </w:tc>
        <w:tc>
          <w:tcPr>
            <w:tcW w:w="480" w:type="dxa"/>
            <w:vAlign w:val="bottom"/>
          </w:tcPr>
          <w:p>
            <w:pPr>
              <w:spacing w:after="0"/>
              <w:rPr>
                <w:sz w:val="15"/>
                <w:szCs w:val="15"/>
                <w:color w:val="auto"/>
              </w:rPr>
            </w:pPr>
          </w:p>
        </w:tc>
        <w:tc>
          <w:tcPr>
            <w:tcW w:w="22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3,823.6</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Non-controlling interest</w:t>
            </w:r>
          </w:p>
        </w:tc>
        <w:tc>
          <w:tcPr>
            <w:tcW w:w="18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equity</w:t>
            </w:r>
          </w:p>
        </w:tc>
        <w:tc>
          <w:tcPr>
            <w:tcW w:w="1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4,026.9</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3,905.7</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69" w:lineRule="exact"/>
              <w:rPr>
                <w:sz w:val="20"/>
                <w:szCs w:val="20"/>
                <w:color w:val="auto"/>
              </w:rPr>
            </w:pPr>
            <w:r>
              <w:rPr>
                <w:rFonts w:ascii="Arial" w:cs="Arial" w:eastAsia="Arial" w:hAnsi="Arial"/>
                <w:sz w:val="16"/>
                <w:szCs w:val="16"/>
                <w:color w:val="auto"/>
              </w:rPr>
              <w:t>TOTAL LIABILITIES AND TOTAL EQUITY</w:t>
            </w:r>
          </w:p>
        </w:tc>
        <w:tc>
          <w:tcPr>
            <w:tcW w:w="1840" w:type="dxa"/>
            <w:vAlign w:val="bottom"/>
            <w:tcBorders>
              <w:bottom w:val="single" w:sz="8" w:color="auto"/>
            </w:tcBorders>
          </w:tcPr>
          <w:p>
            <w:pPr>
              <w:jc w:val="right"/>
              <w:ind w:right="1682"/>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10,820.0</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10,869.8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3"/>
        </w:trPr>
        <w:tc>
          <w:tcPr>
            <w:tcW w:w="6820" w:type="dxa"/>
            <w:vAlign w:val="bottom"/>
            <w:vMerge w:val="restart"/>
          </w:tcPr>
          <w:p>
            <w:pPr>
              <w:spacing w:after="0"/>
              <w:rPr>
                <w:sz w:val="20"/>
                <w:szCs w:val="20"/>
                <w:color w:val="auto"/>
              </w:rPr>
            </w:pPr>
            <w:r>
              <w:rPr>
                <w:rFonts w:ascii="Arial" w:cs="Arial" w:eastAsia="Arial" w:hAnsi="Arial"/>
                <w:sz w:val="16"/>
                <w:szCs w:val="16"/>
                <w:color w:val="auto"/>
              </w:rPr>
              <w:t>Operating activities:</w:t>
            </w:r>
          </w:p>
        </w:tc>
        <w:tc>
          <w:tcPr>
            <w:tcW w:w="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68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133.1</w:t>
            </w:r>
          </w:p>
        </w:tc>
        <w:tc>
          <w:tcPr>
            <w:tcW w:w="50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74.8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financing cost amortization</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benefit plans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Other adjustments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Changes in certain operating assets and liabilities: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Materials, supplies and fuel</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and other current assets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20.5</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(119.3)</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Regulatory assets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Other operating activities, net</w:t>
            </w:r>
          </w:p>
        </w:tc>
        <w:tc>
          <w:tcPr>
            <w:tcW w:w="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176.2</w:t>
            </w:r>
          </w:p>
        </w:tc>
        <w:tc>
          <w:tcPr>
            <w:tcW w:w="5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227.8</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Property, plant and equipment additions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(267.4)</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investing activities</w:t>
            </w:r>
          </w:p>
        </w:tc>
        <w:tc>
          <w:tcPr>
            <w:tcW w:w="9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(270.0)</w:t>
            </w:r>
          </w:p>
        </w:tc>
        <w:tc>
          <w:tcPr>
            <w:tcW w:w="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Dividends paid on common stock</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Common stock issued</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252.2</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Long-term debt - repayments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(300.0)</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Distributions to non-controlling interests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(65.2)</w:t>
            </w:r>
          </w:p>
        </w:tc>
        <w:tc>
          <w:tcPr>
            <w:tcW w:w="5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change in cash, restricted cash and cash equivalents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9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190.4</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83"/>
        </w:trPr>
        <w:tc>
          <w:tcPr>
            <w:tcW w:w="6820" w:type="dxa"/>
            <w:vAlign w:val="bottom"/>
          </w:tcPr>
          <w:p>
            <w:pPr>
              <w:spacing w:after="0" w:line="169" w:lineRule="exact"/>
              <w:rPr>
                <w:sz w:val="20"/>
                <w:szCs w:val="20"/>
                <w:color w:val="auto"/>
              </w:rPr>
            </w:pPr>
            <w:r>
              <w:rPr>
                <w:rFonts w:ascii="Arial" w:cs="Arial" w:eastAsia="Arial" w:hAnsi="Arial"/>
                <w:sz w:val="16"/>
                <w:szCs w:val="16"/>
                <w:color w:val="auto"/>
              </w:rPr>
              <w:t>Cash, restricted cash, and cash equivalents end of period</w:t>
            </w:r>
          </w:p>
        </w:tc>
        <w:tc>
          <w:tcPr>
            <w:tcW w:w="126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31.4</w:t>
            </w:r>
          </w:p>
        </w:tc>
        <w:tc>
          <w:tcPr>
            <w:tcW w:w="50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Supplemental cash flow information:</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 (paid) received during the period:</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160"/>
              <w:spacing w:after="0"/>
              <w:rPr>
                <w:sz w:val="20"/>
                <w:szCs w:val="20"/>
                <w:color w:val="auto"/>
              </w:rPr>
            </w:pPr>
            <w:r>
              <w:rPr>
                <w:rFonts w:ascii="Arial" w:cs="Arial" w:eastAsia="Arial" w:hAnsi="Arial"/>
                <w:sz w:val="16"/>
                <w:szCs w:val="16"/>
                <w:color w:val="auto"/>
              </w:rPr>
              <w:t>Interest (net of amounts capitalized)</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(51.1)</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Income taxes, net of transferred tax credits (Note 11)</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Non-cash investing and financing activities: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Accrued property, plant, and equipment purchases at March 31,</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87.7</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20"/>
                <w:szCs w:val="20"/>
                <w:color w:val="auto"/>
              </w:rPr>
            </w:pPr>
            <w:r>
              <w:rPr>
                <w:rFonts w:ascii="Arial" w:cs="Arial" w:eastAsia="Arial" w:hAnsi="Arial"/>
                <w:sz w:val="14"/>
                <w:szCs w:val="14"/>
                <w:b w:val="1"/>
                <w:bCs w:val="1"/>
                <w:color w:val="auto"/>
              </w:rPr>
              <w:t>(unaudited)</w:t>
            </w:r>
          </w:p>
        </w:tc>
        <w:tc>
          <w:tcPr>
            <w:tcW w:w="17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28"/>
              <w:spacing w:after="0"/>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controlling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AOCI</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Interest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ind w:left="160"/>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75,520,23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2025</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75.5</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43,167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2,417.5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1,342.9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3,905.7</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3"/>
        </w:trPr>
        <w:tc>
          <w:tcPr>
            <w:tcW w:w="2920" w:type="dxa"/>
            <w:vAlign w:val="bottom"/>
          </w:tcPr>
          <w:p>
            <w:pPr>
              <w:spacing w:after="0" w:line="153" w:lineRule="exact"/>
              <w:rPr>
                <w:sz w:val="20"/>
                <w:szCs w:val="20"/>
                <w:color w:val="auto"/>
              </w:rPr>
            </w:pPr>
            <w:r>
              <w:rPr>
                <w:rFonts w:ascii="Arial" w:cs="Arial" w:eastAsia="Arial" w:hAnsi="Arial"/>
                <w:sz w:val="14"/>
                <w:szCs w:val="14"/>
                <w:color w:val="auto"/>
              </w:rPr>
              <w:t>Dividends on common stock ($0.703 per</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20"/>
                <w:szCs w:val="20"/>
                <w:color w:val="auto"/>
              </w:rPr>
            </w:pPr>
            <w:r>
              <w:rPr>
                <w:rFonts w:ascii="Arial" w:cs="Arial" w:eastAsia="Arial" w:hAnsi="Arial"/>
                <w:sz w:val="14"/>
                <w:szCs w:val="14"/>
                <w:color w:val="auto"/>
              </w:rPr>
              <w:t>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(53.1)</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93,064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14,338</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560,966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40.6</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6"/>
        </w:trPr>
        <w:tc>
          <w:tcPr>
            <w:tcW w:w="29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76,174,26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March 31, 2026</w:t>
            </w:r>
          </w:p>
        </w:tc>
        <w:tc>
          <w:tcPr>
            <w:tcW w:w="8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76.2</w:t>
            </w:r>
          </w:p>
        </w:tc>
        <w:tc>
          <w:tcPr>
            <w:tcW w:w="8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57,505</w:t>
            </w:r>
          </w:p>
        </w:tc>
        <w:tc>
          <w:tcPr>
            <w:tcW w:w="2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(3.7)</w:t>
            </w:r>
          </w:p>
        </w:tc>
        <w:tc>
          <w:tcPr>
            <w:tcW w:w="140" w:type="dxa"/>
            <w:vAlign w:val="bottom"/>
            <w:tcBorders>
              <w:bottom w:val="single" w:sz="8" w:color="auto"/>
            </w:tcBorders>
            <w:gridSpan w:val="2"/>
            <w:shd w:val="clear" w:color="auto" w:fill="CFF0FC"/>
          </w:tcPr>
          <w:p>
            <w:pPr>
              <w:ind w:left="40"/>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2,459.4</w:t>
            </w:r>
          </w:p>
        </w:tc>
        <w:tc>
          <w:tcPr>
            <w:tcW w:w="2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1,420.8</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(7.5)</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81.7</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4,026.9</w:t>
            </w:r>
          </w:p>
        </w:tc>
        <w:tc>
          <w:tcPr>
            <w:tcW w:w="0" w:type="dxa"/>
            <w:vAlign w:val="bottom"/>
          </w:tcPr>
          <w:p>
            <w:pPr>
              <w:spacing w:after="0"/>
              <w:rPr>
                <w:sz w:val="1"/>
                <w:szCs w:val="1"/>
                <w:color w:val="auto"/>
              </w:rPr>
            </w:pPr>
          </w:p>
        </w:tc>
      </w:tr>
      <w:tr>
        <w:trPr>
          <w:trHeight w:val="278"/>
        </w:trPr>
        <w:tc>
          <w:tcPr>
            <w:tcW w:w="2920" w:type="dxa"/>
            <w:vAlign w:val="bottom"/>
          </w:tcPr>
          <w:p>
            <w:pPr>
              <w:spacing w:after="0"/>
              <w:rPr>
                <w:sz w:val="20"/>
                <w:szCs w:val="20"/>
                <w:color w:val="auto"/>
              </w:rPr>
            </w:pPr>
            <w:r>
              <w:rPr>
                <w:rFonts w:ascii="Arial" w:cs="Arial" w:eastAsia="Arial" w:hAnsi="Arial"/>
                <w:sz w:val="14"/>
                <w:szCs w:val="14"/>
                <w:b w:val="1"/>
                <w:bCs w:val="1"/>
                <w:color w:val="auto"/>
              </w:rPr>
              <w:t>(unaudited)</w:t>
            </w:r>
          </w:p>
        </w:tc>
        <w:tc>
          <w:tcPr>
            <w:tcW w:w="17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controlling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AOCI</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Interest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ind w:left="160"/>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7" w:lineRule="exact"/>
              <w:rPr>
                <w:sz w:val="20"/>
                <w:szCs w:val="20"/>
                <w:color w:val="auto"/>
              </w:rPr>
            </w:pPr>
            <w:r>
              <w:rPr>
                <w:rFonts w:ascii="Arial" w:cs="Arial" w:eastAsia="Arial" w:hAnsi="Arial"/>
                <w:sz w:val="14"/>
                <w:szCs w:val="14"/>
                <w:color w:val="auto"/>
              </w:rPr>
              <w:t>71,676,7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2024</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71.7</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56,608</w:t>
            </w:r>
          </w:p>
        </w:tc>
        <w:tc>
          <w:tcPr>
            <w:tcW w:w="220" w:type="dxa"/>
            <w:vAlign w:val="bottom"/>
            <w:shd w:val="clear" w:color="auto" w:fill="CFF0FC"/>
          </w:tcPr>
          <w:p>
            <w:pPr>
              <w:jc w:val="center"/>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2,193.4</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1,249.1</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83.7</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3,585.2</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134.3</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2920" w:type="dxa"/>
            <w:vAlign w:val="bottom"/>
          </w:tcPr>
          <w:p>
            <w:pPr>
              <w:spacing w:after="0" w:line="153" w:lineRule="exact"/>
              <w:rPr>
                <w:sz w:val="20"/>
                <w:szCs w:val="20"/>
                <w:color w:val="auto"/>
              </w:rPr>
            </w:pPr>
            <w:r>
              <w:rPr>
                <w:rFonts w:ascii="Arial" w:cs="Arial" w:eastAsia="Arial" w:hAnsi="Arial"/>
                <w:sz w:val="14"/>
                <w:szCs w:val="14"/>
                <w:color w:val="auto"/>
              </w:rPr>
              <w:t>Dividends on common stock ($0.676 per</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20"/>
                <w:szCs w:val="20"/>
                <w:color w:val="auto"/>
              </w:rPr>
            </w:pPr>
            <w:r>
              <w:rPr>
                <w:rFonts w:ascii="Arial" w:cs="Arial" w:eastAsia="Arial" w:hAnsi="Arial"/>
                <w:sz w:val="14"/>
                <w:szCs w:val="14"/>
                <w:color w:val="auto"/>
              </w:rPr>
              <w:t>share)</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103,995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(22,488)</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763,481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0.7</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6"/>
        </w:trPr>
        <w:tc>
          <w:tcPr>
            <w:tcW w:w="292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7" w:lineRule="exact"/>
              <w:rPr>
                <w:sz w:val="20"/>
                <w:szCs w:val="20"/>
                <w:color w:val="auto"/>
              </w:rPr>
            </w:pPr>
            <w:r>
              <w:rPr>
                <w:rFonts w:ascii="Arial" w:cs="Arial" w:eastAsia="Arial" w:hAnsi="Arial"/>
                <w:sz w:val="14"/>
                <w:szCs w:val="14"/>
                <w:color w:val="auto"/>
              </w:rPr>
              <w:t>72,544,2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March 31, 2025</w:t>
            </w:r>
          </w:p>
        </w:tc>
        <w:tc>
          <w:tcPr>
            <w:tcW w:w="84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32</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48"/>
              <w:spacing w:after="0" w:line="151" w:lineRule="exact"/>
              <w:rPr>
                <w:sz w:val="20"/>
                <w:szCs w:val="20"/>
                <w:color w:val="auto"/>
              </w:rPr>
            </w:pPr>
            <w:r>
              <w:rPr>
                <w:rFonts w:ascii="Arial" w:cs="Arial" w:eastAsia="Arial" w:hAnsi="Arial"/>
                <w:sz w:val="14"/>
                <w:szCs w:val="14"/>
                <w:color w:val="auto"/>
              </w:rPr>
              <w:t>72.5</w:t>
            </w:r>
          </w:p>
        </w:tc>
        <w:tc>
          <w:tcPr>
            <w:tcW w:w="88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34,120</w:t>
            </w:r>
          </w:p>
        </w:tc>
        <w:tc>
          <w:tcPr>
            <w:tcW w:w="220" w:type="dxa"/>
            <w:vAlign w:val="bottom"/>
            <w:tcBorders>
              <w:bottom w:val="single" w:sz="8" w:color="auto"/>
            </w:tcBorders>
            <w:shd w:val="clear" w:color="auto" w:fill="CFF0FC"/>
          </w:tcPr>
          <w:p>
            <w:pPr>
              <w:jc w:val="center"/>
              <w:ind w:right="68"/>
              <w:spacing w:after="0" w:line="151"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(2.0)</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2,238.2</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1,334.8</w:t>
            </w:r>
          </w:p>
        </w:tc>
        <w:tc>
          <w:tcPr>
            <w:tcW w:w="18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(8.4)</w:t>
            </w:r>
          </w:p>
        </w:tc>
        <w:tc>
          <w:tcPr>
            <w:tcW w:w="18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82.0</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3,717.1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Condensed 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included in the Company’s 2025 Annual Report on Form 10-K)</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2025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March 31, 2026, December 31, 2025, and March 31, 2025, financial information. Certain lines of business in which we operate are highly seasonal and our interim results of operations are not necessarily indicative of the results of operations to be expected for an entire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Disaggregation of Income Statement Expenses, ASU 2024-03</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xml:space="preserve">, and in January 2025, the FASB issued ASU 2025-01, </w:t>
      </w:r>
      <w:r>
        <w:rPr>
          <w:rFonts w:ascii="Arial" w:cs="Arial" w:eastAsia="Arial" w:hAnsi="Arial"/>
          <w:sz w:val="16"/>
          <w:szCs w:val="16"/>
          <w:i w:val="1"/>
          <w:iCs w:val="1"/>
          <w:color w:val="auto"/>
        </w:rPr>
        <w:t>Income Statement - Reporting Comprehensive Income - Expense Disaggregation Disclosures: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ASU 2024-03 requires public entities to disclose, in the notes to financial statements, certain costs and expenses,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employee compensation, and costs related to depreciation and amortization. ASU 2024-03, as clarified by ASU 2025-01, is effective for our Annual Report on Form 10-K for the fiscal year ended December 31, 2027, and subsequent interim periods, with early adoption permitted. We are currently evaluating the impact of these standards on our consolidated financial statement disclosures.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Targeted Improvements to the Accounting for Internal-Use Software, ASU 2025-06</w:t>
      </w:r>
    </w:p>
    <w:p>
      <w:pPr>
        <w:spacing w:after="0" w:line="194"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In September 2025, the FASB issued ASU 2025-06, Targeted Improvements to the Accounting for Internal-Use Software, which amends the accounting guidance for internal-use software under ASC 350-40. The amendments are intended to modernize the recognition and capitalization framework to better reflect current software development practices, particularly agile methodologies. ASU 2025-06 is effective for fiscal years beginning after December 15, 2027, including interim periods within those fiscal years. Early adoption is permitted. We are currently evaluating the impact of ASU 2025-06 on our consolidated financial statements and related disclosures.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1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70"/>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w:t>
            </w: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2"/>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As of</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jc w:val="right"/>
              <w:ind w:right="1059"/>
              <w:spacing w:after="0"/>
              <w:rPr>
                <w:sz w:val="20"/>
                <w:szCs w:val="20"/>
                <w:color w:val="auto"/>
              </w:rPr>
            </w:pPr>
            <w:r>
              <w:rPr>
                <w:rFonts w:ascii="Arial" w:cs="Arial" w:eastAsia="Arial" w:hAnsi="Arial"/>
                <w:sz w:val="16"/>
                <w:szCs w:val="16"/>
                <w:b w:val="1"/>
                <w:bCs w:val="1"/>
                <w:color w:val="auto"/>
              </w:rPr>
              <w:t>As of</w:t>
            </w:r>
          </w:p>
        </w:tc>
      </w:tr>
      <w:tr>
        <w:trPr>
          <w:trHeight w:val="203"/>
        </w:trPr>
        <w:tc>
          <w:tcPr>
            <w:tcW w:w="3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2026</w:t>
            </w:r>
          </w:p>
        </w:tc>
        <w:tc>
          <w:tcPr>
            <w:tcW w:w="6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3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2140" w:type="dxa"/>
            <w:vAlign w:val="bottom"/>
            <w:tcBorders>
              <w:bottom w:val="single" w:sz="8" w:color="auto"/>
            </w:tcBorders>
          </w:tcPr>
          <w:p>
            <w:pPr>
              <w:spacing w:after="0"/>
              <w:rPr>
                <w:sz w:val="15"/>
                <w:szCs w:val="15"/>
                <w:color w:val="auto"/>
              </w:rPr>
            </w:pP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Regulatory assets</w:t>
            </w:r>
          </w:p>
        </w:tc>
        <w:tc>
          <w:tcPr>
            <w:tcW w:w="1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Winter Storm Uri</w:t>
            </w:r>
          </w:p>
        </w:tc>
        <w:tc>
          <w:tcPr>
            <w:tcW w:w="1920" w:type="dxa"/>
            <w:vAlign w:val="bottom"/>
          </w:tcPr>
          <w:p>
            <w:pPr>
              <w:jc w:val="right"/>
              <w:ind w:right="17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50.7</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Deferred energy and fuel cost adjustments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90.7</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83.3</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gas cost adjustments</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10.2</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Gas price derivatives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AFUDC</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10.6</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plans and related deferred taxes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86.6</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87.4</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Environmental</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13.1</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Loss on reacquired debt</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13.7</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14.1</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flow through accounting</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97.4</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94.8</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Other regulatory assets</w:t>
            </w:r>
          </w:p>
        </w:tc>
        <w:tc>
          <w:tcPr>
            <w:tcW w:w="19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29.2</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25.9</w:t>
            </w:r>
          </w:p>
        </w:tc>
      </w:tr>
      <w:tr>
        <w:trPr>
          <w:trHeight w:val="183"/>
        </w:trPr>
        <w:tc>
          <w:tcPr>
            <w:tcW w:w="6100" w:type="dxa"/>
            <w:vAlign w:val="bottom"/>
            <w:gridSpan w:val="2"/>
          </w:tcPr>
          <w:p>
            <w:pPr>
              <w:spacing w:after="0" w:line="183" w:lineRule="exact"/>
              <w:rPr>
                <w:sz w:val="20"/>
                <w:szCs w:val="20"/>
                <w:color w:val="auto"/>
              </w:rPr>
            </w:pPr>
            <w:r>
              <w:rPr>
                <w:rFonts w:ascii="Arial" w:cs="Arial" w:eastAsia="Arial" w:hAnsi="Arial"/>
                <w:sz w:val="16"/>
                <w:szCs w:val="16"/>
                <w:color w:val="auto"/>
              </w:rPr>
              <w:t>Total regulatory assets</w:t>
            </w:r>
          </w:p>
        </w:tc>
        <w:tc>
          <w:tcPr>
            <w:tcW w:w="1920" w:type="dxa"/>
            <w:vAlign w:val="bottom"/>
          </w:tcPr>
          <w:p>
            <w:pPr>
              <w:spacing w:after="0"/>
              <w:rPr>
                <w:sz w:val="15"/>
                <w:szCs w:val="15"/>
                <w:color w:val="auto"/>
              </w:rPr>
            </w:pPr>
          </w:p>
        </w:tc>
        <w:tc>
          <w:tcPr>
            <w:tcW w:w="6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374.3</w:t>
            </w:r>
          </w:p>
        </w:tc>
        <w:tc>
          <w:tcPr>
            <w:tcW w:w="440" w:type="dxa"/>
            <w:vAlign w:val="bottom"/>
          </w:tcPr>
          <w:p>
            <w:pPr>
              <w:spacing w:after="0"/>
              <w:rPr>
                <w:sz w:val="15"/>
                <w:szCs w:val="15"/>
                <w:color w:val="auto"/>
              </w:rPr>
            </w:pPr>
          </w:p>
        </w:tc>
        <w:tc>
          <w:tcPr>
            <w:tcW w:w="2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394.7</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Less current regulatory assets</w:t>
            </w:r>
          </w:p>
        </w:tc>
        <w:tc>
          <w:tcPr>
            <w:tcW w:w="19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(122.6)</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(139.7)</w:t>
            </w:r>
          </w:p>
        </w:tc>
      </w:tr>
      <w:tr>
        <w:trPr>
          <w:trHeight w:val="183"/>
        </w:trPr>
        <w:tc>
          <w:tcPr>
            <w:tcW w:w="6100" w:type="dxa"/>
            <w:vAlign w:val="bottom"/>
            <w:gridSpan w:val="2"/>
          </w:tcPr>
          <w:p>
            <w:pPr>
              <w:spacing w:after="0" w:line="169" w:lineRule="exact"/>
              <w:rPr>
                <w:sz w:val="20"/>
                <w:szCs w:val="20"/>
                <w:color w:val="auto"/>
              </w:rPr>
            </w:pPr>
            <w:r>
              <w:rPr>
                <w:rFonts w:ascii="Arial" w:cs="Arial" w:eastAsia="Arial" w:hAnsi="Arial"/>
                <w:sz w:val="16"/>
                <w:szCs w:val="16"/>
                <w:color w:val="auto"/>
              </w:rPr>
              <w:t>Regulatory assets, non-current</w:t>
            </w:r>
          </w:p>
        </w:tc>
        <w:tc>
          <w:tcPr>
            <w:tcW w:w="1920" w:type="dxa"/>
            <w:vAlign w:val="bottom"/>
            <w:tcBorders>
              <w:bottom w:val="single" w:sz="8" w:color="auto"/>
            </w:tcBorders>
          </w:tcPr>
          <w:p>
            <w:pPr>
              <w:jc w:val="right"/>
              <w:ind w:right="173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251.7</w:t>
            </w:r>
          </w:p>
        </w:tc>
        <w:tc>
          <w:tcPr>
            <w:tcW w:w="4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255.0</w:t>
            </w:r>
          </w:p>
        </w:tc>
      </w:tr>
      <w:tr>
        <w:trPr>
          <w:trHeight w:val="20"/>
        </w:trPr>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0"/>
        </w:trPr>
        <w:tc>
          <w:tcPr>
            <w:tcW w:w="6100" w:type="dxa"/>
            <w:vAlign w:val="bottom"/>
            <w:gridSpan w:val="2"/>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140" w:type="dxa"/>
            <w:vAlign w:val="bottom"/>
            <w:shd w:val="clear" w:color="auto" w:fill="CFF0FC"/>
          </w:tcPr>
          <w:p>
            <w:pPr>
              <w:spacing w:after="0"/>
              <w:rPr>
                <w:sz w:val="14"/>
                <w:szCs w:val="14"/>
                <w:color w:val="auto"/>
              </w:rPr>
            </w:pPr>
          </w:p>
        </w:tc>
      </w:tr>
      <w:tr>
        <w:trPr>
          <w:trHeight w:val="189"/>
        </w:trPr>
        <w:tc>
          <w:tcPr>
            <w:tcW w:w="6100" w:type="dxa"/>
            <w:vAlign w:val="bottom"/>
            <w:gridSpan w:val="2"/>
          </w:tcPr>
          <w:p>
            <w:pPr>
              <w:spacing w:after="0"/>
              <w:rPr>
                <w:sz w:val="20"/>
                <w:szCs w:val="20"/>
                <w:color w:val="auto"/>
              </w:rPr>
            </w:pPr>
            <w:r>
              <w:rPr>
                <w:rFonts w:ascii="Arial" w:cs="Arial" w:eastAsia="Arial" w:hAnsi="Arial"/>
                <w:sz w:val="16"/>
                <w:szCs w:val="16"/>
                <w:color w:val="auto"/>
              </w:rPr>
              <w:t>Regulatory liabilities</w:t>
            </w:r>
          </w:p>
        </w:tc>
        <w:tc>
          <w:tcPr>
            <w:tcW w:w="1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Deferred energy and fuel cost adjustments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14.4</w:t>
            </w:r>
          </w:p>
        </w:tc>
        <w:tc>
          <w:tcPr>
            <w:tcW w:w="4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gas cost adjustments</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51.5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 costs and related deferred taxes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35.9</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36.2</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Cost of removal</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220.6</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216.5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Excess deferred income taxes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227.2</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230.3</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Colorado renewable energy</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33.2</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Other regulatory liabilities</w:t>
            </w:r>
          </w:p>
        </w:tc>
        <w:tc>
          <w:tcPr>
            <w:tcW w:w="19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10.5</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w:t>
            </w:r>
          </w:p>
        </w:tc>
      </w:tr>
      <w:tr>
        <w:trPr>
          <w:trHeight w:val="183"/>
        </w:trPr>
        <w:tc>
          <w:tcPr>
            <w:tcW w:w="6100" w:type="dxa"/>
            <w:vAlign w:val="bottom"/>
            <w:gridSpan w:val="2"/>
          </w:tcPr>
          <w:p>
            <w:pPr>
              <w:spacing w:after="0" w:line="183" w:lineRule="exact"/>
              <w:rPr>
                <w:sz w:val="20"/>
                <w:szCs w:val="20"/>
                <w:color w:val="auto"/>
              </w:rPr>
            </w:pPr>
            <w:r>
              <w:rPr>
                <w:rFonts w:ascii="Arial" w:cs="Arial" w:eastAsia="Arial" w:hAnsi="Arial"/>
                <w:sz w:val="16"/>
                <w:szCs w:val="16"/>
                <w:color w:val="auto"/>
              </w:rPr>
              <w:t>Total regulatory liabilities</w:t>
            </w:r>
          </w:p>
        </w:tc>
        <w:tc>
          <w:tcPr>
            <w:tcW w:w="1920" w:type="dxa"/>
            <w:vAlign w:val="bottom"/>
          </w:tcPr>
          <w:p>
            <w:pPr>
              <w:spacing w:after="0"/>
              <w:rPr>
                <w:sz w:val="15"/>
                <w:szCs w:val="15"/>
                <w:color w:val="auto"/>
              </w:rPr>
            </w:pPr>
          </w:p>
        </w:tc>
        <w:tc>
          <w:tcPr>
            <w:tcW w:w="6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576.1</w:t>
            </w:r>
          </w:p>
        </w:tc>
        <w:tc>
          <w:tcPr>
            <w:tcW w:w="440" w:type="dxa"/>
            <w:vAlign w:val="bottom"/>
          </w:tcPr>
          <w:p>
            <w:pPr>
              <w:spacing w:after="0"/>
              <w:rPr>
                <w:sz w:val="15"/>
                <w:szCs w:val="15"/>
                <w:color w:val="auto"/>
              </w:rPr>
            </w:pPr>
          </w:p>
        </w:tc>
        <w:tc>
          <w:tcPr>
            <w:tcW w:w="2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588.2</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Less current regulatory liabilities</w:t>
            </w:r>
          </w:p>
        </w:tc>
        <w:tc>
          <w:tcPr>
            <w:tcW w:w="19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(85.9)</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w:t>
            </w:r>
          </w:p>
        </w:tc>
      </w:tr>
      <w:tr>
        <w:trPr>
          <w:trHeight w:val="182"/>
        </w:trPr>
        <w:tc>
          <w:tcPr>
            <w:tcW w:w="6100" w:type="dxa"/>
            <w:vAlign w:val="bottom"/>
            <w:gridSpan w:val="2"/>
          </w:tcPr>
          <w:p>
            <w:pPr>
              <w:spacing w:after="0" w:line="169" w:lineRule="exact"/>
              <w:rPr>
                <w:sz w:val="20"/>
                <w:szCs w:val="20"/>
                <w:color w:val="auto"/>
              </w:rPr>
            </w:pPr>
            <w:r>
              <w:rPr>
                <w:rFonts w:ascii="Arial" w:cs="Arial" w:eastAsia="Arial" w:hAnsi="Arial"/>
                <w:sz w:val="16"/>
                <w:szCs w:val="16"/>
                <w:color w:val="auto"/>
              </w:rPr>
              <w:t>Regulatory liabilities, non-current</w:t>
            </w:r>
          </w:p>
        </w:tc>
        <w:tc>
          <w:tcPr>
            <w:tcW w:w="1920" w:type="dxa"/>
            <w:vAlign w:val="bottom"/>
            <w:tcBorders>
              <w:bottom w:val="single" w:sz="8" w:color="auto"/>
            </w:tcBorders>
          </w:tcPr>
          <w:p>
            <w:pPr>
              <w:jc w:val="right"/>
              <w:ind w:right="173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490.2</w:t>
            </w:r>
          </w:p>
        </w:tc>
        <w:tc>
          <w:tcPr>
            <w:tcW w:w="4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488.3</w:t>
            </w:r>
          </w:p>
        </w:tc>
      </w:tr>
      <w:tr>
        <w:trPr>
          <w:trHeight w:val="20"/>
        </w:trPr>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Rate Review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December 5, 2025, Arkansas Gas filed a rate review with the APSC seeking recovery of infrastructure investments in its natural gas pipeline system. The rate review requested $29.4 million in new annual revenue with a capital structure of 50% equity and 50% debt and a return on equity of 10.5%. The request seeks to implement new rates in the fourth quarter of 2026.</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Kansas Gas</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On February 3, 2025, Kansas Gas filed a rate review with the KCC seeking recovery of infrastructure investments and increased operations and maintenance costs driven by inflation and operational needs to serve customers. On July 24, 2025, Kansas Gas received final approval from the KCC for a Black-box Settlement agreement for a general rate increase expected to generate $10.8 million in new annual revenue and shift $4.4 million of GSRS rider revenue to base rates. New rates were enacted on August 1, 2025. The settlement also included approval for Kansas Gas to file an abbreviated case in first quarter of 2026 that includes the addition of capital placed in service through December 31, 2025. On March 2, 2026, Kansas Gas filed the abbreviated case, which was limited in scope and requested increases in base rate revenues of $2.4 million with new rates effective in the second half of 2026.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May 1, 2025, Nebraska Gas filed a rate review with the NPSC seeking recovery of infrastructure investments and increased operations and maintenance costs driven by inflation and operational needs to serve customers. On December 9, 2025, Nebraska Gas received final approval from the NPSC for a settlement agreement for a general rate increase. The settlement is expected to generate $23.9 million in new annual revenue with a capital structure of 51% equity and 49% debt and a return on equity of 9.85%. The settlement also includes renewal of Nebraska Gas' SSIR for five years and the development of a two-year pilot program for a weather normalization adjustment rider. New rates were enacted on January 1, 2026, which replaced interim rates effective in August 2025. Nebraska Gas customers are entitled to a $4.7 million refund due to the interim rate increase exceeding the final approved rate increase, which was retroactive to August 2025. These amounts are expected to be refunded to customers as a one-time bill credit during the second quarter of 2026.</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South Dakota Electric</w:t>
      </w:r>
    </w:p>
    <w:p>
      <w:pPr>
        <w:spacing w:after="0" w:line="19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On February 19, 2026, South Dakota Electric filed a rate review with the SDPUC seeking recovery of infrastructure investments and increased operations and maintenance costs driven by inflation and operational needs to serve customers since its last rate review in 2014. The rate review requested $50.6 million in new annual revenue with a capital structure of 53% equity and 47% debt and a return on equity of 10.5%. The request seeks interim rates to be effective 180 days after the filing, with new rates expected to be finalized in the first quarter of 2027.</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On March 18, 2026, South Dakota Electric filed a rate review with the WPSC seeking recovery of infrastructure investments and increased operations and maintenance costs driven by inflation and operational needs to serve customers since its last rate review in 2014 The company is seeking an annual base rate increase to retail electric service rates of $5.1 million based on a similar capital structure and return on equity requested in South Dakota. New rates are expected to be finalized in the first quarter of 2027.</w:t>
      </w:r>
    </w:p>
    <w:p>
      <w:pPr>
        <w:spacing w:after="0" w:line="34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Deborah Ferrari et al. v. Colorado Electric, Case No. 2024CV31889 (District Court for the City and County of Denver, Colorado)</w:t>
      </w:r>
    </w:p>
    <w:p>
      <w:pPr>
        <w:spacing w:after="0" w:line="192"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During the year ended December 31, 2025, Colorado Electric settled a legal matter involving an auto accident. As part of the settlement, Colorado Electric recognized a legal liability of $20 million, which was paid in the first quarter of 2026. In connection with this matter, Colorado Electric also recognized a loss recovery receivable of $20 million under its insurance coverage, which was received in the first quarter of 2026. We do not expect additional material losses related to this matter.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Generation Reservation Agreement with Prospective Data Center Customer</w:t>
      </w:r>
    </w:p>
    <w:p>
      <w:pPr>
        <w:spacing w:after="0" w:line="192" w:lineRule="exact"/>
        <w:rPr>
          <w:sz w:val="20"/>
          <w:szCs w:val="20"/>
          <w:color w:val="auto"/>
        </w:rPr>
      </w:pPr>
    </w:p>
    <w:p>
      <w:pPr>
        <w:ind w:right="40"/>
        <w:spacing w:after="0" w:line="194" w:lineRule="exact"/>
        <w:rPr>
          <w:sz w:val="20"/>
          <w:szCs w:val="20"/>
          <w:color w:val="auto"/>
        </w:rPr>
      </w:pPr>
      <w:r>
        <w:rPr>
          <w:rFonts w:ascii="Arial" w:cs="Arial" w:eastAsia="Arial" w:hAnsi="Arial"/>
          <w:sz w:val="16"/>
          <w:szCs w:val="16"/>
          <w:color w:val="auto"/>
        </w:rPr>
        <w:t>On April 22, 2026, Wyoming Electric entered into a generation reservation agreement with a prospective new customer seeking to construct a 1.8 GW data center under Wyoming Electric's LPCS Tariff. Under the agreement, the prospective customer will provide a refundable CIAC to Wyoming Electric to support milestone payments to suppliers to secure long lead-time generation equipment for potential company</w:t>
      </w:r>
      <w:r>
        <w:rPr>
          <w:rFonts w:ascii="MS PGothic" w:cs="MS PGothic" w:eastAsia="MS PGothic" w:hAnsi="MS PGothic"/>
          <w:sz w:val="16"/>
          <w:szCs w:val="16"/>
          <w:color w:val="auto"/>
        </w:rPr>
        <w:t>‑</w:t>
      </w:r>
      <w:r>
        <w:rPr>
          <w:rFonts w:ascii="Arial" w:cs="Arial" w:eastAsia="Arial" w:hAnsi="Arial"/>
          <w:sz w:val="16"/>
          <w:szCs w:val="16"/>
          <w:color w:val="auto"/>
        </w:rPr>
        <w:t>owned generation to serve the customer. To date, Wyoming Electric has received approximately $201 million in refundable CIAC payments from the prospective customer. Unless otherwise extended by the parties, this generation reservation agreement will terminate on June 30, 2026. This agreement is a bridge agreement to support long lead-time items while Wyoming Electric continues to negotiate definitive agreements with the prospective customer.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Power Purchase Agreement for Clean Energy Plan</w:t>
      </w:r>
    </w:p>
    <w:p>
      <w:pPr>
        <w:spacing w:after="0" w:line="192"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On February 18, 2026, Colorado Electric executed a PPA with Honors Energy, LLC to purchase up to 200 MW of solar energy upon construction of a new renewable generation facility, which is expected to be completed by mid-2029. The agreement will expire 15 years after construction completion. The solar energy from this PPA will be used to support Colorado Electric's Clean Energy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months ended March 31, 2026, and 2025. Sales tax and other similar taxes are excluded from revenues.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20" w:type="dxa"/>
            <w:vAlign w:val="bottom"/>
          </w:tcPr>
          <w:p>
            <w:pPr>
              <w:jc w:val="center"/>
              <w:ind w:left="21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35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Three Months Ended March 31, 2026</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14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480" w:type="dxa"/>
            <w:vAlign w:val="bottom"/>
          </w:tcPr>
          <w:p>
            <w:pPr>
              <w:ind w:left="40"/>
              <w:spacing w:after="0"/>
              <w:rPr>
                <w:sz w:val="20"/>
                <w:szCs w:val="20"/>
                <w:color w:val="auto"/>
              </w:rPr>
            </w:pPr>
            <w:r>
              <w:rPr>
                <w:rFonts w:ascii="Arial" w:cs="Arial" w:eastAsia="Arial" w:hAnsi="Arial"/>
                <w:sz w:val="16"/>
                <w:szCs w:val="16"/>
                <w:color w:val="auto"/>
              </w:rPr>
              <w:t>Retail</w:t>
            </w: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197.0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458.7</w:t>
            </w:r>
          </w:p>
        </w:tc>
        <w:tc>
          <w:tcPr>
            <w:tcW w:w="142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655.7</w:t>
            </w: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54.4</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6.0</w:t>
            </w: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12.2</w:t>
            </w:r>
          </w:p>
        </w:tc>
      </w:tr>
      <w:tr>
        <w:trPr>
          <w:trHeight w:val="189"/>
        </w:trPr>
        <w:tc>
          <w:tcPr>
            <w:tcW w:w="354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22.8</w:t>
            </w:r>
          </w:p>
        </w:tc>
      </w:tr>
      <w:tr>
        <w:trPr>
          <w:trHeight w:val="183"/>
        </w:trPr>
        <w:tc>
          <w:tcPr>
            <w:tcW w:w="354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240.7</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525.3</w:t>
            </w:r>
          </w:p>
        </w:tc>
        <w:tc>
          <w:tcPr>
            <w:tcW w:w="1420" w:type="dxa"/>
            <w:vAlign w:val="bottom"/>
          </w:tcPr>
          <w:p>
            <w:pPr>
              <w:jc w:val="right"/>
              <w:ind w:right="1179"/>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762.0</w:t>
            </w:r>
          </w:p>
        </w:tc>
      </w:tr>
      <w:tr>
        <w:trPr>
          <w:trHeight w:val="189"/>
        </w:trPr>
        <w:tc>
          <w:tcPr>
            <w:tcW w:w="354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18.7</w:t>
            </w:r>
          </w:p>
        </w:tc>
      </w:tr>
      <w:tr>
        <w:trPr>
          <w:trHeight w:val="183"/>
        </w:trPr>
        <w:tc>
          <w:tcPr>
            <w:tcW w:w="3540" w:type="dxa"/>
            <w:vAlign w:val="bottom"/>
            <w:gridSpan w:val="4"/>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241.6</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543.1</w:t>
            </w:r>
          </w:p>
        </w:tc>
        <w:tc>
          <w:tcPr>
            <w:tcW w:w="1420" w:type="dxa"/>
            <w:vAlign w:val="bottom"/>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(4.0)</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780.7</w:t>
            </w: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80" w:type="dxa"/>
            <w:vAlign w:val="bottom"/>
            <w:gridSpan w:val="2"/>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4"/>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525.3</w:t>
            </w:r>
          </w:p>
        </w:tc>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753.2</w:t>
            </w:r>
          </w:p>
        </w:tc>
      </w:tr>
      <w:tr>
        <w:trPr>
          <w:trHeight w:val="223"/>
        </w:trPr>
        <w:tc>
          <w:tcPr>
            <w:tcW w:w="3540" w:type="dxa"/>
            <w:vAlign w:val="bottom"/>
            <w:gridSpan w:val="4"/>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240.7</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525.3</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(4.0)</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762.0</w:t>
            </w:r>
          </w:p>
        </w:tc>
      </w:tr>
      <w:tr>
        <w:trPr>
          <w:trHeight w:val="344"/>
        </w:trPr>
        <w:tc>
          <w:tcPr>
            <w:tcW w:w="48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03"/>
        </w:trPr>
        <w:tc>
          <w:tcPr>
            <w:tcW w:w="35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Three Months Ended March 31, 2025</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14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480" w:type="dxa"/>
            <w:vAlign w:val="bottom"/>
          </w:tcPr>
          <w:p>
            <w:pPr>
              <w:ind w:left="40"/>
              <w:spacing w:after="0"/>
              <w:rPr>
                <w:sz w:val="20"/>
                <w:szCs w:val="20"/>
                <w:color w:val="auto"/>
              </w:rPr>
            </w:pPr>
            <w:r>
              <w:rPr>
                <w:rFonts w:ascii="Arial" w:cs="Arial" w:eastAsia="Arial" w:hAnsi="Arial"/>
                <w:sz w:val="16"/>
                <w:szCs w:val="16"/>
                <w:color w:val="auto"/>
              </w:rPr>
              <w:t>Retail</w:t>
            </w: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191.3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499.7</w:t>
            </w:r>
          </w:p>
        </w:tc>
        <w:tc>
          <w:tcPr>
            <w:tcW w:w="142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691.0</w:t>
            </w: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57.6</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7.1</w:t>
            </w: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12.3</w:t>
            </w:r>
          </w:p>
        </w:tc>
      </w:tr>
      <w:tr>
        <w:trPr>
          <w:trHeight w:val="189"/>
        </w:trPr>
        <w:tc>
          <w:tcPr>
            <w:tcW w:w="354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21.1</w:t>
            </w:r>
          </w:p>
        </w:tc>
      </w:tr>
      <w:tr>
        <w:trPr>
          <w:trHeight w:val="183"/>
        </w:trPr>
        <w:tc>
          <w:tcPr>
            <w:tcW w:w="354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235.6</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568.7</w:t>
            </w:r>
          </w:p>
        </w:tc>
        <w:tc>
          <w:tcPr>
            <w:tcW w:w="1420" w:type="dxa"/>
            <w:vAlign w:val="bottom"/>
          </w:tcPr>
          <w:p>
            <w:pPr>
              <w:jc w:val="right"/>
              <w:ind w:right="1179"/>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800.4</w:t>
            </w:r>
          </w:p>
        </w:tc>
      </w:tr>
      <w:tr>
        <w:trPr>
          <w:trHeight w:val="189"/>
        </w:trPr>
        <w:tc>
          <w:tcPr>
            <w:tcW w:w="354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w:t>
            </w:r>
          </w:p>
        </w:tc>
      </w:tr>
      <w:tr>
        <w:trPr>
          <w:trHeight w:val="183"/>
        </w:trPr>
        <w:tc>
          <w:tcPr>
            <w:tcW w:w="3540" w:type="dxa"/>
            <w:vAlign w:val="bottom"/>
            <w:gridSpan w:val="4"/>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236.7</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572.4</w:t>
            </w:r>
          </w:p>
        </w:tc>
        <w:tc>
          <w:tcPr>
            <w:tcW w:w="1420" w:type="dxa"/>
            <w:vAlign w:val="bottom"/>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805.2</w:t>
            </w: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80" w:type="dxa"/>
            <w:vAlign w:val="bottom"/>
            <w:gridSpan w:val="2"/>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4"/>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568.7</w:t>
            </w:r>
          </w:p>
        </w:tc>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792.3</w:t>
            </w:r>
          </w:p>
        </w:tc>
      </w:tr>
      <w:tr>
        <w:trPr>
          <w:trHeight w:val="223"/>
        </w:trPr>
        <w:tc>
          <w:tcPr>
            <w:tcW w:w="3540" w:type="dxa"/>
            <w:vAlign w:val="bottom"/>
            <w:gridSpan w:val="4"/>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235.6</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568.7</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800.4</w:t>
            </w:r>
          </w:p>
        </w:tc>
      </w:tr>
      <w:tr>
        <w:trPr>
          <w:trHeight w:val="567"/>
        </w:trPr>
        <w:tc>
          <w:tcPr>
            <w:tcW w:w="48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(5)</w:t>
            </w:r>
          </w:p>
        </w:tc>
        <w:tc>
          <w:tcPr>
            <w:tcW w:w="3060" w:type="dxa"/>
            <w:vAlign w:val="bottom"/>
            <w:tcBorders>
              <w:top w:val="single" w:sz="8" w:color="CFF0FC"/>
            </w:tcBorders>
            <w:gridSpan w:val="3"/>
          </w:tcPr>
          <w:p>
            <w:pPr>
              <w:ind w:left="40"/>
              <w:spacing w:after="0"/>
              <w:rPr>
                <w:sz w:val="20"/>
                <w:szCs w:val="20"/>
                <w:color w:val="auto"/>
              </w:rPr>
            </w:pPr>
            <w:r>
              <w:rPr>
                <w:rFonts w:ascii="Arial" w:cs="Arial" w:eastAsia="Arial" w:hAnsi="Arial"/>
                <w:sz w:val="16"/>
                <w:szCs w:val="16"/>
                <w:b w:val="1"/>
                <w:bCs w:val="1"/>
                <w:color w:val="auto"/>
              </w:rPr>
              <w:t>Financing</w:t>
            </w:r>
          </w:p>
        </w:tc>
        <w:tc>
          <w:tcPr>
            <w:tcW w:w="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March 31, 2026</w:t>
            </w: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December 31, 2025</w:t>
            </w:r>
          </w:p>
        </w:tc>
        <w:tc>
          <w:tcPr>
            <w:tcW w:w="620" w:type="dxa"/>
            <w:vAlign w:val="bottom"/>
            <w:tcBorders>
              <w:bottom w:val="single" w:sz="8" w:color="auto"/>
            </w:tcBorders>
          </w:tcPr>
          <w:p>
            <w:pPr>
              <w:spacing w:after="0"/>
              <w:rPr>
                <w:sz w:val="17"/>
                <w:szCs w:val="17"/>
                <w:color w:val="auto"/>
              </w:rPr>
            </w:pPr>
          </w:p>
        </w:tc>
      </w:tr>
      <w:tr>
        <w:trPr>
          <w:trHeight w:val="183"/>
        </w:trPr>
        <w:tc>
          <w:tcPr>
            <w:tcW w:w="590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2"/>
          </w:tcPr>
          <w:p>
            <w:pPr>
              <w:jc w:val="center"/>
              <w:ind w:right="1259"/>
              <w:spacing w:after="0" w:line="183" w:lineRule="exact"/>
              <w:rPr>
                <w:sz w:val="20"/>
                <w:szCs w:val="20"/>
                <w:color w:val="auto"/>
              </w:rPr>
            </w:pPr>
            <w:r>
              <w:rPr>
                <w:rFonts w:ascii="Arial" w:cs="Arial" w:eastAsia="Arial" w:hAnsi="Arial"/>
                <w:sz w:val="16"/>
                <w:szCs w:val="16"/>
                <w:color w:val="auto"/>
              </w:rPr>
              <w:t>(dollars in millions)</w:t>
            </w:r>
          </w:p>
        </w:tc>
        <w:tc>
          <w:tcPr>
            <w:tcW w:w="620" w:type="dxa"/>
            <w:vAlign w:val="bottom"/>
            <w:tcBorders>
              <w:bottom w:val="single" w:sz="8" w:color="auto"/>
            </w:tcBorders>
          </w:tcPr>
          <w:p>
            <w:pPr>
              <w:spacing w:after="0"/>
              <w:rPr>
                <w:sz w:val="15"/>
                <w:szCs w:val="15"/>
                <w:color w:val="auto"/>
              </w:rPr>
            </w:pPr>
          </w:p>
        </w:tc>
      </w:tr>
      <w:tr>
        <w:trPr>
          <w:trHeight w:val="183"/>
        </w:trPr>
        <w:tc>
          <w:tcPr>
            <w:tcW w:w="5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Amount outstanding</w:t>
            </w:r>
          </w:p>
        </w:tc>
        <w:tc>
          <w:tcPr>
            <w:tcW w:w="1840" w:type="dxa"/>
            <w:vAlign w:val="bottom"/>
            <w:shd w:val="clear" w:color="auto" w:fill="CFF0FC"/>
          </w:tcPr>
          <w:p>
            <w:pPr>
              <w:jc w:val="right"/>
              <w:ind w:right="168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252.2</w:t>
            </w:r>
          </w:p>
        </w:tc>
        <w:tc>
          <w:tcPr>
            <w:tcW w:w="2180" w:type="dxa"/>
            <w:vAlign w:val="bottom"/>
            <w:shd w:val="clear" w:color="auto" w:fill="CFF0FC"/>
          </w:tcPr>
          <w:p>
            <w:pPr>
              <w:jc w:val="right"/>
              <w:ind w:right="199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89"/>
        </w:trPr>
        <w:tc>
          <w:tcPr>
            <w:tcW w:w="5900" w:type="dxa"/>
            <w:vAlign w:val="bottom"/>
          </w:tcPr>
          <w:p>
            <w:pPr>
              <w:spacing w:after="0" w:line="189"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184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218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18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Available capacity</w:t>
            </w:r>
          </w:p>
        </w:tc>
        <w:tc>
          <w:tcPr>
            <w:tcW w:w="18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494.6</w:t>
            </w:r>
          </w:p>
        </w:tc>
        <w:tc>
          <w:tcPr>
            <w:tcW w:w="2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746.8</w:t>
            </w: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Weighted average interest rates</w:t>
            </w:r>
          </w:p>
        </w:tc>
        <w:tc>
          <w:tcPr>
            <w:tcW w:w="1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3.95%</w:t>
            </w:r>
          </w:p>
        </w:tc>
        <w:tc>
          <w:tcPr>
            <w:tcW w:w="21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N/A</w:t>
            </w:r>
          </w:p>
        </w:tc>
      </w:tr>
    </w:tbl>
    <w:p>
      <w:pPr>
        <w:spacing w:after="0" w:line="109" w:lineRule="exact"/>
        <w:rPr>
          <w:sz w:val="20"/>
          <w:szCs w:val="20"/>
          <w:color w:val="auto"/>
        </w:rPr>
      </w:pPr>
    </w:p>
    <w:p>
      <w:pPr>
        <w:ind w:left="5540" w:right="1880" w:hanging="5532"/>
        <w:spacing w:after="0" w:line="263" w:lineRule="auto"/>
        <w:tabs>
          <w:tab w:leader="none" w:pos="523" w:val="left"/>
        </w:tabs>
        <w:numPr>
          <w:ilvl w:val="0"/>
          <w:numId w:val="7"/>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10458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20"/>
                <w:szCs w:val="20"/>
                <w:color w:val="auto"/>
              </w:rPr>
            </w:pPr>
            <w:r>
              <w:rPr>
                <w:rFonts w:ascii="Arial" w:cs="Arial" w:eastAsia="Arial" w:hAnsi="Arial"/>
                <w:sz w:val="16"/>
                <w:szCs w:val="16"/>
                <w:color w:val="auto"/>
              </w:rPr>
              <w:t>Revolving Credit Facility and CP Program borrowing activity was as follows:</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52"/>
        </w:trPr>
        <w:tc>
          <w:tcPr>
            <w:tcW w:w="6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24"/>
                <w:szCs w:val="24"/>
                <w:color w:val="auto"/>
              </w:rPr>
            </w:pPr>
          </w:p>
        </w:tc>
      </w:tr>
      <w:tr>
        <w:trPr>
          <w:trHeight w:val="203"/>
        </w:trPr>
        <w:tc>
          <w:tcPr>
            <w:tcW w:w="6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2026</w:t>
            </w:r>
          </w:p>
        </w:tc>
        <w:tc>
          <w:tcPr>
            <w:tcW w:w="8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spacing w:after="0"/>
              <w:rPr>
                <w:sz w:val="17"/>
                <w:szCs w:val="17"/>
                <w:color w:val="auto"/>
              </w:rPr>
            </w:pPr>
          </w:p>
        </w:tc>
      </w:tr>
      <w:tr>
        <w:trPr>
          <w:trHeight w:val="183"/>
        </w:trPr>
        <w:tc>
          <w:tcPr>
            <w:tcW w:w="6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center"/>
              <w:ind w:right="599"/>
              <w:spacing w:after="0" w:line="183" w:lineRule="exact"/>
              <w:rPr>
                <w:sz w:val="20"/>
                <w:szCs w:val="20"/>
                <w:color w:val="auto"/>
              </w:rPr>
            </w:pPr>
            <w:r>
              <w:rPr>
                <w:rFonts w:ascii="Arial" w:cs="Arial" w:eastAsia="Arial" w:hAnsi="Arial"/>
                <w:sz w:val="16"/>
                <w:szCs w:val="16"/>
                <w:color w:val="auto"/>
              </w:rPr>
              <w:t>(dollars in millions)</w:t>
            </w:r>
          </w:p>
        </w:tc>
        <w:tc>
          <w:tcPr>
            <w:tcW w:w="800" w:type="dxa"/>
            <w:vAlign w:val="bottom"/>
            <w:tcBorders>
              <w:bottom w:val="single" w:sz="8" w:color="auto"/>
            </w:tcBorders>
          </w:tcPr>
          <w:p>
            <w:pPr>
              <w:spacing w:after="0"/>
              <w:rPr>
                <w:sz w:val="15"/>
                <w:szCs w:val="15"/>
                <w:color w:val="auto"/>
              </w:rPr>
            </w:pPr>
          </w:p>
        </w:tc>
      </w:tr>
      <w:tr>
        <w:trPr>
          <w:trHeight w:val="183"/>
        </w:trPr>
        <w:tc>
          <w:tcPr>
            <w:tcW w:w="6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Maximum amount outstanding (based on daily outstanding balances)</w:t>
            </w:r>
          </w:p>
        </w:tc>
        <w:tc>
          <w:tcPr>
            <w:tcW w:w="2020" w:type="dxa"/>
            <w:vAlign w:val="bottom"/>
            <w:gridSpan w:val="2"/>
            <w:shd w:val="clear" w:color="auto" w:fill="CFF0FC"/>
          </w:tcPr>
          <w:p>
            <w:pPr>
              <w:jc w:val="right"/>
              <w:ind w:right="113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338.0</w:t>
            </w:r>
          </w:p>
        </w:tc>
        <w:tc>
          <w:tcPr>
            <w:tcW w:w="1400" w:type="dxa"/>
            <w:vAlign w:val="bottom"/>
            <w:shd w:val="clear" w:color="auto" w:fill="CFF0FC"/>
          </w:tcPr>
          <w:p>
            <w:pPr>
              <w:jc w:val="right"/>
              <w:ind w:right="121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263.6</w:t>
            </w: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182.6</w:t>
            </w:r>
          </w:p>
        </w:tc>
        <w:tc>
          <w:tcPr>
            <w:tcW w:w="140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87.1</w:t>
            </w:r>
          </w:p>
        </w:tc>
      </w:tr>
      <w:tr>
        <w:trPr>
          <w:trHeight w:val="18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interest rates</w:t>
            </w:r>
          </w:p>
        </w:tc>
        <w:tc>
          <w:tcPr>
            <w:tcW w:w="7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14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On October 2, 2025, we completed a public debt offering of $450 million, 4.55% senior unsecured notes due January 31, 2031. Proceeds from the offering, which were reduced by $4.0 million of deferred financing costs, were used to repay all $300 million principal amount outstanding of our 3.95% senior unsecured notes at their January 15, 2026, maturity date and for other general corporate purposes.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March 31, 2026.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March 31, 2026, our Consolidated Indebtedness to Capitalization Ratio was 0.54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March 31, 2026. Wyoming Electric is required to maintain a debt to capitalization ratio of no more than 0.60 to 1.00. As of March 31, 2026, Wyoming Electric's debt to capitalization ratio was 0.50 to 1.00.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gridSpan w:val="5"/>
          </w:tcPr>
          <w:p>
            <w:pPr>
              <w:spacing w:after="0"/>
              <w:rPr>
                <w:sz w:val="20"/>
                <w:szCs w:val="20"/>
                <w:color w:val="auto"/>
              </w:rPr>
            </w:pPr>
            <w:r>
              <w:rPr>
                <w:rFonts w:ascii="Arial" w:cs="Arial" w:eastAsia="Arial" w:hAnsi="Arial"/>
                <w:sz w:val="16"/>
                <w:szCs w:val="16"/>
                <w:b w:val="1"/>
                <w:bCs w:val="1"/>
                <w:color w:val="auto"/>
              </w:rPr>
              <w:t>Equity</w:t>
            </w:r>
          </w:p>
        </w:tc>
        <w:tc>
          <w:tcPr>
            <w:tcW w:w="2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32"/>
        </w:trPr>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ATM</w:t>
            </w:r>
          </w:p>
        </w:tc>
        <w:tc>
          <w:tcPr>
            <w:tcW w:w="4800" w:type="dxa"/>
            <w:vAlign w:val="bottom"/>
            <w:gridSpan w:val="4"/>
          </w:tcPr>
          <w:p>
            <w:pPr>
              <w:spacing w:after="0"/>
              <w:rPr>
                <w:sz w:val="24"/>
                <w:szCs w:val="24"/>
                <w:color w:val="auto"/>
              </w:rPr>
            </w:pPr>
          </w:p>
        </w:tc>
        <w:tc>
          <w:tcPr>
            <w:tcW w:w="2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6"/>
        </w:trPr>
        <w:tc>
          <w:tcPr>
            <w:tcW w:w="5160" w:type="dxa"/>
            <w:vAlign w:val="bottom"/>
            <w:gridSpan w:val="5"/>
          </w:tcPr>
          <w:p>
            <w:pPr>
              <w:spacing w:after="0"/>
              <w:rPr>
                <w:sz w:val="20"/>
                <w:szCs w:val="20"/>
                <w:color w:val="auto"/>
              </w:rPr>
            </w:pPr>
            <w:r>
              <w:rPr>
                <w:rFonts w:ascii="Arial" w:cs="Arial" w:eastAsia="Arial" w:hAnsi="Arial"/>
                <w:sz w:val="16"/>
                <w:szCs w:val="16"/>
                <w:color w:val="auto"/>
              </w:rPr>
              <w:t>ATM activity was as follows:</w:t>
            </w:r>
          </w:p>
        </w:tc>
        <w:tc>
          <w:tcPr>
            <w:tcW w:w="2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2"/>
        </w:trPr>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8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24"/>
                <w:szCs w:val="24"/>
                <w:color w:val="auto"/>
              </w:rPr>
            </w:pPr>
          </w:p>
        </w:tc>
      </w:tr>
      <w:tr>
        <w:trPr>
          <w:trHeight w:val="203"/>
        </w:trPr>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168"/>
        </w:trPr>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00" w:type="dxa"/>
            <w:vAlign w:val="bottom"/>
            <w:gridSpan w:val="4"/>
          </w:tcPr>
          <w:p>
            <w:pPr>
              <w:jc w:val="center"/>
              <w:ind w:right="79"/>
              <w:spacing w:after="0" w:line="168" w:lineRule="exact"/>
              <w:rPr>
                <w:sz w:val="20"/>
                <w:szCs w:val="20"/>
                <w:color w:val="auto"/>
              </w:rPr>
            </w:pPr>
            <w:r>
              <w:rPr>
                <w:rFonts w:ascii="Arial" w:cs="Arial" w:eastAsia="Arial" w:hAnsi="Arial"/>
                <w:sz w:val="16"/>
                <w:szCs w:val="16"/>
                <w:color w:val="auto"/>
              </w:rPr>
              <w:t>(in millions, except Average price per share</w:t>
            </w:r>
          </w:p>
        </w:tc>
      </w:tr>
      <w:tr>
        <w:trPr>
          <w:trHeight w:val="190"/>
        </w:trPr>
        <w:tc>
          <w:tcPr>
            <w:tcW w:w="5160" w:type="dxa"/>
            <w:vAlign w:val="bottom"/>
            <w:gridSpan w:val="5"/>
          </w:tcPr>
          <w:p>
            <w:pPr>
              <w:spacing w:after="0"/>
              <w:rPr>
                <w:sz w:val="20"/>
                <w:szCs w:val="20"/>
                <w:color w:val="auto"/>
              </w:rPr>
            </w:pPr>
            <w:r>
              <w:rPr>
                <w:rFonts w:ascii="Arial" w:cs="Arial" w:eastAsia="Arial" w:hAnsi="Arial"/>
                <w:sz w:val="16"/>
                <w:szCs w:val="16"/>
                <w:i w:val="1"/>
                <w:iCs w:val="1"/>
                <w:color w:val="auto"/>
              </w:rPr>
              <w:t>June 16, 2023 ATM Program</w:t>
            </w: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80" w:type="dxa"/>
            <w:vAlign w:val="bottom"/>
            <w:gridSpan w:val="2"/>
          </w:tcPr>
          <w:p>
            <w:pPr>
              <w:jc w:val="center"/>
              <w:ind w:right="619"/>
              <w:spacing w:after="0"/>
              <w:rPr>
                <w:sz w:val="20"/>
                <w:szCs w:val="20"/>
                <w:color w:val="auto"/>
              </w:rPr>
            </w:pPr>
            <w:r>
              <w:rPr>
                <w:rFonts w:ascii="Arial" w:cs="Arial" w:eastAsia="Arial" w:hAnsi="Arial"/>
                <w:sz w:val="16"/>
                <w:szCs w:val="16"/>
                <w:color w:val="auto"/>
                <w:w w:val="98"/>
              </w:rPr>
              <w:t>amounts)</w:t>
            </w:r>
          </w:p>
        </w:tc>
        <w:tc>
          <w:tcPr>
            <w:tcW w:w="620" w:type="dxa"/>
            <w:vAlign w:val="bottom"/>
          </w:tcPr>
          <w:p>
            <w:pPr>
              <w:spacing w:after="0"/>
              <w:rPr>
                <w:sz w:val="16"/>
                <w:szCs w:val="16"/>
                <w:color w:val="auto"/>
              </w:rPr>
            </w:pPr>
          </w:p>
        </w:tc>
      </w:tr>
      <w:tr>
        <w:trPr>
          <w:trHeight w:val="27"/>
        </w:trPr>
        <w:tc>
          <w:tcPr>
            <w:tcW w:w="3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189"/>
        </w:trPr>
        <w:tc>
          <w:tcPr>
            <w:tcW w:w="51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Proceeds, (net of issuance costs of $0.0 and $(0.5), respectively)</w:t>
            </w:r>
          </w:p>
        </w:tc>
        <w:tc>
          <w:tcPr>
            <w:tcW w:w="358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45.7</w:t>
            </w:r>
          </w:p>
        </w:tc>
      </w:tr>
      <w:tr>
        <w:trPr>
          <w:trHeight w:val="189"/>
        </w:trPr>
        <w:tc>
          <w:tcPr>
            <w:tcW w:w="5160" w:type="dxa"/>
            <w:vAlign w:val="bottom"/>
            <w:gridSpan w:val="5"/>
          </w:tcPr>
          <w:p>
            <w:pPr>
              <w:spacing w:after="0"/>
              <w:rPr>
                <w:sz w:val="20"/>
                <w:szCs w:val="20"/>
                <w:color w:val="auto"/>
              </w:rPr>
            </w:pPr>
            <w:r>
              <w:rPr>
                <w:rFonts w:ascii="Arial" w:cs="Arial" w:eastAsia="Arial" w:hAnsi="Arial"/>
                <w:sz w:val="16"/>
                <w:szCs w:val="16"/>
                <w:color w:val="auto"/>
              </w:rPr>
              <w:t>Number of shares issued</w:t>
            </w: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189"/>
        </w:trPr>
        <w:tc>
          <w:tcPr>
            <w:tcW w:w="3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r>
      <w:tr>
        <w:trPr>
          <w:trHeight w:val="169"/>
        </w:trPr>
        <w:tc>
          <w:tcPr>
            <w:tcW w:w="19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6"/>
                <w:szCs w:val="16"/>
                <w:i w:val="1"/>
                <w:iCs w:val="1"/>
                <w:color w:val="auto"/>
              </w:rPr>
              <w:t>May 8, 2025 ATM Program</w:t>
            </w:r>
          </w:p>
        </w:tc>
        <w:tc>
          <w:tcPr>
            <w:tcW w:w="3200" w:type="dxa"/>
            <w:vAlign w:val="bottom"/>
            <w:gridSpan w:val="3"/>
          </w:tcPr>
          <w:p>
            <w:pPr>
              <w:spacing w:after="0"/>
              <w:rPr>
                <w:sz w:val="14"/>
                <w:szCs w:val="14"/>
                <w:color w:val="auto"/>
              </w:rPr>
            </w:pPr>
          </w:p>
        </w:tc>
        <w:tc>
          <w:tcPr>
            <w:tcW w:w="2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9"/>
        </w:trPr>
        <w:tc>
          <w:tcPr>
            <w:tcW w:w="51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Proceeds, (net of issuance costs of $(0.4) and $0.0, respectively)</w:t>
            </w:r>
          </w:p>
        </w:tc>
        <w:tc>
          <w:tcPr>
            <w:tcW w:w="358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28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gridSpan w:val="5"/>
          </w:tcPr>
          <w:p>
            <w:pPr>
              <w:spacing w:after="0"/>
              <w:rPr>
                <w:sz w:val="20"/>
                <w:szCs w:val="20"/>
                <w:color w:val="auto"/>
              </w:rPr>
            </w:pPr>
            <w:r>
              <w:rPr>
                <w:rFonts w:ascii="Arial" w:cs="Arial" w:eastAsia="Arial" w:hAnsi="Arial"/>
                <w:sz w:val="16"/>
                <w:szCs w:val="16"/>
                <w:color w:val="auto"/>
              </w:rPr>
              <w:t>Number of shares issued</w:t>
            </w: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128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3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r>
      <w:tr>
        <w:trPr>
          <w:trHeight w:val="162"/>
        </w:trPr>
        <w:tc>
          <w:tcPr>
            <w:tcW w:w="5160" w:type="dxa"/>
            <w:vAlign w:val="bottom"/>
            <w:gridSpan w:val="5"/>
          </w:tcPr>
          <w:p>
            <w:pPr>
              <w:spacing w:after="0" w:line="162" w:lineRule="exact"/>
              <w:rPr>
                <w:sz w:val="20"/>
                <w:szCs w:val="20"/>
                <w:color w:val="auto"/>
              </w:rPr>
            </w:pPr>
            <w:r>
              <w:rPr>
                <w:rFonts w:ascii="Arial" w:cs="Arial" w:eastAsia="Arial" w:hAnsi="Arial"/>
                <w:sz w:val="16"/>
                <w:szCs w:val="16"/>
                <w:i w:val="1"/>
                <w:iCs w:val="1"/>
                <w:color w:val="auto"/>
              </w:rPr>
              <w:t>Total activity under both ATM Programs</w:t>
            </w:r>
          </w:p>
        </w:tc>
        <w:tc>
          <w:tcPr>
            <w:tcW w:w="2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
        </w:trPr>
        <w:tc>
          <w:tcPr>
            <w:tcW w:w="3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3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9"/>
        </w:trPr>
        <w:tc>
          <w:tcPr>
            <w:tcW w:w="51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Proceeds, (net of issuance costs of $(0.4) and $(0.5), respectively)</w:t>
            </w:r>
          </w:p>
        </w:tc>
        <w:tc>
          <w:tcPr>
            <w:tcW w:w="358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28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45.7</w:t>
            </w:r>
          </w:p>
        </w:tc>
      </w:tr>
      <w:tr>
        <w:trPr>
          <w:trHeight w:val="189"/>
        </w:trPr>
        <w:tc>
          <w:tcPr>
            <w:tcW w:w="5160" w:type="dxa"/>
            <w:vAlign w:val="bottom"/>
            <w:gridSpan w:val="5"/>
          </w:tcPr>
          <w:p>
            <w:pPr>
              <w:spacing w:after="0"/>
              <w:rPr>
                <w:sz w:val="20"/>
                <w:szCs w:val="20"/>
                <w:color w:val="auto"/>
              </w:rPr>
            </w:pPr>
            <w:r>
              <w:rPr>
                <w:rFonts w:ascii="Arial" w:cs="Arial" w:eastAsia="Arial" w:hAnsi="Arial"/>
                <w:sz w:val="16"/>
                <w:szCs w:val="16"/>
                <w:color w:val="auto"/>
              </w:rPr>
              <w:t>Number of shares issued</w:t>
            </w: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128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189"/>
        </w:trPr>
        <w:tc>
          <w:tcPr>
            <w:tcW w:w="51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Average price per share</w:t>
            </w:r>
          </w:p>
        </w:tc>
        <w:tc>
          <w:tcPr>
            <w:tcW w:w="358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73.42</w:t>
            </w:r>
          </w:p>
        </w:tc>
        <w:tc>
          <w:tcPr>
            <w:tcW w:w="128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60.44</w:t>
            </w:r>
          </w:p>
        </w:tc>
      </w:tr>
      <w:tr>
        <w:trPr>
          <w:trHeight w:val="606"/>
        </w:trPr>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80" w:type="dxa"/>
            <w:vAlign w:val="bottom"/>
          </w:tcPr>
          <w:p>
            <w:pPr>
              <w:jc w:val="right"/>
              <w:ind w:right="1739"/>
              <w:spacing w:after="0"/>
              <w:rPr>
                <w:sz w:val="20"/>
                <w:szCs w:val="20"/>
                <w:color w:val="auto"/>
              </w:rPr>
            </w:pPr>
            <w:r>
              <w:rPr>
                <w:rFonts w:ascii="Arial" w:cs="Arial" w:eastAsia="Arial" w:hAnsi="Arial"/>
                <w:sz w:val="16"/>
                <w:szCs w:val="16"/>
                <w:color w:val="auto"/>
              </w:rPr>
              <w:t>17</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51"/>
        </w:trPr>
        <w:tc>
          <w:tcPr>
            <w:tcW w:w="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6"/>
                <w:szCs w:val="16"/>
                <w:color w:val="auto"/>
              </w:rPr>
            </w:pPr>
          </w:p>
        </w:tc>
      </w:tr>
      <w:tr>
        <w:trPr>
          <w:trHeight w:val="203"/>
        </w:trPr>
        <w:tc>
          <w:tcPr>
            <w:tcW w:w="5820" w:type="dxa"/>
            <w:vAlign w:val="bottom"/>
          </w:tcPr>
          <w:p>
            <w:pPr>
              <w:spacing w:after="0"/>
              <w:rPr>
                <w:sz w:val="17"/>
                <w:szCs w:val="17"/>
                <w:color w:val="auto"/>
              </w:rPr>
            </w:pPr>
          </w:p>
        </w:tc>
        <w:tc>
          <w:tcPr>
            <w:tcW w:w="28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2026</w:t>
            </w:r>
          </w:p>
        </w:tc>
        <w:tc>
          <w:tcPr>
            <w:tcW w:w="62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7"/>
                <w:szCs w:val="17"/>
                <w:color w:val="auto"/>
              </w:rPr>
            </w:pPr>
          </w:p>
        </w:tc>
      </w:tr>
      <w:tr>
        <w:trPr>
          <w:trHeight w:val="183"/>
        </w:trPr>
        <w:tc>
          <w:tcPr>
            <w:tcW w:w="5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8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(in millions, except per share amounts)</w:t>
            </w:r>
          </w:p>
        </w:tc>
        <w:tc>
          <w:tcPr>
            <w:tcW w:w="560" w:type="dxa"/>
            <w:vAlign w:val="bottom"/>
            <w:tcBorders>
              <w:top w:val="single" w:sz="8" w:color="auto"/>
              <w:bottom w:val="single" w:sz="8" w:color="auto"/>
            </w:tcBorders>
          </w:tcPr>
          <w:p>
            <w:pPr>
              <w:spacing w:after="0"/>
              <w:rPr>
                <w:sz w:val="15"/>
                <w:szCs w:val="15"/>
                <w:color w:val="auto"/>
              </w:rPr>
            </w:pPr>
          </w:p>
        </w:tc>
      </w:tr>
      <w:tr>
        <w:trPr>
          <w:trHeight w:val="223"/>
        </w:trPr>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2820" w:type="dxa"/>
            <w:vAlign w:val="bottom"/>
            <w:gridSpan w:val="2"/>
            <w:shd w:val="clear" w:color="auto" w:fill="CFF0FC"/>
          </w:tcPr>
          <w:p>
            <w:pPr>
              <w:jc w:val="right"/>
              <w:ind w:right="1079"/>
              <w:spacing w:after="0" w:line="169"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131.0</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134.3</w:t>
            </w:r>
          </w:p>
        </w:tc>
      </w:tr>
      <w:tr>
        <w:trPr>
          <w:trHeight w:val="169"/>
        </w:trPr>
        <w:tc>
          <w:tcPr>
            <w:tcW w:w="5820" w:type="dxa"/>
            <w:vAlign w:val="bottom"/>
            <w:tcBorders>
              <w:top w:val="single" w:sz="8" w:color="CFF0FC"/>
            </w:tcBorders>
          </w:tcPr>
          <w:p>
            <w:pPr>
              <w:spacing w:after="0"/>
              <w:rPr>
                <w:sz w:val="14"/>
                <w:szCs w:val="14"/>
                <w:color w:val="auto"/>
              </w:rPr>
            </w:pPr>
          </w:p>
        </w:tc>
        <w:tc>
          <w:tcPr>
            <w:tcW w:w="1580" w:type="dxa"/>
            <w:vAlign w:val="bottom"/>
            <w:tcBorders>
              <w:top w:val="single" w:sz="8" w:color="CFF0F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 basic</w:t>
            </w:r>
          </w:p>
        </w:tc>
        <w:tc>
          <w:tcPr>
            <w:tcW w:w="15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14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71.6</w:t>
            </w: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Dilutive effect of equity compensation</w:t>
            </w:r>
          </w:p>
        </w:tc>
        <w:tc>
          <w:tcPr>
            <w:tcW w:w="15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r>
      <w:tr>
        <w:trPr>
          <w:trHeight w:val="223"/>
        </w:trPr>
        <w:tc>
          <w:tcPr>
            <w:tcW w:w="5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2820" w:type="dxa"/>
            <w:vAlign w:val="bottom"/>
            <w:gridSpan w:val="2"/>
            <w:shd w:val="clear" w:color="auto" w:fill="CFF0FC"/>
          </w:tcPr>
          <w:p>
            <w:pPr>
              <w:jc w:val="right"/>
              <w:ind w:right="1079"/>
              <w:spacing w:after="0" w:line="169"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75.6</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71.8</w:t>
            </w:r>
          </w:p>
        </w:tc>
      </w:tr>
      <w:tr>
        <w:trPr>
          <w:trHeight w:val="169"/>
        </w:trPr>
        <w:tc>
          <w:tcPr>
            <w:tcW w:w="5820" w:type="dxa"/>
            <w:vAlign w:val="bottom"/>
            <w:tcBorders>
              <w:top w:val="single" w:sz="8" w:color="CFF0FC"/>
            </w:tcBorders>
          </w:tcPr>
          <w:p>
            <w:pPr>
              <w:spacing w:after="0"/>
              <w:rPr>
                <w:sz w:val="14"/>
                <w:szCs w:val="14"/>
                <w:color w:val="auto"/>
              </w:rPr>
            </w:pPr>
          </w:p>
        </w:tc>
        <w:tc>
          <w:tcPr>
            <w:tcW w:w="1580" w:type="dxa"/>
            <w:vAlign w:val="bottom"/>
            <w:tcBorders>
              <w:top w:val="single" w:sz="8" w:color="CFF0F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Net income available for common stock, per share - Diluted</w:t>
            </w:r>
          </w:p>
        </w:tc>
        <w:tc>
          <w:tcPr>
            <w:tcW w:w="2820" w:type="dxa"/>
            <w:vAlign w:val="bottom"/>
            <w:gridSpan w:val="2"/>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Anti-dilutive shares excluded from the diluted earnings per share computation were not material for the three months ended March 31, 2026, and 2025.</w:t>
      </w:r>
    </w:p>
    <w:p>
      <w:pPr>
        <w:spacing w:after="0" w:line="383" w:lineRule="exact"/>
        <w:rPr>
          <w:sz w:val="20"/>
          <w:szCs w:val="20"/>
          <w:color w:val="auto"/>
        </w:rPr>
      </w:pPr>
    </w:p>
    <w:p>
      <w:pPr>
        <w:ind w:right="8100" w:firstLine="8"/>
        <w:spacing w:after="0" w:line="493" w:lineRule="auto"/>
        <w:tabs>
          <w:tab w:leader="none" w:pos="50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48" w:lineRule="exact"/>
        <w:rPr>
          <w:sz w:val="20"/>
          <w:szCs w:val="20"/>
          <w:color w:val="auto"/>
        </w:rPr>
      </w:pPr>
    </w:p>
    <w:p>
      <w:pPr>
        <w:ind w:left="900" w:right="80" w:hanging="518"/>
        <w:spacing w:after="0" w:line="259" w:lineRule="auto"/>
        <w:tabs>
          <w:tab w:leader="none" w:pos="90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imposition of new tariffs, recession, inflation, pipeline constraints, and other factors that may impact natural gas and electric supply and demand; and</w:t>
      </w:r>
    </w:p>
    <w:p>
      <w:pPr>
        <w:spacing w:after="0" w:line="69" w:lineRule="exact"/>
        <w:rPr>
          <w:rFonts w:ascii="Times New Roman" w:cs="Times New Roman" w:eastAsia="Times New Roman" w:hAnsi="Times New Roman"/>
          <w:sz w:val="16"/>
          <w:szCs w:val="16"/>
          <w:color w:val="auto"/>
        </w:rPr>
      </w:pPr>
    </w:p>
    <w:p>
      <w:pPr>
        <w:ind w:left="900" w:hanging="518"/>
        <w:spacing w:after="0"/>
        <w:tabs>
          <w:tab w:leader="none" w:pos="90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-45720</wp:posOffset>
            </wp:positionV>
            <wp:extent cx="302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4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Through Black Hills Energy Services, our non-regulated natural gas commodity supplier, we buy, sell, and deliver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through September 2028.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and (short) positions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304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b w:val="1"/>
                <w:bCs w:val="1"/>
                <w:color w:val="auto"/>
              </w:rPr>
              <w:t>March 31, 2026</w:t>
            </w:r>
          </w:p>
        </w:tc>
        <w:tc>
          <w:tcPr>
            <w:tcW w:w="318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December 31, 2025</w:t>
            </w:r>
          </w:p>
        </w:tc>
      </w:tr>
      <w:tr>
        <w:trPr>
          <w:trHeight w:val="142"/>
        </w:trPr>
        <w:tc>
          <w:tcPr>
            <w:tcW w:w="5020" w:type="dxa"/>
            <w:vAlign w:val="bottom"/>
          </w:tcPr>
          <w:p>
            <w:pPr>
              <w:spacing w:after="0"/>
              <w:rPr>
                <w:sz w:val="12"/>
                <w:szCs w:val="12"/>
                <w:color w:val="auto"/>
              </w:rPr>
            </w:pPr>
          </w:p>
        </w:tc>
        <w:tc>
          <w:tcPr>
            <w:tcW w:w="166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Notional Amounts</w:t>
            </w:r>
          </w:p>
        </w:tc>
        <w:tc>
          <w:tcPr>
            <w:tcW w:w="13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c>
          <w:tcPr>
            <w:tcW w:w="166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rPr>
              <w:t>Notional Amounts</w:t>
            </w:r>
          </w:p>
        </w:tc>
        <w:tc>
          <w:tcPr>
            <w:tcW w:w="15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r>
      <w:tr>
        <w:trPr>
          <w:trHeight w:val="230"/>
        </w:trPr>
        <w:tc>
          <w:tcPr>
            <w:tcW w:w="5020" w:type="dxa"/>
            <w:vAlign w:val="bottom"/>
          </w:tcPr>
          <w:p>
            <w:pPr>
              <w:spacing w:after="0"/>
              <w:rPr>
                <w:sz w:val="19"/>
                <w:szCs w:val="19"/>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(MMBtus)</w:t>
            </w:r>
          </w:p>
        </w:tc>
        <w:tc>
          <w:tcPr>
            <w:tcW w:w="13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(MMBtus)</w:t>
            </w:r>
          </w:p>
        </w:tc>
        <w:tc>
          <w:tcPr>
            <w:tcW w:w="1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r>
      <w:tr>
        <w:trPr>
          <w:trHeight w:val="183"/>
        </w:trPr>
        <w:tc>
          <w:tcPr>
            <w:tcW w:w="5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Natural gas futures purchased</w:t>
            </w:r>
          </w:p>
        </w:tc>
        <w:tc>
          <w:tcPr>
            <w:tcW w:w="16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7"/>
              </w:rPr>
              <w:t>N/A</w:t>
            </w:r>
          </w:p>
        </w:tc>
        <w:tc>
          <w:tcPr>
            <w:tcW w:w="1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620,000</w:t>
            </w:r>
          </w:p>
        </w:tc>
        <w:tc>
          <w:tcPr>
            <w:tcW w:w="15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Natural gas options purchased, net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2,750,000</w:t>
            </w:r>
          </w:p>
        </w:tc>
        <w:tc>
          <w:tcPr>
            <w:tcW w:w="152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Natural gas basis swaps purchased</w:t>
            </w:r>
          </w:p>
        </w:tc>
        <w:tc>
          <w:tcPr>
            <w:tcW w:w="16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N/A</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1,040,000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2,610,000</w:t>
            </w:r>
          </w:p>
        </w:tc>
        <w:tc>
          <w:tcPr>
            <w:tcW w:w="1380" w:type="dxa"/>
            <w:vAlign w:val="bottom"/>
          </w:tcPr>
          <w:p>
            <w:pPr>
              <w:jc w:val="center"/>
              <w:spacing w:after="0"/>
              <w:rPr>
                <w:sz w:val="20"/>
                <w:szCs w:val="20"/>
                <w:color w:val="auto"/>
              </w:rPr>
            </w:pPr>
            <w:r>
              <w:rPr>
                <w:rFonts w:ascii="Arial" w:cs="Arial" w:eastAsia="Arial" w:hAnsi="Arial"/>
                <w:sz w:val="16"/>
                <w:szCs w:val="16"/>
                <w:color w:val="auto"/>
              </w:rPr>
              <w:t>29</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3,430,000</w:t>
            </w:r>
          </w:p>
        </w:tc>
        <w:tc>
          <w:tcPr>
            <w:tcW w:w="1520" w:type="dxa"/>
            <w:vAlign w:val="bottom"/>
          </w:tcPr>
          <w:p>
            <w:pPr>
              <w:jc w:val="center"/>
              <w:spacing w:after="0"/>
              <w:rPr>
                <w:sz w:val="20"/>
                <w:szCs w:val="20"/>
                <w:color w:val="auto"/>
              </w:rPr>
            </w:pPr>
            <w:r>
              <w:rPr>
                <w:rFonts w:ascii="Arial" w:cs="Arial" w:eastAsia="Arial" w:hAnsi="Arial"/>
                <w:sz w:val="16"/>
                <w:szCs w:val="16"/>
                <w:color w:val="auto"/>
              </w:rPr>
              <w:t>23</w:t>
            </w:r>
          </w:p>
        </w:tc>
      </w:tr>
      <w:tr>
        <w:trPr>
          <w:trHeight w:val="189"/>
        </w:trPr>
        <w:tc>
          <w:tcPr>
            <w:tcW w:w="502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(942,398)</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12</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14,285,200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March 31, 2026, 625,000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Volumes exclude contracts that qualify for the normal purchases and normal sales exception under GAAP.</w:t>
      </w:r>
    </w:p>
    <w:p>
      <w:pPr>
        <w:spacing w:after="0" w:line="17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March 31, 2026, the Company had no amount related to such provisions, which would be included in Other current assets on the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ind w:right="379"/>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3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Balance Sheet Location</w:t>
            </w:r>
          </w:p>
        </w:tc>
        <w:tc>
          <w:tcPr>
            <w:tcW w:w="174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183"/>
        </w:trPr>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520" w:type="dxa"/>
            <w:vAlign w:val="bottom"/>
            <w:tcBorders>
              <w:bottom w:val="single" w:sz="8" w:color="auto"/>
            </w:tcBorders>
          </w:tcPr>
          <w:p>
            <w:pPr>
              <w:spacing w:after="0"/>
              <w:rPr>
                <w:sz w:val="15"/>
                <w:szCs w:val="15"/>
                <w:color w:val="auto"/>
              </w:rPr>
            </w:pPr>
          </w:p>
        </w:tc>
      </w:tr>
      <w:tr>
        <w:trPr>
          <w:trHeight w:val="183"/>
        </w:trPr>
        <w:tc>
          <w:tcPr>
            <w:tcW w:w="3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hedges:</w:t>
            </w:r>
          </w:p>
        </w:tc>
        <w:tc>
          <w:tcPr>
            <w:tcW w:w="500" w:type="dxa"/>
            <w:vAlign w:val="bottom"/>
            <w:shd w:val="clear" w:color="auto" w:fill="CFF0FC"/>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3600" w:type="dxa"/>
            <w:vAlign w:val="bottom"/>
          </w:tcPr>
          <w:p>
            <w:pPr>
              <w:ind w:left="40"/>
              <w:spacing w:after="0"/>
              <w:rPr>
                <w:sz w:val="20"/>
                <w:szCs w:val="20"/>
                <w:color w:val="auto"/>
              </w:rPr>
            </w:pPr>
            <w:r>
              <w:rPr>
                <w:rFonts w:ascii="Arial" w:cs="Arial" w:eastAsia="Arial" w:hAnsi="Arial"/>
                <w:sz w:val="16"/>
                <w:szCs w:val="16"/>
                <w:color w:val="auto"/>
              </w:rPr>
              <w:t>Liability derivative instruments:</w:t>
            </w:r>
          </w:p>
        </w:tc>
        <w:tc>
          <w:tcPr>
            <w:tcW w:w="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3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commodity derivatives</w:t>
            </w: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Derivative liabilities, current</w:t>
            </w:r>
          </w:p>
        </w:tc>
        <w:tc>
          <w:tcPr>
            <w:tcW w:w="1740" w:type="dxa"/>
            <w:vAlign w:val="bottom"/>
            <w:gridSpan w:val="2"/>
            <w:shd w:val="clear" w:color="auto" w:fill="CFF0FC"/>
          </w:tcPr>
          <w:p>
            <w:pPr>
              <w:jc w:val="right"/>
              <w:ind w:right="11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183"/>
        </w:trPr>
        <w:tc>
          <w:tcPr>
            <w:tcW w:w="3600" w:type="dxa"/>
            <w:vAlign w:val="bottom"/>
          </w:tcPr>
          <w:p>
            <w:pPr>
              <w:spacing w:after="0" w:line="169" w:lineRule="exact"/>
              <w:rPr>
                <w:sz w:val="20"/>
                <w:szCs w:val="20"/>
                <w:color w:val="auto"/>
              </w:rPr>
            </w:pPr>
            <w:r>
              <w:rPr>
                <w:rFonts w:ascii="Arial" w:cs="Arial" w:eastAsia="Arial" w:hAnsi="Arial"/>
                <w:sz w:val="16"/>
                <w:szCs w:val="16"/>
                <w:color w:val="auto"/>
              </w:rPr>
              <w:t>Total derivatives designated as hedges</w:t>
            </w:r>
          </w:p>
        </w:tc>
        <w:tc>
          <w:tcPr>
            <w:tcW w:w="5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ind w:right="1182"/>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(0.7)</w:t>
            </w:r>
          </w:p>
        </w:tc>
        <w:tc>
          <w:tcPr>
            <w:tcW w:w="360" w:type="dxa"/>
            <w:vAlign w:val="bottom"/>
            <w:tcBorders>
              <w:top w:val="single" w:sz="8" w:color="auto"/>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(2.8)</w:t>
            </w:r>
          </w:p>
        </w:tc>
      </w:tr>
      <w:tr>
        <w:trPr>
          <w:trHeight w:val="20"/>
        </w:trPr>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3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9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Derivatives not designated as hedges:</w:t>
            </w:r>
          </w:p>
        </w:tc>
        <w:tc>
          <w:tcPr>
            <w:tcW w:w="5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3600" w:type="dxa"/>
            <w:vAlign w:val="bottom"/>
            <w:shd w:val="clear" w:color="auto" w:fill="CFF0FC"/>
          </w:tcPr>
          <w:p>
            <w:pPr>
              <w:ind w:left="40"/>
              <w:spacing w:after="0"/>
              <w:rPr>
                <w:sz w:val="20"/>
                <w:szCs w:val="20"/>
                <w:color w:val="auto"/>
              </w:rPr>
            </w:pPr>
            <w:r>
              <w:rPr>
                <w:rFonts w:ascii="Arial" w:cs="Arial" w:eastAsia="Arial" w:hAnsi="Arial"/>
                <w:sz w:val="16"/>
                <w:szCs w:val="16"/>
                <w:color w:val="auto"/>
              </w:rPr>
              <w:t>Liability derivative instruments:</w:t>
            </w:r>
          </w:p>
        </w:tc>
        <w:tc>
          <w:tcPr>
            <w:tcW w:w="500" w:type="dxa"/>
            <w:vAlign w:val="bottom"/>
            <w:shd w:val="clear" w:color="auto" w:fill="CFF0FC"/>
          </w:tcPr>
          <w:p>
            <w:pPr>
              <w:spacing w:after="0"/>
              <w:rPr>
                <w:sz w:val="16"/>
                <w:szCs w:val="16"/>
                <w:color w:val="auto"/>
              </w:rPr>
            </w:pPr>
          </w:p>
        </w:tc>
        <w:tc>
          <w:tcPr>
            <w:tcW w:w="29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189"/>
        </w:trPr>
        <w:tc>
          <w:tcPr>
            <w:tcW w:w="3600" w:type="dxa"/>
            <w:vAlign w:val="bottom"/>
          </w:tcPr>
          <w:p>
            <w:pPr>
              <w:ind w:left="80"/>
              <w:spacing w:after="0"/>
              <w:rPr>
                <w:sz w:val="20"/>
                <w:szCs w:val="20"/>
                <w:color w:val="auto"/>
              </w:rPr>
            </w:pPr>
            <w:r>
              <w:rPr>
                <w:rFonts w:ascii="Arial" w:cs="Arial" w:eastAsia="Arial" w:hAnsi="Arial"/>
                <w:sz w:val="16"/>
                <w:szCs w:val="16"/>
                <w:color w:val="auto"/>
              </w:rPr>
              <w:t>Current commodity derivatives</w:t>
            </w:r>
          </w:p>
        </w:tc>
        <w:tc>
          <w:tcPr>
            <w:tcW w:w="3480" w:type="dxa"/>
            <w:vAlign w:val="bottom"/>
            <w:gridSpan w:val="2"/>
          </w:tcPr>
          <w:p>
            <w:pPr>
              <w:ind w:left="500"/>
              <w:spacing w:after="0"/>
              <w:rPr>
                <w:sz w:val="20"/>
                <w:szCs w:val="20"/>
                <w:color w:val="auto"/>
              </w:rPr>
            </w:pPr>
            <w:r>
              <w:rPr>
                <w:rFonts w:ascii="Arial" w:cs="Arial" w:eastAsia="Arial" w:hAnsi="Arial"/>
                <w:sz w:val="16"/>
                <w:szCs w:val="16"/>
                <w:color w:val="auto"/>
              </w:rPr>
              <w:t>Derivative liabilities, current</w:t>
            </w:r>
          </w:p>
        </w:tc>
        <w:tc>
          <w:tcPr>
            <w:tcW w:w="1740" w:type="dxa"/>
            <w:vAlign w:val="bottom"/>
            <w:gridSpan w:val="2"/>
          </w:tcPr>
          <w:p>
            <w:pPr>
              <w:jc w:val="right"/>
              <w:ind w:right="118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2"/>
        </w:trPr>
        <w:tc>
          <w:tcPr>
            <w:tcW w:w="360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derivatives not designated as hedges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ind w:right="1182"/>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(1.1)</w:t>
            </w:r>
          </w:p>
        </w:tc>
        <w:tc>
          <w:tcPr>
            <w:tcW w:w="360" w:type="dxa"/>
            <w:vAlign w:val="bottom"/>
            <w:tcBorders>
              <w:top w:val="single" w:sz="8" w:color="auto"/>
              <w:bottom w:val="single" w:sz="8" w:color="auto"/>
            </w:tcBorders>
            <w:shd w:val="clear" w:color="auto" w:fill="CFF0FC"/>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(3.0)</w:t>
            </w:r>
          </w:p>
        </w:tc>
      </w:tr>
      <w:tr>
        <w:trPr>
          <w:trHeight w:val="397"/>
        </w:trPr>
        <w:tc>
          <w:tcPr>
            <w:tcW w:w="3600" w:type="dxa"/>
            <w:vAlign w:val="bottom"/>
          </w:tcPr>
          <w:p>
            <w:pPr>
              <w:spacing w:after="0"/>
              <w:rPr>
                <w:sz w:val="24"/>
                <w:szCs w:val="24"/>
                <w:color w:val="auto"/>
              </w:rPr>
            </w:pPr>
          </w:p>
        </w:tc>
        <w:tc>
          <w:tcPr>
            <w:tcW w:w="3480" w:type="dxa"/>
            <w:vAlign w:val="bottom"/>
            <w:gridSpan w:val="2"/>
          </w:tcPr>
          <w:p>
            <w:pPr>
              <w:jc w:val="right"/>
              <w:ind w:right="1279"/>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51"/>
        </w:trPr>
        <w:tc>
          <w:tcPr>
            <w:tcW w:w="3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are presented below for the three months ended March 31, 2026, and 2025.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March 31,</w:t>
            </w:r>
          </w:p>
        </w:tc>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March 31,</w:t>
            </w:r>
          </w:p>
        </w:tc>
      </w:tr>
      <w:tr>
        <w:trPr>
          <w:trHeight w:val="203"/>
        </w:trPr>
        <w:tc>
          <w:tcPr>
            <w:tcW w:w="3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r>
      <w:tr>
        <w:trPr>
          <w:trHeight w:val="168"/>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179"/>
              <w:spacing w:after="0" w:line="168"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19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Amount of Gain/(Loss)</w:t>
            </w:r>
          </w:p>
        </w:tc>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03"/>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Recognized in OCI</w:t>
            </w:r>
          </w:p>
        </w:tc>
        <w:tc>
          <w:tcPr>
            <w:tcW w:w="344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Income Statement Location</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183"/>
        </w:trPr>
        <w:tc>
          <w:tcPr>
            <w:tcW w:w="36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840" w:type="dxa"/>
            <w:vAlign w:val="bottom"/>
            <w:tcBorders>
              <w:bottom w:val="single" w:sz="8" w:color="auto"/>
            </w:tcBorders>
            <w:gridSpan w:val="3"/>
            <w:shd w:val="clear" w:color="auto" w:fill="CFF0FC"/>
          </w:tcPr>
          <w:p>
            <w:pPr>
              <w:jc w:val="center"/>
              <w:ind w:right="139"/>
              <w:spacing w:after="0" w:line="183" w:lineRule="exact"/>
              <w:rPr>
                <w:sz w:val="20"/>
                <w:szCs w:val="20"/>
                <w:color w:val="auto"/>
              </w:rPr>
            </w:pPr>
            <w:r>
              <w:rPr>
                <w:rFonts w:ascii="Arial" w:cs="Arial" w:eastAsia="Arial" w:hAnsi="Arial"/>
                <w:sz w:val="16"/>
                <w:szCs w:val="16"/>
                <w:color w:val="auto"/>
              </w:rPr>
              <w:t>(in millions)</w:t>
            </w:r>
          </w:p>
        </w:tc>
        <w:tc>
          <w:tcPr>
            <w:tcW w:w="34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100" w:type="dxa"/>
            <w:vAlign w:val="bottom"/>
            <w:tcBorders>
              <w:bottom w:val="single" w:sz="8" w:color="auto"/>
            </w:tcBorders>
            <w:gridSpan w:val="3"/>
            <w:shd w:val="clear" w:color="auto" w:fill="CFF0FC"/>
          </w:tcPr>
          <w:p>
            <w:pPr>
              <w:jc w:val="center"/>
              <w:ind w:right="1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3600" w:type="dxa"/>
            <w:vAlign w:val="bottom"/>
          </w:tcPr>
          <w:p>
            <w:pPr>
              <w:spacing w:after="0" w:line="183" w:lineRule="exact"/>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0.7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0.8</w:t>
            </w:r>
          </w:p>
        </w:tc>
        <w:tc>
          <w:tcPr>
            <w:tcW w:w="3440" w:type="dxa"/>
            <w:vAlign w:val="bottom"/>
          </w:tcPr>
          <w:p>
            <w:pPr>
              <w:spacing w:after="0" w:line="183" w:lineRule="exact"/>
              <w:rPr>
                <w:sz w:val="20"/>
                <w:szCs w:val="20"/>
                <w:color w:val="auto"/>
              </w:rPr>
            </w:pPr>
            <w:r>
              <w:rPr>
                <w:rFonts w:ascii="Arial" w:cs="Arial" w:eastAsia="Arial" w:hAnsi="Arial"/>
                <w:sz w:val="16"/>
                <w:szCs w:val="16"/>
                <w:color w:val="auto"/>
              </w:rPr>
              <w:t>Interest expense</w:t>
            </w:r>
          </w:p>
        </w:tc>
        <w:tc>
          <w:tcPr>
            <w:tcW w:w="1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(0.7)</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(0.8)</w:t>
            </w:r>
          </w:p>
        </w:tc>
      </w:tr>
      <w:tr>
        <w:trPr>
          <w:trHeight w:val="175"/>
        </w:trPr>
        <w:tc>
          <w:tcPr>
            <w:tcW w:w="3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Fuel, purchased power, and cost of natural gas</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203"/>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sold</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183"/>
        </w:trPr>
        <w:tc>
          <w:tcPr>
            <w:tcW w:w="3600" w:type="dxa"/>
            <w:vAlign w:val="bottom"/>
          </w:tcPr>
          <w:p>
            <w:pPr>
              <w:ind w:left="100"/>
              <w:spacing w:after="0" w:line="169" w:lineRule="exact"/>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c>
          <w:tcPr>
            <w:tcW w:w="2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1.3</w:t>
            </w:r>
          </w:p>
        </w:tc>
        <w:tc>
          <w:tcPr>
            <w:tcW w:w="3440" w:type="dxa"/>
            <w:vAlign w:val="bottom"/>
          </w:tcPr>
          <w:p>
            <w:pPr>
              <w:spacing w:after="0"/>
              <w:rPr>
                <w:sz w:val="15"/>
                <w:szCs w:val="15"/>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(2.4)</w:t>
            </w:r>
          </w:p>
        </w:tc>
        <w:tc>
          <w:tcPr>
            <w:tcW w:w="2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(1.2)</w:t>
            </w:r>
          </w:p>
        </w:tc>
      </w:tr>
      <w:tr>
        <w:trPr>
          <w:trHeight w:val="20"/>
        </w:trPr>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-521970</wp:posOffset>
            </wp:positionV>
            <wp:extent cx="2219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-153670</wp:posOffset>
            </wp:positionV>
            <wp:extent cx="221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5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March 31, 2026, $2.2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months ended March 31, 2026, and 2025.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6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Derivatives Not Designated as Hedging</w:t>
            </w:r>
          </w:p>
        </w:tc>
        <w:tc>
          <w:tcPr>
            <w:tcW w:w="36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rPr>
              <w:t>Location of Gain/(Loss) on Derivatives</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4080" w:type="dxa"/>
            <w:vAlign w:val="bottom"/>
            <w:gridSpan w:val="4"/>
          </w:tcPr>
          <w:p>
            <w:pPr>
              <w:jc w:val="center"/>
              <w:ind w:right="79"/>
              <w:spacing w:after="0" w:line="168"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right="779"/>
              <w:spacing w:after="0"/>
              <w:rPr>
                <w:sz w:val="20"/>
                <w:szCs w:val="20"/>
                <w:color w:val="auto"/>
              </w:rPr>
            </w:pPr>
            <w:r>
              <w:rPr>
                <w:rFonts w:ascii="Arial" w:cs="Arial" w:eastAsia="Arial" w:hAnsi="Arial"/>
                <w:sz w:val="16"/>
                <w:szCs w:val="16"/>
                <w:b w:val="1"/>
                <w:bCs w:val="1"/>
                <w:color w:val="auto"/>
              </w:rPr>
              <w:t>in Income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center"/>
              <w:ind w:right="759"/>
              <w:spacing w:after="0" w:line="183" w:lineRule="exact"/>
              <w:rPr>
                <w:sz w:val="20"/>
                <w:szCs w:val="20"/>
                <w:color w:val="auto"/>
              </w:rPr>
            </w:pPr>
            <w:r>
              <w:rPr>
                <w:rFonts w:ascii="Arial" w:cs="Arial" w:eastAsia="Arial" w:hAnsi="Arial"/>
                <w:sz w:val="16"/>
                <w:szCs w:val="16"/>
                <w:color w:val="auto"/>
              </w:rPr>
              <w:t>(in millions)</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FF0FC"/>
          </w:tcPr>
          <w:p>
            <w:pPr>
              <w:spacing w:after="0"/>
              <w:rPr>
                <w:sz w:val="14"/>
                <w:szCs w:val="14"/>
                <w:color w:val="auto"/>
              </w:rPr>
            </w:pPr>
          </w:p>
        </w:tc>
        <w:tc>
          <w:tcPr>
            <w:tcW w:w="3640" w:type="dxa"/>
            <w:vAlign w:val="bottom"/>
            <w:shd w:val="clear" w:color="auto" w:fill="CFF0FC"/>
          </w:tcPr>
          <w:p>
            <w:pPr>
              <w:jc w:val="center"/>
              <w:ind w:left="19"/>
              <w:spacing w:after="0" w:line="168" w:lineRule="exact"/>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460" w:type="dxa"/>
            <w:vAlign w:val="bottom"/>
            <w:vMerge w:val="restart"/>
            <w:shd w:val="clear" w:color="auto" w:fill="CFF0FC"/>
          </w:tcPr>
          <w:p>
            <w:pPr>
              <w:jc w:val="right"/>
              <w:ind w:right="123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3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146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0.3</w:t>
            </w:r>
          </w:p>
        </w:tc>
        <w:tc>
          <w:tcPr>
            <w:tcW w:w="1460" w:type="dxa"/>
            <w:vAlign w:val="bottom"/>
            <w:tcBorders>
              <w:bottom w:val="single" w:sz="8" w:color="auto"/>
            </w:tcBorders>
          </w:tcPr>
          <w:p>
            <w:pPr>
              <w:jc w:val="right"/>
              <w:ind w:right="123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were $0.0 million and $4.6 million as of March 31, 2026, and December 31, 2025, respectively.</w:t>
      </w:r>
    </w:p>
    <w:p>
      <w:pPr>
        <w:spacing w:after="0" w:line="34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2025 Annual Report on Form 10-K.</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gridSpan w:val="4"/>
          </w:tcPr>
          <w:p>
            <w:pPr>
              <w:ind w:left="120"/>
              <w:spacing w:after="0"/>
              <w:rPr>
                <w:sz w:val="20"/>
                <w:szCs w:val="20"/>
                <w:color w:val="auto"/>
              </w:rPr>
            </w:pPr>
            <w:r>
              <w:rPr>
                <w:rFonts w:ascii="Arial" w:cs="Arial" w:eastAsia="Arial" w:hAnsi="Arial"/>
                <w:sz w:val="16"/>
                <w:szCs w:val="16"/>
                <w:b w:val="1"/>
                <w:bCs w:val="1"/>
                <w:color w:val="auto"/>
              </w:rPr>
              <w:t>As of March 31, 2026</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ind w:right="123"/>
              <w:spacing w:after="0"/>
              <w:rPr>
                <w:sz w:val="20"/>
                <w:szCs w:val="20"/>
                <w:color w:val="auto"/>
              </w:rPr>
            </w:pPr>
            <w:r>
              <w:rPr>
                <w:rFonts w:ascii="Arial" w:cs="Arial" w:eastAsia="Arial" w:hAnsi="Arial"/>
                <w:sz w:val="16"/>
                <w:szCs w:val="16"/>
                <w:b w:val="1"/>
                <w:bCs w:val="1"/>
                <w:color w:val="auto"/>
              </w:rPr>
              <w:t>Cash Collateral and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gridSpan w:val="2"/>
          </w:tcPr>
          <w:p>
            <w:pPr>
              <w:jc w:val="center"/>
              <w:ind w:right="23"/>
              <w:spacing w:after="0" w:line="163" w:lineRule="exact"/>
              <w:rPr>
                <w:sz w:val="20"/>
                <w:szCs w:val="20"/>
                <w:color w:val="auto"/>
              </w:rPr>
            </w:pPr>
            <w:r>
              <w:rPr>
                <w:rFonts w:ascii="Arial" w:cs="Arial" w:eastAsia="Arial" w:hAnsi="Arial"/>
                <w:sz w:val="16"/>
                <w:szCs w:val="16"/>
                <w:b w:val="1"/>
                <w:bCs w:val="1"/>
                <w:color w:val="auto"/>
              </w:rPr>
              <w:t>Counterparty Netting</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ind w:left="140"/>
              <w:spacing w:after="0" w:line="162" w:lineRule="exact"/>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0"/>
                <w:szCs w:val="10"/>
                <w:color w:val="auto"/>
              </w:rPr>
            </w:pPr>
          </w:p>
        </w:tc>
        <w:tc>
          <w:tcPr>
            <w:tcW w:w="1060" w:type="dxa"/>
            <w:vAlign w:val="bottom"/>
            <w:vMerge w:val="restart"/>
          </w:tcPr>
          <w:p>
            <w:pPr>
              <w:jc w:val="right"/>
              <w:ind w:right="299"/>
              <w:spacing w:after="0" w:line="16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0"/>
                <w:szCs w:val="10"/>
                <w:color w:val="auto"/>
              </w:rPr>
            </w:pPr>
          </w:p>
        </w:tc>
        <w:tc>
          <w:tcPr>
            <w:tcW w:w="1100" w:type="dxa"/>
            <w:vAlign w:val="bottom"/>
            <w:vMerge w:val="restart"/>
          </w:tcPr>
          <w:p>
            <w:pPr>
              <w:ind w:left="120"/>
              <w:spacing w:after="0" w:line="162"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1720" w:type="dxa"/>
            <w:vAlign w:val="bottom"/>
          </w:tcPr>
          <w:p>
            <w:pPr>
              <w:jc w:val="center"/>
              <w:ind w:right="83"/>
              <w:spacing w:after="0" w:line="122" w:lineRule="exact"/>
              <w:rPr>
                <w:sz w:val="20"/>
                <w:szCs w:val="20"/>
                <w:color w:val="auto"/>
              </w:rPr>
            </w:pPr>
            <w:r>
              <w:rPr>
                <w:rFonts w:ascii="Arial" w:cs="Arial" w:eastAsia="Arial" w:hAnsi="Arial"/>
                <w:sz w:val="11"/>
                <w:szCs w:val="11"/>
                <w:b w:val="1"/>
                <w:bCs w:val="1"/>
                <w:color w:val="auto"/>
                <w:w w:val="88"/>
              </w:rPr>
              <w:t>(a)</w:t>
            </w:r>
          </w:p>
        </w:tc>
        <w:tc>
          <w:tcPr>
            <w:tcW w:w="300" w:type="dxa"/>
            <w:vAlign w:val="bottom"/>
          </w:tcPr>
          <w:p>
            <w:pPr>
              <w:spacing w:after="0"/>
              <w:rPr>
                <w:sz w:val="10"/>
                <w:szCs w:val="10"/>
                <w:color w:val="auto"/>
              </w:rPr>
            </w:pPr>
          </w:p>
        </w:tc>
        <w:tc>
          <w:tcPr>
            <w:tcW w:w="1080" w:type="dxa"/>
            <w:vAlign w:val="bottom"/>
            <w:vMerge w:val="restart"/>
          </w:tcPr>
          <w:p>
            <w:pPr>
              <w:jc w:val="right"/>
              <w:ind w:right="43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4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FF0FC"/>
          </w:tcPr>
          <w:p>
            <w:pPr>
              <w:ind w:left="1500"/>
              <w:spacing w:after="0" w:line="169"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4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FF0FC"/>
          </w:tcPr>
          <w:p>
            <w:pPr>
              <w:ind w:left="1500"/>
              <w:spacing w:after="0" w:line="169"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0" w:hanging="512"/>
        <w:spacing w:after="0" w:line="285"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March 31, 2026, $0.0 million of our commodity derivative assets and $1.8 million of our commodity derivative liabilities, as well as related gross collateral amounts, were subject to master netting agreements.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4"/>
          </w:tcPr>
          <w:p>
            <w:pPr>
              <w:jc w:val="right"/>
              <w:ind w:right="1283"/>
              <w:spacing w:after="0"/>
              <w:rPr>
                <w:sz w:val="20"/>
                <w:szCs w:val="20"/>
                <w:color w:val="auto"/>
              </w:rPr>
            </w:pPr>
            <w:r>
              <w:rPr>
                <w:rFonts w:ascii="Arial" w:cs="Arial" w:eastAsia="Arial" w:hAnsi="Arial"/>
                <w:sz w:val="16"/>
                <w:szCs w:val="16"/>
                <w:b w:val="1"/>
                <w:bCs w:val="1"/>
                <w:color w:val="auto"/>
              </w:rPr>
              <w:t>As of December 31, 2025</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63"/>
              <w:spacing w:after="0"/>
              <w:rPr>
                <w:sz w:val="20"/>
                <w:szCs w:val="20"/>
                <w:color w:val="auto"/>
              </w:rPr>
            </w:pPr>
            <w:r>
              <w:rPr>
                <w:rFonts w:ascii="Arial" w:cs="Arial" w:eastAsia="Arial" w:hAnsi="Arial"/>
                <w:sz w:val="16"/>
                <w:szCs w:val="16"/>
                <w:b w:val="1"/>
                <w:bCs w:val="1"/>
                <w:color w:val="auto"/>
              </w:rPr>
              <w:t>Cash Collateral and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98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Level 3</w:t>
            </w:r>
          </w:p>
        </w:tc>
        <w:tc>
          <w:tcPr>
            <w:tcW w:w="1880" w:type="dxa"/>
            <w:vAlign w:val="bottom"/>
            <w:gridSpan w:val="2"/>
          </w:tcPr>
          <w:p>
            <w:pPr>
              <w:jc w:val="center"/>
              <w:ind w:right="23"/>
              <w:spacing w:after="0" w:line="163" w:lineRule="exact"/>
              <w:rPr>
                <w:sz w:val="20"/>
                <w:szCs w:val="20"/>
                <w:color w:val="auto"/>
              </w:rPr>
            </w:pPr>
            <w:r>
              <w:rPr>
                <w:rFonts w:ascii="Arial" w:cs="Arial" w:eastAsia="Arial" w:hAnsi="Arial"/>
                <w:sz w:val="16"/>
                <w:szCs w:val="16"/>
                <w:b w:val="1"/>
                <w:bCs w:val="1"/>
                <w:color w:val="auto"/>
              </w:rPr>
              <w:t>Counterparty Netting</w:t>
            </w:r>
          </w:p>
        </w:tc>
        <w:tc>
          <w:tcPr>
            <w:tcW w:w="260" w:type="dxa"/>
            <w:vAlign w:val="bottom"/>
          </w:tcPr>
          <w:p>
            <w:pPr>
              <w:spacing w:after="0"/>
              <w:rPr>
                <w:sz w:val="14"/>
                <w:szCs w:val="14"/>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rPr>
              <w:t>(a)</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9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98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823"/>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79"/>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98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823"/>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79"/>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8.8</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400" w:hanging="512"/>
        <w:spacing w:after="0" w:line="249"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December 31, 2025, $2.0 million of our commodity derivative assets and $3.0 million of our commodity derivative liabilities, as well as related gross collateral amounts, were subject to master netting agreements.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fair value of our pension and postretirement plan assets is presented in Note 13 to the Consolidated Financial Statements included in our 2025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Captive Insurance Cell Investments</w:t>
      </w:r>
    </w:p>
    <w:p>
      <w:pPr>
        <w:spacing w:after="0" w:line="192"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We have investments in the Captive that may be used to pay insurance losses in the event of certain insured loss events. The Captive may hold investment assets in cash, cash equivalents, and equity and fixed income instruments. These investments are restricted for insured loss events. Additional information regarding the Captive is presented in Note 12 to the Consolidated Financial Statements included in our 2025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March 31, 2026</w:t>
            </w:r>
          </w:p>
        </w:tc>
        <w:tc>
          <w:tcPr>
            <w:tcW w:w="5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5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Carrying Amount</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Fair Value</w:t>
            </w:r>
          </w:p>
        </w:tc>
        <w:tc>
          <w:tcPr>
            <w:tcW w:w="1460" w:type="dxa"/>
            <w:vAlign w:val="bottom"/>
            <w:tcBorders>
              <w:bottom w:val="single" w:sz="8" w:color="auto"/>
            </w:tcBorders>
            <w:gridSpan w:val="2"/>
          </w:tcPr>
          <w:p>
            <w:pPr>
              <w:ind w:left="60"/>
              <w:spacing w:after="0" w:line="183"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Fair Value</w:t>
            </w:r>
          </w:p>
        </w:tc>
      </w:tr>
      <w:tr>
        <w:trPr>
          <w:trHeight w:val="183"/>
        </w:trPr>
        <w:tc>
          <w:tcPr>
            <w:tcW w:w="54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780"/>
              <w:spacing w:after="0" w:line="183" w:lineRule="exact"/>
              <w:rPr>
                <w:sz w:val="20"/>
                <w:szCs w:val="20"/>
                <w:color w:val="auto"/>
              </w:rPr>
            </w:pPr>
            <w:r>
              <w:rPr>
                <w:rFonts w:ascii="Arial" w:cs="Arial" w:eastAsia="Arial" w:hAnsi="Arial"/>
                <w:sz w:val="16"/>
                <w:szCs w:val="16"/>
                <w:color w:val="auto"/>
              </w:rPr>
              <w:t>(in millions)</w:t>
            </w: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4,402.5</w:t>
            </w:r>
          </w:p>
        </w:tc>
        <w:tc>
          <w:tcPr>
            <w:tcW w:w="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4,264.7</w:t>
            </w:r>
          </w:p>
        </w:tc>
        <w:tc>
          <w:tcPr>
            <w:tcW w:w="52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4,701.1</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220" w:hanging="512"/>
        <w:spacing w:after="0" w:line="285"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1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Amount Reclassified from AOCI</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35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Location on the Consolidated Statements</w:t>
            </w: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of Income</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left="739"/>
              <w:spacing w:after="0" w:line="183" w:lineRule="exact"/>
              <w:rPr>
                <w:sz w:val="20"/>
                <w:szCs w:val="20"/>
                <w:color w:val="auto"/>
              </w:rPr>
            </w:pPr>
            <w:r>
              <w:rPr>
                <w:rFonts w:ascii="Arial" w:cs="Arial" w:eastAsia="Arial" w:hAnsi="Arial"/>
                <w:sz w:val="16"/>
                <w:szCs w:val="16"/>
                <w:color w:val="auto"/>
                <w:w w:val="98"/>
              </w:rPr>
              <w:t>(in millions)</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Gains and (losses) on cash flow hedges:</w:t>
            </w:r>
          </w:p>
        </w:tc>
        <w:tc>
          <w:tcPr>
            <w:tcW w:w="3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Interest rate swaps</w:t>
            </w:r>
          </w:p>
        </w:tc>
        <w:tc>
          <w:tcPr>
            <w:tcW w:w="35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(0.7)</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15"/>
                <w:szCs w:val="15"/>
                <w:color w:val="auto"/>
              </w:rPr>
            </w:pPr>
          </w:p>
        </w:tc>
        <w:tc>
          <w:tcPr>
            <w:tcW w:w="350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Fuel, purchased power, and cost of natural</w:t>
            </w:r>
          </w:p>
        </w:tc>
        <w:tc>
          <w:tcPr>
            <w:tcW w:w="20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46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contracts</w:t>
            </w:r>
          </w:p>
        </w:tc>
        <w:tc>
          <w:tcPr>
            <w:tcW w:w="3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gas sold</w:t>
            </w: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46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w:t>
            </w:r>
          </w:p>
        </w:tc>
        <w:tc>
          <w:tcPr>
            <w:tcW w:w="3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4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68"/>
        </w:trPr>
        <w:tc>
          <w:tcPr>
            <w:tcW w:w="4580" w:type="dxa"/>
            <w:vAlign w:val="bottom"/>
          </w:tcPr>
          <w:p>
            <w:pPr>
              <w:spacing w:after="0" w:line="168" w:lineRule="exact"/>
              <w:rPr>
                <w:sz w:val="20"/>
                <w:szCs w:val="20"/>
                <w:color w:val="auto"/>
              </w:rPr>
            </w:pPr>
            <w:r>
              <w:rPr>
                <w:rFonts w:ascii="Arial" w:cs="Arial" w:eastAsia="Arial" w:hAnsi="Arial"/>
                <w:sz w:val="16"/>
                <w:szCs w:val="16"/>
                <w:color w:val="auto"/>
              </w:rPr>
              <w:t>Total reclassification adjustments related to cash flow hedges,</w:t>
            </w:r>
          </w:p>
        </w:tc>
        <w:tc>
          <w:tcPr>
            <w:tcW w:w="35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46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Arial" w:cs="Arial" w:eastAsia="Arial" w:hAnsi="Arial"/>
                <w:sz w:val="16"/>
                <w:szCs w:val="16"/>
                <w:color w:val="auto"/>
              </w:rPr>
              <w:t>net of tax</w:t>
            </w:r>
          </w:p>
        </w:tc>
        <w:tc>
          <w:tcPr>
            <w:tcW w:w="35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shd w:val="clear" w:color="auto" w:fill="CFF0FC"/>
          </w:tcPr>
          <w:p>
            <w:pPr>
              <w:spacing w:after="0"/>
              <w:rPr>
                <w:sz w:val="15"/>
                <w:szCs w:val="15"/>
                <w:color w:val="auto"/>
              </w:rPr>
            </w:pPr>
          </w:p>
        </w:tc>
        <w:tc>
          <w:tcPr>
            <w:tcW w:w="3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Amortization of components of defined benefit plans:</w:t>
            </w: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Actuarial (loss)</w:t>
            </w:r>
          </w:p>
        </w:tc>
        <w:tc>
          <w:tcPr>
            <w:tcW w:w="3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Operations and maintenance</w:t>
            </w: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4580" w:type="dxa"/>
            <w:vAlign w:val="bottom"/>
          </w:tcPr>
          <w:p>
            <w:pPr>
              <w:spacing w:after="0" w:line="155" w:lineRule="exact"/>
              <w:rPr>
                <w:sz w:val="20"/>
                <w:szCs w:val="20"/>
                <w:color w:val="auto"/>
              </w:rPr>
            </w:pPr>
            <w:r>
              <w:rPr>
                <w:rFonts w:ascii="Arial" w:cs="Arial" w:eastAsia="Arial" w:hAnsi="Arial"/>
                <w:sz w:val="16"/>
                <w:szCs w:val="16"/>
                <w:color w:val="auto"/>
              </w:rPr>
              <w:t>Total reclassification adjustments related to defined benefit</w:t>
            </w:r>
          </w:p>
        </w:tc>
        <w:tc>
          <w:tcPr>
            <w:tcW w:w="3500" w:type="dxa"/>
            <w:vAlign w:val="bottom"/>
          </w:tcPr>
          <w:p>
            <w:pPr>
              <w:spacing w:after="0"/>
              <w:rPr>
                <w:sz w:val="13"/>
                <w:szCs w:val="13"/>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46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Arial" w:cs="Arial" w:eastAsia="Arial" w:hAnsi="Arial"/>
                <w:sz w:val="16"/>
                <w:szCs w:val="16"/>
                <w:color w:val="auto"/>
              </w:rPr>
              <w:t>plans, net of tax</w:t>
            </w:r>
          </w:p>
        </w:tc>
        <w:tc>
          <w:tcPr>
            <w:tcW w:w="35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reclassifications</w:t>
            </w:r>
          </w:p>
        </w:tc>
        <w:tc>
          <w:tcPr>
            <w:tcW w:w="3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(2.0)</w:t>
            </w:r>
          </w:p>
        </w:tc>
        <w:tc>
          <w:tcPr>
            <w:tcW w:w="460" w:type="dxa"/>
            <w:vAlign w:val="bottom"/>
            <w:tcBorders>
              <w:bottom w:val="single" w:sz="8" w:color="auto"/>
            </w:tcBorders>
            <w:shd w:val="clear" w:color="auto" w:fill="CFF0FC"/>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97"/>
        </w:trPr>
        <w:tc>
          <w:tcPr>
            <w:tcW w:w="4580" w:type="dxa"/>
            <w:vAlign w:val="bottom"/>
          </w:tcPr>
          <w:p>
            <w:pPr>
              <w:spacing w:after="0"/>
              <w:rPr>
                <w:sz w:val="24"/>
                <w:szCs w:val="24"/>
                <w:color w:val="auto"/>
              </w:rPr>
            </w:pPr>
          </w:p>
        </w:tc>
        <w:tc>
          <w:tcPr>
            <w:tcW w:w="3500" w:type="dxa"/>
            <w:vAlign w:val="bottom"/>
          </w:tcPr>
          <w:p>
            <w:pPr>
              <w:ind w:left="96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5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Derivatives Designated as Cash Flow Hedges</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Employee Benefit</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Commodity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Interest Rate Swaps</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Derivatives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Plans</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4"/>
          </w:tcPr>
          <w:p>
            <w:pPr>
              <w:jc w:val="right"/>
              <w:ind w:right="151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2025</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w:t>
            </w:r>
          </w:p>
        </w:tc>
        <w:tc>
          <w:tcPr>
            <w:tcW w:w="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5"/>
        </w:trPr>
        <w:tc>
          <w:tcPr>
            <w:tcW w:w="316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7"/>
                <w:szCs w:val="17"/>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FF0FC"/>
          </w:tcPr>
          <w:p>
            <w:pPr>
              <w:spacing w:after="0"/>
              <w:rPr>
                <w:sz w:val="16"/>
                <w:szCs w:val="16"/>
                <w:color w:val="auto"/>
              </w:rPr>
            </w:pPr>
          </w:p>
        </w:tc>
        <w:tc>
          <w:tcPr>
            <w:tcW w:w="2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28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w:t>
            </w:r>
          </w:p>
        </w:tc>
        <w:tc>
          <w:tcPr>
            <w:tcW w:w="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3160" w:type="dxa"/>
            <w:vAlign w:val="bottom"/>
          </w:tcPr>
          <w:p>
            <w:pPr>
              <w:spacing w:after="0" w:line="169" w:lineRule="exact"/>
              <w:rPr>
                <w:sz w:val="20"/>
                <w:szCs w:val="20"/>
                <w:color w:val="auto"/>
              </w:rPr>
            </w:pPr>
            <w:r>
              <w:rPr>
                <w:rFonts w:ascii="Arial" w:cs="Arial" w:eastAsia="Arial" w:hAnsi="Arial"/>
                <w:sz w:val="16"/>
                <w:szCs w:val="16"/>
                <w:color w:val="auto"/>
              </w:rPr>
              <w:t>As of March 31, 2026</w:t>
            </w: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(0.7)</w:t>
            </w:r>
          </w:p>
        </w:tc>
        <w:tc>
          <w:tcPr>
            <w:tcW w:w="180" w:type="dxa"/>
            <w:vAlign w:val="bottom"/>
            <w:tcBorders>
              <w:bottom w:val="single" w:sz="8" w:color="auto"/>
            </w:tcBorders>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(5.8)</w:t>
            </w:r>
          </w:p>
        </w:tc>
        <w:tc>
          <w:tcPr>
            <w:tcW w:w="46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40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Derivatives Designated as Cash Flow Hedges</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Employee Benefit</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419"/>
              <w:spacing w:after="0" w:line="168" w:lineRule="exact"/>
              <w:rPr>
                <w:sz w:val="20"/>
                <w:szCs w:val="20"/>
                <w:color w:val="auto"/>
              </w:rPr>
            </w:pPr>
            <w:r>
              <w:rPr>
                <w:rFonts w:ascii="Arial" w:cs="Arial" w:eastAsia="Arial" w:hAnsi="Arial"/>
                <w:sz w:val="16"/>
                <w:szCs w:val="16"/>
                <w:b w:val="1"/>
                <w:bCs w:val="1"/>
                <w:color w:val="auto"/>
              </w:rPr>
              <w:t>Commodity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Interest Rate Swaps</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Derivatives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Plans</w:t>
            </w: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jc w:val="right"/>
              <w:ind w:right="149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2024</w:t>
            </w:r>
          </w:p>
        </w:tc>
        <w:tc>
          <w:tcPr>
            <w:tcW w:w="1840" w:type="dxa"/>
            <w:vAlign w:val="bottom"/>
            <w:shd w:val="clear" w:color="auto" w:fill="CFF0FC"/>
          </w:tcPr>
          <w:p>
            <w:pPr>
              <w:jc w:val="right"/>
              <w:ind w:right="168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w:t>
            </w:r>
          </w:p>
        </w:tc>
        <w:tc>
          <w:tcPr>
            <w:tcW w:w="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48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75"/>
        </w:trPr>
        <w:tc>
          <w:tcPr>
            <w:tcW w:w="316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18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184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83"/>
        </w:trPr>
        <w:tc>
          <w:tcPr>
            <w:tcW w:w="3160" w:type="dxa"/>
            <w:vAlign w:val="bottom"/>
          </w:tcPr>
          <w:p>
            <w:pPr>
              <w:spacing w:after="0" w:line="169" w:lineRule="exact"/>
              <w:rPr>
                <w:sz w:val="20"/>
                <w:szCs w:val="20"/>
                <w:color w:val="auto"/>
              </w:rPr>
            </w:pPr>
            <w:r>
              <w:rPr>
                <w:rFonts w:ascii="Arial" w:cs="Arial" w:eastAsia="Arial" w:hAnsi="Arial"/>
                <w:sz w:val="16"/>
                <w:szCs w:val="16"/>
                <w:color w:val="auto"/>
              </w:rPr>
              <w:t>As of March 31, 2025</w:t>
            </w:r>
          </w:p>
        </w:tc>
        <w:tc>
          <w:tcPr>
            <w:tcW w:w="1840" w:type="dxa"/>
            <w:vAlign w:val="bottom"/>
            <w:tcBorders>
              <w:bottom w:val="single" w:sz="8" w:color="auto"/>
            </w:tcBorders>
          </w:tcPr>
          <w:p>
            <w:pPr>
              <w:jc w:val="right"/>
              <w:ind w:right="1682"/>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0.1</w:t>
            </w:r>
          </w:p>
        </w:tc>
        <w:tc>
          <w:tcPr>
            <w:tcW w:w="180" w:type="dxa"/>
            <w:vAlign w:val="bottom"/>
            <w:tcBorders>
              <w:bottom w:val="single" w:sz="8" w:color="auto"/>
            </w:tcBorders>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(5.3)</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color w:val="auto"/>
        </w:rPr>
        <w:t>(10)</w:t>
        <w:tab/>
        <w:t>Employee Benefit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ind w:left="80"/>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Supplemental Non-qualified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Postretirement Healthcare</w:t>
            </w:r>
          </w:p>
        </w:tc>
        <w:tc>
          <w:tcPr>
            <w:tcW w:w="0" w:type="dxa"/>
            <w:vAlign w:val="bottom"/>
          </w:tcPr>
          <w:p>
            <w:pPr>
              <w:spacing w:after="0"/>
              <w:rPr>
                <w:sz w:val="1"/>
                <w:szCs w:val="1"/>
                <w:color w:val="auto"/>
              </w:rPr>
            </w:pPr>
          </w:p>
        </w:tc>
      </w:tr>
      <w:tr>
        <w:trPr>
          <w:trHeight w:val="203"/>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Three Months Ended March 31,</w:t>
            </w:r>
          </w:p>
        </w:tc>
        <w:tc>
          <w:tcPr>
            <w:tcW w:w="24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Defined Benefit Pension Plan</w:t>
            </w: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Defined Benefit Plans</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Plan</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2026</w:t>
            </w:r>
          </w:p>
        </w:tc>
        <w:tc>
          <w:tcPr>
            <w:tcW w:w="10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ind w:right="599"/>
              <w:spacing w:after="0" w:line="183" w:lineRule="exact"/>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Service cost</w:t>
            </w:r>
          </w:p>
        </w:tc>
        <w:tc>
          <w:tcPr>
            <w:tcW w:w="22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0.2</w:t>
            </w:r>
          </w:p>
        </w:tc>
        <w:tc>
          <w:tcPr>
            <w:tcW w:w="16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0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8"/>
              </w:rPr>
              <w:t>0.3</w:t>
            </w:r>
          </w:p>
        </w:tc>
        <w:tc>
          <w:tcPr>
            <w:tcW w:w="16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2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6"/>
                <w:szCs w:val="16"/>
                <w:color w:val="auto"/>
              </w:rPr>
              <w:t>Net amortization of prior service costs</w:t>
            </w:r>
          </w:p>
        </w:tc>
        <w:tc>
          <w:tcPr>
            <w:tcW w:w="22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Recognized net actuarial loss</w:t>
            </w: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620" w:type="dxa"/>
            <w:vAlign w:val="bottom"/>
          </w:tcPr>
          <w:p>
            <w:pPr>
              <w:spacing w:after="0" w:line="169" w:lineRule="exact"/>
              <w:rPr>
                <w:sz w:val="20"/>
                <w:szCs w:val="20"/>
                <w:color w:val="auto"/>
              </w:rPr>
            </w:pPr>
            <w:r>
              <w:rPr>
                <w:rFonts w:ascii="Arial" w:cs="Arial" w:eastAsia="Arial" w:hAnsi="Arial"/>
                <w:sz w:val="16"/>
                <w:szCs w:val="16"/>
                <w:color w:val="auto"/>
              </w:rPr>
              <w:t>Net periodic expense</w:t>
            </w:r>
          </w:p>
        </w:tc>
        <w:tc>
          <w:tcPr>
            <w:tcW w:w="22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0.4</w:t>
            </w:r>
          </w:p>
        </w:tc>
        <w:tc>
          <w:tcPr>
            <w:tcW w:w="26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0.7</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0.3</w:t>
            </w:r>
          </w:p>
        </w:tc>
        <w:tc>
          <w:tcPr>
            <w:tcW w:w="1040" w:type="dxa"/>
            <w:vAlign w:val="bottom"/>
            <w:tcBorders>
              <w:bottom w:val="single" w:sz="8" w:color="auto"/>
            </w:tcBorders>
          </w:tcPr>
          <w:p>
            <w:pPr>
              <w:jc w:val="right"/>
              <w:ind w:right="819"/>
              <w:spacing w:after="0" w:line="169"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8"/>
              </w:rPr>
              <w:t>0.5</w:t>
            </w:r>
          </w:p>
        </w:tc>
        <w:tc>
          <w:tcPr>
            <w:tcW w:w="16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0.9</w:t>
            </w:r>
          </w:p>
        </w:tc>
        <w:tc>
          <w:tcPr>
            <w:tcW w:w="26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made in the first three months of 2026 and additional contributions anticipated for the remainder of 2026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jc w:val="center"/>
              <w:ind w:left="339"/>
              <w:spacing w:after="0"/>
              <w:rPr>
                <w:sz w:val="20"/>
                <w:szCs w:val="20"/>
                <w:color w:val="auto"/>
              </w:rPr>
            </w:pPr>
            <w:r>
              <w:rPr>
                <w:rFonts w:ascii="Arial" w:cs="Arial" w:eastAsia="Arial" w:hAnsi="Arial"/>
                <w:sz w:val="16"/>
                <w:szCs w:val="16"/>
                <w:b w:val="1"/>
                <w:bCs w:val="1"/>
                <w:color w:val="auto"/>
              </w:rPr>
              <w:t>Contributions</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5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jc w:val="center"/>
              <w:ind w:left="379"/>
              <w:spacing w:after="0"/>
              <w:rPr>
                <w:sz w:val="20"/>
                <w:szCs w:val="20"/>
                <w:color w:val="auto"/>
              </w:rPr>
            </w:pPr>
            <w:r>
              <w:rPr>
                <w:rFonts w:ascii="Arial" w:cs="Arial" w:eastAsia="Arial" w:hAnsi="Arial"/>
                <w:sz w:val="16"/>
                <w:szCs w:val="16"/>
                <w:b w:val="1"/>
                <w:bCs w:val="1"/>
                <w:color w:val="auto"/>
              </w:rPr>
              <w:t>Made</w:t>
            </w:r>
          </w:p>
        </w:tc>
        <w:tc>
          <w:tcPr>
            <w:tcW w:w="500" w:type="dxa"/>
            <w:vAlign w:val="bottom"/>
          </w:tcPr>
          <w:p>
            <w:pPr>
              <w:spacing w:after="0"/>
              <w:rPr>
                <w:sz w:val="16"/>
                <w:szCs w:val="16"/>
                <w:color w:val="auto"/>
              </w:rPr>
            </w:pPr>
          </w:p>
        </w:tc>
        <w:tc>
          <w:tcPr>
            <w:tcW w:w="2120" w:type="dxa"/>
            <w:vAlign w:val="bottom"/>
            <w:gridSpan w:val="2"/>
          </w:tcPr>
          <w:p>
            <w:pPr>
              <w:ind w:left="80"/>
              <w:spacing w:after="0"/>
              <w:rPr>
                <w:sz w:val="20"/>
                <w:szCs w:val="20"/>
                <w:color w:val="auto"/>
              </w:rPr>
            </w:pPr>
            <w:r>
              <w:rPr>
                <w:rFonts w:ascii="Arial" w:cs="Arial" w:eastAsia="Arial" w:hAnsi="Arial"/>
                <w:sz w:val="16"/>
                <w:szCs w:val="16"/>
                <w:b w:val="1"/>
                <w:bCs w:val="1"/>
                <w:color w:val="auto"/>
              </w:rPr>
              <w:t>Additional Contributions</w:t>
            </w:r>
          </w:p>
        </w:tc>
      </w:tr>
      <w:tr>
        <w:trPr>
          <w:trHeight w:val="189"/>
        </w:trPr>
        <w:tc>
          <w:tcPr>
            <w:tcW w:w="5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03"/>
        </w:trPr>
        <w:tc>
          <w:tcPr>
            <w:tcW w:w="5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March 31, 2026</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Anticipated for 2026</w:t>
            </w:r>
          </w:p>
        </w:tc>
      </w:tr>
      <w:tr>
        <w:trPr>
          <w:trHeight w:val="183"/>
        </w:trPr>
        <w:tc>
          <w:tcPr>
            <w:tcW w:w="5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jc w:val="right"/>
              <w:ind w:right="169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5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Defined Benefit Pension Plan</w:t>
            </w:r>
          </w:p>
        </w:tc>
        <w:tc>
          <w:tcPr>
            <w:tcW w:w="3140" w:type="dxa"/>
            <w:vAlign w:val="bottom"/>
            <w:gridSpan w:val="2"/>
            <w:shd w:val="clear" w:color="auto" w:fill="CFF0FC"/>
          </w:tcPr>
          <w:p>
            <w:pPr>
              <w:jc w:val="right"/>
              <w:ind w:right="1459"/>
              <w:spacing w:after="0" w:line="183" w:lineRule="exact"/>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1.6</w:t>
            </w:r>
          </w:p>
        </w:tc>
      </w:tr>
      <w:tr>
        <w:trPr>
          <w:trHeight w:val="189"/>
        </w:trPr>
        <w:tc>
          <w:tcPr>
            <w:tcW w:w="5480" w:type="dxa"/>
            <w:vAlign w:val="bottom"/>
          </w:tcPr>
          <w:p>
            <w:pPr>
              <w:spacing w:after="0"/>
              <w:rPr>
                <w:sz w:val="20"/>
                <w:szCs w:val="20"/>
                <w:color w:val="auto"/>
              </w:rPr>
            </w:pPr>
            <w:r>
              <w:rPr>
                <w:rFonts w:ascii="Arial" w:cs="Arial" w:eastAsia="Arial" w:hAnsi="Arial"/>
                <w:sz w:val="16"/>
                <w:szCs w:val="16"/>
                <w:color w:val="auto"/>
              </w:rPr>
              <w:t>Non-pension Defined Benefit Postretirement Healthcare Plan</w:t>
            </w: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6"/>
                <w:szCs w:val="16"/>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3.2</w:t>
            </w:r>
          </w:p>
        </w:tc>
      </w:tr>
      <w:tr>
        <w:trPr>
          <w:trHeight w:val="189"/>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5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FF0FC"/>
          </w:tcPr>
          <w:p>
            <w:pPr>
              <w:spacing w:after="0"/>
              <w:rPr>
                <w:sz w:val="16"/>
                <w:szCs w:val="16"/>
                <w:color w:val="auto"/>
              </w:rPr>
            </w:pPr>
          </w:p>
        </w:tc>
        <w:tc>
          <w:tcPr>
            <w:tcW w:w="1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w:t>
            </w:r>
          </w:p>
        </w:tc>
      </w:tr>
      <w:tr>
        <w:trPr>
          <w:trHeight w:val="606"/>
        </w:trPr>
        <w:tc>
          <w:tcPr>
            <w:tcW w:w="5480" w:type="dxa"/>
            <w:vAlign w:val="bottom"/>
          </w:tcPr>
          <w:p>
            <w:pPr>
              <w:spacing w:after="0"/>
              <w:rPr>
                <w:sz w:val="24"/>
                <w:szCs w:val="24"/>
                <w:color w:val="auto"/>
              </w:rPr>
            </w:pPr>
          </w:p>
        </w:tc>
        <w:tc>
          <w:tcPr>
            <w:tcW w:w="1500" w:type="dxa"/>
            <w:vAlign w:val="bottom"/>
          </w:tcPr>
          <w:p>
            <w:pPr>
              <w:jc w:val="right"/>
              <w:ind w:right="1179"/>
              <w:spacing w:after="0"/>
              <w:rPr>
                <w:sz w:val="20"/>
                <w:szCs w:val="20"/>
                <w:color w:val="auto"/>
              </w:rPr>
            </w:pPr>
            <w:r>
              <w:rPr>
                <w:rFonts w:ascii="Arial" w:cs="Arial" w:eastAsia="Arial" w:hAnsi="Arial"/>
                <w:sz w:val="16"/>
                <w:szCs w:val="16"/>
                <w:color w:val="auto"/>
              </w:rPr>
              <w:t>23</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51"/>
        </w:trPr>
        <w:tc>
          <w:tcPr>
            <w:tcW w:w="5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In January 2025 and 2026, we entered into agreements with a third party to sell 2024 and 2025 generated PTCs for $16.0 million and $15.3 million, respectively. We expect to continue to explore monetization of our tax credits through third party transferability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Income tax (expense) for the three months ended March 31, 2026, was $(17.6) million compared to $(18.1) million reported for the same period in 2025. For the three months ended March 31, 2026, the effective tax rate was 11.7%, which was comparable to 11.7% for the same period in 2025.</w:t>
      </w:r>
    </w:p>
    <w:p>
      <w:pPr>
        <w:spacing w:after="0" w:line="318"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a holding company that, through our subsidiaries, conducts our operations through the following two reportable segments: Electric Utilities and Gas Utilities. Certain unallocated corporate expenses that support our reportable segments are presented as Corporate and Other.</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operating segments, which are equivalent to our reportable segments, are based on our method of internal reporting, which is generally segregated by differences in products and services. All of our operations and assets are located within the United States.</w:t>
      </w:r>
    </w:p>
    <w:p>
      <w:pPr>
        <w:spacing w:after="0" w:line="129"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Corporate and Other consists of certain unallocated expenses for administrative activities that support our operating segments. Corporate and Other also includes our captive insurance cell, business development activities that are not part of our operating segments, and inter-segment eliminations.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Chief Executive Officer, who is considered to be our CODM, sets financial performance objectives and budgets and establishes separate targets based on operating income for our Electric Utilities segment as well as our Gas Utilities segment. Our CODM assesses segment financial performance, including quarterly and annual budget-to-actual and year-over-year variances in revenues and expenses, to inform operating decisions, capital investments and cost recovery strategies. Our CODM reviews capital expenditures by operating segment rather than any individual or total asset amount.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20"/>
                <w:szCs w:val="20"/>
                <w:color w:val="auto"/>
              </w:rPr>
            </w:pPr>
            <w:r>
              <w:rPr>
                <w:rFonts w:ascii="Arial" w:cs="Arial" w:eastAsia="Arial" w:hAnsi="Arial"/>
                <w:sz w:val="16"/>
                <w:szCs w:val="16"/>
                <w:color w:val="auto"/>
              </w:rPr>
              <w:t>Segment information was as follows: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3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5"/>
          </w:tcPr>
          <w:p>
            <w:pPr>
              <w:jc w:val="center"/>
              <w:ind w:right="359"/>
              <w:spacing w:after="0"/>
              <w:rPr>
                <w:sz w:val="20"/>
                <w:szCs w:val="20"/>
                <w:color w:val="auto"/>
              </w:rPr>
            </w:pPr>
            <w:r>
              <w:rPr>
                <w:rFonts w:ascii="Arial" w:cs="Arial" w:eastAsia="Arial" w:hAnsi="Arial"/>
                <w:sz w:val="16"/>
                <w:szCs w:val="16"/>
                <w:b w:val="1"/>
                <w:bCs w:val="1"/>
                <w:color w:val="auto"/>
              </w:rPr>
              <w:t>Consolidating Income Statement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179"/>
              <w:spacing w:after="0" w:line="168" w:lineRule="exact"/>
              <w:rPr>
                <w:sz w:val="20"/>
                <w:szCs w:val="20"/>
                <w:color w:val="auto"/>
              </w:rPr>
            </w:pPr>
            <w:r>
              <w:rPr>
                <w:rFonts w:ascii="Arial" w:cs="Arial" w:eastAsia="Arial" w:hAnsi="Arial"/>
                <w:sz w:val="16"/>
                <w:szCs w:val="16"/>
                <w:b w:val="1"/>
                <w:bCs w:val="1"/>
                <w:color w:val="auto"/>
              </w:rPr>
              <w:t>Total Reportable</w:t>
            </w:r>
          </w:p>
        </w:tc>
        <w:tc>
          <w:tcPr>
            <w:tcW w:w="200" w:type="dxa"/>
            <w:vAlign w:val="bottom"/>
          </w:tcPr>
          <w:p>
            <w:pPr>
              <w:spacing w:after="0"/>
              <w:rPr>
                <w:sz w:val="14"/>
                <w:szCs w:val="14"/>
                <w:color w:val="auto"/>
              </w:rPr>
            </w:pPr>
          </w:p>
        </w:tc>
        <w:tc>
          <w:tcPr>
            <w:tcW w:w="122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Three Months Ended March 31, 2026</w:t>
            </w: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Electric Utilities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Gas Utilities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Segments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vMerge w:val="restart"/>
          </w:tcPr>
          <w:p>
            <w:pPr>
              <w:spacing w:after="0"/>
              <w:rPr>
                <w:sz w:val="20"/>
                <w:szCs w:val="20"/>
                <w:color w:val="auto"/>
              </w:rPr>
            </w:pPr>
            <w:r>
              <w:rPr>
                <w:rFonts w:ascii="Arial" w:cs="Arial" w:eastAsia="Arial" w:hAnsi="Arial"/>
                <w:sz w:val="16"/>
                <w:szCs w:val="16"/>
                <w:color w:val="auto"/>
              </w:rPr>
              <w:t>Revenue -</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35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External Customers</w:t>
            </w:r>
          </w:p>
        </w:tc>
        <w:tc>
          <w:tcPr>
            <w:tcW w:w="540" w:type="dxa"/>
            <w:vAlign w:val="bottom"/>
            <w:gridSpan w:val="2"/>
            <w:shd w:val="clear" w:color="auto" w:fill="CFF0FC"/>
          </w:tcPr>
          <w:p>
            <w:pPr>
              <w:jc w:val="right"/>
              <w:ind w:right="3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780.7</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780.7</w:t>
            </w:r>
          </w:p>
        </w:tc>
        <w:tc>
          <w:tcPr>
            <w:tcW w:w="0" w:type="dxa"/>
            <w:vAlign w:val="bottom"/>
          </w:tcPr>
          <w:p>
            <w:pPr>
              <w:spacing w:after="0"/>
              <w:rPr>
                <w:sz w:val="1"/>
                <w:szCs w:val="1"/>
                <w:color w:val="auto"/>
              </w:rPr>
            </w:pPr>
          </w:p>
        </w:tc>
      </w:tr>
      <w:tr>
        <w:trPr>
          <w:trHeight w:val="189"/>
        </w:trPr>
        <w:tc>
          <w:tcPr>
            <w:tcW w:w="3860" w:type="dxa"/>
            <w:vAlign w:val="bottom"/>
          </w:tcPr>
          <w:p>
            <w:pPr>
              <w:ind w:left="80"/>
              <w:spacing w:after="0"/>
              <w:rPr>
                <w:sz w:val="20"/>
                <w:szCs w:val="20"/>
                <w:color w:val="auto"/>
              </w:rPr>
            </w:pPr>
            <w:r>
              <w:rPr>
                <w:rFonts w:ascii="Arial" w:cs="Arial" w:eastAsia="Arial" w:hAnsi="Arial"/>
                <w:sz w:val="16"/>
                <w:szCs w:val="16"/>
                <w:color w:val="auto"/>
              </w:rPr>
              <w:t>Inter-segment</w:t>
            </w: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241.6</w:t>
            </w:r>
          </w:p>
        </w:tc>
        <w:tc>
          <w:tcPr>
            <w:tcW w:w="2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543.1</w:t>
            </w:r>
          </w:p>
        </w:tc>
        <w:tc>
          <w:tcPr>
            <w:tcW w:w="1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784.7</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780.7</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Fuel, purchased power and cost of natural gas sold</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271.2</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338.0</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337.9</w:t>
            </w: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89"/>
        </w:trPr>
        <w:tc>
          <w:tcPr>
            <w:tcW w:w="3860" w:type="dxa"/>
            <w:vAlign w:val="bottom"/>
          </w:tcPr>
          <w:p>
            <w:pPr>
              <w:ind w:left="80"/>
              <w:spacing w:after="0"/>
              <w:rPr>
                <w:sz w:val="20"/>
                <w:szCs w:val="20"/>
                <w:color w:val="auto"/>
              </w:rPr>
            </w:pPr>
            <w:r>
              <w:rPr>
                <w:rFonts w:ascii="Arial" w:cs="Arial" w:eastAsia="Arial" w:hAnsi="Arial"/>
                <w:sz w:val="16"/>
                <w:szCs w:val="16"/>
                <w:color w:val="auto"/>
              </w:rPr>
              <w:t>Allocated</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73.9</w:t>
            </w:r>
          </w:p>
        </w:tc>
        <w:tc>
          <w:tcPr>
            <w:tcW w:w="2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Taxes other than income taxes</w:t>
            </w: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FF0FC"/>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Operating income (loss)</w:t>
            </w:r>
          </w:p>
        </w:tc>
        <w:tc>
          <w:tcPr>
            <w:tcW w:w="540" w:type="dxa"/>
            <w:vAlign w:val="bottom"/>
            <w:tcBorders>
              <w:bottom w:val="single" w:sz="8" w:color="auto"/>
            </w:tcBorders>
            <w:gridSpan w:val="2"/>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59.9</w:t>
            </w:r>
          </w:p>
        </w:tc>
        <w:tc>
          <w:tcPr>
            <w:tcW w:w="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146.5</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206.4</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Other income, net</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6"/>
                <w:szCs w:val="16"/>
                <w:color w:val="auto"/>
              </w:rPr>
              <w:t>Net income available for common stock</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37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5"/>
          </w:tcPr>
          <w:p>
            <w:pPr>
              <w:jc w:val="center"/>
              <w:ind w:right="319"/>
              <w:spacing w:after="0"/>
              <w:rPr>
                <w:sz w:val="20"/>
                <w:szCs w:val="20"/>
                <w:color w:val="auto"/>
              </w:rPr>
            </w:pPr>
            <w:r>
              <w:rPr>
                <w:rFonts w:ascii="Arial" w:cs="Arial" w:eastAsia="Arial" w:hAnsi="Arial"/>
                <w:sz w:val="16"/>
                <w:szCs w:val="16"/>
                <w:b w:val="1"/>
                <w:bCs w:val="1"/>
                <w:color w:val="auto"/>
              </w:rPr>
              <w:t>Consolidating Income Statement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139"/>
              <w:spacing w:after="0" w:line="168" w:lineRule="exact"/>
              <w:rPr>
                <w:sz w:val="20"/>
                <w:szCs w:val="20"/>
                <w:color w:val="auto"/>
              </w:rPr>
            </w:pPr>
            <w:r>
              <w:rPr>
                <w:rFonts w:ascii="Arial" w:cs="Arial" w:eastAsia="Arial" w:hAnsi="Arial"/>
                <w:sz w:val="16"/>
                <w:szCs w:val="16"/>
                <w:b w:val="1"/>
                <w:bCs w:val="1"/>
                <w:color w:val="auto"/>
              </w:rPr>
              <w:t>Total Reportable</w:t>
            </w:r>
          </w:p>
        </w:tc>
        <w:tc>
          <w:tcPr>
            <w:tcW w:w="200" w:type="dxa"/>
            <w:vAlign w:val="bottom"/>
          </w:tcPr>
          <w:p>
            <w:pPr>
              <w:spacing w:after="0"/>
              <w:rPr>
                <w:sz w:val="14"/>
                <w:szCs w:val="14"/>
                <w:color w:val="auto"/>
              </w:rPr>
            </w:pPr>
          </w:p>
        </w:tc>
        <w:tc>
          <w:tcPr>
            <w:tcW w:w="1220" w:type="dxa"/>
            <w:vAlign w:val="bottom"/>
          </w:tcPr>
          <w:p>
            <w:pPr>
              <w:jc w:val="right"/>
              <w:ind w:right="299"/>
              <w:spacing w:after="0" w:line="168" w:lineRule="exact"/>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Three Months Ended March 31, 2025</w:t>
            </w: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Electric Utilities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Gas Utilities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Segments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860" w:type="dxa"/>
            <w:vAlign w:val="bottom"/>
            <w:vMerge w:val="restart"/>
          </w:tcPr>
          <w:p>
            <w:pPr>
              <w:spacing w:after="0"/>
              <w:rPr>
                <w:sz w:val="20"/>
                <w:szCs w:val="20"/>
                <w:color w:val="auto"/>
              </w:rPr>
            </w:pPr>
            <w:r>
              <w:rPr>
                <w:rFonts w:ascii="Arial" w:cs="Arial" w:eastAsia="Arial" w:hAnsi="Arial"/>
                <w:sz w:val="16"/>
                <w:szCs w:val="16"/>
                <w:color w:val="auto"/>
              </w:rPr>
              <w:t>Revenue -</w:t>
            </w: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35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External Customers</w:t>
            </w:r>
          </w:p>
        </w:tc>
        <w:tc>
          <w:tcPr>
            <w:tcW w:w="54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570.9</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805.2</w:t>
            </w:r>
          </w:p>
        </w:tc>
        <w:tc>
          <w:tcPr>
            <w:tcW w:w="0" w:type="dxa"/>
            <w:vAlign w:val="bottom"/>
          </w:tcPr>
          <w:p>
            <w:pPr>
              <w:spacing w:after="0"/>
              <w:rPr>
                <w:sz w:val="1"/>
                <w:szCs w:val="1"/>
                <w:color w:val="auto"/>
              </w:rPr>
            </w:pPr>
          </w:p>
        </w:tc>
      </w:tr>
      <w:tr>
        <w:trPr>
          <w:trHeight w:val="189"/>
        </w:trPr>
        <w:tc>
          <w:tcPr>
            <w:tcW w:w="3860" w:type="dxa"/>
            <w:vAlign w:val="bottom"/>
          </w:tcPr>
          <w:p>
            <w:pPr>
              <w:ind w:left="80"/>
              <w:spacing w:after="0"/>
              <w:rPr>
                <w:sz w:val="20"/>
                <w:szCs w:val="20"/>
                <w:color w:val="auto"/>
              </w:rPr>
            </w:pPr>
            <w:r>
              <w:rPr>
                <w:rFonts w:ascii="Arial" w:cs="Arial" w:eastAsia="Arial" w:hAnsi="Arial"/>
                <w:sz w:val="16"/>
                <w:szCs w:val="16"/>
                <w:color w:val="auto"/>
              </w:rPr>
              <w:t>Inter-segment</w:t>
            </w: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236.7</w:t>
            </w:r>
          </w:p>
        </w:tc>
        <w:tc>
          <w:tcPr>
            <w:tcW w:w="2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572.4</w:t>
            </w:r>
          </w:p>
        </w:tc>
        <w:tc>
          <w:tcPr>
            <w:tcW w:w="1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809.1</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805.2</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Fuel, purchased power and cost of natural gas sold</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292.6</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359.8</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359.7</w:t>
            </w: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Direct</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189"/>
        </w:trPr>
        <w:tc>
          <w:tcPr>
            <w:tcW w:w="3860" w:type="dxa"/>
            <w:vAlign w:val="bottom"/>
          </w:tcPr>
          <w:p>
            <w:pPr>
              <w:ind w:left="80"/>
              <w:spacing w:after="0"/>
              <w:rPr>
                <w:sz w:val="20"/>
                <w:szCs w:val="20"/>
                <w:color w:val="auto"/>
              </w:rPr>
            </w:pPr>
            <w:r>
              <w:rPr>
                <w:rFonts w:ascii="Arial" w:cs="Arial" w:eastAsia="Arial" w:hAnsi="Arial"/>
                <w:sz w:val="16"/>
                <w:szCs w:val="16"/>
                <w:color w:val="auto"/>
              </w:rPr>
              <w:t>Allocated</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43.8</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Taxes other than income taxes</w:t>
            </w: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Operating income (loss)</w:t>
            </w:r>
          </w:p>
        </w:tc>
        <w:tc>
          <w:tcPr>
            <w:tcW w:w="540" w:type="dxa"/>
            <w:vAlign w:val="bottom"/>
            <w:gridSpan w:val="2"/>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54.3</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151.5</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205.8</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183"/>
        </w:trPr>
        <w:tc>
          <w:tcPr>
            <w:tcW w:w="386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Other income, net</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6"/>
                <w:szCs w:val="16"/>
                <w:color w:val="auto"/>
              </w:rPr>
              <w:t>Net income available for common stock</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120" w:hanging="512"/>
        <w:spacing w:after="0" w:line="256"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Direct and Allocated Operations and maintenance expenses for our operating segments are regularly provided to the CODM. Direct Operations and maintenance expense represents the costs incurred directly by our operating segments. Allocated Operations and maintenance expense represent costs incurred by BHSC for various direct and indirect support services provided to our operating segments. Pursuant to the BHSC Cost Allocation Manual, indirect cost allocations are determined in accordance with the Public Utility Holding Company Act of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three months ended March 31,</w:t>
            </w:r>
          </w:p>
        </w:tc>
        <w:tc>
          <w:tcPr>
            <w:tcW w:w="4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2025</w:t>
            </w:r>
          </w:p>
        </w:tc>
      </w:tr>
      <w:tr>
        <w:trPr>
          <w:trHeight w:val="183"/>
        </w:trPr>
        <w:tc>
          <w:tcPr>
            <w:tcW w:w="69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(in millions)</w:t>
            </w:r>
          </w:p>
        </w:tc>
        <w:tc>
          <w:tcPr>
            <w:tcW w:w="1540" w:type="dxa"/>
            <w:vAlign w:val="bottom"/>
            <w:tcBorders>
              <w:bottom w:val="single" w:sz="8" w:color="auto"/>
            </w:tcBorders>
          </w:tcPr>
          <w:p>
            <w:pPr>
              <w:spacing w:after="0"/>
              <w:rPr>
                <w:sz w:val="15"/>
                <w:szCs w:val="15"/>
                <w:color w:val="auto"/>
              </w:rPr>
            </w:pPr>
          </w:p>
        </w:tc>
      </w:tr>
      <w:tr>
        <w:trPr>
          <w:trHeight w:val="183"/>
        </w:trPr>
        <w:tc>
          <w:tcPr>
            <w:tcW w:w="69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Electric Utilities</w:t>
            </w: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189.5</w:t>
            </w:r>
          </w:p>
        </w:tc>
        <w:tc>
          <w:tcPr>
            <w:tcW w:w="640" w:type="dxa"/>
            <w:vAlign w:val="bottom"/>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102.1</w:t>
            </w: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Gas Utilities</w:t>
            </w:r>
          </w:p>
        </w:tc>
        <w:tc>
          <w:tcPr>
            <w:tcW w:w="4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68.4</w:t>
            </w:r>
          </w:p>
        </w:tc>
        <w:tc>
          <w:tcPr>
            <w:tcW w:w="64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59.0</w:t>
            </w:r>
          </w:p>
        </w:tc>
      </w:tr>
      <w:tr>
        <w:trPr>
          <w:trHeight w:val="189"/>
        </w:trPr>
        <w:tc>
          <w:tcPr>
            <w:tcW w:w="69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Corporate and Other</w:t>
            </w:r>
          </w:p>
        </w:tc>
        <w:tc>
          <w:tcPr>
            <w:tcW w:w="4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64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w:t>
            </w:r>
          </w:p>
        </w:tc>
      </w:tr>
      <w:tr>
        <w:trPr>
          <w:trHeight w:val="183"/>
        </w:trPr>
        <w:tc>
          <w:tcPr>
            <w:tcW w:w="6980" w:type="dxa"/>
            <w:vAlign w:val="bottom"/>
          </w:tcPr>
          <w:p>
            <w:pPr>
              <w:spacing w:after="0" w:line="183" w:lineRule="exact"/>
              <w:rPr>
                <w:sz w:val="20"/>
                <w:szCs w:val="20"/>
                <w:color w:val="auto"/>
              </w:rPr>
            </w:pPr>
            <w:r>
              <w:rPr>
                <w:rFonts w:ascii="Arial" w:cs="Arial" w:eastAsia="Arial" w:hAnsi="Arial"/>
                <w:sz w:val="16"/>
                <w:szCs w:val="16"/>
                <w:color w:val="auto"/>
              </w:rPr>
              <w:t>Total capital expenditures</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259.8</w:t>
            </w:r>
          </w:p>
        </w:tc>
        <w:tc>
          <w:tcPr>
            <w:tcW w:w="64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162.4</w:t>
            </w:r>
          </w:p>
        </w:tc>
      </w:tr>
      <w:tr>
        <w:trPr>
          <w:trHeight w:val="20"/>
        </w:trPr>
        <w:tc>
          <w:tcPr>
            <w:tcW w:w="6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760" w:hanging="512"/>
        <w:spacing w:after="0" w:line="285"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-142240</wp:posOffset>
            </wp:positionV>
            <wp:extent cx="1624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 2026</w:t>
            </w:r>
          </w:p>
        </w:tc>
        <w:tc>
          <w:tcPr>
            <w:tcW w:w="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562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7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Billed Accounts Receivable</w:t>
            </w:r>
          </w:p>
        </w:tc>
        <w:tc>
          <w:tcPr>
            <w:tcW w:w="2160" w:type="dxa"/>
            <w:vAlign w:val="bottom"/>
            <w:shd w:val="clear" w:color="auto" w:fill="CFF0FC"/>
          </w:tcPr>
          <w:p>
            <w:pPr>
              <w:jc w:val="right"/>
              <w:ind w:right="19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269.4</w:t>
            </w:r>
          </w:p>
        </w:tc>
        <w:tc>
          <w:tcPr>
            <w:tcW w:w="48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223.3</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Unbilled Revenue</w:t>
            </w:r>
          </w:p>
        </w:tc>
        <w:tc>
          <w:tcPr>
            <w:tcW w:w="2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117.5</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168.1</w:t>
            </w:r>
          </w:p>
        </w:tc>
      </w:tr>
      <w:tr>
        <w:trPr>
          <w:trHeight w:val="189"/>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Allowance for Credit Losses</w:t>
            </w:r>
          </w:p>
        </w:tc>
        <w:tc>
          <w:tcPr>
            <w:tcW w:w="2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r>
      <w:tr>
        <w:trPr>
          <w:trHeight w:val="183"/>
        </w:trPr>
        <w:tc>
          <w:tcPr>
            <w:tcW w:w="5620" w:type="dxa"/>
            <w:vAlign w:val="bottom"/>
          </w:tcPr>
          <w:p>
            <w:pPr>
              <w:spacing w:after="0" w:line="169" w:lineRule="exact"/>
              <w:rPr>
                <w:sz w:val="20"/>
                <w:szCs w:val="20"/>
                <w:color w:val="auto"/>
              </w:rPr>
            </w:pPr>
            <w:r>
              <w:rPr>
                <w:rFonts w:ascii="Arial" w:cs="Arial" w:eastAsia="Arial" w:hAnsi="Arial"/>
                <w:sz w:val="16"/>
                <w:szCs w:val="16"/>
                <w:color w:val="auto"/>
              </w:rPr>
              <w:t>Account Receivable, net</w:t>
            </w:r>
          </w:p>
        </w:tc>
        <w:tc>
          <w:tcPr>
            <w:tcW w:w="2160" w:type="dxa"/>
            <w:vAlign w:val="bottom"/>
            <w:tcBorders>
              <w:bottom w:val="single" w:sz="8" w:color="auto"/>
            </w:tcBorders>
          </w:tcPr>
          <w:p>
            <w:pPr>
              <w:jc w:val="right"/>
              <w:ind w:right="1979"/>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383.4</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389.0</w:t>
            </w:r>
          </w:p>
        </w:tc>
      </w:tr>
      <w:tr>
        <w:trPr>
          <w:trHeight w:val="20"/>
        </w:trPr>
        <w:tc>
          <w:tcPr>
            <w:tcW w:w="56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three months ended March 31, 2026, and 2025, respectively,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Beginning</w:t>
            </w: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Additions Charged to</w:t>
            </w: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Recoveries and Other</w:t>
            </w:r>
          </w:p>
        </w:tc>
        <w:tc>
          <w:tcPr>
            <w:tcW w:w="18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Write-offs and Other</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2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of Year</w:t>
            </w: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Deductions</w:t>
            </w:r>
          </w:p>
        </w:tc>
        <w:tc>
          <w:tcPr>
            <w:tcW w:w="1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Balance at March 31,</w:t>
            </w:r>
          </w:p>
        </w:tc>
      </w:tr>
      <w:tr>
        <w:trPr>
          <w:trHeight w:val="183"/>
        </w:trPr>
        <w:tc>
          <w:tcPr>
            <w:tcW w:w="2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2040" w:type="dxa"/>
            <w:vAlign w:val="bottom"/>
            <w:shd w:val="clear" w:color="auto" w:fill="CFF0FC"/>
          </w:tcPr>
          <w:p>
            <w:pPr>
              <w:jc w:val="right"/>
              <w:ind w:right="1599"/>
              <w:spacing w:after="0" w:line="183" w:lineRule="exact"/>
              <w:rPr>
                <w:sz w:val="20"/>
                <w:szCs w:val="20"/>
                <w:color w:val="auto"/>
              </w:rPr>
            </w:pPr>
            <w:r>
              <w:rPr>
                <w:rFonts w:ascii="Arial" w:cs="Arial" w:eastAsia="Arial" w:hAnsi="Arial"/>
                <w:sz w:val="16"/>
                <w:szCs w:val="16"/>
                <w:color w:val="auto"/>
                <w:w w:val="95"/>
              </w:rPr>
              <w:t>2026</w:t>
            </w:r>
          </w:p>
        </w:tc>
        <w:tc>
          <w:tcPr>
            <w:tcW w:w="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w:t>
            </w:r>
          </w:p>
        </w:tc>
        <w:tc>
          <w:tcPr>
            <w:tcW w:w="8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w:t>
            </w:r>
          </w:p>
        </w:tc>
        <w:tc>
          <w:tcPr>
            <w:tcW w:w="800" w:type="dxa"/>
            <w:vAlign w:val="bottom"/>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3.5</w:t>
            </w:r>
          </w:p>
        </w:tc>
      </w:tr>
      <w:tr>
        <w:trPr>
          <w:trHeight w:val="215"/>
        </w:trPr>
        <w:tc>
          <w:tcPr>
            <w:tcW w:w="2040" w:type="dxa"/>
            <w:vAlign w:val="bottom"/>
          </w:tcPr>
          <w:p>
            <w:pPr>
              <w:jc w:val="right"/>
              <w:ind w:right="1599"/>
              <w:spacing w:after="0"/>
              <w:rPr>
                <w:sz w:val="20"/>
                <w:szCs w:val="20"/>
                <w:color w:val="auto"/>
              </w:rPr>
            </w:pPr>
            <w:r>
              <w:rPr>
                <w:rFonts w:ascii="Arial" w:cs="Arial" w:eastAsia="Arial" w:hAnsi="Arial"/>
                <w:sz w:val="16"/>
                <w:szCs w:val="16"/>
                <w:color w:val="auto"/>
                <w:w w:val="95"/>
              </w:rPr>
              <w:t>2025</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w:t>
            </w:r>
          </w:p>
        </w:tc>
        <w:tc>
          <w:tcPr>
            <w:tcW w:w="88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0.9</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March 31, 2026</w:t>
            </w:r>
          </w:p>
        </w:tc>
        <w:tc>
          <w:tcPr>
            <w:tcW w:w="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564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Materials and supplies</w:t>
            </w:r>
          </w:p>
        </w:tc>
        <w:tc>
          <w:tcPr>
            <w:tcW w:w="2140" w:type="dxa"/>
            <w:vAlign w:val="bottom"/>
            <w:shd w:val="clear" w:color="auto" w:fill="CFF0FC"/>
          </w:tcPr>
          <w:p>
            <w:pPr>
              <w:jc w:val="right"/>
              <w:ind w:right="198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119.3</w:t>
            </w:r>
          </w:p>
        </w:tc>
        <w:tc>
          <w:tcPr>
            <w:tcW w:w="48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117.3</w:t>
            </w: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Fuel - Electric Utilities</w:t>
            </w:r>
          </w:p>
        </w:tc>
        <w:tc>
          <w:tcPr>
            <w:tcW w:w="2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189"/>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in storage</w:t>
            </w:r>
          </w:p>
        </w:tc>
        <w:tc>
          <w:tcPr>
            <w:tcW w:w="2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48.7</w:t>
            </w:r>
          </w:p>
        </w:tc>
      </w:tr>
      <w:tr>
        <w:trPr>
          <w:trHeight w:val="183"/>
        </w:trPr>
        <w:tc>
          <w:tcPr>
            <w:tcW w:w="5640" w:type="dxa"/>
            <w:vAlign w:val="bottom"/>
          </w:tcPr>
          <w:p>
            <w:pPr>
              <w:ind w:left="120"/>
              <w:spacing w:after="0" w:line="169" w:lineRule="exact"/>
              <w:rPr>
                <w:sz w:val="20"/>
                <w:szCs w:val="20"/>
                <w:color w:val="auto"/>
              </w:rPr>
            </w:pPr>
            <w:r>
              <w:rPr>
                <w:rFonts w:ascii="Arial" w:cs="Arial" w:eastAsia="Arial" w:hAnsi="Arial"/>
                <w:sz w:val="16"/>
                <w:szCs w:val="16"/>
                <w:color w:val="auto"/>
              </w:rPr>
              <w:t>Total materials, supplies, and fuel</w:t>
            </w:r>
          </w:p>
        </w:tc>
        <w:tc>
          <w:tcPr>
            <w:tcW w:w="2140" w:type="dxa"/>
            <w:vAlign w:val="bottom"/>
            <w:tcBorders>
              <w:bottom w:val="single" w:sz="8" w:color="auto"/>
            </w:tcBorders>
          </w:tcPr>
          <w:p>
            <w:pPr>
              <w:jc w:val="right"/>
              <w:ind w:right="1982"/>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146.8</w:t>
            </w:r>
          </w:p>
        </w:tc>
        <w:tc>
          <w:tcPr>
            <w:tcW w:w="48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172.4</w:t>
            </w:r>
          </w:p>
        </w:tc>
      </w:tr>
      <w:tr>
        <w:trPr>
          <w:trHeight w:val="20"/>
        </w:trPr>
        <w:tc>
          <w:tcPr>
            <w:tcW w:w="56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2026</w:t>
            </w: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4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(in millions)</w:t>
            </w:r>
          </w:p>
        </w:tc>
        <w:tc>
          <w:tcPr>
            <w:tcW w:w="2320" w:type="dxa"/>
            <w:vAlign w:val="bottom"/>
            <w:tcBorders>
              <w:bottom w:val="single" w:sz="8" w:color="auto"/>
            </w:tcBorders>
          </w:tcPr>
          <w:p>
            <w:pPr>
              <w:spacing w:after="0"/>
              <w:rPr>
                <w:sz w:val="15"/>
                <w:szCs w:val="15"/>
                <w:color w:val="auto"/>
              </w:rPr>
            </w:pPr>
          </w:p>
        </w:tc>
      </w:tr>
      <w:tr>
        <w:trPr>
          <w:trHeight w:val="183"/>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employee compensation, benefits, and withholdings</w:t>
            </w:r>
          </w:p>
        </w:tc>
        <w:tc>
          <w:tcPr>
            <w:tcW w:w="2800" w:type="dxa"/>
            <w:vAlign w:val="bottom"/>
            <w:gridSpan w:val="3"/>
            <w:shd w:val="clear" w:color="auto" w:fill="CFF0FC"/>
          </w:tcPr>
          <w:p>
            <w:pPr>
              <w:jc w:val="right"/>
              <w:ind w:right="1939"/>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60.3</w:t>
            </w:r>
          </w:p>
        </w:tc>
        <w:tc>
          <w:tcPr>
            <w:tcW w:w="52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92.8</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Accrued property taxes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56.9</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Customer deposits and prepayments</w:t>
            </w: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520" w:type="dxa"/>
            <w:vAlign w:val="bottom"/>
            <w:shd w:val="clear" w:color="auto" w:fill="CFF0FC"/>
          </w:tcPr>
          <w:p>
            <w:pPr>
              <w:spacing w:after="0"/>
              <w:rPr>
                <w:sz w:val="16"/>
                <w:szCs w:val="16"/>
                <w:color w:val="auto"/>
              </w:rPr>
            </w:pPr>
          </w:p>
        </w:tc>
        <w:tc>
          <w:tcPr>
            <w:tcW w:w="2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59.0</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Accrued interest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56.7</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57.2</w:t>
            </w:r>
          </w:p>
        </w:tc>
      </w:tr>
      <w:tr>
        <w:trPr>
          <w:trHeight w:val="189"/>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(none of which is individually significant)</w:t>
            </w:r>
          </w:p>
        </w:tc>
        <w:tc>
          <w:tcPr>
            <w:tcW w:w="7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520" w:type="dxa"/>
            <w:vAlign w:val="bottom"/>
            <w:tcBorders>
              <w:bottom w:val="single" w:sz="8" w:color="auto"/>
            </w:tcBorders>
            <w:shd w:val="clear" w:color="auto" w:fill="CFF0FC"/>
          </w:tcPr>
          <w:p>
            <w:pPr>
              <w:spacing w:after="0"/>
              <w:rPr>
                <w:sz w:val="16"/>
                <w:szCs w:val="16"/>
                <w:color w:val="auto"/>
              </w:rPr>
            </w:pPr>
          </w:p>
        </w:tc>
        <w:tc>
          <w:tcPr>
            <w:tcW w:w="2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58.8</w:t>
            </w:r>
          </w:p>
        </w:tc>
      </w:tr>
      <w:tr>
        <w:trPr>
          <w:trHeight w:val="183"/>
        </w:trPr>
        <w:tc>
          <w:tcPr>
            <w:tcW w:w="4940" w:type="dxa"/>
            <w:vAlign w:val="bottom"/>
          </w:tcPr>
          <w:p>
            <w:pPr>
              <w:ind w:left="120"/>
              <w:spacing w:after="0" w:line="169" w:lineRule="exact"/>
              <w:rPr>
                <w:sz w:val="20"/>
                <w:szCs w:val="20"/>
                <w:color w:val="auto"/>
              </w:rPr>
            </w:pPr>
            <w:r>
              <w:rPr>
                <w:rFonts w:ascii="Arial" w:cs="Arial" w:eastAsia="Arial" w:hAnsi="Arial"/>
                <w:sz w:val="16"/>
                <w:szCs w:val="16"/>
                <w:color w:val="auto"/>
              </w:rPr>
              <w:t>Total accrued liabilities</w:t>
            </w:r>
          </w:p>
        </w:tc>
        <w:tc>
          <w:tcPr>
            <w:tcW w:w="2800" w:type="dxa"/>
            <w:vAlign w:val="bottom"/>
            <w:gridSpan w:val="3"/>
          </w:tcPr>
          <w:p>
            <w:pPr>
              <w:jc w:val="right"/>
              <w:ind w:right="1939"/>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260.2</w:t>
            </w:r>
          </w:p>
        </w:tc>
        <w:tc>
          <w:tcPr>
            <w:tcW w:w="52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23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322.6</w:t>
            </w:r>
          </w:p>
        </w:tc>
      </w:tr>
      <w:tr>
        <w:trPr>
          <w:trHeight w:val="20"/>
        </w:trPr>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r>
        <w:trPr>
          <w:trHeight w:val="586"/>
        </w:trPr>
        <w:tc>
          <w:tcPr>
            <w:tcW w:w="4940" w:type="dxa"/>
            <w:vAlign w:val="bottom"/>
          </w:tcPr>
          <w:p>
            <w:pPr>
              <w:spacing w:after="0"/>
              <w:rPr>
                <w:sz w:val="24"/>
                <w:szCs w:val="24"/>
                <w:color w:val="auto"/>
              </w:rPr>
            </w:pPr>
          </w:p>
        </w:tc>
        <w:tc>
          <w:tcPr>
            <w:tcW w:w="2800" w:type="dxa"/>
            <w:vAlign w:val="bottom"/>
            <w:gridSpan w:val="3"/>
          </w:tcPr>
          <w:p>
            <w:pPr>
              <w:jc w:val="right"/>
              <w:ind w:right="1939"/>
              <w:spacing w:after="0"/>
              <w:rPr>
                <w:sz w:val="20"/>
                <w:szCs w:val="20"/>
                <w:color w:val="auto"/>
              </w:rPr>
            </w:pPr>
            <w:r>
              <w:rPr>
                <w:rFonts w:ascii="Arial" w:cs="Arial" w:eastAsia="Arial" w:hAnsi="Arial"/>
                <w:sz w:val="16"/>
                <w:szCs w:val="16"/>
                <w:color w:val="auto"/>
              </w:rPr>
              <w:t>26</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751"/>
        </w:trPr>
        <w:tc>
          <w:tcPr>
            <w:tcW w:w="4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Pending Merger with NorthWestern</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On August 18, 2025, we entered into an Agreement and Plan of Merger (the “Merger Agreement”), with NorthWestern and Merger Sub. The Merger Agreement provides for Merger Sub to merge with and into NorthWestern (the “Merger”), with NorthWestern continuing as the surviving entity and a direct wholly owned subsidiary of Black Hills Corporation, which will assume a new corporate name as the resulting parent company of the combined corporate group. At the effective time of the Merger (the “Effective Time”), each share of common stock of NorthWestern, par value $0.01 per share, issued and outstanding as of immediately prior to the Effective Time will be converted into the right to receive 0.98 validly issued, fully paid and non-assessable shares of our common stock, par value $1.00 per share (or cash-in-lieu of fractional shares thereof), in each case upon and subject to the terms and conditions of the Merger Agreement.</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Merger Agreement, which was unanimously approved on August 18, 2025, by both the board of directors of Black Hills Corporation and the board of directors of NorthWestern, provides for a tax-free, all-stock business combination of Black Hills Corporation and NorthWestern upon the terms and subject to the conditions set forth therein. Such conditions include, among other things, clearance under the HSR Act, consent of the FCC, approval from each company's shareholders, and regulatory approvals, including approval from the SDPUC, NPSC and MPSC, as well as the FERC. To date, the status of these matters is as follows:</w:t>
      </w:r>
    </w:p>
    <w:p>
      <w:pPr>
        <w:spacing w:after="0" w:line="153" w:lineRule="exact"/>
        <w:rPr>
          <w:sz w:val="20"/>
          <w:szCs w:val="20"/>
          <w:color w:val="auto"/>
        </w:rPr>
      </w:pPr>
    </w:p>
    <w:p>
      <w:pPr>
        <w:ind w:left="1020" w:right="120" w:hanging="503"/>
        <w:spacing w:after="0" w:line="256"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 October 2025, we filed joint applications for approval with the MPSC, NPSC, and SDPUC. In March 2026, we reached a settlement agreement with all intervening parties in Nebraska. A hearing before the NPSC was held in April 2026. In April 2026, we reached settlements agreements with several parties in Montana, which were filed with the MPSC. Also in April 2026, we reached a settlement with the SDPUC Staff, which was filed with the SDPUC. Hearings before the MPSC and SDPUC are scheduled in the second quarter of 2026. All settlement agreements are subject to approval by the respective regulatory commissions.</w:t>
      </w:r>
    </w:p>
    <w:p>
      <w:pPr>
        <w:spacing w:after="0" w:line="70"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December 22, 2025, we filed a joint application with the FERC. The initial public comment period closed on January 20, 2026. We expect a decision from the FERC by mid-2026.</w:t>
      </w:r>
    </w:p>
    <w:p>
      <w:pPr>
        <w:spacing w:after="0" w:line="48" w:lineRule="exact"/>
        <w:rPr>
          <w:rFonts w:ascii="Times New Roman" w:cs="Times New Roman" w:eastAsia="Times New Roman" w:hAnsi="Times New Roman"/>
          <w:sz w:val="16"/>
          <w:szCs w:val="16"/>
          <w:color w:val="auto"/>
        </w:rPr>
      </w:pPr>
    </w:p>
    <w:p>
      <w:pPr>
        <w:ind w:left="1020" w:right="60" w:hanging="503"/>
        <w:spacing w:after="0" w:line="266"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30, 2026, the Form S-4, which contains a joint proxy statement/prospectus for the Black Hills Corporation and NorthWestern, was publicly filed with the SEC. On February 6, 2026, the Form S-4 was declared effective by the SEC. On April 2, 2026, shareholders from both Black Hills Corporation and NorthWestern voted to approve the proposed all-stock merger.</w:t>
      </w:r>
    </w:p>
    <w:p>
      <w:pPr>
        <w:spacing w:after="0" w:line="62"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March 19, 2026, we filed an application for clearance under the HSR Act. The waiting period under the HSR Act was completed on April 20, 2026, satisfying a U.S. antitrust condition to closing.</w:t>
      </w:r>
    </w:p>
    <w:p>
      <w:pPr>
        <w:spacing w:after="0" w:line="1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anticipate the transaction closing in the second half of 2026, subject to the satisfaction of certain closing conditions including receipt of certain regulatory approvals as mentioned above.</w:t>
      </w:r>
    </w:p>
    <w:p>
      <w:pPr>
        <w:spacing w:after="0" w:line="37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Except as described below, there have been no events subsequent to March 31, 2026, which would require recognition in the Consolidated Financial Statements or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for information regarding Wyoming Electric's generation reservation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ind w:left="5540" w:right="5500" w:hanging="5525"/>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for information regarding the pending merger with NorthWestern.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-165735</wp:posOffset>
            </wp:positionV>
            <wp:extent cx="3600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our 2025 Annual Report on Form 10-K.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1.37 million customers and 800+ communities we serve. Our aspiration is to be the trusted energy partner across our growing eight-state footprint, including Arkansas, Colorado, Iowa, Kansas, Montana, Nebraska, South Dakota, and Wyoming. 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—build a team that wins together, </w:t>
      </w:r>
      <w:r>
        <w:rPr>
          <w:rFonts w:ascii="Arial" w:cs="Arial" w:eastAsia="Arial" w:hAnsi="Arial"/>
          <w:sz w:val="16"/>
          <w:szCs w:val="16"/>
          <w:i w:val="1"/>
          <w:iCs w:val="1"/>
          <w:color w:val="auto"/>
        </w:rPr>
        <w:t>Operational Excellence—</w:t>
      </w:r>
      <w:r>
        <w:rPr>
          <w:rFonts w:ascii="Arial" w:cs="Arial" w:eastAsia="Arial" w:hAnsi="Arial"/>
          <w:sz w:val="16"/>
          <w:szCs w:val="16"/>
          <w:color w:val="auto"/>
        </w:rPr>
        <w:t>relentlessly deliver on our commitment to serve our customers,</w:t>
      </w:r>
      <w:r>
        <w:rPr>
          <w:rFonts w:ascii="Arial" w:cs="Arial" w:eastAsia="Arial" w:hAnsi="Arial"/>
          <w:sz w:val="16"/>
          <w:szCs w:val="16"/>
          <w:i w:val="1"/>
          <w:iCs w:val="1"/>
          <w:color w:val="auto"/>
        </w:rPr>
        <w:t xml:space="preserve"> Transformation</w:t>
      </w:r>
      <w:r>
        <w:rPr>
          <w:rFonts w:ascii="Arial" w:cs="Arial" w:eastAsia="Arial" w:hAnsi="Arial"/>
          <w:sz w:val="16"/>
          <w:szCs w:val="16"/>
          <w:color w:val="auto"/>
        </w:rPr>
        <w:t>—be a simple and connected company and</w:t>
      </w:r>
      <w:r>
        <w:rPr>
          <w:rFonts w:ascii="Arial" w:cs="Arial" w:eastAsia="Arial" w:hAnsi="Arial"/>
          <w:sz w:val="16"/>
          <w:szCs w:val="16"/>
          <w:i w:val="1"/>
          <w:iCs w:val="1"/>
          <w:color w:val="auto"/>
        </w:rPr>
        <w:t xml:space="preserve"> Growth —</w:t>
      </w:r>
      <w:r>
        <w:rPr>
          <w:rFonts w:ascii="Arial" w:cs="Arial" w:eastAsia="Arial" w:hAnsi="Arial"/>
          <w:sz w:val="16"/>
          <w:szCs w:val="16"/>
          <w:color w:val="auto"/>
        </w:rPr>
        <w:t>grow to be a dominant long-term energy provider.</w:t>
      </w:r>
    </w:p>
    <w:p>
      <w:pPr>
        <w:spacing w:after="0" w:line="15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ourselves a domestic electric and natural gas utility company.</w:t>
      </w:r>
    </w:p>
    <w:p>
      <w:pPr>
        <w:spacing w:after="0" w:line="14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have provided energy and served customers for 142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Pending Merger with NorthWestern</w:t>
      </w:r>
    </w:p>
    <w:p>
      <w:pPr>
        <w:spacing w:after="0" w:line="19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 xml:space="preserve">On August 18, 2025, we entered into the Merger Agreement with NorthWestern and Merger Sub.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of the Condensed Notes to Consolidated Financial Statements for recent developments surrounding the pending Merger.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13"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South Dakota Electric.</w:t>
      </w:r>
    </w:p>
    <w:p>
      <w:pPr>
        <w:spacing w:after="0" w:line="125"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April 22, 2026, Wyoming Electric entered into a generation reservation agreement with a prospective new customer seeking to construct a 1.8 GW data center under Wyoming Electric's LPCS Tariff.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for additional information.</w:t>
      </w:r>
    </w:p>
    <w:p>
      <w:pPr>
        <w:spacing w:after="0" w:line="62" w:lineRule="exact"/>
        <w:rPr>
          <w:rFonts w:ascii="Times New Roman" w:cs="Times New Roman" w:eastAsia="Times New Roman" w:hAnsi="Times New Roman"/>
          <w:sz w:val="16"/>
          <w:szCs w:val="16"/>
          <w:color w:val="auto"/>
        </w:rPr>
      </w:pPr>
    </w:p>
    <w:p>
      <w:pPr>
        <w:ind w:left="1020" w:hanging="503"/>
        <w:spacing w:after="0" w:line="259"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On March 12, 2026, the state of South Dakota enacted comprehensive wildfire liability mitigation legislation (SB36), effective July 1, 2026. The legislation provides material liability protections for a utility that complies with its published wildfire mitigation plan. South Dakota Electric plans to file its WMP with the SDPUC in the second half of 2026. In 2025, the state of Wyoming enacted similar legislation. In November 2025, Wyoming Electric filed its WMP with the WPSC and anticipates approval by mid-2026.</w:t>
      </w:r>
    </w:p>
    <w:p>
      <w:pPr>
        <w:spacing w:after="0" w:line="69"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2026, South Dakota Electric continued with construction of its Lange II project which is anticipated to be in service in the fourth quarter of 2026. The addition of these resources will replace generation facilities planned for retirement and support updated planning reserve margin requirements.</w:t>
      </w:r>
    </w:p>
    <w:p>
      <w:pPr>
        <w:spacing w:after="0" w:line="62" w:lineRule="exact"/>
        <w:rPr>
          <w:rFonts w:ascii="Times New Roman" w:cs="Times New Roman" w:eastAsia="Times New Roman" w:hAnsi="Times New Roman"/>
          <w:sz w:val="16"/>
          <w:szCs w:val="16"/>
          <w:color w:val="auto"/>
        </w:rPr>
      </w:pPr>
    </w:p>
    <w:p>
      <w:pPr>
        <w:ind w:left="1020" w:right="40" w:hanging="503"/>
        <w:spacing w:after="0" w:line="25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In 2025, Colorado Electric received CPUC approval for the addition of 250 MW of new renewable generation resources in support of its Clean Energy Plan, which included a 50-MW utility-owned battery storage project and a 200-MW solar PPA. During the fourth quarter of 2025, Colorado Electric commenced construction of the 50-MW battery storage project. The project is expected to be completed by year-end 2027. On February 18, 2026, Colorado Electric entered into a 200-MW solar PPA.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for additional information regarding the PPA.</w:t>
      </w:r>
    </w:p>
    <w:p>
      <w:pPr>
        <w:spacing w:after="0" w:line="70"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2026, Wyoming Electric set a new all-time peak load of 393 MW, surpassing the previous peak of 379 MW set on 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-2276475</wp:posOffset>
            </wp:positionV>
            <wp:extent cx="302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-1959610</wp:posOffset>
            </wp:positionV>
            <wp:extent cx="302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-313690</wp:posOffset>
            </wp:positionV>
            <wp:extent cx="302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13" w:lineRule="exact"/>
        <w:rPr>
          <w:sz w:val="20"/>
          <w:szCs w:val="20"/>
          <w:color w:val="auto"/>
        </w:rPr>
      </w:pPr>
    </w:p>
    <w:p>
      <w:pPr>
        <w:ind w:left="1020" w:right="16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Arkansas Gas, Kansas Gas and Nebraska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-165735</wp:posOffset>
            </wp:positionV>
            <wp:extent cx="302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13"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information regarding recent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-5080</wp:posOffset>
            </wp:positionV>
            <wp:extent cx="302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2026, and 2025, and our financial condition as of March 31, 2026, and December 31, 2025, are not necessarily indicative of the results of operations and financial condition to be expected as of or for any other period or for the entire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44"/>
        </w:trPr>
        <w:tc>
          <w:tcPr>
            <w:tcW w:w="6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20" w:type="dxa"/>
            <w:vAlign w:val="bottom"/>
            <w:gridSpan w:val="5"/>
          </w:tcPr>
          <w:p>
            <w:pPr>
              <w:jc w:val="center"/>
              <w:ind w:right="97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2026 vs 2025</w:t>
            </w:r>
          </w:p>
        </w:tc>
      </w:tr>
      <w:tr>
        <w:trPr>
          <w:trHeight w:val="203"/>
        </w:trPr>
        <w:tc>
          <w:tcPr>
            <w:tcW w:w="66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6680" w:type="dxa"/>
            <w:vAlign w:val="bottom"/>
          </w:tcPr>
          <w:p>
            <w:pPr>
              <w:spacing w:after="0"/>
              <w:rPr>
                <w:sz w:val="15"/>
                <w:szCs w:val="15"/>
                <w:color w:val="auto"/>
              </w:rPr>
            </w:pPr>
          </w:p>
        </w:tc>
        <w:tc>
          <w:tcPr>
            <w:tcW w:w="4560" w:type="dxa"/>
            <w:vAlign w:val="bottom"/>
            <w:tcBorders>
              <w:bottom w:val="single" w:sz="8" w:color="auto"/>
            </w:tcBorders>
            <w:gridSpan w:val="6"/>
          </w:tcPr>
          <w:p>
            <w:pPr>
              <w:jc w:val="center"/>
              <w:ind w:right="59"/>
              <w:spacing w:after="0" w:line="183" w:lineRule="exact"/>
              <w:rPr>
                <w:sz w:val="20"/>
                <w:szCs w:val="20"/>
                <w:color w:val="auto"/>
              </w:rPr>
            </w:pPr>
            <w:r>
              <w:rPr>
                <w:rFonts w:ascii="Arial" w:cs="Arial" w:eastAsia="Arial" w:hAnsi="Arial"/>
                <w:sz w:val="16"/>
                <w:szCs w:val="16"/>
                <w:color w:val="auto"/>
              </w:rPr>
              <w:t>(in millions, except per share amounts)</w:t>
            </w: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income (loss):</w:t>
            </w:r>
          </w:p>
        </w:tc>
        <w:tc>
          <w:tcPr>
            <w:tcW w:w="9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9"/>
        </w:trPr>
        <w:tc>
          <w:tcPr>
            <w:tcW w:w="6680" w:type="dxa"/>
            <w:vAlign w:val="bottom"/>
          </w:tcPr>
          <w:p>
            <w:pPr>
              <w:ind w:left="60"/>
              <w:spacing w:after="0"/>
              <w:rPr>
                <w:sz w:val="20"/>
                <w:szCs w:val="20"/>
                <w:color w:val="auto"/>
              </w:rPr>
            </w:pPr>
            <w:r>
              <w:rPr>
                <w:rFonts w:ascii="Arial" w:cs="Arial" w:eastAsia="Arial" w:hAnsi="Arial"/>
                <w:sz w:val="16"/>
                <w:szCs w:val="16"/>
                <w:color w:val="auto"/>
              </w:rPr>
              <w:t>Electric Utilities</w:t>
            </w:r>
          </w:p>
        </w:tc>
        <w:tc>
          <w:tcPr>
            <w:tcW w:w="940" w:type="dxa"/>
            <w:vAlign w:val="bottom"/>
          </w:tcPr>
          <w:p>
            <w:pPr>
              <w:jc w:val="right"/>
              <w:ind w:right="7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59.9</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5.6</w:t>
            </w:r>
          </w:p>
        </w:tc>
      </w:tr>
      <w:tr>
        <w:trPr>
          <w:trHeight w:val="189"/>
        </w:trPr>
        <w:tc>
          <w:tcPr>
            <w:tcW w:w="6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Gas Utilities</w:t>
            </w: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151.5</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668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83"/>
        </w:trPr>
        <w:tc>
          <w:tcPr>
            <w:tcW w:w="66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201.9</w:t>
            </w:r>
          </w:p>
        </w:tc>
        <w:tc>
          <w:tcPr>
            <w:tcW w:w="3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205.0</w:t>
            </w:r>
          </w:p>
        </w:tc>
        <w:tc>
          <w:tcPr>
            <w:tcW w:w="1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w:t>
            </w:r>
          </w:p>
        </w:tc>
      </w:tr>
      <w:tr>
        <w:trPr>
          <w:trHeight w:val="183"/>
        </w:trPr>
        <w:tc>
          <w:tcPr>
            <w:tcW w:w="6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Other income, net</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0.7</w:t>
            </w:r>
          </w:p>
        </w:tc>
        <w:tc>
          <w:tcPr>
            <w:tcW w:w="34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189"/>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3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94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133.1</w:t>
            </w:r>
          </w:p>
        </w:tc>
        <w:tc>
          <w:tcPr>
            <w:tcW w:w="340" w:type="dxa"/>
            <w:vAlign w:val="bottom"/>
          </w:tcPr>
          <w:p>
            <w:pPr>
              <w:spacing w:after="0"/>
              <w:rPr>
                <w:sz w:val="15"/>
                <w:szCs w:val="15"/>
                <w:color w:val="auto"/>
              </w:rPr>
            </w:pP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136.4</w:t>
            </w:r>
          </w:p>
        </w:tc>
        <w:tc>
          <w:tcPr>
            <w:tcW w:w="16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r>
      <w:tr>
        <w:trPr>
          <w:trHeight w:val="189"/>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9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2"/>
        </w:trPr>
        <w:tc>
          <w:tcPr>
            <w:tcW w:w="6680" w:type="dxa"/>
            <w:vAlign w:val="bottom"/>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940" w:type="dxa"/>
            <w:vAlign w:val="bottom"/>
            <w:tcBorders>
              <w:bottom w:val="single" w:sz="8" w:color="auto"/>
            </w:tcBorders>
          </w:tcPr>
          <w:p>
            <w:pPr>
              <w:jc w:val="right"/>
              <w:ind w:right="782"/>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131.0</w:t>
            </w:r>
          </w:p>
        </w:tc>
        <w:tc>
          <w:tcPr>
            <w:tcW w:w="34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134.3</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(3.3)</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0"/>
        </w:trPr>
        <w:tc>
          <w:tcPr>
            <w:tcW w:w="66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Weighted average common shares outstanding, Diluted</w:t>
            </w: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75.6</w:t>
            </w:r>
          </w:p>
        </w:tc>
        <w:tc>
          <w:tcPr>
            <w:tcW w:w="34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71.8</w:t>
            </w:r>
          </w:p>
        </w:tc>
        <w:tc>
          <w:tcPr>
            <w:tcW w:w="16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229"/>
        </w:trPr>
        <w:tc>
          <w:tcPr>
            <w:tcW w:w="66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earnings per share of common stock, Diluted</w:t>
            </w:r>
          </w:p>
        </w:tc>
        <w:tc>
          <w:tcPr>
            <w:tcW w:w="940" w:type="dxa"/>
            <w:vAlign w:val="bottom"/>
            <w:tcBorders>
              <w:bottom w:val="single" w:sz="8" w:color="auto"/>
            </w:tcBorders>
            <w:shd w:val="clear" w:color="auto" w:fill="CFF0FC"/>
          </w:tcPr>
          <w:p>
            <w:pPr>
              <w:jc w:val="right"/>
              <w:ind w:right="782"/>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1.73</w:t>
            </w:r>
          </w:p>
        </w:tc>
        <w:tc>
          <w:tcPr>
            <w:tcW w:w="340" w:type="dxa"/>
            <w:vAlign w:val="bottom"/>
            <w:tcBorders>
              <w:bottom w:val="single" w:sz="8" w:color="auto"/>
            </w:tcBorders>
            <w:shd w:val="clear" w:color="auto" w:fill="CFF0FC"/>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1.87</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13" w:lineRule="exact"/>
        <w:rPr>
          <w:sz w:val="20"/>
          <w:szCs w:val="20"/>
          <w:color w:val="auto"/>
        </w:rPr>
      </w:pPr>
    </w:p>
    <w:p>
      <w:pPr>
        <w:ind w:left="520" w:right="40" w:hanging="512"/>
        <w:spacing w:after="0" w:line="266" w:lineRule="auto"/>
        <w:tabs>
          <w:tab w:leader="none" w:pos="5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increased $5.6 million primarily due to new rates and rider recovery driven by the Colorado Electric rate review and Wyoming Electric's recently completed Ready Wyoming project partially offset by unfavorable weather and lower residential and commercial customer usage;</w:t>
      </w:r>
    </w:p>
    <w:p>
      <w:pPr>
        <w:spacing w:after="0" w:line="62" w:lineRule="exact"/>
        <w:rPr>
          <w:rFonts w:ascii="Times New Roman" w:cs="Times New Roman" w:eastAsia="Times New Roman" w:hAnsi="Times New Roman"/>
          <w:sz w:val="16"/>
          <w:szCs w:val="16"/>
          <w:color w:val="auto"/>
        </w:rPr>
      </w:pPr>
    </w:p>
    <w:p>
      <w:pPr>
        <w:ind w:left="520" w:right="140" w:hanging="512"/>
        <w:spacing w:after="0" w:line="285" w:lineRule="auto"/>
        <w:tabs>
          <w:tab w:leader="none" w:pos="5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decreased $5.0 million primarily due to unfavorable weather partially offset by new rates and rider recovery driven by the Kansas Gas and Nebraska Gas rate reviews and lower operating expenses; and</w:t>
      </w:r>
    </w:p>
    <w:p>
      <w:pPr>
        <w:spacing w:after="0" w:line="4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operating loss increased $3.7 million primarily due to costs related to the pending merger with NorthWestern.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 discussion of operating results from our business segments follows. Unless otherwise indicated, segment information does not include inter-segment eliminations.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We define Electric and Gas Utility margin as operating revenue less cost of fuel, purchased power and cost of natural gas sold. Electric and Gas Utility margin is a non-GAAP financial measure due to the exclusion of operation and maintenance expenses determined to be directly attributable to revenue-producing activities, depreciation and amortization expenses, and taxes other than income taxes from the measure.</w:t>
      </w:r>
    </w:p>
    <w:p>
      <w:pPr>
        <w:spacing w:after="0" w:line="15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believe that Gas and Electric Utility margin provides a useful basis for evaluating our segment operating results since our Utilities have regulatory mechanisms that allow them to pass prudently incurred costs of energy through to the customer in current rates. As a result, management uses Gas and Electric Utility margin internally when assessing the financial performance of our operating segments as this measure excludes the majority of revenue fluctuations caused by changes in these costs of energy. Similarly, the presentation of Gas and Electric Utility margin is intended to supplement investors’ understanding of operating performance.</w:t>
      </w:r>
    </w:p>
    <w:p>
      <w:pPr>
        <w:spacing w:after="0" w:line="15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The following table includes a reconciliation of Electric and Gas Utility margin to Gross margin, the most directly comparable GAAP measure: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Electric Utilities</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Gas Utilities</w:t>
            </w:r>
          </w:p>
        </w:tc>
      </w:tr>
      <w:tr>
        <w:trPr>
          <w:trHeight w:val="183"/>
        </w:trPr>
        <w:tc>
          <w:tcPr>
            <w:tcW w:w="6100" w:type="dxa"/>
            <w:vAlign w:val="bottom"/>
          </w:tcPr>
          <w:p>
            <w:pPr>
              <w:spacing w:after="0"/>
              <w:rPr>
                <w:sz w:val="15"/>
                <w:szCs w:val="15"/>
                <w:color w:val="auto"/>
              </w:rPr>
            </w:pPr>
          </w:p>
        </w:tc>
        <w:tc>
          <w:tcPr>
            <w:tcW w:w="2540" w:type="dxa"/>
            <w:vAlign w:val="bottom"/>
            <w:tcBorders>
              <w:bottom w:val="single" w:sz="8" w:color="auto"/>
            </w:tcBorders>
            <w:gridSpan w:val="4"/>
          </w:tcPr>
          <w:p>
            <w:pPr>
              <w:ind w:left="20"/>
              <w:spacing w:after="0" w:line="183" w:lineRule="exact"/>
              <w:rPr>
                <w:sz w:val="20"/>
                <w:szCs w:val="20"/>
                <w:color w:val="auto"/>
              </w:rPr>
            </w:pPr>
            <w:r>
              <w:rPr>
                <w:rFonts w:ascii="Arial" w:cs="Arial" w:eastAsia="Arial" w:hAnsi="Arial"/>
                <w:sz w:val="16"/>
                <w:szCs w:val="16"/>
                <w:b w:val="1"/>
                <w:bCs w:val="1"/>
                <w:color w:val="auto"/>
              </w:rPr>
              <w:t>Three Months Ended March 31,</w:t>
            </w:r>
          </w:p>
        </w:tc>
        <w:tc>
          <w:tcPr>
            <w:tcW w:w="2600" w:type="dxa"/>
            <w:vAlign w:val="bottom"/>
            <w:tcBorders>
              <w:bottom w:val="single" w:sz="8" w:color="auto"/>
            </w:tcBorders>
            <w:gridSpan w:val="4"/>
          </w:tcPr>
          <w:p>
            <w:pPr>
              <w:jc w:val="right"/>
              <w:ind w:right="79"/>
              <w:spacing w:after="0" w:line="183" w:lineRule="exact"/>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6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r>
      <w:tr>
        <w:trPr>
          <w:trHeight w:val="182"/>
        </w:trPr>
        <w:tc>
          <w:tcPr>
            <w:tcW w:w="6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241.6</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236.7</w:t>
            </w:r>
          </w:p>
        </w:tc>
        <w:tc>
          <w:tcPr>
            <w:tcW w:w="4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543.1</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572.4</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(66.8)</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(67.2)</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(271.2)</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(292.6)</w:t>
            </w:r>
          </w:p>
        </w:tc>
      </w:tr>
      <w:tr>
        <w:trPr>
          <w:trHeight w:val="189"/>
        </w:trPr>
        <w:tc>
          <w:tcPr>
            <w:tcW w:w="61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(37.1)</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189"/>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4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r>
      <w:tr>
        <w:trPr>
          <w:trHeight w:val="183"/>
        </w:trPr>
        <w:tc>
          <w:tcPr>
            <w:tcW w:w="6100" w:type="dxa"/>
            <w:vAlign w:val="bottom"/>
          </w:tcPr>
          <w:p>
            <w:pPr>
              <w:ind w:left="60"/>
              <w:spacing w:after="0" w:line="183" w:lineRule="exact"/>
              <w:rPr>
                <w:sz w:val="20"/>
                <w:szCs w:val="20"/>
                <w:color w:val="auto"/>
              </w:rPr>
            </w:pPr>
            <w:r>
              <w:rPr>
                <w:rFonts w:ascii="Arial" w:cs="Arial" w:eastAsia="Arial" w:hAnsi="Arial"/>
                <w:sz w:val="16"/>
                <w:szCs w:val="16"/>
                <w:color w:val="auto"/>
              </w:rPr>
              <w:t>Gross margin (GAAP)</w:t>
            </w:r>
          </w:p>
        </w:tc>
        <w:tc>
          <w:tcPr>
            <w:tcW w:w="2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85.9</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81.2</w:t>
            </w:r>
          </w:p>
        </w:tc>
        <w:tc>
          <w:tcPr>
            <w:tcW w:w="4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187.7</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193.2</w:t>
            </w:r>
          </w:p>
        </w:tc>
      </w:tr>
      <w:tr>
        <w:trPr>
          <w:trHeight w:val="183"/>
        </w:trPr>
        <w:tc>
          <w:tcPr>
            <w:tcW w:w="6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39.2</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41.9</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41.1</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46.2</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26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4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32.1</w:t>
            </w:r>
          </w:p>
        </w:tc>
      </w:tr>
      <w:tr>
        <w:trPr>
          <w:trHeight w:val="189"/>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9.2</w:t>
            </w: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9.3</w:t>
            </w:r>
          </w:p>
        </w:tc>
        <w:tc>
          <w:tcPr>
            <w:tcW w:w="4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8.3</w:t>
            </w:r>
          </w:p>
        </w:tc>
      </w:tr>
      <w:tr>
        <w:trPr>
          <w:trHeight w:val="183"/>
        </w:trPr>
        <w:tc>
          <w:tcPr>
            <w:tcW w:w="6100" w:type="dxa"/>
            <w:vAlign w:val="bottom"/>
          </w:tcPr>
          <w:p>
            <w:pPr>
              <w:ind w:left="60"/>
              <w:spacing w:after="0" w:line="183" w:lineRule="exact"/>
              <w:rPr>
                <w:sz w:val="20"/>
                <w:szCs w:val="20"/>
                <w:color w:val="auto"/>
              </w:rPr>
            </w:pPr>
            <w:r>
              <w:rPr>
                <w:rFonts w:ascii="Arial" w:cs="Arial" w:eastAsia="Arial" w:hAnsi="Arial"/>
                <w:sz w:val="16"/>
                <w:szCs w:val="16"/>
                <w:color w:val="auto"/>
              </w:rPr>
              <w:t>Electric and Gas Utility margin (non-GAAP)</w:t>
            </w:r>
          </w:p>
        </w:tc>
        <w:tc>
          <w:tcPr>
            <w:tcW w:w="2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174.8</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169.5</w:t>
            </w:r>
          </w:p>
        </w:tc>
        <w:tc>
          <w:tcPr>
            <w:tcW w:w="4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271.9</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40" w:hanging="512"/>
        <w:spacing w:after="0" w:line="252"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Operations and maintenance expenses which are deemed to be directly attributable to revenue-producing activities include plant operations and maintenance expenses at our electric generation facilities, operations and maintenance expenses at our WRDC coal mine, and electric and gas transmission and distribution expenses. These amounts are included in the table above to calculate gross margin in accordance with GAAP. These amounts excluded operations and maintenance expenses not directly attributable to revenue-producing activities of $25.9 million and $26.9 million for the three months ended March 31, 2026, and 2025, respectively, for the Electric Utilities and $41.2 million and $41.7 million for the three months ended March 31, 2026, and 2025, respectively, for the Gas Utilities.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Electric Utilities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000" w:type="dxa"/>
            <w:vAlign w:val="bottom"/>
          </w:tcPr>
          <w:p>
            <w:pPr>
              <w:spacing w:after="0"/>
              <w:rPr>
                <w:sz w:val="20"/>
                <w:szCs w:val="20"/>
                <w:color w:val="auto"/>
              </w:rPr>
            </w:pPr>
            <w:r>
              <w:rPr>
                <w:rFonts w:ascii="Arial" w:cs="Arial" w:eastAsia="Arial" w:hAnsi="Arial"/>
                <w:sz w:val="16"/>
                <w:szCs w:val="16"/>
                <w:color w:val="auto"/>
              </w:rPr>
              <w:t>Operating results for the Electric Utilities were as follows:</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gridSpan w:val="4"/>
          </w:tcPr>
          <w:p>
            <w:pPr>
              <w:jc w:val="center"/>
              <w:ind w:left="13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2026 vs 2025</w:t>
            </w: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9"/>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120" w:type="dxa"/>
            <w:vAlign w:val="bottom"/>
            <w:shd w:val="clear" w:color="auto" w:fill="CFF0FC"/>
          </w:tcPr>
          <w:p>
            <w:pPr>
              <w:jc w:val="right"/>
              <w:ind w:right="93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241.6</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236.7</w:t>
            </w:r>
          </w:p>
        </w:tc>
        <w:tc>
          <w:tcPr>
            <w:tcW w:w="34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Fuel and purchased power</w:t>
            </w: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Electric Utility margin (non-GAAP) </w:t>
            </w:r>
            <w:r>
              <w:rPr>
                <w:rFonts w:ascii="Arial" w:cs="Arial" w:eastAsia="Arial" w:hAnsi="Arial"/>
                <w:sz w:val="21"/>
                <w:szCs w:val="21"/>
                <w:color w:val="auto"/>
                <w:vertAlign w:val="superscript"/>
              </w:rPr>
              <w:t>(a)</w:t>
            </w:r>
          </w:p>
        </w:tc>
        <w:tc>
          <w:tcPr>
            <w:tcW w:w="1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174.8</w:t>
            </w:r>
          </w:p>
        </w:tc>
        <w:tc>
          <w:tcPr>
            <w:tcW w:w="3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169.5</w:t>
            </w: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1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w:t>
            </w:r>
          </w:p>
        </w:tc>
        <w:tc>
          <w:tcPr>
            <w:tcW w:w="34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40.6</w:t>
            </w: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37.1</w:t>
            </w:r>
          </w:p>
        </w:tc>
        <w:tc>
          <w:tcPr>
            <w:tcW w:w="3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1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3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3"/>
        </w:trPr>
        <w:tc>
          <w:tcPr>
            <w:tcW w:w="6000" w:type="dxa"/>
            <w:vAlign w:val="bottom"/>
          </w:tcPr>
          <w:p>
            <w:pPr>
              <w:ind w:left="120"/>
              <w:spacing w:after="0" w:line="183" w:lineRule="exact"/>
              <w:rPr>
                <w:sz w:val="20"/>
                <w:szCs w:val="20"/>
                <w:color w:val="auto"/>
              </w:rPr>
            </w:pPr>
            <w:r>
              <w:rPr>
                <w:rFonts w:ascii="Arial" w:cs="Arial" w:eastAsia="Arial" w:hAnsi="Arial"/>
                <w:sz w:val="16"/>
                <w:szCs w:val="16"/>
                <w:color w:val="auto"/>
              </w:rPr>
              <w:t>Total operating expenses (excluding Fuel and purchased power)</w:t>
            </w: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114.9</w:t>
            </w: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115.2</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1120" w:type="dxa"/>
            <w:vAlign w:val="bottom"/>
            <w:tcBorders>
              <w:bottom w:val="single" w:sz="8" w:color="auto"/>
            </w:tcBorders>
          </w:tcPr>
          <w:p>
            <w:pPr>
              <w:jc w:val="right"/>
              <w:ind w:right="939"/>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59.9</w:t>
            </w:r>
          </w:p>
        </w:tc>
        <w:tc>
          <w:tcPr>
            <w:tcW w:w="30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54.3</w:t>
            </w:r>
          </w:p>
        </w:tc>
        <w:tc>
          <w:tcPr>
            <w:tcW w:w="34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Non-GAAP Financial Measures</w:t>
      </w:r>
      <w:r>
        <w:rPr>
          <w:rFonts w:ascii="Arial" w:cs="Arial" w:eastAsia="Arial" w:hAnsi="Arial"/>
          <w:sz w:val="14"/>
          <w:szCs w:val="14"/>
          <w:color w:val="auto"/>
        </w:rPr>
        <w:t xml:space="preserve"> section above for reconciliation to Gross margin,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-1270</wp:posOffset>
            </wp:positionV>
            <wp:extent cx="1269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13"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Utility margin increased as a result of the following: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Residential and commercial customer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Weather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decreased primarily due to $2.4 million of lower outside services expenses.</w:t>
      </w:r>
    </w:p>
    <w:p>
      <w:pPr>
        <w:spacing w:after="0" w:line="125"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increased primarily due to higher asset base driven by capital expenditures.</w:t>
      </w:r>
    </w:p>
    <w:p>
      <w:pPr>
        <w:spacing w:after="0" w:line="125"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was comparable to the same period in the prior year.</w:t>
      </w:r>
    </w:p>
    <w:p>
      <w:pPr>
        <w:spacing w:after="0" w:line="2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27"/>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19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1" w:lineRule="exact"/>
        <w:rPr>
          <w:sz w:val="20"/>
          <w:szCs w:val="20"/>
          <w:color w:val="auto"/>
        </w:rPr>
      </w:pPr>
    </w:p>
    <w:p>
      <w:pPr>
        <w:ind w:left="1167" w:hanging="1167"/>
        <w:spacing w:after="0"/>
        <w:tabs>
          <w:tab w:leader="none" w:pos="1167" w:val="left"/>
        </w:tabs>
        <w:numPr>
          <w:ilvl w:val="0"/>
          <w:numId w:val="34"/>
        </w:numPr>
        <w:rPr>
          <w:rFonts w:ascii="Arial" w:cs="Arial" w:eastAsia="Arial" w:hAnsi="Arial"/>
          <w:sz w:val="16"/>
          <w:szCs w:val="16"/>
          <w:color w:val="auto"/>
        </w:rPr>
      </w:pPr>
      <w:r>
        <w:rPr>
          <w:rFonts w:ascii="Arial" w:cs="Arial" w:eastAsia="Arial" w:hAnsi="Arial"/>
          <w:sz w:val="16"/>
          <w:szCs w:val="16"/>
          <w:color w:val="auto"/>
        </w:rPr>
        <w:t>13.3</w:t>
      </w:r>
    </w:p>
    <w:p>
      <w:pPr>
        <w:spacing w:after="0" w:line="8"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(3.6)</w:t>
      </w:r>
    </w:p>
    <w:p>
      <w:pPr>
        <w:spacing w:after="0" w:line="5"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(3.2)</w:t>
      </w:r>
    </w:p>
    <w:p>
      <w:pPr>
        <w:spacing w:after="0" w:line="5"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(1.2)</w:t>
      </w:r>
    </w:p>
    <w:p>
      <w:pPr>
        <w:spacing w:after="0" w:line="15" w:lineRule="exact"/>
        <w:rPr>
          <w:sz w:val="20"/>
          <w:szCs w:val="20"/>
          <w:color w:val="auto"/>
        </w:rPr>
      </w:pPr>
    </w:p>
    <w:p>
      <w:pPr>
        <w:ind w:left="1247" w:hanging="1247"/>
        <w:spacing w:after="0"/>
        <w:tabs>
          <w:tab w:leader="none" w:pos="12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5.3</w:t>
      </w:r>
    </w:p>
    <w:p>
      <w:pPr>
        <w:sectPr>
          <w:pgSz w:w="11900" w:h="16838" w:orient="portrait"/>
          <w:cols w:equalWidth="0" w:num="2">
            <w:col w:w="8913" w:space="720"/>
            <w:col w:w="1607"/>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67"/>
        </w:trPr>
        <w:tc>
          <w:tcPr>
            <w:tcW w:w="5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679"/>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rPr>
              <w:t>Quantities Sold</w:t>
            </w:r>
          </w:p>
        </w:tc>
      </w:tr>
      <w:tr>
        <w:trPr>
          <w:trHeight w:val="168"/>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3"/>
          </w:tcPr>
          <w:p>
            <w:pPr>
              <w:jc w:val="center"/>
              <w:ind w:right="15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2840" w:type="dxa"/>
            <w:vAlign w:val="bottom"/>
            <w:gridSpan w:val="2"/>
          </w:tcPr>
          <w:p>
            <w:pPr>
              <w:jc w:val="center"/>
              <w:ind w:right="3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Customer Class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7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2026</w:t>
            </w: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183"/>
        </w:trPr>
        <w:tc>
          <w:tcPr>
            <w:tcW w:w="56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gridSpan w:val="2"/>
            <w:shd w:val="clear" w:color="auto" w:fill="CFF0FC"/>
          </w:tcPr>
          <w:p>
            <w:pPr>
              <w:jc w:val="center"/>
              <w:ind w:left="659"/>
              <w:spacing w:after="0" w:line="183" w:lineRule="exact"/>
              <w:rPr>
                <w:sz w:val="20"/>
                <w:szCs w:val="20"/>
                <w:color w:val="auto"/>
              </w:rPr>
            </w:pPr>
            <w:r>
              <w:rPr>
                <w:rFonts w:ascii="Arial" w:cs="Arial" w:eastAsia="Arial" w:hAnsi="Arial"/>
                <w:sz w:val="16"/>
                <w:szCs w:val="16"/>
                <w:color w:val="auto"/>
              </w:rPr>
              <w:t>(in millions)</w:t>
            </w:r>
          </w:p>
        </w:tc>
        <w:tc>
          <w:tcPr>
            <w:tcW w:w="1000" w:type="dxa"/>
            <w:vAlign w:val="bottom"/>
            <w:tcBorders>
              <w:bottom w:val="single" w:sz="8" w:color="auto"/>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center"/>
              <w:ind w:left="859"/>
              <w:spacing w:after="0" w:line="183" w:lineRule="exact"/>
              <w:rPr>
                <w:sz w:val="20"/>
                <w:szCs w:val="20"/>
                <w:color w:val="auto"/>
              </w:rPr>
            </w:pPr>
            <w:r>
              <w:rPr>
                <w:rFonts w:ascii="Arial" w:cs="Arial" w:eastAsia="Arial" w:hAnsi="Arial"/>
                <w:sz w:val="16"/>
                <w:szCs w:val="16"/>
                <w:color w:val="auto"/>
                <w:w w:val="99"/>
              </w:rPr>
              <w:t>(in GWh)</w:t>
            </w:r>
          </w:p>
        </w:tc>
        <w:tc>
          <w:tcPr>
            <w:tcW w:w="1060" w:type="dxa"/>
            <w:vAlign w:val="bottom"/>
            <w:tcBorders>
              <w:bottom w:val="single" w:sz="8" w:color="auto"/>
            </w:tcBorders>
            <w:shd w:val="clear" w:color="auto" w:fill="CFF0FC"/>
          </w:tcPr>
          <w:p>
            <w:pPr>
              <w:spacing w:after="0"/>
              <w:rPr>
                <w:sz w:val="15"/>
                <w:szCs w:val="15"/>
                <w:color w:val="auto"/>
              </w:rPr>
            </w:pPr>
          </w:p>
        </w:tc>
      </w:tr>
      <w:tr>
        <w:trPr>
          <w:trHeight w:val="183"/>
        </w:trPr>
        <w:tc>
          <w:tcPr>
            <w:tcW w:w="560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5600" w:type="dxa"/>
            <w:vAlign w:val="bottom"/>
            <w:shd w:val="clear" w:color="auto" w:fill="CFF0FC"/>
          </w:tcPr>
          <w:p>
            <w:pPr>
              <w:ind w:left="60"/>
              <w:spacing w:after="0"/>
              <w:rPr>
                <w:sz w:val="20"/>
                <w:szCs w:val="20"/>
                <w:color w:val="auto"/>
              </w:rPr>
            </w:pPr>
            <w:r>
              <w:rPr>
                <w:rFonts w:ascii="Arial" w:cs="Arial" w:eastAsia="Arial" w:hAnsi="Arial"/>
                <w:sz w:val="16"/>
                <w:szCs w:val="16"/>
                <w:color w:val="auto"/>
              </w:rPr>
              <w:t>Residential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66.4</w:t>
            </w:r>
          </w:p>
        </w:tc>
        <w:tc>
          <w:tcPr>
            <w:tcW w:w="178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358.9</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406.4</w:t>
            </w:r>
          </w:p>
        </w:tc>
      </w:tr>
      <w:tr>
        <w:trPr>
          <w:trHeight w:val="189"/>
        </w:trPr>
        <w:tc>
          <w:tcPr>
            <w:tcW w:w="5600" w:type="dxa"/>
            <w:vAlign w:val="bottom"/>
          </w:tcPr>
          <w:p>
            <w:pPr>
              <w:ind w:left="60"/>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w:t>
            </w:r>
          </w:p>
        </w:tc>
        <w:tc>
          <w:tcPr>
            <w:tcW w:w="4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780" w:type="dxa"/>
            <w:vAlign w:val="bottom"/>
          </w:tcPr>
          <w:p>
            <w:pPr>
              <w:jc w:val="right"/>
              <w:ind w:right="419"/>
              <w:spacing w:after="0"/>
              <w:rPr>
                <w:sz w:val="20"/>
                <w:szCs w:val="20"/>
                <w:color w:val="auto"/>
              </w:rPr>
            </w:pPr>
            <w:r>
              <w:rPr>
                <w:rFonts w:ascii="Arial" w:cs="Arial" w:eastAsia="Arial" w:hAnsi="Arial"/>
                <w:sz w:val="16"/>
                <w:szCs w:val="16"/>
                <w:color w:val="auto"/>
              </w:rPr>
              <w:t>492.2</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517.2</w:t>
            </w:r>
          </w:p>
        </w:tc>
      </w:tr>
      <w:tr>
        <w:trPr>
          <w:trHeight w:val="189"/>
        </w:trPr>
        <w:tc>
          <w:tcPr>
            <w:tcW w:w="560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Industrial </w:t>
            </w:r>
            <w:r>
              <w:rPr>
                <w:rFonts w:ascii="Arial" w:cs="Arial" w:eastAsia="Arial" w:hAnsi="Arial"/>
                <w:sz w:val="21"/>
                <w:szCs w:val="21"/>
                <w:color w:val="auto"/>
                <w:vertAlign w:val="superscript"/>
              </w:rPr>
              <w:t>(a)</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w:t>
            </w: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48.2</w:t>
            </w:r>
          </w:p>
        </w:tc>
        <w:tc>
          <w:tcPr>
            <w:tcW w:w="178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707.4</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609.8</w:t>
            </w:r>
          </w:p>
        </w:tc>
      </w:tr>
      <w:tr>
        <w:trPr>
          <w:trHeight w:val="189"/>
        </w:trPr>
        <w:tc>
          <w:tcPr>
            <w:tcW w:w="5600" w:type="dxa"/>
            <w:vAlign w:val="bottom"/>
          </w:tcPr>
          <w:p>
            <w:pPr>
              <w:ind w:left="60"/>
              <w:spacing w:after="0"/>
              <w:rPr>
                <w:sz w:val="20"/>
                <w:szCs w:val="20"/>
                <w:color w:val="auto"/>
              </w:rPr>
            </w:pPr>
            <w:r>
              <w:rPr>
                <w:rFonts w:ascii="Arial" w:cs="Arial" w:eastAsia="Arial" w:hAnsi="Arial"/>
                <w:sz w:val="16"/>
                <w:szCs w:val="16"/>
                <w:color w:val="auto"/>
              </w:rPr>
              <w:t>Municipal</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780" w:type="dxa"/>
            <w:vAlign w:val="bottom"/>
          </w:tcPr>
          <w:p>
            <w:pPr>
              <w:jc w:val="right"/>
              <w:ind w:right="419"/>
              <w:spacing w:after="0"/>
              <w:rPr>
                <w:sz w:val="20"/>
                <w:szCs w:val="20"/>
                <w:color w:val="auto"/>
              </w:rPr>
            </w:pPr>
            <w:r>
              <w:rPr>
                <w:rFonts w:ascii="Arial" w:cs="Arial" w:eastAsia="Arial" w:hAnsi="Arial"/>
                <w:sz w:val="16"/>
                <w:szCs w:val="16"/>
                <w:color w:val="auto"/>
              </w:rPr>
              <w:t>31.1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34.6</w:t>
            </w:r>
          </w:p>
        </w:tc>
      </w:tr>
      <w:tr>
        <w:trPr>
          <w:trHeight w:val="189"/>
        </w:trPr>
        <w:tc>
          <w:tcPr>
            <w:tcW w:w="56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Other Retail</w:t>
            </w:r>
          </w:p>
        </w:tc>
        <w:tc>
          <w:tcPr>
            <w:tcW w:w="1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4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w:t>
            </w:r>
          </w:p>
        </w:tc>
        <w:tc>
          <w:tcPr>
            <w:tcW w:w="178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600" w:type="dxa"/>
            <w:vAlign w:val="bottom"/>
          </w:tcPr>
          <w:p>
            <w:pPr>
              <w:ind w:left="120"/>
              <w:spacing w:after="0" w:line="183" w:lineRule="exact"/>
              <w:rPr>
                <w:sz w:val="20"/>
                <w:szCs w:val="20"/>
                <w:color w:val="auto"/>
              </w:rPr>
            </w:pPr>
            <w:r>
              <w:rPr>
                <w:rFonts w:ascii="Arial" w:cs="Arial" w:eastAsia="Arial" w:hAnsi="Arial"/>
                <w:sz w:val="16"/>
                <w:szCs w:val="16"/>
                <w:color w:val="auto"/>
              </w:rPr>
              <w:t>Subtotal Retail Revenue - Electric</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197.0</w:t>
            </w: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191.3</w:t>
            </w:r>
          </w:p>
        </w:tc>
        <w:tc>
          <w:tcPr>
            <w:tcW w:w="178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1,589.6</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1,568.0</w:t>
            </w:r>
          </w:p>
        </w:tc>
      </w:tr>
      <w:tr>
        <w:trPr>
          <w:trHeight w:val="183"/>
        </w:trPr>
        <w:tc>
          <w:tcPr>
            <w:tcW w:w="5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Wholesale</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w:t>
            </w: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7.1</w:t>
            </w:r>
          </w:p>
        </w:tc>
        <w:tc>
          <w:tcPr>
            <w:tcW w:w="1780" w:type="dxa"/>
            <w:vAlign w:val="bottom"/>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rPr>
              <w:t>140.1</w:t>
            </w:r>
          </w:p>
        </w:tc>
        <w:tc>
          <w:tcPr>
            <w:tcW w:w="10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147.8</w:t>
            </w: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Market - off-system sales</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w:t>
            </w:r>
          </w:p>
        </w:tc>
        <w:tc>
          <w:tcPr>
            <w:tcW w:w="4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780" w:type="dxa"/>
            <w:vAlign w:val="bottom"/>
          </w:tcPr>
          <w:p>
            <w:pPr>
              <w:jc w:val="right"/>
              <w:ind w:right="419"/>
              <w:spacing w:after="0"/>
              <w:rPr>
                <w:sz w:val="20"/>
                <w:szCs w:val="20"/>
                <w:color w:val="auto"/>
              </w:rPr>
            </w:pPr>
            <w:r>
              <w:rPr>
                <w:rFonts w:ascii="Arial" w:cs="Arial" w:eastAsia="Arial" w:hAnsi="Arial"/>
                <w:sz w:val="16"/>
                <w:szCs w:val="16"/>
                <w:color w:val="auto"/>
              </w:rPr>
              <w:t>198.3</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173.6</w:t>
            </w:r>
          </w:p>
        </w:tc>
      </w:tr>
      <w:tr>
        <w:trPr>
          <w:trHeight w:val="189"/>
        </w:trPr>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Transmission</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w:t>
            </w:r>
          </w:p>
        </w:tc>
        <w:tc>
          <w:tcPr>
            <w:tcW w:w="178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600" w:type="dxa"/>
            <w:vAlign w:val="bottom"/>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17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5600" w:type="dxa"/>
            <w:vAlign w:val="bottom"/>
            <w:tcBorders>
              <w:bottom w:val="single" w:sz="8" w:color="CFF0FC"/>
            </w:tcBorders>
            <w:shd w:val="clear" w:color="auto" w:fill="CFF0FC"/>
          </w:tcPr>
          <w:p>
            <w:pPr>
              <w:ind w:left="60"/>
              <w:spacing w:after="0" w:line="169" w:lineRule="exact"/>
              <w:rPr>
                <w:sz w:val="20"/>
                <w:szCs w:val="20"/>
                <w:color w:val="auto"/>
              </w:rPr>
            </w:pPr>
            <w:r>
              <w:rPr>
                <w:rFonts w:ascii="Arial" w:cs="Arial" w:eastAsia="Arial" w:hAnsi="Arial"/>
                <w:sz w:val="16"/>
                <w:szCs w:val="16"/>
                <w:color w:val="auto"/>
              </w:rPr>
              <w:t>Total Revenue and Quantities Sold</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241.6</w:t>
            </w:r>
          </w:p>
        </w:tc>
        <w:tc>
          <w:tcPr>
            <w:tcW w:w="42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236.7</w:t>
            </w:r>
          </w:p>
        </w:tc>
        <w:tc>
          <w:tcPr>
            <w:tcW w:w="1780" w:type="dxa"/>
            <w:vAlign w:val="bottom"/>
            <w:tcBorders>
              <w:bottom w:val="single" w:sz="8" w:color="auto"/>
            </w:tcBorders>
            <w:shd w:val="clear" w:color="auto" w:fill="CFF0FC"/>
          </w:tcPr>
          <w:p>
            <w:pPr>
              <w:jc w:val="right"/>
              <w:ind w:right="419"/>
              <w:spacing w:after="0" w:line="169" w:lineRule="exact"/>
              <w:rPr>
                <w:sz w:val="20"/>
                <w:szCs w:val="20"/>
                <w:color w:val="auto"/>
              </w:rPr>
            </w:pPr>
            <w:r>
              <w:rPr>
                <w:rFonts w:ascii="Arial" w:cs="Arial" w:eastAsia="Arial" w:hAnsi="Arial"/>
                <w:sz w:val="16"/>
                <w:szCs w:val="16"/>
                <w:color w:val="auto"/>
              </w:rPr>
              <w:t>1,928.0</w:t>
            </w:r>
          </w:p>
        </w:tc>
        <w:tc>
          <w:tcPr>
            <w:tcW w:w="10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1,889.4</w:t>
            </w:r>
          </w:p>
        </w:tc>
      </w:tr>
      <w:tr>
        <w:trPr>
          <w:trHeight w:val="169"/>
        </w:trPr>
        <w:tc>
          <w:tcPr>
            <w:tcW w:w="5600" w:type="dxa"/>
            <w:vAlign w:val="bottom"/>
          </w:tcPr>
          <w:p>
            <w:pPr>
              <w:spacing w:after="0" w:line="170" w:lineRule="exact"/>
              <w:rPr>
                <w:sz w:val="20"/>
                <w:szCs w:val="20"/>
                <w:color w:val="auto"/>
              </w:rPr>
            </w:pPr>
            <w:r>
              <w:rPr>
                <w:rFonts w:ascii="Arial" w:cs="Arial" w:eastAsia="Arial" w:hAnsi="Arial"/>
                <w:sz w:val="15"/>
                <w:szCs w:val="15"/>
                <w:color w:val="auto"/>
              </w:rPr>
              <w:t xml:space="preserve">Other Uses, Losses, or Generation, net </w:t>
            </w:r>
            <w:r>
              <w:rPr>
                <w:rFonts w:ascii="Arial" w:cs="Arial" w:eastAsia="Arial" w:hAnsi="Arial"/>
                <w:sz w:val="19"/>
                <w:szCs w:val="19"/>
                <w:color w:val="auto"/>
                <w:vertAlign w:val="superscript"/>
              </w:rPr>
              <w:t>(c)</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tcBorders>
              <w:bottom w:val="single" w:sz="8" w:color="auto"/>
            </w:tcBorders>
          </w:tcPr>
          <w:p>
            <w:pPr>
              <w:jc w:val="right"/>
              <w:ind w:right="419"/>
              <w:spacing w:after="0" w:line="170" w:lineRule="exact"/>
              <w:rPr>
                <w:sz w:val="20"/>
                <w:szCs w:val="20"/>
                <w:color w:val="auto"/>
              </w:rPr>
            </w:pPr>
            <w:r>
              <w:rPr>
                <w:rFonts w:ascii="Arial" w:cs="Arial" w:eastAsia="Arial" w:hAnsi="Arial"/>
                <w:sz w:val="16"/>
                <w:szCs w:val="16"/>
                <w:color w:val="auto"/>
              </w:rPr>
              <w:t>103.2</w:t>
            </w:r>
          </w:p>
        </w:tc>
        <w:tc>
          <w:tcPr>
            <w:tcW w:w="106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94.1</w:t>
            </w:r>
          </w:p>
        </w:tc>
      </w:tr>
      <w:tr>
        <w:trPr>
          <w:trHeight w:val="223"/>
        </w:trPr>
        <w:tc>
          <w:tcPr>
            <w:tcW w:w="5600" w:type="dxa"/>
            <w:vAlign w:val="bottom"/>
            <w:tcBorders>
              <w:bottom w:val="single" w:sz="8" w:color="CFF0FC"/>
            </w:tcBorders>
            <w:shd w:val="clear" w:color="auto" w:fill="CFF0FC"/>
          </w:tcPr>
          <w:p>
            <w:pPr>
              <w:ind w:left="120"/>
              <w:spacing w:after="0" w:line="169" w:lineRule="exact"/>
              <w:rPr>
                <w:sz w:val="20"/>
                <w:szCs w:val="20"/>
                <w:color w:val="auto"/>
              </w:rPr>
            </w:pPr>
            <w:r>
              <w:rPr>
                <w:rFonts w:ascii="Arial" w:cs="Arial" w:eastAsia="Arial" w:hAnsi="Arial"/>
                <w:sz w:val="16"/>
                <w:szCs w:val="16"/>
                <w:color w:val="auto"/>
              </w:rPr>
              <w:t>Total Energy</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419"/>
              <w:spacing w:after="0" w:line="169" w:lineRule="exact"/>
              <w:rPr>
                <w:sz w:val="20"/>
                <w:szCs w:val="20"/>
                <w:color w:val="auto"/>
              </w:rPr>
            </w:pPr>
            <w:r>
              <w:rPr>
                <w:rFonts w:ascii="Arial" w:cs="Arial" w:eastAsia="Arial" w:hAnsi="Arial"/>
                <w:sz w:val="16"/>
                <w:szCs w:val="16"/>
                <w:color w:val="auto"/>
              </w:rPr>
              <w:t>2,031.2</w:t>
            </w:r>
          </w:p>
        </w:tc>
        <w:tc>
          <w:tcPr>
            <w:tcW w:w="10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1,983.5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100" w:hanging="512"/>
        <w:spacing w:after="0" w:line="25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increase in industrial quantities sold for the three months ended March 31, 2026, compared to the same period in 2025, was primarily driven by Wyoming Electric's BCIS Tariff customers.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Integrated Generation, inter-segment rent,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6"/>
                <w:szCs w:val="16"/>
                <w:b w:val="1"/>
                <w:bCs w:val="1"/>
                <w:color w:val="auto"/>
              </w:rPr>
              <w:t>Revenue</w:t>
            </w:r>
          </w:p>
        </w:tc>
        <w:tc>
          <w:tcPr>
            <w:tcW w:w="11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rPr>
              <w:t>Quantities Sold</w:t>
            </w:r>
          </w:p>
        </w:tc>
      </w:tr>
      <w:tr>
        <w:trPr>
          <w:trHeight w:val="168"/>
        </w:trPr>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3"/>
          </w:tcPr>
          <w:p>
            <w:pPr>
              <w:jc w:val="center"/>
              <w:ind w:right="23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3000" w:type="dxa"/>
            <w:vAlign w:val="bottom"/>
            <w:gridSpan w:val="2"/>
          </w:tcPr>
          <w:p>
            <w:pPr>
              <w:jc w:val="center"/>
              <w:ind w:right="11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8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2026</w:t>
            </w: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r>
      <w:tr>
        <w:trPr>
          <w:trHeight w:val="183"/>
        </w:trPr>
        <w:tc>
          <w:tcPr>
            <w:tcW w:w="3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left="679"/>
              <w:spacing w:after="0" w:line="183" w:lineRule="exact"/>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left="879"/>
              <w:spacing w:after="0" w:line="183" w:lineRule="exact"/>
              <w:rPr>
                <w:sz w:val="20"/>
                <w:szCs w:val="20"/>
                <w:color w:val="auto"/>
              </w:rPr>
            </w:pPr>
            <w:r>
              <w:rPr>
                <w:rFonts w:ascii="Arial" w:cs="Arial" w:eastAsia="Arial" w:hAnsi="Arial"/>
                <w:sz w:val="16"/>
                <w:szCs w:val="16"/>
                <w:color w:val="auto"/>
                <w:w w:val="99"/>
              </w:rPr>
              <w:t>(in GWh)</w:t>
            </w:r>
          </w:p>
        </w:tc>
        <w:tc>
          <w:tcPr>
            <w:tcW w:w="1160" w:type="dxa"/>
            <w:vAlign w:val="bottom"/>
            <w:tcBorders>
              <w:bottom w:val="single" w:sz="8" w:color="auto"/>
            </w:tcBorders>
          </w:tcPr>
          <w:p>
            <w:pPr>
              <w:spacing w:after="0"/>
              <w:rPr>
                <w:sz w:val="15"/>
                <w:szCs w:val="15"/>
                <w:color w:val="auto"/>
              </w:rPr>
            </w:pPr>
          </w:p>
        </w:tc>
      </w:tr>
      <w:tr>
        <w:trPr>
          <w:trHeight w:val="183"/>
        </w:trPr>
        <w:tc>
          <w:tcPr>
            <w:tcW w:w="3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69.2</w:t>
            </w:r>
          </w:p>
        </w:tc>
        <w:tc>
          <w:tcPr>
            <w:tcW w:w="46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72.4</w:t>
            </w:r>
          </w:p>
        </w:tc>
        <w:tc>
          <w:tcPr>
            <w:tcW w:w="1840" w:type="dxa"/>
            <w:vAlign w:val="bottom"/>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rPr>
              <w:t>495.9</w:t>
            </w:r>
          </w:p>
        </w:tc>
        <w:tc>
          <w:tcPr>
            <w:tcW w:w="11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532.3</w:t>
            </w:r>
          </w:p>
        </w:tc>
      </w:tr>
      <w:tr>
        <w:trPr>
          <w:trHeight w:val="189"/>
        </w:trPr>
        <w:tc>
          <w:tcPr>
            <w:tcW w:w="3940" w:type="dxa"/>
            <w:vAlign w:val="bottom"/>
          </w:tcPr>
          <w:p>
            <w:pPr>
              <w:spacing w:after="0"/>
              <w:rPr>
                <w:sz w:val="20"/>
                <w:szCs w:val="20"/>
                <w:color w:val="auto"/>
              </w:rPr>
            </w:pPr>
            <w:r>
              <w:rPr>
                <w:rFonts w:ascii="Arial" w:cs="Arial" w:eastAsia="Arial" w:hAnsi="Arial"/>
                <w:sz w:val="16"/>
                <w:szCs w:val="16"/>
                <w:color w:val="auto"/>
              </w:rPr>
              <w:t>South Dakota Electric</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86.7</w:t>
            </w:r>
          </w:p>
        </w:tc>
        <w:tc>
          <w:tcPr>
            <w:tcW w:w="46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86.9</w:t>
            </w:r>
          </w:p>
        </w:tc>
        <w:tc>
          <w:tcPr>
            <w:tcW w:w="1840" w:type="dxa"/>
            <w:vAlign w:val="bottom"/>
          </w:tcPr>
          <w:p>
            <w:pPr>
              <w:jc w:val="right"/>
              <w:ind w:right="439"/>
              <w:spacing w:after="0"/>
              <w:rPr>
                <w:sz w:val="20"/>
                <w:szCs w:val="20"/>
                <w:color w:val="auto"/>
              </w:rPr>
            </w:pPr>
            <w:r>
              <w:rPr>
                <w:rFonts w:ascii="Arial" w:cs="Arial" w:eastAsia="Arial" w:hAnsi="Arial"/>
                <w:sz w:val="16"/>
                <w:szCs w:val="16"/>
                <w:color w:val="auto"/>
              </w:rPr>
              <w:t>679.7</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682.0</w:t>
            </w:r>
          </w:p>
        </w:tc>
      </w:tr>
      <w:tr>
        <w:trPr>
          <w:trHeight w:val="189"/>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w:t>
            </w: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66.6</w:t>
            </w:r>
          </w:p>
        </w:tc>
        <w:tc>
          <w:tcPr>
            <w:tcW w:w="184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726.6</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645.8</w:t>
            </w:r>
          </w:p>
        </w:tc>
      </w:tr>
      <w:tr>
        <w:trPr>
          <w:trHeight w:val="189"/>
        </w:trPr>
        <w:tc>
          <w:tcPr>
            <w:tcW w:w="3940" w:type="dxa"/>
            <w:vAlign w:val="bottom"/>
          </w:tcPr>
          <w:p>
            <w:pPr>
              <w:spacing w:after="0"/>
              <w:rPr>
                <w:sz w:val="20"/>
                <w:szCs w:val="20"/>
                <w:color w:val="auto"/>
              </w:rPr>
            </w:pPr>
            <w:r>
              <w:rPr>
                <w:rFonts w:ascii="Arial" w:cs="Arial" w:eastAsia="Arial" w:hAnsi="Arial"/>
                <w:sz w:val="16"/>
                <w:szCs w:val="16"/>
                <w:color w:val="auto"/>
              </w:rPr>
              <w:t>Integrated Generation</w:t>
            </w:r>
          </w:p>
        </w:tc>
        <w:tc>
          <w:tcPr>
            <w:tcW w:w="1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10.8</w:t>
            </w:r>
          </w:p>
        </w:tc>
        <w:tc>
          <w:tcPr>
            <w:tcW w:w="18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25.8</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29.3</w:t>
            </w:r>
          </w:p>
        </w:tc>
      </w:tr>
      <w:tr>
        <w:trPr>
          <w:trHeight w:val="203"/>
        </w:trPr>
        <w:tc>
          <w:tcPr>
            <w:tcW w:w="3940" w:type="dxa"/>
            <w:vAlign w:val="bottom"/>
            <w:shd w:val="clear" w:color="auto" w:fill="CFF0FC"/>
          </w:tcPr>
          <w:p>
            <w:pPr>
              <w:ind w:left="100"/>
              <w:spacing w:after="0" w:line="169" w:lineRule="exact"/>
              <w:rPr>
                <w:sz w:val="20"/>
                <w:szCs w:val="20"/>
                <w:color w:val="auto"/>
              </w:rPr>
            </w:pPr>
            <w:r>
              <w:rPr>
                <w:rFonts w:ascii="Arial" w:cs="Arial" w:eastAsia="Arial" w:hAnsi="Arial"/>
                <w:sz w:val="16"/>
                <w:szCs w:val="16"/>
                <w:color w:val="auto"/>
              </w:rPr>
              <w:t>Total Revenue and Quantities Sold</w:t>
            </w:r>
          </w:p>
        </w:tc>
        <w:tc>
          <w:tcPr>
            <w:tcW w:w="14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241.6</w:t>
            </w:r>
          </w:p>
        </w:tc>
        <w:tc>
          <w:tcPr>
            <w:tcW w:w="460" w:type="dxa"/>
            <w:vAlign w:val="bottom"/>
            <w:shd w:val="clear" w:color="auto" w:fill="CFF0FC"/>
          </w:tcPr>
          <w:p>
            <w:pPr>
              <w:jc w:val="right"/>
              <w:ind w:right="219"/>
              <w:spacing w:after="0" w:line="169"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236.7</w:t>
            </w:r>
          </w:p>
        </w:tc>
        <w:tc>
          <w:tcPr>
            <w:tcW w:w="1840" w:type="dxa"/>
            <w:vAlign w:val="bottom"/>
            <w:shd w:val="clear" w:color="auto" w:fill="CFF0FC"/>
          </w:tcPr>
          <w:p>
            <w:pPr>
              <w:jc w:val="right"/>
              <w:ind w:right="439"/>
              <w:spacing w:after="0" w:line="169" w:lineRule="exact"/>
              <w:rPr>
                <w:sz w:val="20"/>
                <w:szCs w:val="20"/>
                <w:color w:val="auto"/>
              </w:rPr>
            </w:pPr>
            <w:r>
              <w:rPr>
                <w:rFonts w:ascii="Arial" w:cs="Arial" w:eastAsia="Arial" w:hAnsi="Arial"/>
                <w:sz w:val="16"/>
                <w:szCs w:val="16"/>
                <w:color w:val="auto"/>
              </w:rPr>
              <w:t>1,928.0</w:t>
            </w:r>
          </w:p>
        </w:tc>
        <w:tc>
          <w:tcPr>
            <w:tcW w:w="116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1,889.4</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30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8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Quantities Generated and Purchased by Fuel Type</w:t>
            </w:r>
          </w:p>
        </w:tc>
        <w:tc>
          <w:tcPr>
            <w:tcW w:w="190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2026</w:t>
            </w:r>
          </w:p>
        </w:tc>
        <w:tc>
          <w:tcPr>
            <w:tcW w:w="11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183"/>
        </w:trPr>
        <w:tc>
          <w:tcPr>
            <w:tcW w:w="8220" w:type="dxa"/>
            <w:vAlign w:val="bottom"/>
          </w:tcPr>
          <w:p>
            <w:pPr>
              <w:spacing w:after="0"/>
              <w:rPr>
                <w:sz w:val="15"/>
                <w:szCs w:val="15"/>
                <w:color w:val="auto"/>
              </w:rPr>
            </w:pPr>
          </w:p>
        </w:tc>
        <w:tc>
          <w:tcPr>
            <w:tcW w:w="1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(in GWh)</w:t>
            </w:r>
          </w:p>
        </w:tc>
        <w:tc>
          <w:tcPr>
            <w:tcW w:w="1120" w:type="dxa"/>
            <w:vAlign w:val="bottom"/>
            <w:tcBorders>
              <w:bottom w:val="single" w:sz="8" w:color="auto"/>
            </w:tcBorders>
          </w:tcPr>
          <w:p>
            <w:pPr>
              <w:spacing w:after="0"/>
              <w:rPr>
                <w:sz w:val="15"/>
                <w:szCs w:val="15"/>
                <w:color w:val="auto"/>
              </w:rPr>
            </w:pPr>
          </w:p>
        </w:tc>
      </w:tr>
      <w:tr>
        <w:trPr>
          <w:trHeight w:val="182"/>
        </w:trPr>
        <w:tc>
          <w:tcPr>
            <w:tcW w:w="8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19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8220" w:type="dxa"/>
            <w:vAlign w:val="bottom"/>
          </w:tcPr>
          <w:p>
            <w:pPr>
              <w:ind w:left="80"/>
              <w:spacing w:after="0" w:line="189"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(a)</w:t>
            </w:r>
          </w:p>
        </w:tc>
        <w:tc>
          <w:tcPr>
            <w:tcW w:w="1900" w:type="dxa"/>
            <w:vAlign w:val="bottom"/>
          </w:tcPr>
          <w:p>
            <w:pPr>
              <w:jc w:val="right"/>
              <w:ind w:right="439"/>
              <w:spacing w:after="0"/>
              <w:rPr>
                <w:sz w:val="20"/>
                <w:szCs w:val="20"/>
                <w:color w:val="auto"/>
              </w:rPr>
            </w:pPr>
            <w:r>
              <w:rPr>
                <w:rFonts w:ascii="Arial" w:cs="Arial" w:eastAsia="Arial" w:hAnsi="Arial"/>
                <w:sz w:val="16"/>
                <w:szCs w:val="16"/>
                <w:color w:val="auto"/>
              </w:rPr>
              <w:t>490.2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599.9</w:t>
            </w:r>
          </w:p>
        </w:tc>
      </w:tr>
      <w:tr>
        <w:trPr>
          <w:trHeight w:val="189"/>
        </w:trPr>
        <w:tc>
          <w:tcPr>
            <w:tcW w:w="8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Natural Gas and Oil</w:t>
            </w:r>
          </w:p>
        </w:tc>
        <w:tc>
          <w:tcPr>
            <w:tcW w:w="19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441.7</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512.1</w:t>
            </w:r>
          </w:p>
        </w:tc>
      </w:tr>
      <w:tr>
        <w:trPr>
          <w:trHeight w:val="189"/>
        </w:trPr>
        <w:tc>
          <w:tcPr>
            <w:tcW w:w="8220" w:type="dxa"/>
            <w:vAlign w:val="bottom"/>
          </w:tcPr>
          <w:p>
            <w:pPr>
              <w:ind w:left="80"/>
              <w:spacing w:after="0"/>
              <w:rPr>
                <w:sz w:val="20"/>
                <w:szCs w:val="20"/>
                <w:color w:val="auto"/>
              </w:rPr>
            </w:pPr>
            <w:r>
              <w:rPr>
                <w:rFonts w:ascii="Arial" w:cs="Arial" w:eastAsia="Arial" w:hAnsi="Arial"/>
                <w:sz w:val="16"/>
                <w:szCs w:val="16"/>
                <w:color w:val="auto"/>
              </w:rPr>
              <w:t>Wind</w:t>
            </w:r>
          </w:p>
        </w:tc>
        <w:tc>
          <w:tcPr>
            <w:tcW w:w="1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186.8</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175.4</w:t>
            </w:r>
          </w:p>
        </w:tc>
      </w:tr>
      <w:tr>
        <w:trPr>
          <w:trHeight w:val="183"/>
        </w:trPr>
        <w:tc>
          <w:tcPr>
            <w:tcW w:w="8220" w:type="dxa"/>
            <w:vAlign w:val="bottom"/>
            <w:tcBorders>
              <w:bottom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Total Generated</w:t>
            </w:r>
          </w:p>
        </w:tc>
        <w:tc>
          <w:tcPr>
            <w:tcW w:w="1900" w:type="dxa"/>
            <w:vAlign w:val="bottom"/>
            <w:tcBorders>
              <w:bottom w:val="single" w:sz="8" w:color="auto"/>
            </w:tcBorders>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rPr>
              <w:t>1,118.7</w:t>
            </w:r>
          </w:p>
        </w:tc>
        <w:tc>
          <w:tcPr>
            <w:tcW w:w="11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1,287.4</w:t>
            </w:r>
          </w:p>
        </w:tc>
      </w:tr>
      <w:tr>
        <w:trPr>
          <w:trHeight w:val="183"/>
        </w:trPr>
        <w:tc>
          <w:tcPr>
            <w:tcW w:w="8220" w:type="dxa"/>
            <w:vAlign w:val="bottom"/>
          </w:tcPr>
          <w:p>
            <w:pPr>
              <w:spacing w:after="0" w:line="183" w:lineRule="exact"/>
              <w:rPr>
                <w:sz w:val="20"/>
                <w:szCs w:val="20"/>
                <w:color w:val="auto"/>
              </w:rPr>
            </w:pPr>
            <w:r>
              <w:rPr>
                <w:rFonts w:ascii="Arial" w:cs="Arial" w:eastAsia="Arial" w:hAnsi="Arial"/>
                <w:sz w:val="16"/>
                <w:szCs w:val="16"/>
                <w:color w:val="auto"/>
              </w:rPr>
              <w:t>Purchased:</w:t>
            </w: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8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Coal, Natural Gas, Oil, and Other Market Purchases</w:t>
            </w:r>
          </w:p>
        </w:tc>
        <w:tc>
          <w:tcPr>
            <w:tcW w:w="19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562.4</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375.7</w:t>
            </w:r>
          </w:p>
        </w:tc>
      </w:tr>
      <w:tr>
        <w:trPr>
          <w:trHeight w:val="189"/>
        </w:trPr>
        <w:tc>
          <w:tcPr>
            <w:tcW w:w="8220" w:type="dxa"/>
            <w:vAlign w:val="bottom"/>
          </w:tcPr>
          <w:p>
            <w:pPr>
              <w:ind w:left="80"/>
              <w:spacing w:after="0"/>
              <w:rPr>
                <w:sz w:val="20"/>
                <w:szCs w:val="20"/>
                <w:color w:val="auto"/>
              </w:rPr>
            </w:pPr>
            <w:r>
              <w:rPr>
                <w:rFonts w:ascii="Arial" w:cs="Arial" w:eastAsia="Arial" w:hAnsi="Arial"/>
                <w:sz w:val="16"/>
                <w:szCs w:val="16"/>
                <w:color w:val="auto"/>
              </w:rPr>
              <w:t>Wind and Solar</w:t>
            </w:r>
          </w:p>
        </w:tc>
        <w:tc>
          <w:tcPr>
            <w:tcW w:w="1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350.1</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320.4</w:t>
            </w:r>
          </w:p>
        </w:tc>
      </w:tr>
      <w:tr>
        <w:trPr>
          <w:trHeight w:val="183"/>
        </w:trPr>
        <w:tc>
          <w:tcPr>
            <w:tcW w:w="8220" w:type="dxa"/>
            <w:vAlign w:val="bottom"/>
            <w:tcBorders>
              <w:bottom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 xml:space="preserve">Total Purchased </w:t>
            </w:r>
            <w:r>
              <w:rPr>
                <w:rFonts w:ascii="Arial" w:cs="Arial" w:eastAsia="Arial" w:hAnsi="Arial"/>
                <w:sz w:val="21"/>
                <w:szCs w:val="21"/>
                <w:color w:val="auto"/>
                <w:vertAlign w:val="superscript"/>
              </w:rPr>
              <w:t>(b)</w:t>
            </w:r>
          </w:p>
        </w:tc>
        <w:tc>
          <w:tcPr>
            <w:tcW w:w="1900" w:type="dxa"/>
            <w:vAlign w:val="bottom"/>
            <w:tcBorders>
              <w:bottom w:val="single" w:sz="8" w:color="auto"/>
            </w:tcBorders>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rPr>
              <w:t>912.5</w:t>
            </w:r>
          </w:p>
        </w:tc>
        <w:tc>
          <w:tcPr>
            <w:tcW w:w="11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696.1</w:t>
            </w:r>
          </w:p>
        </w:tc>
      </w:tr>
      <w:tr>
        <w:trPr>
          <w:trHeight w:val="183"/>
        </w:trPr>
        <w:tc>
          <w:tcPr>
            <w:tcW w:w="8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9"/>
        </w:trPr>
        <w:tc>
          <w:tcPr>
            <w:tcW w:w="82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1900" w:type="dxa"/>
            <w:vAlign w:val="bottom"/>
            <w:tcBorders>
              <w:bottom w:val="single" w:sz="8" w:color="auto"/>
            </w:tcBorders>
            <w:shd w:val="clear" w:color="auto" w:fill="CFF0FC"/>
          </w:tcPr>
          <w:p>
            <w:pPr>
              <w:jc w:val="right"/>
              <w:ind w:right="439"/>
              <w:spacing w:after="0" w:line="169" w:lineRule="exact"/>
              <w:rPr>
                <w:sz w:val="20"/>
                <w:szCs w:val="20"/>
                <w:color w:val="auto"/>
              </w:rPr>
            </w:pPr>
            <w:r>
              <w:rPr>
                <w:rFonts w:ascii="Arial" w:cs="Arial" w:eastAsia="Arial" w:hAnsi="Arial"/>
                <w:sz w:val="16"/>
                <w:szCs w:val="16"/>
                <w:color w:val="auto"/>
              </w:rPr>
              <w:t>2,031.2</w:t>
            </w:r>
          </w:p>
        </w:tc>
        <w:tc>
          <w:tcPr>
            <w:tcW w:w="11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1,983.5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120" w:hanging="512"/>
        <w:spacing w:after="0" w:line="251"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decrease in coal generation for the three months ended March 31, 2026, compared to the same period in 2025, is primarily due to generation outages at Wygen III (returned to service in mid-March 2026).</w:t>
      </w:r>
    </w:p>
    <w:p>
      <w:pPr>
        <w:spacing w:after="0" w:line="1" w:lineRule="exact"/>
        <w:rPr>
          <w:rFonts w:ascii="Arial" w:cs="Arial" w:eastAsia="Arial" w:hAnsi="Arial"/>
          <w:sz w:val="14"/>
          <w:szCs w:val="14"/>
          <w:color w:val="auto"/>
        </w:rPr>
      </w:pPr>
    </w:p>
    <w:p>
      <w:pPr>
        <w:ind w:left="520" w:right="360" w:hanging="512"/>
        <w:spacing w:after="0" w:line="264"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increase in total purchases for the three months ended March 31, 2026, compared to the same period in 2025, was primarily driven by increased demand from Wyoming Electric's BCIS Tariff customers and generation outages at Wygen III as discussed in (a) above.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Three Months Ended March 31,</w:t>
      </w:r>
    </w:p>
    <w:p>
      <w:pPr>
        <w:spacing w:after="0" w:line="21" w:lineRule="exact"/>
        <w:rPr>
          <w:sz w:val="20"/>
          <w:szCs w:val="20"/>
          <w:color w:val="auto"/>
        </w:rPr>
      </w:pPr>
    </w:p>
    <w:p>
      <w:pPr>
        <w:spacing w:after="0"/>
        <w:tabs>
          <w:tab w:leader="none" w:pos="8680" w:val="left"/>
          <w:tab w:leader="none" w:pos="10200" w:val="left"/>
        </w:tabs>
        <w:rPr>
          <w:sz w:val="20"/>
          <w:szCs w:val="20"/>
          <w:color w:val="auto"/>
        </w:rPr>
      </w:pPr>
      <w:r>
        <w:rPr>
          <w:rFonts w:ascii="Arial" w:cs="Arial" w:eastAsia="Arial" w:hAnsi="Arial"/>
          <w:sz w:val="16"/>
          <w:szCs w:val="16"/>
          <w:b w:val="1"/>
          <w:bCs w:val="1"/>
          <w:color w:val="auto"/>
        </w:rPr>
        <w:t>Quantities Generated and Purchased by Business Unit</w:t>
      </w:r>
      <w:r>
        <w:rPr>
          <w:sz w:val="20"/>
          <w:szCs w:val="20"/>
          <w:color w:val="auto"/>
        </w:rPr>
        <w:tab/>
      </w: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Generated:</w:t>
      </w:r>
    </w:p>
    <w:p>
      <w:pPr>
        <w:ind w:left="80"/>
        <w:spacing w:after="0" w:line="231" w:lineRule="auto"/>
        <w:rPr>
          <w:sz w:val="20"/>
          <w:szCs w:val="20"/>
          <w:color w:val="auto"/>
        </w:rPr>
      </w:pPr>
      <w:r>
        <w:rPr>
          <w:rFonts w:ascii="Arial" w:cs="Arial" w:eastAsia="Arial" w:hAnsi="Arial"/>
          <w:sz w:val="16"/>
          <w:szCs w:val="16"/>
          <w:color w:val="auto"/>
        </w:rPr>
        <w:t>Colorado Electric</w:t>
      </w:r>
    </w:p>
    <w:p>
      <w:pPr>
        <w:ind w:left="80"/>
        <w:spacing w:after="0" w:line="231" w:lineRule="auto"/>
        <w:rPr>
          <w:sz w:val="20"/>
          <w:szCs w:val="20"/>
          <w:color w:val="auto"/>
        </w:rPr>
      </w:pPr>
      <w:r>
        <w:rPr>
          <w:rFonts w:ascii="Arial" w:cs="Arial" w:eastAsia="Arial" w:hAnsi="Arial"/>
          <w:sz w:val="15"/>
          <w:szCs w:val="15"/>
          <w:color w:val="auto"/>
        </w:rPr>
        <w:t xml:space="preserve">South Dakota Electric </w:t>
      </w:r>
      <w:r>
        <w:rPr>
          <w:rFonts w:ascii="Arial" w:cs="Arial" w:eastAsia="Arial" w:hAnsi="Arial"/>
          <w:sz w:val="20"/>
          <w:szCs w:val="20"/>
          <w:color w:val="auto"/>
          <w:vertAlign w:val="superscript"/>
        </w:rPr>
        <w:t>(a)</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Wyoming Electric</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Integrated Generation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 Generated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Purchased:</w:t>
      </w:r>
    </w:p>
    <w:p>
      <w:pPr>
        <w:ind w:left="80"/>
        <w:spacing w:after="0" w:line="210" w:lineRule="auto"/>
        <w:rPr>
          <w:sz w:val="20"/>
          <w:szCs w:val="20"/>
          <w:color w:val="auto"/>
        </w:rPr>
      </w:pPr>
      <w:r>
        <w:rPr>
          <w:rFonts w:ascii="Arial" w:cs="Arial" w:eastAsia="Arial" w:hAnsi="Arial"/>
          <w:sz w:val="16"/>
          <w:szCs w:val="16"/>
          <w:color w:val="auto"/>
        </w:rPr>
        <w:t>Colorado Electric</w:t>
      </w:r>
    </w:p>
    <w:p>
      <w:pPr>
        <w:ind w:left="80"/>
        <w:spacing w:after="0" w:line="197" w:lineRule="auto"/>
        <w:rPr>
          <w:sz w:val="20"/>
          <w:szCs w:val="20"/>
          <w:color w:val="auto"/>
        </w:rPr>
      </w:pPr>
      <w:r>
        <w:rPr>
          <w:rFonts w:ascii="Arial" w:cs="Arial" w:eastAsia="Arial" w:hAnsi="Arial"/>
          <w:sz w:val="15"/>
          <w:szCs w:val="15"/>
          <w:color w:val="auto"/>
        </w:rPr>
        <w:t xml:space="preserve">South Dakota Electric </w:t>
      </w:r>
      <w:r>
        <w:rPr>
          <w:rFonts w:ascii="Arial" w:cs="Arial" w:eastAsia="Arial" w:hAnsi="Arial"/>
          <w:sz w:val="20"/>
          <w:szCs w:val="20"/>
          <w:color w:val="auto"/>
          <w:vertAlign w:val="superscript"/>
        </w:rPr>
        <w:t>(a)</w:t>
      </w:r>
    </w:p>
    <w:p>
      <w:pPr>
        <w:ind w:left="80"/>
        <w:spacing w:after="0" w:line="217" w:lineRule="auto"/>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Arial" w:cs="Arial" w:eastAsia="Arial" w:hAnsi="Arial"/>
          <w:sz w:val="16"/>
          <w:szCs w:val="16"/>
          <w:color w:val="auto"/>
        </w:rPr>
        <w:t>(in GWh)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1905</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jc w:val="right"/>
              <w:ind w:right="439"/>
              <w:spacing w:after="0"/>
              <w:rPr>
                <w:sz w:val="20"/>
                <w:szCs w:val="20"/>
                <w:color w:val="auto"/>
              </w:rPr>
            </w:pPr>
            <w:r>
              <w:rPr>
                <w:rFonts w:ascii="Arial" w:cs="Arial" w:eastAsia="Arial" w:hAnsi="Arial"/>
                <w:sz w:val="16"/>
                <w:szCs w:val="16"/>
                <w:color w:val="auto"/>
              </w:rPr>
              <w:t>143.8</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184.3</w:t>
            </w:r>
          </w:p>
        </w:tc>
      </w:tr>
      <w:tr>
        <w:trPr>
          <w:trHeight w:val="189"/>
        </w:trPr>
        <w:tc>
          <w:tcPr>
            <w:tcW w:w="1900" w:type="dxa"/>
            <w:vAlign w:val="bottom"/>
          </w:tcPr>
          <w:p>
            <w:pPr>
              <w:jc w:val="right"/>
              <w:ind w:right="439"/>
              <w:spacing w:after="0"/>
              <w:rPr>
                <w:sz w:val="20"/>
                <w:szCs w:val="20"/>
                <w:color w:val="auto"/>
              </w:rPr>
            </w:pPr>
            <w:r>
              <w:rPr>
                <w:rFonts w:ascii="Arial" w:cs="Arial" w:eastAsia="Arial" w:hAnsi="Arial"/>
                <w:sz w:val="16"/>
                <w:szCs w:val="16"/>
                <w:color w:val="auto"/>
              </w:rPr>
              <w:t>400.6</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478.9</w:t>
            </w:r>
          </w:p>
        </w:tc>
      </w:tr>
      <w:tr>
        <w:trPr>
          <w:trHeight w:val="189"/>
        </w:trPr>
        <w:tc>
          <w:tcPr>
            <w:tcW w:w="1900" w:type="dxa"/>
            <w:vAlign w:val="bottom"/>
          </w:tcPr>
          <w:p>
            <w:pPr>
              <w:jc w:val="right"/>
              <w:ind w:right="439"/>
              <w:spacing w:after="0"/>
              <w:rPr>
                <w:sz w:val="20"/>
                <w:szCs w:val="20"/>
                <w:color w:val="auto"/>
              </w:rPr>
            </w:pPr>
            <w:r>
              <w:rPr>
                <w:rFonts w:ascii="Arial" w:cs="Arial" w:eastAsia="Arial" w:hAnsi="Arial"/>
                <w:sz w:val="16"/>
                <w:szCs w:val="16"/>
                <w:color w:val="auto"/>
              </w:rPr>
              <w:t>180.5</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219.3</w:t>
            </w:r>
          </w:p>
        </w:tc>
      </w:tr>
      <w:tr>
        <w:trPr>
          <w:trHeight w:val="203"/>
        </w:trPr>
        <w:tc>
          <w:tcPr>
            <w:tcW w:w="1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393.8</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404.9</w:t>
            </w:r>
          </w:p>
        </w:tc>
      </w:tr>
      <w:tr>
        <w:trPr>
          <w:trHeight w:val="183"/>
        </w:trPr>
        <w:tc>
          <w:tcPr>
            <w:tcW w:w="190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1,118.7</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1,287.4</w:t>
            </w:r>
          </w:p>
        </w:tc>
      </w:tr>
      <w:tr>
        <w:trPr>
          <w:trHeight w:val="357"/>
        </w:trPr>
        <w:tc>
          <w:tcPr>
            <w:tcW w:w="1900" w:type="dxa"/>
            <w:vAlign w:val="bottom"/>
          </w:tcPr>
          <w:p>
            <w:pPr>
              <w:jc w:val="right"/>
              <w:ind w:right="439"/>
              <w:spacing w:after="0"/>
              <w:rPr>
                <w:sz w:val="20"/>
                <w:szCs w:val="20"/>
                <w:color w:val="auto"/>
              </w:rPr>
            </w:pPr>
            <w:r>
              <w:rPr>
                <w:rFonts w:ascii="Arial" w:cs="Arial" w:eastAsia="Arial" w:hAnsi="Arial"/>
                <w:sz w:val="16"/>
                <w:szCs w:val="16"/>
                <w:color w:val="auto"/>
              </w:rPr>
              <w:t>104.5</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90.2</w:t>
            </w:r>
          </w:p>
        </w:tc>
      </w:tr>
      <w:tr>
        <w:trPr>
          <w:trHeight w:val="189"/>
        </w:trPr>
        <w:tc>
          <w:tcPr>
            <w:tcW w:w="1900" w:type="dxa"/>
            <w:vAlign w:val="bottom"/>
          </w:tcPr>
          <w:p>
            <w:pPr>
              <w:jc w:val="right"/>
              <w:ind w:right="439"/>
              <w:spacing w:after="0"/>
              <w:rPr>
                <w:sz w:val="20"/>
                <w:szCs w:val="20"/>
                <w:color w:val="auto"/>
              </w:rPr>
            </w:pPr>
            <w:r>
              <w:rPr>
                <w:rFonts w:ascii="Arial" w:cs="Arial" w:eastAsia="Arial" w:hAnsi="Arial"/>
                <w:sz w:val="16"/>
                <w:szCs w:val="16"/>
                <w:color w:val="auto"/>
              </w:rPr>
              <w:t>300.3</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211.3</w:t>
            </w:r>
          </w:p>
        </w:tc>
      </w:tr>
      <w:tr>
        <w:trPr>
          <w:trHeight w:val="201"/>
        </w:trPr>
        <w:tc>
          <w:tcPr>
            <w:tcW w:w="1900" w:type="dxa"/>
            <w:vAlign w:val="bottom"/>
          </w:tcPr>
          <w:p>
            <w:pPr>
              <w:jc w:val="right"/>
              <w:ind w:right="439"/>
              <w:spacing w:after="0"/>
              <w:rPr>
                <w:sz w:val="20"/>
                <w:szCs w:val="20"/>
                <w:color w:val="auto"/>
              </w:rPr>
            </w:pPr>
            <w:r>
              <w:rPr>
                <w:rFonts w:ascii="Arial" w:cs="Arial" w:eastAsia="Arial" w:hAnsi="Arial"/>
                <w:sz w:val="16"/>
                <w:szCs w:val="16"/>
                <w:color w:val="auto"/>
              </w:rPr>
              <w:t>491.2</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-975360</wp:posOffset>
            </wp:positionV>
            <wp:extent cx="71323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-735330</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-478155</wp:posOffset>
            </wp:positionV>
            <wp:extent cx="713232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-238125</wp:posOffset>
            </wp:positionV>
            <wp:extent cx="713232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7460" w:space="720"/>
            <w:col w:w="30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81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Integrated Generation</w:t>
            </w:r>
          </w:p>
        </w:tc>
        <w:tc>
          <w:tcPr>
            <w:tcW w:w="190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16.5</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w:t>
            </w:r>
          </w:p>
        </w:tc>
      </w:tr>
      <w:tr>
        <w:trPr>
          <w:trHeight w:val="183"/>
        </w:trPr>
        <w:tc>
          <w:tcPr>
            <w:tcW w:w="8180" w:type="dxa"/>
            <w:vAlign w:val="bottom"/>
          </w:tcPr>
          <w:p>
            <w:pPr>
              <w:ind w:left="160"/>
              <w:spacing w:after="0" w:line="183" w:lineRule="exact"/>
              <w:rPr>
                <w:sz w:val="20"/>
                <w:szCs w:val="20"/>
                <w:color w:val="auto"/>
              </w:rPr>
            </w:pPr>
            <w:r>
              <w:rPr>
                <w:rFonts w:ascii="Arial" w:cs="Arial" w:eastAsia="Arial" w:hAnsi="Arial"/>
                <w:sz w:val="16"/>
                <w:szCs w:val="16"/>
                <w:color w:val="auto"/>
              </w:rPr>
              <w:t>Total Purchased</w:t>
            </w:r>
          </w:p>
        </w:tc>
        <w:tc>
          <w:tcPr>
            <w:tcW w:w="190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912.5</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696.1</w:t>
            </w:r>
          </w:p>
        </w:tc>
      </w:tr>
      <w:tr>
        <w:trPr>
          <w:trHeight w:val="182"/>
        </w:trPr>
        <w:tc>
          <w:tcPr>
            <w:tcW w:w="818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8180" w:type="dxa"/>
            <w:vAlign w:val="bottom"/>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1900" w:type="dxa"/>
            <w:vAlign w:val="bottom"/>
            <w:tcBorders>
              <w:bottom w:val="single" w:sz="8" w:color="auto"/>
            </w:tcBorders>
          </w:tcPr>
          <w:p>
            <w:pPr>
              <w:jc w:val="right"/>
              <w:ind w:right="439"/>
              <w:spacing w:after="0" w:line="169" w:lineRule="exact"/>
              <w:rPr>
                <w:sz w:val="20"/>
                <w:szCs w:val="20"/>
                <w:color w:val="auto"/>
              </w:rPr>
            </w:pPr>
            <w:r>
              <w:rPr>
                <w:rFonts w:ascii="Arial" w:cs="Arial" w:eastAsia="Arial" w:hAnsi="Arial"/>
                <w:sz w:val="16"/>
                <w:szCs w:val="16"/>
                <w:color w:val="auto"/>
              </w:rPr>
              <w:t>2,031.2</w:t>
            </w:r>
          </w:p>
        </w:tc>
        <w:tc>
          <w:tcPr>
            <w:tcW w:w="11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1,983.5</w:t>
            </w:r>
          </w:p>
        </w:tc>
      </w:tr>
      <w:tr>
        <w:trPr>
          <w:trHeight w:val="20"/>
        </w:trPr>
        <w:tc>
          <w:tcPr>
            <w:tcW w:w="81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20" w:hanging="512"/>
        <w:spacing w:after="0" w:line="251"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shift in South Dakota Electric's generated and purchased GWh for the three months ended March 31, 2026, compared to the same period in 2025, is primarily driven by generation outages at Wygen III (returned to service in mid-March 2026).</w:t>
      </w:r>
    </w:p>
    <w:p>
      <w:pPr>
        <w:spacing w:after="0" w:line="1" w:lineRule="exact"/>
        <w:rPr>
          <w:rFonts w:ascii="Arial" w:cs="Arial" w:eastAsia="Arial" w:hAnsi="Arial"/>
          <w:sz w:val="14"/>
          <w:szCs w:val="14"/>
          <w:color w:val="auto"/>
        </w:rPr>
      </w:pPr>
    </w:p>
    <w:p>
      <w:pPr>
        <w:ind w:left="520" w:right="160" w:hanging="512"/>
        <w:spacing w:after="0" w:line="264"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discussed in footnote (b) in the Quantities Generated and Purchased by Fuel Type table above, the increase in Wyoming Electric's purchases is primarily driven by increased demand from BCIS Tariff customers.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80" w:type="dxa"/>
            <w:vAlign w:val="bottom"/>
            <w:gridSpan w:val="2"/>
          </w:tcPr>
          <w:p>
            <w:pPr>
              <w:ind w:left="920"/>
              <w:spacing w:after="0"/>
              <w:rPr>
                <w:sz w:val="20"/>
                <w:szCs w:val="20"/>
                <w:color w:val="auto"/>
              </w:rPr>
            </w:pPr>
            <w:r>
              <w:rPr>
                <w:rFonts w:ascii="Arial" w:cs="Arial" w:eastAsia="Arial" w:hAnsi="Arial"/>
                <w:sz w:val="16"/>
                <w:szCs w:val="16"/>
                <w:b w:val="1"/>
                <w:bCs w:val="1"/>
                <w:color w:val="auto"/>
              </w:rPr>
              <w:t>Three Months Ended March 31,</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vMerge w:val="restart"/>
          </w:tcPr>
          <w:p>
            <w:pPr>
              <w:spacing w:after="0"/>
              <w:rPr>
                <w:sz w:val="20"/>
                <w:szCs w:val="20"/>
                <w:color w:val="auto"/>
              </w:rPr>
            </w:pPr>
            <w:r>
              <w:rPr>
                <w:rFonts w:ascii="Arial" w:cs="Arial" w:eastAsia="Arial" w:hAnsi="Arial"/>
                <w:sz w:val="16"/>
                <w:szCs w:val="16"/>
                <w:b w:val="1"/>
                <w:bCs w:val="1"/>
                <w:color w:val="auto"/>
              </w:rPr>
              <w:t>Degree Days</w:t>
            </w:r>
          </w:p>
        </w:tc>
        <w:tc>
          <w:tcPr>
            <w:tcW w:w="13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739"/>
              <w:spacing w:after="0"/>
              <w:rPr>
                <w:sz w:val="20"/>
                <w:szCs w:val="20"/>
                <w:color w:val="auto"/>
              </w:rPr>
            </w:pPr>
            <w:r>
              <w:rPr>
                <w:rFonts w:ascii="Arial" w:cs="Arial" w:eastAsia="Arial" w:hAnsi="Arial"/>
                <w:sz w:val="16"/>
                <w:szCs w:val="16"/>
                <w:b w:val="1"/>
                <w:bCs w:val="1"/>
                <w:color w:val="auto"/>
              </w:rPr>
              <w:t>2026</w:t>
            </w:r>
          </w:p>
        </w:tc>
        <w:tc>
          <w:tcPr>
            <w:tcW w:w="10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ind w:left="600"/>
              <w:spacing w:after="0" w:line="183" w:lineRule="exact"/>
              <w:rPr>
                <w:sz w:val="20"/>
                <w:szCs w:val="20"/>
                <w:color w:val="auto"/>
              </w:rPr>
            </w:pPr>
            <w:r>
              <w:rPr>
                <w:rFonts w:ascii="Arial" w:cs="Arial" w:eastAsia="Arial" w:hAnsi="Arial"/>
                <w:sz w:val="16"/>
                <w:szCs w:val="16"/>
                <w:b w:val="1"/>
                <w:bCs w:val="1"/>
                <w:color w:val="auto"/>
              </w:rPr>
              <w:t>Actual</w:t>
            </w:r>
          </w:p>
        </w:tc>
        <w:tc>
          <w:tcPr>
            <w:tcW w:w="24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Variance from Normal</w:t>
            </w:r>
          </w:p>
        </w:tc>
        <w:tc>
          <w:tcPr>
            <w:tcW w:w="108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b w:val="1"/>
                <w:bCs w:val="1"/>
                <w:color w:val="auto"/>
              </w:rPr>
              <w:t>Actual</w:t>
            </w:r>
          </w:p>
        </w:tc>
        <w:tc>
          <w:tcPr>
            <w:tcW w:w="2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Variance from Normal</w:t>
            </w:r>
          </w:p>
        </w:tc>
        <w:tc>
          <w:tcPr>
            <w:tcW w:w="0" w:type="dxa"/>
            <w:vAlign w:val="bottom"/>
          </w:tcPr>
          <w:p>
            <w:pPr>
              <w:spacing w:after="0"/>
              <w:rPr>
                <w:sz w:val="1"/>
                <w:szCs w:val="1"/>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Heating Degree Days:</w:t>
            </w:r>
          </w:p>
        </w:tc>
        <w:tc>
          <w:tcPr>
            <w:tcW w:w="130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1300" w:type="dxa"/>
            <w:vAlign w:val="bottom"/>
          </w:tcPr>
          <w:p>
            <w:pPr>
              <w:jc w:val="center"/>
              <w:ind w:left="299"/>
              <w:spacing w:after="0"/>
              <w:rPr>
                <w:sz w:val="20"/>
                <w:szCs w:val="20"/>
                <w:color w:val="auto"/>
              </w:rPr>
            </w:pPr>
            <w:r>
              <w:rPr>
                <w:rFonts w:ascii="Arial" w:cs="Arial" w:eastAsia="Arial" w:hAnsi="Arial"/>
                <w:sz w:val="16"/>
                <w:szCs w:val="16"/>
                <w:color w:val="auto"/>
                <w:w w:val="99"/>
              </w:rPr>
              <w:t>2,001</w:t>
            </w:r>
          </w:p>
        </w:tc>
        <w:tc>
          <w:tcPr>
            <w:tcW w:w="2400" w:type="dxa"/>
            <w:vAlign w:val="bottom"/>
          </w:tcPr>
          <w:p>
            <w:pPr>
              <w:jc w:val="center"/>
              <w:ind w:left="19"/>
              <w:spacing w:after="0"/>
              <w:rPr>
                <w:sz w:val="20"/>
                <w:szCs w:val="20"/>
                <w:color w:val="auto"/>
              </w:rPr>
            </w:pPr>
            <w:r>
              <w:rPr>
                <w:rFonts w:ascii="Arial" w:cs="Arial" w:eastAsia="Arial" w:hAnsi="Arial"/>
                <w:sz w:val="16"/>
                <w:szCs w:val="16"/>
                <w:color w:val="auto"/>
                <w:w w:val="98"/>
              </w:rPr>
              <w:t>(21)%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2,733</w:t>
            </w:r>
          </w:p>
        </w:tc>
        <w:tc>
          <w:tcPr>
            <w:tcW w:w="2060" w:type="dxa"/>
            <w:vAlign w:val="bottom"/>
          </w:tcPr>
          <w:p>
            <w:pPr>
              <w:jc w:val="center"/>
              <w:ind w:left="25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130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w w:val="99"/>
              </w:rPr>
              <w:t>2,567</w:t>
            </w:r>
          </w:p>
        </w:tc>
        <w:tc>
          <w:tcPr>
            <w:tcW w:w="24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(22)%</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3,438</w:t>
            </w:r>
          </w:p>
        </w:tc>
        <w:tc>
          <w:tcPr>
            <w:tcW w:w="206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1300" w:type="dxa"/>
            <w:vAlign w:val="bottom"/>
          </w:tcPr>
          <w:p>
            <w:pPr>
              <w:jc w:val="center"/>
              <w:ind w:left="299"/>
              <w:spacing w:after="0"/>
              <w:rPr>
                <w:sz w:val="20"/>
                <w:szCs w:val="20"/>
                <w:color w:val="auto"/>
              </w:rPr>
            </w:pPr>
            <w:r>
              <w:rPr>
                <w:rFonts w:ascii="Arial" w:cs="Arial" w:eastAsia="Arial" w:hAnsi="Arial"/>
                <w:sz w:val="16"/>
                <w:szCs w:val="16"/>
                <w:color w:val="auto"/>
                <w:w w:val="99"/>
              </w:rPr>
              <w:t>2,325</w:t>
            </w:r>
          </w:p>
        </w:tc>
        <w:tc>
          <w:tcPr>
            <w:tcW w:w="2400" w:type="dxa"/>
            <w:vAlign w:val="bottom"/>
          </w:tcPr>
          <w:p>
            <w:pPr>
              <w:jc w:val="center"/>
              <w:ind w:left="19"/>
              <w:spacing w:after="0"/>
              <w:rPr>
                <w:sz w:val="20"/>
                <w:szCs w:val="20"/>
                <w:color w:val="auto"/>
              </w:rPr>
            </w:pPr>
            <w:r>
              <w:rPr>
                <w:rFonts w:ascii="Arial" w:cs="Arial" w:eastAsia="Arial" w:hAnsi="Arial"/>
                <w:sz w:val="16"/>
                <w:szCs w:val="16"/>
                <w:color w:val="auto"/>
                <w:w w:val="98"/>
              </w:rPr>
              <w:t>(23)%</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3,140</w:t>
            </w:r>
          </w:p>
        </w:tc>
        <w:tc>
          <w:tcPr>
            <w:tcW w:w="2060" w:type="dxa"/>
            <w:vAlign w:val="bottom"/>
          </w:tcPr>
          <w:p>
            <w:pPr>
              <w:jc w:val="center"/>
              <w:ind w:left="2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8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30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w w:val="99"/>
              </w:rPr>
              <w:t>2.263</w:t>
            </w:r>
          </w:p>
        </w:tc>
        <w:tc>
          <w:tcPr>
            <w:tcW w:w="24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(22)%</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3,060</w:t>
            </w:r>
          </w:p>
        </w:tc>
        <w:tc>
          <w:tcPr>
            <w:tcW w:w="206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Cooling Degree Days:</w:t>
            </w:r>
          </w:p>
        </w:tc>
        <w:tc>
          <w:tcPr>
            <w:tcW w:w="130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1300" w:type="dxa"/>
            <w:vAlign w:val="bottom"/>
          </w:tcPr>
          <w:p>
            <w:pPr>
              <w:jc w:val="center"/>
              <w:ind w:left="279"/>
              <w:spacing w:after="0"/>
              <w:rPr>
                <w:sz w:val="20"/>
                <w:szCs w:val="20"/>
                <w:color w:val="auto"/>
              </w:rPr>
            </w:pPr>
            <w:r>
              <w:rPr>
                <w:rFonts w:ascii="Arial" w:cs="Arial" w:eastAsia="Arial" w:hAnsi="Arial"/>
                <w:sz w:val="16"/>
                <w:szCs w:val="16"/>
                <w:color w:val="auto"/>
              </w:rPr>
              <w:t>11</w:t>
            </w:r>
          </w:p>
        </w:tc>
        <w:tc>
          <w:tcPr>
            <w:tcW w:w="2400" w:type="dxa"/>
            <w:vAlign w:val="bottom"/>
          </w:tcPr>
          <w:p>
            <w:pPr>
              <w:jc w:val="center"/>
              <w:ind w:left="19"/>
              <w:spacing w:after="0"/>
              <w:rPr>
                <w:sz w:val="20"/>
                <w:szCs w:val="20"/>
                <w:color w:val="auto"/>
              </w:rPr>
            </w:pPr>
            <w:r>
              <w:rPr>
                <w:rFonts w:ascii="Arial" w:cs="Arial" w:eastAsia="Arial" w:hAnsi="Arial"/>
                <w:sz w:val="16"/>
                <w:szCs w:val="16"/>
                <w:color w:val="auto"/>
              </w:rPr>
              <w:t>N/M</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Pr>
          <w:p>
            <w:pPr>
              <w:jc w:val="center"/>
              <w:ind w:left="2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130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w w:val="99"/>
              </w:rPr>
              <w:t>---</w:t>
            </w:r>
          </w:p>
        </w:tc>
        <w:tc>
          <w:tcPr>
            <w:tcW w:w="2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1300" w:type="dxa"/>
            <w:vAlign w:val="bottom"/>
          </w:tcPr>
          <w:p>
            <w:pPr>
              <w:jc w:val="center"/>
              <w:ind w:left="299"/>
              <w:spacing w:after="0"/>
              <w:rPr>
                <w:sz w:val="20"/>
                <w:szCs w:val="20"/>
                <w:color w:val="auto"/>
              </w:rPr>
            </w:pPr>
            <w:r>
              <w:rPr>
                <w:rFonts w:ascii="Arial" w:cs="Arial" w:eastAsia="Arial" w:hAnsi="Arial"/>
                <w:sz w:val="16"/>
                <w:szCs w:val="16"/>
                <w:color w:val="auto"/>
                <w:w w:val="99"/>
              </w:rPr>
              <w:t>---</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tcPr>
          <w:p>
            <w:pPr>
              <w:jc w:val="center"/>
              <w:ind w:left="2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8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30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w w:val="89"/>
              </w:rPr>
              <w:t>5</w:t>
            </w:r>
          </w:p>
        </w:tc>
        <w:tc>
          <w:tcPr>
            <w:tcW w:w="24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N/M</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206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Gas Utilities</w:t>
            </w: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70"/>
        </w:trPr>
        <w:tc>
          <w:tcPr>
            <w:tcW w:w="5760" w:type="dxa"/>
            <w:vAlign w:val="bottom"/>
          </w:tcPr>
          <w:p>
            <w:pPr>
              <w:spacing w:after="0"/>
              <w:rPr>
                <w:sz w:val="20"/>
                <w:szCs w:val="20"/>
                <w:color w:val="auto"/>
              </w:rPr>
            </w:pPr>
            <w:r>
              <w:rPr>
                <w:rFonts w:ascii="Arial" w:cs="Arial" w:eastAsia="Arial" w:hAnsi="Arial"/>
                <w:sz w:val="16"/>
                <w:szCs w:val="16"/>
                <w:color w:val="auto"/>
              </w:rPr>
              <w:t>Operating results for the Gas Utilities were as follows:</w:t>
            </w: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7"/>
        </w:trPr>
        <w:tc>
          <w:tcPr>
            <w:tcW w:w="57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540" w:type="dxa"/>
            <w:vAlign w:val="bottom"/>
            <w:tcBorders>
              <w:bottom w:val="single" w:sz="8" w:color="auto"/>
            </w:tcBorders>
          </w:tcPr>
          <w:p>
            <w:pPr>
              <w:spacing w:after="0"/>
              <w:rPr>
                <w:sz w:val="24"/>
                <w:szCs w:val="24"/>
                <w:color w:val="auto"/>
              </w:rPr>
            </w:pPr>
          </w:p>
        </w:tc>
      </w:tr>
      <w:tr>
        <w:trPr>
          <w:trHeight w:val="168"/>
        </w:trPr>
        <w:tc>
          <w:tcPr>
            <w:tcW w:w="5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right"/>
              <w:ind w:right="399"/>
              <w:spacing w:after="0" w:line="168" w:lineRule="exact"/>
              <w:rPr>
                <w:sz w:val="20"/>
                <w:szCs w:val="20"/>
                <w:color w:val="auto"/>
              </w:rPr>
            </w:pPr>
            <w:r>
              <w:rPr>
                <w:rFonts w:ascii="Arial" w:cs="Arial" w:eastAsia="Arial" w:hAnsi="Arial"/>
                <w:sz w:val="16"/>
                <w:szCs w:val="16"/>
                <w:b w:val="1"/>
                <w:bCs w:val="1"/>
                <w:color w:val="auto"/>
              </w:rPr>
              <w:t>2026 vs 2025</w:t>
            </w:r>
          </w:p>
        </w:tc>
      </w:tr>
      <w:tr>
        <w:trPr>
          <w:trHeight w:val="203"/>
        </w:trPr>
        <w:tc>
          <w:tcPr>
            <w:tcW w:w="5760" w:type="dxa"/>
            <w:vAlign w:val="bottom"/>
          </w:tcPr>
          <w:p>
            <w:pPr>
              <w:spacing w:after="0"/>
              <w:rPr>
                <w:sz w:val="17"/>
                <w:szCs w:val="17"/>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57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83"/>
        </w:trPr>
        <w:tc>
          <w:tcPr>
            <w:tcW w:w="5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240" w:type="dxa"/>
            <w:vAlign w:val="bottom"/>
            <w:shd w:val="clear" w:color="auto" w:fill="CFF0FC"/>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543.1</w:t>
            </w:r>
          </w:p>
        </w:tc>
        <w:tc>
          <w:tcPr>
            <w:tcW w:w="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572.4</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(29.3)</w:t>
            </w: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Cost of natural gas sold</w:t>
            </w:r>
          </w:p>
        </w:tc>
        <w:tc>
          <w:tcPr>
            <w:tcW w:w="1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r>
      <w:tr>
        <w:trPr>
          <w:trHeight w:val="183"/>
        </w:trPr>
        <w:tc>
          <w:tcPr>
            <w:tcW w:w="57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Gas Utility margin (non-GAAP) </w:t>
            </w:r>
            <w:r>
              <w:rPr>
                <w:rFonts w:ascii="Arial" w:cs="Arial" w:eastAsia="Arial" w:hAnsi="Arial"/>
                <w:sz w:val="21"/>
                <w:szCs w:val="21"/>
                <w:color w:val="auto"/>
                <w:vertAlign w:val="superscript"/>
              </w:rPr>
              <w:t>(a)</w:t>
            </w:r>
          </w:p>
        </w:tc>
        <w:tc>
          <w:tcPr>
            <w:tcW w:w="1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271.9</w:t>
            </w: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279.8</w:t>
            </w:r>
          </w:p>
        </w:tc>
        <w:tc>
          <w:tcPr>
            <w:tcW w:w="30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(7.9)</w:t>
            </w:r>
          </w:p>
        </w:tc>
      </w:tr>
      <w:tr>
        <w:trPr>
          <w:trHeight w:val="183"/>
        </w:trPr>
        <w:tc>
          <w:tcPr>
            <w:tcW w:w="5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1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w:t>
            </w:r>
          </w:p>
        </w:tc>
        <w:tc>
          <w:tcPr>
            <w:tcW w:w="3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34.2</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16"/>
                <w:szCs w:val="16"/>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2.1</w:t>
            </w:r>
          </w:p>
        </w:tc>
      </w:tr>
      <w:tr>
        <w:trPr>
          <w:trHeight w:val="189"/>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2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30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0.6</w:t>
            </w:r>
          </w:p>
        </w:tc>
      </w:tr>
      <w:tr>
        <w:trPr>
          <w:trHeight w:val="183"/>
        </w:trPr>
        <w:tc>
          <w:tcPr>
            <w:tcW w:w="5760" w:type="dxa"/>
            <w:vAlign w:val="bottom"/>
          </w:tcPr>
          <w:p>
            <w:pPr>
              <w:ind w:left="120"/>
              <w:spacing w:after="0" w:line="183" w:lineRule="exact"/>
              <w:rPr>
                <w:sz w:val="20"/>
                <w:szCs w:val="20"/>
                <w:color w:val="auto"/>
              </w:rPr>
            </w:pPr>
            <w:r>
              <w:rPr>
                <w:rFonts w:ascii="Arial" w:cs="Arial" w:eastAsia="Arial" w:hAnsi="Arial"/>
                <w:sz w:val="16"/>
                <w:szCs w:val="16"/>
                <w:color w:val="auto"/>
              </w:rPr>
              <w:t>Total operating expenses (excluding Cost of natural gas sold)</w:t>
            </w:r>
          </w:p>
        </w:tc>
        <w:tc>
          <w:tcPr>
            <w:tcW w:w="1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125.4</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128.3</w:t>
            </w: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w:t>
            </w:r>
          </w:p>
        </w:tc>
      </w:tr>
      <w:tr>
        <w:trPr>
          <w:trHeight w:val="183"/>
        </w:trPr>
        <w:tc>
          <w:tcPr>
            <w:tcW w:w="576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spacing w:after="0"/>
              <w:rPr>
                <w:sz w:val="15"/>
                <w:szCs w:val="15"/>
                <w:color w:val="auto"/>
              </w:rPr>
            </w:pPr>
          </w:p>
        </w:tc>
      </w:tr>
      <w:tr>
        <w:trPr>
          <w:trHeight w:val="183"/>
        </w:trPr>
        <w:tc>
          <w:tcPr>
            <w:tcW w:w="576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1240" w:type="dxa"/>
            <w:vAlign w:val="bottom"/>
            <w:tcBorders>
              <w:bottom w:val="single" w:sz="8" w:color="auto"/>
            </w:tcBorders>
          </w:tcPr>
          <w:p>
            <w:pPr>
              <w:jc w:val="right"/>
              <w:ind w:right="1082"/>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146.5</w:t>
            </w:r>
          </w:p>
        </w:tc>
        <w:tc>
          <w:tcPr>
            <w:tcW w:w="28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151.5</w:t>
            </w:r>
          </w:p>
        </w:tc>
        <w:tc>
          <w:tcPr>
            <w:tcW w:w="30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w:t>
            </w:r>
          </w:p>
        </w:tc>
      </w:tr>
      <w:tr>
        <w:trPr>
          <w:trHeight w:val="20"/>
        </w:trPr>
        <w:tc>
          <w:tcPr>
            <w:tcW w:w="5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Non-GAAP Financial Measures</w:t>
      </w:r>
      <w:r>
        <w:rPr>
          <w:rFonts w:ascii="Arial" w:cs="Arial" w:eastAsia="Arial" w:hAnsi="Arial"/>
          <w:sz w:val="14"/>
          <w:szCs w:val="14"/>
          <w:color w:val="auto"/>
        </w:rPr>
        <w:t xml:space="preserve"> section above for reconciliation to Gross margin,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-1270</wp:posOffset>
            </wp:positionV>
            <wp:extent cx="1269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94"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Utility margin decreased as a result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(in millions)</w:t>
            </w:r>
          </w:p>
        </w:tc>
      </w:tr>
      <w:tr>
        <w:trPr>
          <w:trHeight w:val="183"/>
        </w:trPr>
        <w:tc>
          <w:tcPr>
            <w:tcW w:w="9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Weather</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(13.2)</w:t>
            </w:r>
          </w:p>
        </w:tc>
      </w:tr>
      <w:tr>
        <w:trPr>
          <w:trHeight w:val="189"/>
        </w:trPr>
        <w:tc>
          <w:tcPr>
            <w:tcW w:w="9640" w:type="dxa"/>
            <w:vAlign w:val="bottom"/>
          </w:tcPr>
          <w:p>
            <w:pPr>
              <w:spacing w:after="0"/>
              <w:rPr>
                <w:sz w:val="20"/>
                <w:szCs w:val="20"/>
                <w:color w:val="auto"/>
              </w:rPr>
            </w:pPr>
            <w:r>
              <w:rPr>
                <w:rFonts w:ascii="Arial" w:cs="Arial" w:eastAsia="Arial" w:hAnsi="Arial"/>
                <w:sz w:val="16"/>
                <w:szCs w:val="16"/>
                <w:color w:val="auto"/>
              </w:rPr>
              <w:t>Retail customer usage</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9640" w:type="dxa"/>
            <w:vAlign w:val="bottom"/>
            <w:shd w:val="clear" w:color="auto" w:fill="CFF0FC"/>
          </w:tcPr>
          <w:p>
            <w:pPr>
              <w:spacing w:after="0"/>
              <w:rPr>
                <w:sz w:val="20"/>
                <w:szCs w:val="20"/>
                <w:color w:val="auto"/>
              </w:rPr>
            </w:pPr>
            <w:r>
              <w:rPr>
                <w:rFonts w:ascii="Arial" w:cs="Arial" w:eastAsia="Arial" w:hAnsi="Arial"/>
                <w:sz w:val="16"/>
                <w:szCs w:val="16"/>
                <w:color w:val="auto"/>
              </w:rPr>
              <w:t>Mark-to-market on non-utility natural gas commodity contracts</w:t>
            </w: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189"/>
        </w:trPr>
        <w:tc>
          <w:tcPr>
            <w:tcW w:w="9640" w:type="dxa"/>
            <w:vAlign w:val="bottom"/>
          </w:tcPr>
          <w:p>
            <w:pPr>
              <w:spacing w:after="0"/>
              <w:rPr>
                <w:sz w:val="20"/>
                <w:szCs w:val="20"/>
                <w:color w:val="auto"/>
              </w:rPr>
            </w:pPr>
            <w:r>
              <w:rPr>
                <w:rFonts w:ascii="Arial" w:cs="Arial" w:eastAsia="Arial" w:hAnsi="Arial"/>
                <w:sz w:val="16"/>
                <w:szCs w:val="16"/>
                <w:color w:val="auto"/>
              </w:rPr>
              <w:t>New rates and rider recovery</w:t>
            </w:r>
          </w:p>
        </w:tc>
        <w:tc>
          <w:tcPr>
            <w:tcW w:w="2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8.8</w:t>
            </w:r>
          </w:p>
        </w:tc>
      </w:tr>
      <w:tr>
        <w:trPr>
          <w:trHeight w:val="189"/>
        </w:trPr>
        <w:tc>
          <w:tcPr>
            <w:tcW w:w="9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183"/>
        </w:trPr>
        <w:tc>
          <w:tcPr>
            <w:tcW w:w="964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w:t>
            </w:r>
          </w:p>
        </w:tc>
      </w:tr>
      <w:tr>
        <w:trPr>
          <w:trHeight w:val="20"/>
        </w:trPr>
        <w:tc>
          <w:tcPr>
            <w:tcW w:w="9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decreased primarily due to $4.4 million of lower employee costs.</w:t>
      </w:r>
    </w:p>
    <w:p>
      <w:pPr>
        <w:spacing w:after="0" w:line="125"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increased primarily due to higher asset base driven by capital expenditures.</w:t>
      </w:r>
    </w:p>
    <w:p>
      <w:pPr>
        <w:spacing w:after="0" w:line="125"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was comparable to the same period in the prior year.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6"/>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679"/>
              <w:spacing w:after="0"/>
              <w:rPr>
                <w:sz w:val="20"/>
                <w:szCs w:val="20"/>
                <w:color w:val="auto"/>
              </w:rPr>
            </w:pPr>
            <w:r>
              <w:rPr>
                <w:rFonts w:ascii="Arial" w:cs="Arial" w:eastAsia="Arial" w:hAnsi="Arial"/>
                <w:sz w:val="16"/>
                <w:szCs w:val="16"/>
                <w:b w:val="1"/>
                <w:bCs w:val="1"/>
                <w:color w:val="auto"/>
              </w:rPr>
              <w:t>Revenue</w:t>
            </w:r>
          </w:p>
        </w:tc>
        <w:tc>
          <w:tcPr>
            <w:tcW w:w="1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25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3020" w:type="dxa"/>
            <w:vAlign w:val="bottom"/>
            <w:gridSpan w:val="2"/>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Customer Class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9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2026</w:t>
            </w: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83"/>
        </w:trPr>
        <w:tc>
          <w:tcPr>
            <w:tcW w:w="5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gridSpan w:val="2"/>
            <w:shd w:val="clear" w:color="auto" w:fill="CFF0FC"/>
          </w:tcPr>
          <w:p>
            <w:pPr>
              <w:jc w:val="center"/>
              <w:ind w:left="699"/>
              <w:spacing w:after="0" w:line="183" w:lineRule="exact"/>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shd w:val="clear" w:color="auto" w:fill="CFF0FC"/>
          </w:tcPr>
          <w:p>
            <w:pPr>
              <w:spacing w:after="0"/>
              <w:rPr>
                <w:sz w:val="15"/>
                <w:szCs w:val="15"/>
                <w:color w:val="auto"/>
              </w:rPr>
            </w:pPr>
          </w:p>
        </w:tc>
        <w:tc>
          <w:tcPr>
            <w:tcW w:w="1980" w:type="dxa"/>
            <w:vAlign w:val="bottom"/>
            <w:tcBorders>
              <w:bottom w:val="single" w:sz="8" w:color="auto"/>
            </w:tcBorders>
            <w:shd w:val="clear" w:color="auto" w:fill="CFF0FC"/>
          </w:tcPr>
          <w:p>
            <w:pPr>
              <w:jc w:val="center"/>
              <w:ind w:left="779"/>
              <w:spacing w:after="0" w:line="183" w:lineRule="exact"/>
              <w:rPr>
                <w:sz w:val="20"/>
                <w:szCs w:val="20"/>
                <w:color w:val="auto"/>
              </w:rPr>
            </w:pPr>
            <w:r>
              <w:rPr>
                <w:rFonts w:ascii="Arial" w:cs="Arial" w:eastAsia="Arial" w:hAnsi="Arial"/>
                <w:sz w:val="16"/>
                <w:szCs w:val="16"/>
                <w:color w:val="auto"/>
              </w:rPr>
              <w:t>(Dth in millions)</w:t>
            </w:r>
          </w:p>
        </w:tc>
        <w:tc>
          <w:tcPr>
            <w:tcW w:w="1040" w:type="dxa"/>
            <w:vAlign w:val="bottom"/>
            <w:tcBorders>
              <w:bottom w:val="single" w:sz="8" w:color="auto"/>
            </w:tcBorders>
            <w:shd w:val="clear" w:color="auto" w:fill="CFF0FC"/>
          </w:tcPr>
          <w:p>
            <w:pPr>
              <w:spacing w:after="0"/>
              <w:rPr>
                <w:sz w:val="15"/>
                <w:szCs w:val="15"/>
                <w:color w:val="auto"/>
              </w:rPr>
            </w:pPr>
          </w:p>
        </w:tc>
      </w:tr>
      <w:tr>
        <w:trPr>
          <w:trHeight w:val="183"/>
        </w:trPr>
        <w:tc>
          <w:tcPr>
            <w:tcW w:w="520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5200" w:type="dxa"/>
            <w:vAlign w:val="bottom"/>
            <w:shd w:val="clear" w:color="auto" w:fill="CFF0FC"/>
          </w:tcPr>
          <w:p>
            <w:pPr>
              <w:ind w:left="60"/>
              <w:spacing w:after="0"/>
              <w:rPr>
                <w:sz w:val="20"/>
                <w:szCs w:val="20"/>
                <w:color w:val="auto"/>
              </w:rPr>
            </w:pPr>
            <w:r>
              <w:rPr>
                <w:rFonts w:ascii="Arial" w:cs="Arial" w:eastAsia="Arial" w:hAnsi="Arial"/>
                <w:sz w:val="16"/>
                <w:szCs w:val="16"/>
                <w:color w:val="auto"/>
              </w:rPr>
              <w:t>Residential</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w:t>
            </w:r>
          </w:p>
        </w:tc>
        <w:tc>
          <w:tcPr>
            <w:tcW w:w="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344.1</w:t>
            </w:r>
          </w:p>
        </w:tc>
        <w:tc>
          <w:tcPr>
            <w:tcW w:w="198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25.2</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30.7</w:t>
            </w:r>
          </w:p>
        </w:tc>
      </w:tr>
      <w:tr>
        <w:trPr>
          <w:trHeight w:val="189"/>
        </w:trPr>
        <w:tc>
          <w:tcPr>
            <w:tcW w:w="5200" w:type="dxa"/>
            <w:vAlign w:val="bottom"/>
          </w:tcPr>
          <w:p>
            <w:pPr>
              <w:ind w:left="6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125.5</w:t>
            </w:r>
          </w:p>
        </w:tc>
        <w:tc>
          <w:tcPr>
            <w:tcW w:w="48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134.3</w:t>
            </w:r>
          </w:p>
        </w:tc>
        <w:tc>
          <w:tcPr>
            <w:tcW w:w="1980" w:type="dxa"/>
            <w:vAlign w:val="bottom"/>
          </w:tcPr>
          <w:p>
            <w:pPr>
              <w:jc w:val="right"/>
              <w:ind w:right="559"/>
              <w:spacing w:after="0"/>
              <w:rPr>
                <w:sz w:val="20"/>
                <w:szCs w:val="20"/>
                <w:color w:val="auto"/>
              </w:rPr>
            </w:pPr>
            <w:r>
              <w:rPr>
                <w:rFonts w:ascii="Arial" w:cs="Arial" w:eastAsia="Arial" w:hAnsi="Arial"/>
                <w:sz w:val="16"/>
                <w:szCs w:val="16"/>
                <w:color w:val="auto"/>
              </w:rPr>
              <w:t>12.2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14.0</w:t>
            </w:r>
          </w:p>
        </w:tc>
      </w:tr>
      <w:tr>
        <w:trPr>
          <w:trHeight w:val="189"/>
        </w:trPr>
        <w:tc>
          <w:tcPr>
            <w:tcW w:w="5200" w:type="dxa"/>
            <w:vAlign w:val="bottom"/>
            <w:shd w:val="clear" w:color="auto" w:fill="CFF0FC"/>
          </w:tcPr>
          <w:p>
            <w:pPr>
              <w:ind w:left="60"/>
              <w:spacing w:after="0"/>
              <w:rPr>
                <w:sz w:val="20"/>
                <w:szCs w:val="20"/>
                <w:color w:val="auto"/>
              </w:rPr>
            </w:pPr>
            <w:r>
              <w:rPr>
                <w:rFonts w:ascii="Arial" w:cs="Arial" w:eastAsia="Arial" w:hAnsi="Arial"/>
                <w:sz w:val="16"/>
                <w:szCs w:val="16"/>
                <w:color w:val="auto"/>
              </w:rPr>
              <w:t>Industrial</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6.6</w:t>
            </w:r>
          </w:p>
        </w:tc>
        <w:tc>
          <w:tcPr>
            <w:tcW w:w="198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0.9</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r>
      <w:tr>
        <w:trPr>
          <w:trHeight w:val="189"/>
        </w:trPr>
        <w:tc>
          <w:tcPr>
            <w:tcW w:w="520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Other Retail </w:t>
            </w:r>
            <w:r>
              <w:rPr>
                <w:rFonts w:ascii="Arial" w:cs="Arial" w:eastAsia="Arial" w:hAnsi="Arial"/>
                <w:sz w:val="21"/>
                <w:szCs w:val="21"/>
                <w:color w:val="auto"/>
                <w:vertAlign w:val="superscript"/>
              </w:rPr>
              <w:t>(a)</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14.7</w:t>
            </w:r>
          </w:p>
        </w:tc>
        <w:tc>
          <w:tcPr>
            <w:tcW w:w="19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2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Subtotal Retail Revenue - Gas</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458.7</w:t>
            </w: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499.7</w:t>
            </w:r>
          </w:p>
        </w:tc>
        <w:tc>
          <w:tcPr>
            <w:tcW w:w="1980" w:type="dxa"/>
            <w:vAlign w:val="bottom"/>
            <w:shd w:val="clear" w:color="auto" w:fill="CFF0FC"/>
          </w:tcPr>
          <w:p>
            <w:pPr>
              <w:jc w:val="right"/>
              <w:ind w:right="559"/>
              <w:spacing w:after="0" w:line="183" w:lineRule="exact"/>
              <w:rPr>
                <w:sz w:val="20"/>
                <w:szCs w:val="20"/>
                <w:color w:val="auto"/>
              </w:rPr>
            </w:pPr>
            <w:r>
              <w:rPr>
                <w:rFonts w:ascii="Arial" w:cs="Arial" w:eastAsia="Arial" w:hAnsi="Arial"/>
                <w:sz w:val="16"/>
                <w:szCs w:val="16"/>
                <w:color w:val="auto"/>
              </w:rPr>
              <w:t>38.3</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45.7</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Transportation</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54.5</w:t>
            </w:r>
          </w:p>
        </w:tc>
        <w:tc>
          <w:tcPr>
            <w:tcW w:w="48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57.7</w:t>
            </w:r>
          </w:p>
        </w:tc>
        <w:tc>
          <w:tcPr>
            <w:tcW w:w="1980" w:type="dxa"/>
            <w:vAlign w:val="bottom"/>
          </w:tcPr>
          <w:p>
            <w:pPr>
              <w:jc w:val="right"/>
              <w:ind w:right="559"/>
              <w:spacing w:after="0"/>
              <w:rPr>
                <w:sz w:val="20"/>
                <w:szCs w:val="20"/>
                <w:color w:val="auto"/>
              </w:rPr>
            </w:pPr>
            <w:r>
              <w:rPr>
                <w:rFonts w:ascii="Arial" w:cs="Arial" w:eastAsia="Arial" w:hAnsi="Arial"/>
                <w:sz w:val="16"/>
                <w:szCs w:val="16"/>
                <w:color w:val="auto"/>
              </w:rPr>
              <w:t>46.2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50.4</w:t>
            </w:r>
          </w:p>
        </w:tc>
      </w:tr>
      <w:tr>
        <w:trPr>
          <w:trHeight w:val="189"/>
        </w:trPr>
        <w:tc>
          <w:tcPr>
            <w:tcW w:w="520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4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15.0</w:t>
            </w:r>
          </w:p>
        </w:tc>
        <w:tc>
          <w:tcPr>
            <w:tcW w:w="198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200" w:type="dxa"/>
            <w:vAlign w:val="bottom"/>
          </w:tcPr>
          <w:p>
            <w:pPr>
              <w:ind w:left="60"/>
              <w:spacing w:after="0" w:line="169" w:lineRule="exact"/>
              <w:rPr>
                <w:sz w:val="20"/>
                <w:szCs w:val="20"/>
                <w:color w:val="auto"/>
              </w:rPr>
            </w:pPr>
            <w:r>
              <w:rPr>
                <w:rFonts w:ascii="Arial" w:cs="Arial" w:eastAsia="Arial" w:hAnsi="Arial"/>
                <w:sz w:val="16"/>
                <w:szCs w:val="16"/>
                <w:color w:val="auto"/>
              </w:rPr>
              <w:t>Total Revenue and Quantities Sold</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543.1</w:t>
            </w:r>
          </w:p>
        </w:tc>
        <w:tc>
          <w:tcPr>
            <w:tcW w:w="48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572.4</w:t>
            </w:r>
          </w:p>
        </w:tc>
        <w:tc>
          <w:tcPr>
            <w:tcW w:w="1980" w:type="dxa"/>
            <w:vAlign w:val="bottom"/>
            <w:tcBorders>
              <w:bottom w:val="single" w:sz="8" w:color="auto"/>
            </w:tcBorders>
          </w:tcPr>
          <w:p>
            <w:pPr>
              <w:jc w:val="right"/>
              <w:ind w:right="559"/>
              <w:spacing w:after="0" w:line="169" w:lineRule="exact"/>
              <w:rPr>
                <w:sz w:val="20"/>
                <w:szCs w:val="20"/>
                <w:color w:val="auto"/>
              </w:rPr>
            </w:pPr>
            <w:r>
              <w:rPr>
                <w:rFonts w:ascii="Arial" w:cs="Arial" w:eastAsia="Arial" w:hAnsi="Arial"/>
                <w:sz w:val="16"/>
                <w:szCs w:val="16"/>
                <w:color w:val="auto"/>
              </w:rPr>
              <w:t>84.5</w:t>
            </w:r>
          </w:p>
        </w:tc>
        <w:tc>
          <w:tcPr>
            <w:tcW w:w="10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96.1</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Black Hills Energy Services revenue under the Choice Gas Program.</w:t>
      </w:r>
    </w:p>
    <w:p>
      <w:pPr>
        <w:spacing w:after="0" w:line="15" w:lineRule="exact"/>
        <w:rPr>
          <w:rFonts w:ascii="Arial" w:cs="Arial" w:eastAsia="Arial" w:hAnsi="Arial"/>
          <w:sz w:val="14"/>
          <w:szCs w:val="14"/>
          <w:color w:val="auto"/>
        </w:rPr>
      </w:pPr>
    </w:p>
    <w:p>
      <w:pPr>
        <w:ind w:left="520" w:hanging="512"/>
        <w:spacing w:after="0" w:line="237"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inter-segment rent and non-regulated services under the Service Guard Comfort Plan, Tech Services, and HomeServe.</w:t>
      </w:r>
    </w:p>
    <w:p>
      <w:pPr>
        <w:ind w:left="5540"/>
        <w:spacing w:after="0"/>
        <w:rPr>
          <w:rFonts w:ascii="Arial" w:cs="Arial" w:eastAsia="Arial" w:hAnsi="Arial"/>
          <w:sz w:val="14"/>
          <w:szCs w:val="14"/>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left="679"/>
              <w:spacing w:after="0"/>
              <w:rPr>
                <w:sz w:val="20"/>
                <w:szCs w:val="20"/>
                <w:color w:val="auto"/>
              </w:rPr>
            </w:pPr>
            <w:r>
              <w:rPr>
                <w:rFonts w:ascii="Arial" w:cs="Arial" w:eastAsia="Arial" w:hAnsi="Arial"/>
                <w:sz w:val="16"/>
                <w:szCs w:val="16"/>
                <w:b w:val="1"/>
                <w:bCs w:val="1"/>
                <w:color w:val="auto"/>
              </w:rPr>
              <w:t>Revenue</w:t>
            </w:r>
          </w:p>
        </w:tc>
        <w:tc>
          <w:tcPr>
            <w:tcW w:w="1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25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3020" w:type="dxa"/>
            <w:vAlign w:val="bottom"/>
            <w:gridSpan w:val="2"/>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9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2026</w:t>
            </w: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83"/>
        </w:trPr>
        <w:tc>
          <w:tcPr>
            <w:tcW w:w="3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left="699"/>
              <w:spacing w:after="0" w:line="183" w:lineRule="exact"/>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left="779"/>
              <w:spacing w:after="0" w:line="183" w:lineRule="exact"/>
              <w:rPr>
                <w:sz w:val="20"/>
                <w:szCs w:val="20"/>
                <w:color w:val="auto"/>
              </w:rPr>
            </w:pPr>
            <w:r>
              <w:rPr>
                <w:rFonts w:ascii="Arial" w:cs="Arial" w:eastAsia="Arial" w:hAnsi="Arial"/>
                <w:sz w:val="16"/>
                <w:szCs w:val="16"/>
                <w:color w:val="auto"/>
              </w:rPr>
              <w:t>(Dth in millions)</w:t>
            </w:r>
          </w:p>
        </w:tc>
        <w:tc>
          <w:tcPr>
            <w:tcW w:w="1040" w:type="dxa"/>
            <w:vAlign w:val="bottom"/>
            <w:tcBorders>
              <w:bottom w:val="single" w:sz="8" w:color="auto"/>
            </w:tcBorders>
          </w:tcPr>
          <w:p>
            <w:pPr>
              <w:spacing w:after="0"/>
              <w:rPr>
                <w:sz w:val="15"/>
                <w:szCs w:val="15"/>
                <w:color w:val="auto"/>
              </w:rPr>
            </w:pPr>
          </w:p>
        </w:tc>
      </w:tr>
      <w:tr>
        <w:trPr>
          <w:trHeight w:val="183"/>
        </w:trPr>
        <w:tc>
          <w:tcPr>
            <w:tcW w:w="3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14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122.1</w:t>
            </w:r>
          </w:p>
        </w:tc>
        <w:tc>
          <w:tcPr>
            <w:tcW w:w="48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124.8</w:t>
            </w:r>
          </w:p>
        </w:tc>
        <w:tc>
          <w:tcPr>
            <w:tcW w:w="1980" w:type="dxa"/>
            <w:vAlign w:val="bottom"/>
            <w:shd w:val="clear" w:color="auto" w:fill="CFF0FC"/>
          </w:tcPr>
          <w:p>
            <w:pPr>
              <w:jc w:val="right"/>
              <w:ind w:right="559"/>
              <w:spacing w:after="0" w:line="183" w:lineRule="exact"/>
              <w:rPr>
                <w:sz w:val="20"/>
                <w:szCs w:val="20"/>
                <w:color w:val="auto"/>
              </w:rPr>
            </w:pPr>
            <w:r>
              <w:rPr>
                <w:rFonts w:ascii="Arial" w:cs="Arial" w:eastAsia="Arial" w:hAnsi="Arial"/>
                <w:sz w:val="16"/>
                <w:szCs w:val="16"/>
                <w:color w:val="auto"/>
              </w:rPr>
              <w:t>11.5</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13.2</w:t>
            </w:r>
          </w:p>
        </w:tc>
      </w:tr>
      <w:tr>
        <w:trPr>
          <w:trHeight w:val="189"/>
        </w:trPr>
        <w:tc>
          <w:tcPr>
            <w:tcW w:w="3880" w:type="dxa"/>
            <w:vAlign w:val="bottom"/>
          </w:tcPr>
          <w:p>
            <w:pPr>
              <w:spacing w:after="0"/>
              <w:rPr>
                <w:sz w:val="20"/>
                <w:szCs w:val="20"/>
                <w:color w:val="auto"/>
              </w:rPr>
            </w:pPr>
            <w:r>
              <w:rPr>
                <w:rFonts w:ascii="Arial" w:cs="Arial" w:eastAsia="Arial" w:hAnsi="Arial"/>
                <w:sz w:val="16"/>
                <w:szCs w:val="16"/>
                <w:color w:val="auto"/>
              </w:rPr>
              <w:t>Colorado Gas</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90.2</w:t>
            </w:r>
          </w:p>
        </w:tc>
        <w:tc>
          <w:tcPr>
            <w:tcW w:w="48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115.8</w:t>
            </w:r>
          </w:p>
        </w:tc>
        <w:tc>
          <w:tcPr>
            <w:tcW w:w="1980" w:type="dxa"/>
            <w:vAlign w:val="bottom"/>
          </w:tcPr>
          <w:p>
            <w:pPr>
              <w:jc w:val="right"/>
              <w:ind w:right="559"/>
              <w:spacing w:after="0"/>
              <w:rPr>
                <w:sz w:val="20"/>
                <w:szCs w:val="20"/>
                <w:color w:val="auto"/>
              </w:rPr>
            </w:pPr>
            <w:r>
              <w:rPr>
                <w:rFonts w:ascii="Arial" w:cs="Arial" w:eastAsia="Arial" w:hAnsi="Arial"/>
                <w:sz w:val="16"/>
                <w:szCs w:val="16"/>
                <w:color w:val="auto"/>
              </w:rPr>
              <w:t>10.8</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13.2</w:t>
            </w:r>
          </w:p>
        </w:tc>
      </w:tr>
      <w:tr>
        <w:trPr>
          <w:trHeight w:val="18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w:t>
            </w: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86.8</w:t>
            </w:r>
          </w:p>
        </w:tc>
        <w:tc>
          <w:tcPr>
            <w:tcW w:w="198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14.1</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w:t>
            </w:r>
          </w:p>
        </w:tc>
      </w:tr>
      <w:tr>
        <w:trPr>
          <w:trHeight w:val="189"/>
        </w:trPr>
        <w:tc>
          <w:tcPr>
            <w:tcW w:w="3880" w:type="dxa"/>
            <w:vAlign w:val="bottom"/>
          </w:tcPr>
          <w:p>
            <w:pPr>
              <w:spacing w:after="0"/>
              <w:rPr>
                <w:sz w:val="20"/>
                <w:szCs w:val="20"/>
                <w:color w:val="auto"/>
              </w:rPr>
            </w:pPr>
            <w:r>
              <w:rPr>
                <w:rFonts w:ascii="Arial" w:cs="Arial" w:eastAsia="Arial" w:hAnsi="Arial"/>
                <w:sz w:val="16"/>
                <w:szCs w:val="16"/>
                <w:color w:val="auto"/>
              </w:rPr>
              <w:t>Kansas Gas</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60.6</w:t>
            </w:r>
          </w:p>
        </w:tc>
        <w:tc>
          <w:tcPr>
            <w:tcW w:w="48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66.1</w:t>
            </w:r>
          </w:p>
        </w:tc>
        <w:tc>
          <w:tcPr>
            <w:tcW w:w="1980" w:type="dxa"/>
            <w:vAlign w:val="bottom"/>
          </w:tcPr>
          <w:p>
            <w:pPr>
              <w:jc w:val="right"/>
              <w:ind w:right="559"/>
              <w:spacing w:after="0"/>
              <w:rPr>
                <w:sz w:val="20"/>
                <w:szCs w:val="20"/>
                <w:color w:val="auto"/>
              </w:rPr>
            </w:pPr>
            <w:r>
              <w:rPr>
                <w:rFonts w:ascii="Arial" w:cs="Arial" w:eastAsia="Arial" w:hAnsi="Arial"/>
                <w:sz w:val="16"/>
                <w:szCs w:val="16"/>
                <w:color w:val="auto"/>
              </w:rPr>
              <w:t>10.2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11.7</w:t>
            </w:r>
          </w:p>
        </w:tc>
      </w:tr>
      <w:tr>
        <w:trPr>
          <w:trHeight w:val="18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w:t>
            </w: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130.2</w:t>
            </w:r>
          </w:p>
        </w:tc>
        <w:tc>
          <w:tcPr>
            <w:tcW w:w="198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26.2</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29.6</w:t>
            </w:r>
          </w:p>
        </w:tc>
      </w:tr>
      <w:tr>
        <w:trPr>
          <w:trHeight w:val="189"/>
        </w:trPr>
        <w:tc>
          <w:tcPr>
            <w:tcW w:w="3880" w:type="dxa"/>
            <w:vAlign w:val="bottom"/>
          </w:tcPr>
          <w:p>
            <w:pPr>
              <w:spacing w:after="0"/>
              <w:rPr>
                <w:sz w:val="20"/>
                <w:szCs w:val="20"/>
                <w:color w:val="auto"/>
              </w:rPr>
            </w:pPr>
            <w:r>
              <w:rPr>
                <w:rFonts w:ascii="Arial" w:cs="Arial" w:eastAsia="Arial" w:hAnsi="Arial"/>
                <w:sz w:val="16"/>
                <w:szCs w:val="16"/>
                <w:color w:val="auto"/>
              </w:rPr>
              <w:t>Wyoming Gas</w:t>
            </w:r>
          </w:p>
        </w:tc>
        <w:tc>
          <w:tcPr>
            <w:tcW w:w="1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48.7</w:t>
            </w:r>
          </w:p>
        </w:tc>
        <w:tc>
          <w:tcPr>
            <w:tcW w:w="19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11.7</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r>
      <w:tr>
        <w:trPr>
          <w:trHeight w:val="223"/>
        </w:trPr>
        <w:tc>
          <w:tcPr>
            <w:tcW w:w="3880" w:type="dxa"/>
            <w:vAlign w:val="bottom"/>
            <w:tcBorders>
              <w:bottom w:val="single" w:sz="8" w:color="CFF0FC"/>
            </w:tcBorders>
            <w:shd w:val="clear" w:color="auto" w:fill="CFF0FC"/>
          </w:tcPr>
          <w:p>
            <w:pPr>
              <w:ind w:left="60"/>
              <w:spacing w:after="0" w:line="169" w:lineRule="exact"/>
              <w:rPr>
                <w:sz w:val="20"/>
                <w:szCs w:val="20"/>
                <w:color w:val="auto"/>
              </w:rPr>
            </w:pPr>
            <w:r>
              <w:rPr>
                <w:rFonts w:ascii="Arial" w:cs="Arial" w:eastAsia="Arial" w:hAnsi="Arial"/>
                <w:sz w:val="16"/>
                <w:szCs w:val="16"/>
                <w:color w:val="auto"/>
              </w:rPr>
              <w:t>Total Revenue and Quantities Sold</w:t>
            </w:r>
          </w:p>
        </w:tc>
        <w:tc>
          <w:tcPr>
            <w:tcW w:w="1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543.1</w:t>
            </w:r>
          </w:p>
        </w:tc>
        <w:tc>
          <w:tcPr>
            <w:tcW w:w="480" w:type="dxa"/>
            <w:vAlign w:val="bottom"/>
            <w:tcBorders>
              <w:bottom w:val="single" w:sz="8" w:color="auto"/>
            </w:tcBorders>
            <w:shd w:val="clear" w:color="auto" w:fill="CFF0FC"/>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572.4</w:t>
            </w:r>
          </w:p>
        </w:tc>
        <w:tc>
          <w:tcPr>
            <w:tcW w:w="1980" w:type="dxa"/>
            <w:vAlign w:val="bottom"/>
            <w:tcBorders>
              <w:bottom w:val="single" w:sz="8" w:color="auto"/>
            </w:tcBorders>
            <w:shd w:val="clear" w:color="auto" w:fill="CFF0FC"/>
          </w:tcPr>
          <w:p>
            <w:pPr>
              <w:jc w:val="right"/>
              <w:ind w:right="559"/>
              <w:spacing w:after="0" w:line="169" w:lineRule="exact"/>
              <w:rPr>
                <w:sz w:val="20"/>
                <w:szCs w:val="20"/>
                <w:color w:val="auto"/>
              </w:rPr>
            </w:pPr>
            <w:r>
              <w:rPr>
                <w:rFonts w:ascii="Arial" w:cs="Arial" w:eastAsia="Arial" w:hAnsi="Arial"/>
                <w:sz w:val="16"/>
                <w:szCs w:val="16"/>
                <w:color w:val="auto"/>
              </w:rPr>
              <w:t>84.5</w:t>
            </w:r>
          </w:p>
        </w:tc>
        <w:tc>
          <w:tcPr>
            <w:tcW w:w="10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96.1</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40" w:type="dxa"/>
            <w:vAlign w:val="bottom"/>
            <w:gridSpan w:val="2"/>
          </w:tcPr>
          <w:p>
            <w:pPr>
              <w:ind w:left="980"/>
              <w:spacing w:after="0"/>
              <w:rPr>
                <w:sz w:val="20"/>
                <w:szCs w:val="20"/>
                <w:color w:val="auto"/>
              </w:rPr>
            </w:pPr>
            <w:r>
              <w:rPr>
                <w:rFonts w:ascii="Arial" w:cs="Arial" w:eastAsia="Arial" w:hAnsi="Arial"/>
                <w:sz w:val="16"/>
                <w:szCs w:val="16"/>
                <w:b w:val="1"/>
                <w:bCs w:val="1"/>
                <w:color w:val="auto"/>
              </w:rPr>
              <w:t>Three Months Ended March 31,</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vMerge w:val="restart"/>
          </w:tcPr>
          <w:p>
            <w:pPr>
              <w:spacing w:after="0"/>
              <w:rPr>
                <w:sz w:val="20"/>
                <w:szCs w:val="20"/>
                <w:color w:val="auto"/>
              </w:rPr>
            </w:pPr>
            <w:r>
              <w:rPr>
                <w:rFonts w:ascii="Arial" w:cs="Arial" w:eastAsia="Arial" w:hAnsi="Arial"/>
                <w:sz w:val="16"/>
                <w:szCs w:val="16"/>
                <w:b w:val="1"/>
                <w:bCs w:val="1"/>
                <w:color w:val="auto"/>
              </w:rPr>
              <w:t>Heating Degree Days</w:t>
            </w:r>
          </w:p>
        </w:tc>
        <w:tc>
          <w:tcPr>
            <w:tcW w:w="1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2026</w:t>
            </w:r>
          </w:p>
        </w:tc>
        <w:tc>
          <w:tcPr>
            <w:tcW w:w="1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436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tcPr>
          <w:p>
            <w:pPr>
              <w:jc w:val="center"/>
              <w:ind w:left="119"/>
              <w:spacing w:after="0" w:line="183" w:lineRule="exact"/>
              <w:rPr>
                <w:sz w:val="20"/>
                <w:szCs w:val="20"/>
                <w:color w:val="auto"/>
              </w:rPr>
            </w:pPr>
            <w:r>
              <w:rPr>
                <w:rFonts w:ascii="Arial" w:cs="Arial" w:eastAsia="Arial" w:hAnsi="Arial"/>
                <w:sz w:val="16"/>
                <w:szCs w:val="16"/>
                <w:b w:val="1"/>
                <w:bCs w:val="1"/>
                <w:color w:val="auto"/>
              </w:rPr>
              <w:t>Actual</w:t>
            </w:r>
          </w:p>
        </w:tc>
        <w:tc>
          <w:tcPr>
            <w:tcW w:w="234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Variance from Normal</w:t>
            </w:r>
          </w:p>
        </w:tc>
        <w:tc>
          <w:tcPr>
            <w:tcW w:w="12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Actual</w:t>
            </w:r>
          </w:p>
        </w:tc>
        <w:tc>
          <w:tcPr>
            <w:tcW w:w="20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Variance from Normal</w:t>
            </w:r>
          </w:p>
        </w:tc>
        <w:tc>
          <w:tcPr>
            <w:tcW w:w="0" w:type="dxa"/>
            <w:vAlign w:val="bottom"/>
          </w:tcPr>
          <w:p>
            <w:pPr>
              <w:spacing w:after="0"/>
              <w:rPr>
                <w:sz w:val="1"/>
                <w:szCs w:val="1"/>
                <w:color w:val="auto"/>
              </w:rPr>
            </w:pPr>
          </w:p>
        </w:tc>
      </w:tr>
      <w:tr>
        <w:trPr>
          <w:trHeight w:val="183"/>
        </w:trPr>
        <w:tc>
          <w:tcPr>
            <w:tcW w:w="43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260" w:type="dxa"/>
            <w:vAlign w:val="bottom"/>
            <w:shd w:val="clear" w:color="auto" w:fill="CFF0FC"/>
          </w:tcPr>
          <w:p>
            <w:pPr>
              <w:jc w:val="center"/>
              <w:ind w:left="119"/>
              <w:spacing w:after="0" w:line="183" w:lineRule="exact"/>
              <w:rPr>
                <w:sz w:val="20"/>
                <w:szCs w:val="20"/>
                <w:color w:val="auto"/>
              </w:rPr>
            </w:pPr>
            <w:r>
              <w:rPr>
                <w:rFonts w:ascii="Arial" w:cs="Arial" w:eastAsia="Arial" w:hAnsi="Arial"/>
                <w:sz w:val="16"/>
                <w:szCs w:val="16"/>
                <w:color w:val="auto"/>
              </w:rPr>
              <w:t>1,572</w:t>
            </w:r>
          </w:p>
        </w:tc>
        <w:tc>
          <w:tcPr>
            <w:tcW w:w="23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8"/>
              </w:rPr>
              <w:t>(16)%</w:t>
            </w:r>
          </w:p>
        </w:tc>
        <w:tc>
          <w:tcPr>
            <w:tcW w:w="120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1,957</w:t>
            </w:r>
          </w:p>
        </w:tc>
        <w:tc>
          <w:tcPr>
            <w:tcW w:w="2080" w:type="dxa"/>
            <w:vAlign w:val="bottom"/>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Colorado Gas</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2,059</w:t>
            </w:r>
          </w:p>
        </w:tc>
        <w:tc>
          <w:tcPr>
            <w:tcW w:w="2340" w:type="dxa"/>
            <w:vAlign w:val="bottom"/>
          </w:tcPr>
          <w:p>
            <w:pPr>
              <w:jc w:val="center"/>
              <w:spacing w:after="0"/>
              <w:rPr>
                <w:sz w:val="20"/>
                <w:szCs w:val="20"/>
                <w:color w:val="auto"/>
              </w:rPr>
            </w:pPr>
            <w:r>
              <w:rPr>
                <w:rFonts w:ascii="Arial" w:cs="Arial" w:eastAsia="Arial" w:hAnsi="Arial"/>
                <w:sz w:val="16"/>
                <w:szCs w:val="16"/>
                <w:color w:val="auto"/>
                <w:w w:val="98"/>
              </w:rPr>
              <w:t>(27)%</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2,837</w:t>
            </w:r>
          </w:p>
        </w:tc>
        <w:tc>
          <w:tcPr>
            <w:tcW w:w="2080" w:type="dxa"/>
            <w:vAlign w:val="bottom"/>
          </w:tcPr>
          <w:p>
            <w:pPr>
              <w:jc w:val="center"/>
              <w:ind w:left="19"/>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18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2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2,994</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3,288</w:t>
            </w:r>
          </w:p>
        </w:tc>
        <w:tc>
          <w:tcPr>
            <w:tcW w:w="20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2,034</w:t>
            </w:r>
          </w:p>
        </w:tc>
        <w:tc>
          <w:tcPr>
            <w:tcW w:w="2340" w:type="dxa"/>
            <w:vAlign w:val="bottom"/>
          </w:tcPr>
          <w:p>
            <w:pPr>
              <w:jc w:val="center"/>
              <w:spacing w:after="0"/>
              <w:rPr>
                <w:sz w:val="20"/>
                <w:szCs w:val="20"/>
                <w:color w:val="auto"/>
              </w:rPr>
            </w:pPr>
            <w:r>
              <w:rPr>
                <w:rFonts w:ascii="Arial" w:cs="Arial" w:eastAsia="Arial" w:hAnsi="Arial"/>
                <w:sz w:val="16"/>
                <w:szCs w:val="16"/>
                <w:color w:val="auto"/>
                <w:w w:val="98"/>
              </w:rPr>
              <w:t>(15)%</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2,616</w:t>
            </w:r>
          </w:p>
        </w:tc>
        <w:tc>
          <w:tcPr>
            <w:tcW w:w="2080" w:type="dxa"/>
            <w:vAlign w:val="bottom"/>
          </w:tcPr>
          <w:p>
            <w:pPr>
              <w:jc w:val="center"/>
              <w:ind w:lef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43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Nebraska Gas </w:t>
            </w:r>
            <w:r>
              <w:rPr>
                <w:rFonts w:ascii="Arial" w:cs="Arial" w:eastAsia="Arial" w:hAnsi="Arial"/>
                <w:sz w:val="21"/>
                <w:szCs w:val="21"/>
                <w:color w:val="auto"/>
                <w:vertAlign w:val="superscript"/>
              </w:rPr>
              <w:t>(a)</w:t>
            </w:r>
          </w:p>
        </w:tc>
        <w:tc>
          <w:tcPr>
            <w:tcW w:w="12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2,545</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(15)%</w:t>
            </w: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3,039</w:t>
            </w:r>
          </w:p>
        </w:tc>
        <w:tc>
          <w:tcPr>
            <w:tcW w:w="20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20"/>
                <w:szCs w:val="20"/>
                <w:color w:val="auto"/>
              </w:rPr>
            </w:pPr>
            <w:r>
              <w:rPr>
                <w:rFonts w:ascii="Arial" w:cs="Arial" w:eastAsia="Arial" w:hAnsi="Arial"/>
                <w:sz w:val="16"/>
                <w:szCs w:val="16"/>
                <w:color w:val="auto"/>
              </w:rPr>
              <w:t>Wyoming Gas</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2,464</w:t>
            </w:r>
          </w:p>
        </w:tc>
        <w:tc>
          <w:tcPr>
            <w:tcW w:w="2340" w:type="dxa"/>
            <w:vAlign w:val="bottom"/>
          </w:tcPr>
          <w:p>
            <w:pPr>
              <w:jc w:val="center"/>
              <w:spacing w:after="0"/>
              <w:rPr>
                <w:sz w:val="20"/>
                <w:szCs w:val="20"/>
                <w:color w:val="auto"/>
              </w:rPr>
            </w:pPr>
            <w:r>
              <w:rPr>
                <w:rFonts w:ascii="Arial" w:cs="Arial" w:eastAsia="Arial" w:hAnsi="Arial"/>
                <w:sz w:val="16"/>
                <w:szCs w:val="16"/>
                <w:color w:val="auto"/>
                <w:w w:val="98"/>
              </w:rPr>
              <w:t>(24)%</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3,323</w:t>
            </w:r>
          </w:p>
        </w:tc>
        <w:tc>
          <w:tcPr>
            <w:tcW w:w="2080" w:type="dxa"/>
            <w:vAlign w:val="bottom"/>
          </w:tcPr>
          <w:p>
            <w:pPr>
              <w:jc w:val="center"/>
              <w:ind w:left="19"/>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189"/>
        </w:trPr>
        <w:tc>
          <w:tcPr>
            <w:tcW w:w="4360" w:type="dxa"/>
            <w:vAlign w:val="bottom"/>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2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2,513</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(18)%</w:t>
            </w: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3,082</w:t>
            </w:r>
          </w:p>
        </w:tc>
        <w:tc>
          <w:tcPr>
            <w:tcW w:w="20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520" w:hanging="512"/>
        <w:spacing w:after="0" w:line="251"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Gas Utility margins. Nebraska Gas received NPSC approval to implement a two-year pilot program for a weather normalization mechanism which was effective August 1, 2025.</w:t>
      </w:r>
    </w:p>
    <w:p>
      <w:pPr>
        <w:spacing w:after="0" w:line="1" w:lineRule="exact"/>
        <w:rPr>
          <w:rFonts w:ascii="Arial" w:cs="Arial" w:eastAsia="Arial" w:hAnsi="Arial"/>
          <w:sz w:val="14"/>
          <w:szCs w:val="14"/>
          <w:color w:val="auto"/>
        </w:rPr>
      </w:pPr>
    </w:p>
    <w:p>
      <w:pPr>
        <w:ind w:left="520" w:right="80" w:hanging="512"/>
        <w:spacing w:after="0" w:line="252"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and Nebraska Gas (effective in August 2025) due to its weather normalization mechanism. Arkansas Gas is partially excluded based on the weather normalization mechanism in effect from November through April.</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including inter-segment eliminations,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38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16"/>
                <w:szCs w:val="16"/>
                <w:color w:val="auto"/>
              </w:rPr>
            </w:pPr>
          </w:p>
        </w:tc>
      </w:tr>
      <w:tr>
        <w:trPr>
          <w:trHeight w:val="203"/>
        </w:trPr>
        <w:tc>
          <w:tcPr>
            <w:tcW w:w="3600" w:type="dxa"/>
            <w:vAlign w:val="bottom"/>
          </w:tcPr>
          <w:p>
            <w:pPr>
              <w:spacing w:after="0"/>
              <w:rPr>
                <w:sz w:val="17"/>
                <w:szCs w:val="17"/>
                <w:color w:val="auto"/>
              </w:rPr>
            </w:pPr>
          </w:p>
        </w:tc>
        <w:tc>
          <w:tcPr>
            <w:tcW w:w="3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7"/>
                <w:szCs w:val="17"/>
                <w:color w:val="auto"/>
              </w:rPr>
            </w:pPr>
          </w:p>
        </w:tc>
        <w:tc>
          <w:tcPr>
            <w:tcW w:w="1440" w:type="dxa"/>
            <w:vAlign w:val="bottom"/>
          </w:tcPr>
          <w:p>
            <w:pPr>
              <w:jc w:val="center"/>
              <w:ind w:left="35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7"/>
                <w:szCs w:val="17"/>
                <w:color w:val="auto"/>
              </w:rPr>
            </w:pPr>
          </w:p>
        </w:tc>
        <w:tc>
          <w:tcPr>
            <w:tcW w:w="19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2026 vs 2025 Variance</w:t>
            </w:r>
          </w:p>
        </w:tc>
      </w:tr>
      <w:tr>
        <w:trPr>
          <w:trHeight w:val="183"/>
        </w:trPr>
        <w:tc>
          <w:tcPr>
            <w:tcW w:w="3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left="33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r>
      <w:tr>
        <w:trPr>
          <w:trHeight w:val="203"/>
        </w:trPr>
        <w:tc>
          <w:tcPr>
            <w:tcW w:w="360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Operating income (loss)</w:t>
            </w:r>
          </w:p>
        </w:tc>
        <w:tc>
          <w:tcPr>
            <w:tcW w:w="3180" w:type="dxa"/>
            <w:vAlign w:val="bottom"/>
            <w:gridSpan w:val="2"/>
            <w:shd w:val="clear" w:color="auto" w:fill="CFF0FC"/>
          </w:tcPr>
          <w:p>
            <w:pPr>
              <w:jc w:val="right"/>
              <w:ind w:right="1220"/>
              <w:spacing w:after="0" w:line="169"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(4.5)</w:t>
            </w:r>
          </w:p>
        </w:tc>
        <w:tc>
          <w:tcPr>
            <w:tcW w:w="1440" w:type="dxa"/>
            <w:vAlign w:val="bottom"/>
            <w:shd w:val="clear" w:color="auto" w:fill="CFF0FC"/>
          </w:tcPr>
          <w:p>
            <w:pPr>
              <w:jc w:val="right"/>
              <w:ind w:right="1239"/>
              <w:spacing w:after="0" w:line="169"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(0.8)</w:t>
            </w:r>
          </w:p>
        </w:tc>
        <w:tc>
          <w:tcPr>
            <w:tcW w:w="880" w:type="dxa"/>
            <w:vAlign w:val="bottom"/>
            <w:shd w:val="clear" w:color="auto" w:fill="CFF0FC"/>
          </w:tcPr>
          <w:p>
            <w:pPr>
              <w:jc w:val="right"/>
              <w:ind w:right="679"/>
              <w:spacing w:after="0" w:line="169"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(3.7)</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13"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loss increased primarily due to $4.6 million of costs related to the pending merger with NorthWestern.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gridSpan w:val="2"/>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4"/>
        </w:trPr>
        <w:tc>
          <w:tcPr>
            <w:tcW w:w="5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0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24"/>
                <w:szCs w:val="24"/>
                <w:color w:val="auto"/>
              </w:rPr>
            </w:pPr>
          </w:p>
        </w:tc>
      </w:tr>
      <w:tr>
        <w:trPr>
          <w:trHeight w:val="203"/>
        </w:trPr>
        <w:tc>
          <w:tcPr>
            <w:tcW w:w="5400" w:type="dxa"/>
            <w:vAlign w:val="bottom"/>
          </w:tcPr>
          <w:p>
            <w:pPr>
              <w:spacing w:after="0"/>
              <w:rPr>
                <w:sz w:val="17"/>
                <w:szCs w:val="17"/>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2026 vs 2025 Variance</w:t>
            </w:r>
          </w:p>
        </w:tc>
      </w:tr>
      <w:tr>
        <w:trPr>
          <w:trHeight w:val="183"/>
        </w:trPr>
        <w:tc>
          <w:tcPr>
            <w:tcW w:w="54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left="399"/>
              <w:spacing w:after="0" w:line="183" w:lineRule="exact"/>
              <w:rPr>
                <w:sz w:val="20"/>
                <w:szCs w:val="20"/>
                <w:color w:val="auto"/>
              </w:rPr>
            </w:pPr>
            <w:r>
              <w:rPr>
                <w:rFonts w:ascii="Arial" w:cs="Arial" w:eastAsia="Arial" w:hAnsi="Arial"/>
                <w:sz w:val="16"/>
                <w:szCs w:val="16"/>
                <w:color w:val="auto"/>
              </w:rPr>
              <w:t>(in millions)</w:t>
            </w: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 net</w:t>
            </w:r>
          </w:p>
        </w:tc>
        <w:tc>
          <w:tcPr>
            <w:tcW w:w="1260" w:type="dxa"/>
            <w:vAlign w:val="bottom"/>
            <w:shd w:val="clear" w:color="auto" w:fill="CFF0FC"/>
          </w:tcPr>
          <w:p>
            <w:pPr>
              <w:jc w:val="right"/>
              <w:ind w:right="107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(51.9)</w:t>
            </w:r>
          </w:p>
        </w:tc>
        <w:tc>
          <w:tcPr>
            <w:tcW w:w="1460" w:type="dxa"/>
            <w:vAlign w:val="bottom"/>
            <w:shd w:val="clear" w:color="auto" w:fill="CFF0FC"/>
          </w:tcPr>
          <w:p>
            <w:pPr>
              <w:jc w:val="right"/>
              <w:ind w:right="125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(51.3)</w:t>
            </w:r>
          </w:p>
        </w:tc>
        <w:tc>
          <w:tcPr>
            <w:tcW w:w="840" w:type="dxa"/>
            <w:vAlign w:val="bottom"/>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(0.6)</w:t>
            </w: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Other income, net</w:t>
            </w:r>
          </w:p>
        </w:tc>
        <w:tc>
          <w:tcPr>
            <w:tcW w:w="126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46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8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18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2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46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8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r>
      <w:tr>
        <w:trPr>
          <w:trHeight w:val="417"/>
        </w:trPr>
        <w:tc>
          <w:tcPr>
            <w:tcW w:w="5400" w:type="dxa"/>
            <w:vAlign w:val="bottom"/>
          </w:tcPr>
          <w:p>
            <w:pPr>
              <w:spacing w:after="0"/>
              <w:rPr>
                <w:sz w:val="24"/>
                <w:szCs w:val="24"/>
                <w:color w:val="auto"/>
              </w:rPr>
            </w:pPr>
          </w:p>
        </w:tc>
        <w:tc>
          <w:tcPr>
            <w:tcW w:w="1260" w:type="dxa"/>
            <w:vAlign w:val="bottom"/>
          </w:tcPr>
          <w:p>
            <w:pPr>
              <w:jc w:val="right"/>
              <w:ind w:right="859"/>
              <w:spacing w:after="0"/>
              <w:rPr>
                <w:sz w:val="20"/>
                <w:szCs w:val="20"/>
                <w:color w:val="auto"/>
              </w:rPr>
            </w:pPr>
            <w:r>
              <w:rPr>
                <w:rFonts w:ascii="Arial" w:cs="Arial" w:eastAsia="Arial" w:hAnsi="Arial"/>
                <w:sz w:val="16"/>
                <w:szCs w:val="16"/>
                <w:color w:val="auto"/>
              </w:rPr>
              <w:t>35</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51"/>
        </w:trPr>
        <w:tc>
          <w:tcPr>
            <w:tcW w:w="5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13" w:lineRule="exact"/>
        <w:rPr>
          <w:sz w:val="20"/>
          <w:szCs w:val="20"/>
          <w:color w:val="auto"/>
        </w:rPr>
      </w:pPr>
    </w:p>
    <w:p>
      <w:pPr>
        <w:ind w:left="520" w:right="200" w:hanging="512"/>
        <w:spacing w:after="0" w:line="285" w:lineRule="auto"/>
        <w:tabs>
          <w:tab w:leader="none" w:pos="52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net, was comparable to the same period in the prior year as higher interest expense primarily driven by higher debt balances was mostly offset by higher interest income driven by higher cash and cash equivalents balances.</w:t>
      </w:r>
    </w:p>
    <w:p>
      <w:pPr>
        <w:spacing w:after="0" w:line="4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Other income, net, was comparable to the same period in the prior year.</w:t>
      </w:r>
    </w:p>
    <w:p>
      <w:pPr>
        <w:spacing w:after="0" w:line="125" w:lineRule="exact"/>
        <w:rPr>
          <w:rFonts w:ascii="Times New Roman" w:cs="Times New Roman" w:eastAsia="Times New Roman" w:hAnsi="Times New Roman"/>
          <w:sz w:val="16"/>
          <w:szCs w:val="16"/>
          <w:color w:val="auto"/>
        </w:rPr>
      </w:pPr>
    </w:p>
    <w:p>
      <w:pPr>
        <w:ind w:left="520" w:right="240" w:hanging="512"/>
        <w:spacing w:after="0" w:line="285" w:lineRule="auto"/>
        <w:tabs>
          <w:tab w:leader="none" w:pos="52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was comparable to the same period in the prior year. For the three months ended March 31, 2026, the effective tax rate was 11.7%, which was comparable to 11.7% for the same period in 2025.</w:t>
      </w:r>
    </w:p>
    <w:p>
      <w:pPr>
        <w:spacing w:after="0" w:line="31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liquidity and capital structure as of:</w:t>
      </w:r>
    </w:p>
    <w:p>
      <w:pPr>
        <w:spacing w:after="0" w:line="194" w:lineRule="exact"/>
        <w:rPr>
          <w:sz w:val="20"/>
          <w:szCs w:val="20"/>
          <w:color w:val="auto"/>
        </w:rPr>
      </w:pPr>
    </w:p>
    <w:p>
      <w:pPr>
        <w:ind w:left="7000"/>
        <w:spacing w:after="0"/>
        <w:tabs>
          <w:tab w:leader="none" w:pos="9200" w:val="left"/>
        </w:tabs>
        <w:rPr>
          <w:sz w:val="20"/>
          <w:szCs w:val="20"/>
          <w:color w:val="auto"/>
        </w:rPr>
      </w:pPr>
      <w:r>
        <w:rPr>
          <w:rFonts w:ascii="Arial" w:cs="Arial" w:eastAsia="Arial" w:hAnsi="Arial"/>
          <w:sz w:val="16"/>
          <w:szCs w:val="16"/>
          <w:b w:val="1"/>
          <w:bCs w:val="1"/>
          <w:color w:val="auto"/>
        </w:rPr>
        <w:t>March 31, 2026</w:t>
      </w:r>
      <w:r>
        <w:rPr>
          <w:sz w:val="20"/>
          <w:szCs w:val="20"/>
          <w:color w:val="auto"/>
        </w:rPr>
        <w:tab/>
      </w: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12065</wp:posOffset>
            </wp:positionV>
            <wp:extent cx="30346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6"/>
          <w:szCs w:val="16"/>
          <w:color w:val="auto"/>
        </w:rPr>
        <w:t xml:space="preserve">Available capacity under Revolving Credit Facility and CP Program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liquidity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Long-term debt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stockholders' equity (excludes non-controlling interest)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Debt to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to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9030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80" w:type="dxa"/>
            <w:vAlign w:val="bottom"/>
            <w:tcBorders>
              <w:top w:val="single" w:sz="8" w:color="auto"/>
            </w:tcBorders>
          </w:tcPr>
          <w:p>
            <w:pPr>
              <w:jc w:val="right"/>
              <w:ind w:right="699"/>
              <w:spacing w:after="0" w:line="168" w:lineRule="exact"/>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79"/>
              <w:spacing w:after="0" w:line="168" w:lineRule="exact"/>
              <w:rPr>
                <w:sz w:val="20"/>
                <w:szCs w:val="20"/>
                <w:color w:val="auto"/>
              </w:rPr>
            </w:pPr>
            <w:r>
              <w:rPr>
                <w:rFonts w:ascii="Arial" w:cs="Arial" w:eastAsia="Arial" w:hAnsi="Arial"/>
                <w:sz w:val="16"/>
                <w:szCs w:val="16"/>
                <w:color w:val="auto"/>
              </w:rPr>
              <w:t>23.6</w:t>
            </w:r>
          </w:p>
        </w:tc>
        <w:tc>
          <w:tcPr>
            <w:tcW w:w="900" w:type="dxa"/>
            <w:vAlign w:val="bottom"/>
            <w:tcBorders>
              <w:top w:val="single" w:sz="8" w:color="auto"/>
            </w:tcBorders>
          </w:tcPr>
          <w:p>
            <w:pPr>
              <w:jc w:val="right"/>
              <w:ind w:right="719"/>
              <w:spacing w:after="0" w:line="168" w:lineRule="exact"/>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99"/>
              <w:spacing w:after="0" w:line="168" w:lineRule="exact"/>
              <w:rPr>
                <w:sz w:val="20"/>
                <w:szCs w:val="20"/>
                <w:color w:val="auto"/>
              </w:rPr>
            </w:pPr>
            <w:r>
              <w:rPr>
                <w:rFonts w:ascii="Arial" w:cs="Arial" w:eastAsia="Arial" w:hAnsi="Arial"/>
                <w:sz w:val="16"/>
                <w:szCs w:val="16"/>
                <w:color w:val="auto"/>
              </w:rPr>
              <w:t>182.8</w:t>
            </w:r>
          </w:p>
        </w:tc>
      </w:tr>
      <w:tr>
        <w:trPr>
          <w:trHeight w:val="203"/>
        </w:trPr>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494.6</w:t>
            </w: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746.8</w:t>
            </w:r>
          </w:p>
        </w:tc>
      </w:tr>
      <w:tr>
        <w:trPr>
          <w:trHeight w:val="208"/>
        </w:trPr>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518.2</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929.6</w:t>
            </w:r>
          </w:p>
        </w:tc>
      </w:tr>
      <w:tr>
        <w:trPr>
          <w:trHeight w:val="527"/>
        </w:trPr>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662.2</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3,992.5</w:t>
            </w: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4,701.1</w:t>
            </w:r>
          </w:p>
        </w:tc>
      </w:tr>
      <w:tr>
        <w:trPr>
          <w:trHeight w:val="168"/>
        </w:trPr>
        <w:tc>
          <w:tcPr>
            <w:tcW w:w="880" w:type="dxa"/>
            <w:vAlign w:val="bottom"/>
          </w:tcPr>
          <w:p>
            <w:pPr>
              <w:spacing w:after="0"/>
              <w:rPr>
                <w:sz w:val="14"/>
                <w:szCs w:val="14"/>
                <w:color w:val="auto"/>
              </w:rPr>
            </w:pPr>
          </w:p>
        </w:tc>
        <w:tc>
          <w:tcPr>
            <w:tcW w:w="1500" w:type="dxa"/>
            <w:vAlign w:val="bottom"/>
          </w:tcPr>
          <w:p>
            <w:pPr>
              <w:jc w:val="right"/>
              <w:ind w:right="79"/>
              <w:spacing w:after="0" w:line="168" w:lineRule="exact"/>
              <w:rPr>
                <w:sz w:val="20"/>
                <w:szCs w:val="20"/>
                <w:color w:val="auto"/>
              </w:rPr>
            </w:pPr>
            <w:r>
              <w:rPr>
                <w:rFonts w:ascii="Arial" w:cs="Arial" w:eastAsia="Arial" w:hAnsi="Arial"/>
                <w:sz w:val="16"/>
                <w:szCs w:val="16"/>
                <w:color w:val="auto"/>
              </w:rPr>
              <w:t>4,654.7</w:t>
            </w:r>
          </w:p>
        </w:tc>
        <w:tc>
          <w:tcPr>
            <w:tcW w:w="900" w:type="dxa"/>
            <w:vAlign w:val="bottom"/>
          </w:tcPr>
          <w:p>
            <w:pPr>
              <w:spacing w:after="0"/>
              <w:rPr>
                <w:sz w:val="14"/>
                <w:szCs w:val="14"/>
                <w:color w:val="auto"/>
              </w:rPr>
            </w:pPr>
          </w:p>
        </w:tc>
        <w:tc>
          <w:tcPr>
            <w:tcW w:w="1500" w:type="dxa"/>
            <w:vAlign w:val="bottom"/>
          </w:tcPr>
          <w:p>
            <w:pPr>
              <w:jc w:val="right"/>
              <w:ind w:right="99"/>
              <w:spacing w:after="0" w:line="168" w:lineRule="exact"/>
              <w:rPr>
                <w:sz w:val="20"/>
                <w:szCs w:val="20"/>
                <w:color w:val="auto"/>
              </w:rPr>
            </w:pPr>
            <w:r>
              <w:rPr>
                <w:rFonts w:ascii="Arial" w:cs="Arial" w:eastAsia="Arial" w:hAnsi="Arial"/>
                <w:sz w:val="16"/>
                <w:szCs w:val="16"/>
                <w:color w:val="auto"/>
              </w:rPr>
              <w:t>4,701.1</w:t>
            </w:r>
          </w:p>
        </w:tc>
      </w:tr>
      <w:tr>
        <w:trPr>
          <w:trHeight w:val="203"/>
        </w:trPr>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3,945.2</w:t>
            </w:r>
          </w:p>
        </w:tc>
        <w:tc>
          <w:tcPr>
            <w:tcW w:w="9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3,823.6</w:t>
            </w:r>
          </w:p>
        </w:tc>
      </w:tr>
      <w:tr>
        <w:trPr>
          <w:trHeight w:val="208"/>
        </w:trPr>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8,599.9</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8,524.7</w:t>
            </w:r>
          </w:p>
        </w:tc>
      </w:tr>
      <w:tr>
        <w:trPr>
          <w:trHeight w:val="338"/>
        </w:trPr>
        <w:tc>
          <w:tcPr>
            <w:tcW w:w="8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54.1%</w:t>
            </w:r>
          </w:p>
        </w:tc>
        <w:tc>
          <w:tcPr>
            <w:tcW w:w="9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15"/>
        </w:trPr>
        <w:tc>
          <w:tcPr>
            <w:tcW w:w="8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85.8%</w:t>
            </w:r>
          </w:p>
        </w:tc>
        <w:tc>
          <w:tcPr>
            <w:tcW w:w="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128" w:lineRule="exact"/>
        <w:rPr>
          <w:sz w:val="20"/>
          <w:szCs w:val="20"/>
          <w:color w:val="auto"/>
        </w:rPr>
      </w:pPr>
    </w:p>
    <w:p>
      <w:pPr>
        <w:sectPr>
          <w:pgSz w:w="11900" w:h="16838" w:orient="portrait"/>
          <w:cols w:equalWidth="0" w:num="2">
            <w:col w:w="5740" w:space="720"/>
            <w:col w:w="4780"/>
          </w:cols>
          <w:pgMar w:left="320" w:top="125" w:right="339" w:bottom="1440" w:gutter="0" w:footer="0" w:header="0"/>
          <w:type w:val="continuous"/>
        </w:sectPr>
      </w:pPr>
    </w:p>
    <w:p>
      <w:pPr>
        <w:ind w:left="520" w:right="100" w:hanging="512"/>
        <w:spacing w:after="0" w:line="285"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Available capacity under Revolving Credit Facility and CP Program represents $750 million of total borrowing capacity less outstanding borrowings and letters of credit. See </w:t>
      </w:r>
      <w:r>
        <w:rPr>
          <w:rFonts w:ascii="Arial" w:cs="Arial" w:eastAsia="Arial" w:hAnsi="Arial"/>
          <w:sz w:val="14"/>
          <w:szCs w:val="14"/>
          <w:u w:val="single" w:color="auto"/>
          <w:color w:val="0000FF"/>
        </w:rPr>
        <w:t>Note 5</w:t>
      </w:r>
      <w:r>
        <w:rPr>
          <w:rFonts w:ascii="Arial" w:cs="Arial" w:eastAsia="Arial" w:hAnsi="Arial"/>
          <w:sz w:val="14"/>
          <w:szCs w:val="14"/>
          <w:color w:val="auto"/>
        </w:rPr>
        <w:t xml:space="preserve"> of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-39370</wp:posOffset>
            </wp:positionV>
            <wp:extent cx="2692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plan to fund our capital plan and strategic objectives by using cash generated from operating activities and various financing alternatives, which could include our Revolving Credit Facility, our CP Program, and the issuance of common stock under our ATM or in a secondary offering. Our current shelf registration statement expires in the second quarter of 2026 and we expect to file a new shelf registration statement to replace it. Additionally, we plan to re-finance our $400 million, 3.15%, senior unsecured notes due January 2027, at or before the maturity date.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three months ended March 31, 2026: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94" w:lineRule="exact"/>
        <w:rPr>
          <w:sz w:val="20"/>
          <w:szCs w:val="20"/>
          <w:color w:val="auto"/>
        </w:rPr>
      </w:pPr>
    </w:p>
    <w:tbl>
      <w:tblPr>
        <w:tblLayout w:type="fixed"/>
        <w:tblInd w:w="688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3480" w:type="dxa"/>
            <w:vAlign w:val="bottom"/>
            <w:gridSpan w:val="2"/>
          </w:tcPr>
          <w:p>
            <w:pPr>
              <w:ind w:left="140"/>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5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60" w:type="dxa"/>
            <w:vAlign w:val="bottom"/>
          </w:tcPr>
          <w:p>
            <w:pPr>
              <w:jc w:val="center"/>
              <w:ind w:left="379"/>
              <w:spacing w:after="0"/>
              <w:rPr>
                <w:sz w:val="20"/>
                <w:szCs w:val="20"/>
                <w:color w:val="auto"/>
              </w:rPr>
            </w:pPr>
            <w:r>
              <w:rPr>
                <w:rFonts w:ascii="Arial" w:cs="Arial" w:eastAsia="Arial" w:hAnsi="Arial"/>
                <w:sz w:val="16"/>
                <w:szCs w:val="16"/>
                <w:b w:val="1"/>
                <w:bCs w:val="1"/>
                <w:color w:val="auto"/>
              </w:rPr>
              <w:t>2026 vs 2025</w:t>
            </w:r>
          </w:p>
        </w:tc>
      </w:tr>
      <w:tr>
        <w:trPr>
          <w:trHeight w:val="218"/>
        </w:trPr>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2026</w:t>
            </w: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460" w:type="dxa"/>
            <w:vAlign w:val="bottom"/>
          </w:tcPr>
          <w:p>
            <w:pPr>
              <w:jc w:val="center"/>
              <w:ind w:left="419"/>
              <w:spacing w:after="0"/>
              <w:rPr>
                <w:sz w:val="20"/>
                <w:szCs w:val="20"/>
                <w:color w:val="auto"/>
              </w:rPr>
            </w:pPr>
            <w:r>
              <w:rPr>
                <w:rFonts w:ascii="Arial" w:cs="Arial" w:eastAsia="Arial" w:hAnsi="Arial"/>
                <w:sz w:val="16"/>
                <w:szCs w:val="16"/>
                <w:b w:val="1"/>
                <w:bCs w:val="1"/>
                <w:color w:val="auto"/>
              </w:rPr>
              <w:t>Variance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ind w:right="2120"/>
        <w:spacing w:after="0"/>
        <w:rPr>
          <w:sz w:val="20"/>
          <w:szCs w:val="20"/>
          <w:color w:val="auto"/>
        </w:rPr>
      </w:pPr>
      <w:r>
        <w:rPr>
          <w:rFonts w:ascii="Arial" w:cs="Arial" w:eastAsia="Arial" w:hAnsi="Arial"/>
          <w:sz w:val="16"/>
          <w:szCs w:val="16"/>
          <w:color w:val="auto"/>
        </w:rPr>
        <w:t>(in millions)</w:t>
      </w:r>
    </w:p>
    <w:p>
      <w:pPr>
        <w:sectPr>
          <w:pgSz w:w="11900" w:h="16838" w:orient="portrait"/>
          <w:cols w:equalWidth="0" w:num="1">
            <w:col w:w="11240"/>
          </w:cols>
          <w:pgMar w:left="320" w:top="125"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Non-cash adjustments to Net income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Changes in certain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right="140"/>
        <w:spacing w:after="0" w:line="248" w:lineRule="auto"/>
        <w:rPr>
          <w:sz w:val="20"/>
          <w:szCs w:val="20"/>
          <w:color w:val="auto"/>
        </w:rPr>
      </w:pPr>
      <w:r>
        <w:rPr>
          <w:rFonts w:ascii="Arial" w:cs="Arial" w:eastAsia="Arial" w:hAnsi="Arial"/>
          <w:sz w:val="16"/>
          <w:szCs w:val="16"/>
          <w:color w:val="auto"/>
        </w:rPr>
        <w:t>Materials, supplies and fuel, Accounts receivable and other current assets Accounts payable and other 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00" w:type="dxa"/>
            <w:vAlign w:val="bottom"/>
            <w:tcBorders>
              <w:top w:val="single" w:sz="8" w:color="auto"/>
            </w:tcBorders>
            <w:gridSpan w:val="2"/>
          </w:tcPr>
          <w:p>
            <w:pPr>
              <w:jc w:val="right"/>
              <w:ind w:right="424"/>
              <w:spacing w:after="0" w:line="168"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133.1</w:t>
            </w:r>
          </w:p>
        </w:tc>
        <w:tc>
          <w:tcPr>
            <w:tcW w:w="660" w:type="dxa"/>
            <w:vAlign w:val="bottom"/>
            <w:tcBorders>
              <w:top w:val="single" w:sz="8" w:color="auto"/>
            </w:tcBorders>
          </w:tcPr>
          <w:p>
            <w:pPr>
              <w:jc w:val="right"/>
              <w:ind w:right="45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136.4</w:t>
            </w:r>
          </w:p>
        </w:tc>
        <w:tc>
          <w:tcPr>
            <w:tcW w:w="640" w:type="dxa"/>
            <w:vAlign w:val="bottom"/>
            <w:tcBorders>
              <w:top w:val="single" w:sz="8" w:color="auto"/>
            </w:tcBorders>
          </w:tcPr>
          <w:p>
            <w:pPr>
              <w:jc w:val="right"/>
              <w:ind w:right="43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(3.3)</w:t>
            </w:r>
          </w:p>
        </w:tc>
      </w:tr>
      <w:tr>
        <w:trPr>
          <w:trHeight w:val="203"/>
        </w:trPr>
        <w:tc>
          <w:tcPr>
            <w:tcW w:w="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r>
      <w:tr>
        <w:trPr>
          <w:trHeight w:val="183"/>
        </w:trPr>
        <w:tc>
          <w:tcPr>
            <w:tcW w:w="20" w:type="dxa"/>
            <w:vAlign w:val="bottom"/>
          </w:tcPr>
          <w:p>
            <w:pPr>
              <w:spacing w:after="0"/>
              <w:rPr>
                <w:sz w:val="15"/>
                <w:szCs w:val="15"/>
                <w:color w:val="auto"/>
              </w:rPr>
            </w:pP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248.4</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249.3</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(0.9)</w:t>
            </w:r>
          </w:p>
        </w:tc>
      </w:tr>
      <w:tr>
        <w:trPr>
          <w:trHeight w:val="35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w:t>
            </w:r>
          </w:p>
        </w:tc>
        <w:tc>
          <w:tcPr>
            <w:tcW w:w="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w:t>
            </w:r>
          </w:p>
        </w:tc>
        <w:tc>
          <w:tcPr>
            <w:tcW w:w="6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(119.3)</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(63.3)</w:t>
            </w:r>
          </w:p>
        </w:tc>
      </w:tr>
    </w:tbl>
    <w:p>
      <w:pPr>
        <w:spacing w:after="0" w:line="7" w:lineRule="exact"/>
        <w:rPr>
          <w:sz w:val="20"/>
          <w:szCs w:val="20"/>
          <w:color w:val="auto"/>
        </w:rPr>
      </w:pPr>
    </w:p>
    <w:p>
      <w:pPr>
        <w:sectPr>
          <w:pgSz w:w="11900" w:h="16838" w:orient="portrait"/>
          <w:cols w:equalWidth="0" w:num="2">
            <w:col w:w="5560" w:space="720"/>
            <w:col w:w="4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6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Regulatory assets</w:t>
            </w:r>
          </w:p>
        </w:tc>
        <w:tc>
          <w:tcPr>
            <w:tcW w:w="6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6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6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w:t>
            </w:r>
          </w:p>
        </w:tc>
      </w:tr>
      <w:tr>
        <w:trPr>
          <w:trHeight w:val="183"/>
        </w:trPr>
        <w:tc>
          <w:tcPr>
            <w:tcW w:w="6280" w:type="dxa"/>
            <w:vAlign w:val="bottom"/>
          </w:tcPr>
          <w:p>
            <w:pPr>
              <w:ind w:left="60"/>
              <w:spacing w:after="0" w:line="183" w:lineRule="exact"/>
              <w:rPr>
                <w:sz w:val="20"/>
                <w:szCs w:val="20"/>
                <w:color w:val="auto"/>
              </w:rPr>
            </w:pPr>
            <w:r>
              <w:rPr>
                <w:rFonts w:ascii="Arial" w:cs="Arial" w:eastAsia="Arial" w:hAnsi="Arial"/>
                <w:sz w:val="16"/>
                <w:szCs w:val="16"/>
                <w:color w:val="auto"/>
              </w:rPr>
              <w:t>Net inflow (outflow) from changes in certain operating assets and liabilities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(68.9)</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(20.7)</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(48.2)</w:t>
            </w:r>
          </w:p>
        </w:tc>
      </w:tr>
      <w:tr>
        <w:trPr>
          <w:trHeight w:val="183"/>
        </w:trPr>
        <w:tc>
          <w:tcPr>
            <w:tcW w:w="62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operating activities</w:t>
            </w:r>
          </w:p>
        </w:tc>
        <w:tc>
          <w:tcPr>
            <w:tcW w:w="6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w:t>
            </w:r>
          </w:p>
        </w:tc>
        <w:tc>
          <w:tcPr>
            <w:tcW w:w="6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6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176.2</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227.8</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(51.6)</w:t>
            </w:r>
          </w:p>
        </w:tc>
      </w:tr>
      <w:tr>
        <w:trPr>
          <w:trHeight w:val="20"/>
        </w:trPr>
        <w:tc>
          <w:tcPr>
            <w:tcW w:w="6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13" w:lineRule="exact"/>
        <w:rPr>
          <w:sz w:val="20"/>
          <w:szCs w:val="20"/>
          <w:color w:val="auto"/>
        </w:rPr>
      </w:pPr>
    </w:p>
    <w:p>
      <w:pPr>
        <w:ind w:left="520" w:right="180" w:hanging="512"/>
        <w:spacing w:after="0" w:line="285" w:lineRule="auto"/>
        <w:tabs>
          <w:tab w:leader="none" w:pos="5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comparable to the same period in the prior year, as new rates and rider recovery were offset by unfavorable weather and lower retail customer usage.</w:t>
      </w:r>
    </w:p>
    <w:p>
      <w:pPr>
        <w:spacing w:after="0" w:line="4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Net outflows from changes in certain operating assets and liabilities were $48.2 million higher, primarily attributable to:</w:t>
      </w:r>
    </w:p>
    <w:p>
      <w:pPr>
        <w:spacing w:after="0" w:line="126" w:lineRule="exact"/>
        <w:rPr>
          <w:sz w:val="20"/>
          <w:szCs w:val="20"/>
          <w:color w:val="auto"/>
        </w:rPr>
      </w:pPr>
    </w:p>
    <w:p>
      <w:pPr>
        <w:ind w:left="1120" w:right="120" w:hanging="513"/>
        <w:spacing w:after="0" w:line="285" w:lineRule="auto"/>
        <w:tabs>
          <w:tab w:leader="none" w:pos="1120" w:val="left"/>
        </w:tabs>
        <w:numPr>
          <w:ilvl w:val="1"/>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by $62.3 million as a result of changes in accounts receivable and other current assets primarily driven by fluctuations in commodity prices and weather, and receipt of an insurance loss recovery receivable related to a legal settlement in Colorado;</w:t>
      </w:r>
    </w:p>
    <w:p>
      <w:pPr>
        <w:spacing w:after="0" w:line="48" w:lineRule="exact"/>
        <w:rPr>
          <w:rFonts w:ascii="Times New Roman" w:cs="Times New Roman" w:eastAsia="Times New Roman" w:hAnsi="Times New Roman"/>
          <w:sz w:val="16"/>
          <w:szCs w:val="16"/>
          <w:color w:val="auto"/>
        </w:rPr>
      </w:pPr>
    </w:p>
    <w:p>
      <w:pPr>
        <w:ind w:left="1120" w:right="140" w:hanging="513"/>
        <w:spacing w:after="0" w:line="266" w:lineRule="auto"/>
        <w:tabs>
          <w:tab w:leader="none" w:pos="1120" w:val="left"/>
        </w:tabs>
        <w:numPr>
          <w:ilvl w:val="1"/>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$63.3 million as a result of changes in accounts payable and other current liabilities primarily driven by fluctuations in commodity prices, payment of a legal liability from settlement in Colorado and changes in other working capital requirements; and</w:t>
      </w:r>
    </w:p>
    <w:p>
      <w:pPr>
        <w:spacing w:after="0" w:line="62" w:lineRule="exact"/>
        <w:rPr>
          <w:rFonts w:ascii="Times New Roman" w:cs="Times New Roman" w:eastAsia="Times New Roman" w:hAnsi="Times New Roman"/>
          <w:sz w:val="16"/>
          <w:szCs w:val="16"/>
          <w:color w:val="auto"/>
        </w:rPr>
      </w:pPr>
    </w:p>
    <w:p>
      <w:pPr>
        <w:ind w:left="1120" w:right="40" w:hanging="513"/>
        <w:spacing w:after="0" w:line="266" w:lineRule="auto"/>
        <w:tabs>
          <w:tab w:leader="none" w:pos="1120" w:val="left"/>
        </w:tabs>
        <w:numPr>
          <w:ilvl w:val="1"/>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$47.2 million as a result of changes in our regulatory assets and liabilities primarily due to lower recoveries of gas and fuel cost adjustments driven by fluctuations in commodity prices, and lower recoveries of our Winter Storm Uri regulatory asset as recovery is now complete in most of our jurisdictions.</w:t>
      </w:r>
    </w:p>
    <w:p>
      <w:pPr>
        <w:spacing w:after="0" w:line="62" w:lineRule="exact"/>
        <w:rPr>
          <w:rFonts w:ascii="Times New Roman" w:cs="Times New Roman" w:eastAsia="Times New Roman" w:hAnsi="Times New Roman"/>
          <w:sz w:val="16"/>
          <w:szCs w:val="16"/>
          <w:color w:val="auto"/>
        </w:rPr>
      </w:pPr>
    </w:p>
    <w:p>
      <w:pPr>
        <w:ind w:left="520" w:right="100" w:hanging="512"/>
        <w:spacing w:after="0" w:line="285" w:lineRule="auto"/>
        <w:tabs>
          <w:tab w:leader="none" w:pos="5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other operating activities increased by $2.5 million primarily driven by settlement of contractor retainage balances from Wyoming Electric's recently completed Ready Wyoming project and higher cloud computing licensing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4"/>
        </w:trPr>
        <w:tc>
          <w:tcPr>
            <w:tcW w:w="6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0" w:type="dxa"/>
            <w:vAlign w:val="bottom"/>
            <w:gridSpan w:val="5"/>
          </w:tcPr>
          <w:p>
            <w:pPr>
              <w:jc w:val="center"/>
              <w:ind w:right="107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2026 vs 2025</w:t>
            </w:r>
          </w:p>
        </w:tc>
      </w:tr>
      <w:tr>
        <w:trPr>
          <w:trHeight w:val="203"/>
        </w:trPr>
        <w:tc>
          <w:tcPr>
            <w:tcW w:w="6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6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3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Capital expenditures</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(267.4)</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(152.9)</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(114.5)</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23"/>
        </w:trPr>
        <w:tc>
          <w:tcPr>
            <w:tcW w:w="62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(270.0)</w:t>
            </w:r>
          </w:p>
        </w:tc>
        <w:tc>
          <w:tcPr>
            <w:tcW w:w="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(155.2)</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13" w:lineRule="exact"/>
        <w:rPr>
          <w:sz w:val="20"/>
          <w:szCs w:val="20"/>
          <w:color w:val="auto"/>
        </w:rPr>
      </w:pPr>
    </w:p>
    <w:p>
      <w:pPr>
        <w:ind w:left="520" w:right="340" w:hanging="512"/>
        <w:spacing w:after="0" w:line="266"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Cash outflows from capital expenditures (which are net of non-refundable CIACs) increased $114.5 million primarily driven by Wyoming Electric’s milestone payments for long lead-time generation equipment.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for additional information.</w:t>
      </w:r>
    </w:p>
    <w:p>
      <w:pPr>
        <w:spacing w:after="0" w:line="62"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other investing activities were comparable to the same period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-313690</wp:posOffset>
            </wp:positionV>
            <wp:extent cx="302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4"/>
        </w:trPr>
        <w:tc>
          <w:tcPr>
            <w:tcW w:w="6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40" w:type="dxa"/>
            <w:vAlign w:val="bottom"/>
            <w:gridSpan w:val="5"/>
          </w:tcPr>
          <w:p>
            <w:pPr>
              <w:jc w:val="right"/>
              <w:ind w:right="125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2026 vs 2025</w:t>
            </w:r>
          </w:p>
        </w:tc>
      </w:tr>
      <w:tr>
        <w:trPr>
          <w:trHeight w:val="203"/>
        </w:trPr>
        <w:tc>
          <w:tcPr>
            <w:tcW w:w="6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63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3"/>
        </w:trPr>
        <w:tc>
          <w:tcPr>
            <w:tcW w:w="6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Dividends paid on common stock</w:t>
            </w: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(53.1)</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(48.6)</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w:t>
            </w:r>
          </w:p>
        </w:tc>
      </w:tr>
      <w:tr>
        <w:trPr>
          <w:trHeight w:val="189"/>
        </w:trPr>
        <w:tc>
          <w:tcPr>
            <w:tcW w:w="6300" w:type="dxa"/>
            <w:vAlign w:val="bottom"/>
          </w:tcPr>
          <w:p>
            <w:pPr>
              <w:spacing w:after="0"/>
              <w:rPr>
                <w:sz w:val="20"/>
                <w:szCs w:val="20"/>
                <w:color w:val="auto"/>
              </w:rPr>
            </w:pPr>
            <w:r>
              <w:rPr>
                <w:rFonts w:ascii="Arial" w:cs="Arial" w:eastAsia="Arial" w:hAnsi="Arial"/>
                <w:sz w:val="16"/>
                <w:szCs w:val="16"/>
                <w:color w:val="auto"/>
              </w:rPr>
              <w:t>Common stock issued</w:t>
            </w:r>
          </w:p>
        </w:tc>
        <w:tc>
          <w:tcPr>
            <w:tcW w:w="100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280" w:type="dxa"/>
            <w:vAlign w:val="bottom"/>
          </w:tcPr>
          <w:p>
            <w:pPr>
              <w:spacing w:after="0"/>
              <w:rPr>
                <w:sz w:val="16"/>
                <w:szCs w:val="16"/>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45.6</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Short-term and long-term debt borrowings (repayments), net</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2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26.1</w:t>
            </w:r>
          </w:p>
        </w:tc>
      </w:tr>
      <w:tr>
        <w:trPr>
          <w:trHeight w:val="189"/>
        </w:trPr>
        <w:tc>
          <w:tcPr>
            <w:tcW w:w="630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189"/>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financing activities</w:t>
            </w: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6300" w:type="dxa"/>
            <w:vAlign w:val="bottom"/>
          </w:tcPr>
          <w:p>
            <w:pPr>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tcBorders>
              <w:bottom w:val="single" w:sz="8" w:color="auto"/>
            </w:tcBorders>
          </w:tcPr>
          <w:p>
            <w:pPr>
              <w:jc w:val="right"/>
              <w:ind w:right="84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(65.2)</w:t>
            </w:r>
          </w:p>
        </w:tc>
        <w:tc>
          <w:tcPr>
            <w:tcW w:w="2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16.7</w:t>
            </w:r>
          </w:p>
        </w:tc>
      </w:tr>
      <w:tr>
        <w:trPr>
          <w:trHeight w:val="20"/>
        </w:trPr>
        <w:tc>
          <w:tcPr>
            <w:tcW w:w="6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2026, Compared to the Three Months Ended March 31, 2025</w:t>
      </w:r>
    </w:p>
    <w:p>
      <w:pPr>
        <w:spacing w:after="0" w:line="113" w:lineRule="exact"/>
        <w:rPr>
          <w:sz w:val="20"/>
          <w:szCs w:val="20"/>
          <w:color w:val="auto"/>
        </w:rPr>
      </w:pPr>
    </w:p>
    <w:p>
      <w:pPr>
        <w:ind w:left="520" w:right="480" w:hanging="512"/>
        <w:spacing w:after="0" w:line="285" w:lineRule="auto"/>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Dividends paid on common stock increased $4.5 million due to the increased dividend rate per share and increased number of common shares outstanding.</w:t>
      </w:r>
    </w:p>
    <w:p>
      <w:pPr>
        <w:spacing w:after="0" w:line="4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$4.9 million due to decreased issuances of common stock under our ATM.</w:t>
      </w:r>
    </w:p>
    <w:p>
      <w:pPr>
        <w:spacing w:after="0" w:line="125" w:lineRule="exact"/>
        <w:rPr>
          <w:rFonts w:ascii="Times New Roman" w:cs="Times New Roman" w:eastAsia="Times New Roman" w:hAnsi="Times New Roman"/>
          <w:sz w:val="16"/>
          <w:szCs w:val="16"/>
          <w:color w:val="auto"/>
        </w:rPr>
      </w:pPr>
    </w:p>
    <w:p>
      <w:pPr>
        <w:ind w:left="520" w:right="300" w:hanging="512"/>
        <w:spacing w:after="0" w:line="285" w:lineRule="auto"/>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Net cash outflows decreased $26.1 million primarily as a result of net borrowing activity under our CP Program partially offset by the repayment of $300 million, 3.95% senior unsecured notes on their January 15, 2026 maturity date.</w:t>
      </w:r>
    </w:p>
    <w:p>
      <w:pPr>
        <w:spacing w:after="0" w:line="4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to non-controlling interests were comparable to the same period in the prior year.</w:t>
      </w:r>
    </w:p>
    <w:p>
      <w:pPr>
        <w:spacing w:after="0" w:line="125"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other financing activities were comparable to the same period in the prior year.</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 and financial covenants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as of the date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Rating Agency</w:t>
            </w:r>
          </w:p>
        </w:tc>
        <w:tc>
          <w:tcPr>
            <w:tcW w:w="508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b w:val="1"/>
                <w:bCs w:val="1"/>
                <w:color w:val="auto"/>
              </w:rPr>
              <w:t>Senior Unsecured Rating</w:t>
            </w:r>
          </w:p>
        </w:tc>
        <w:tc>
          <w:tcPr>
            <w:tcW w:w="27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Outlook</w:t>
            </w:r>
          </w:p>
        </w:tc>
      </w:tr>
      <w:tr>
        <w:trPr>
          <w:trHeight w:val="183"/>
        </w:trPr>
        <w:tc>
          <w:tcPr>
            <w:tcW w:w="3400" w:type="dxa"/>
            <w:vAlign w:val="bottom"/>
            <w:shd w:val="clear" w:color="auto" w:fill="CFF0FC"/>
          </w:tcPr>
          <w:p>
            <w:pPr>
              <w:spacing w:after="0" w:line="183" w:lineRule="exact"/>
              <w:rPr>
                <w:sz w:val="20"/>
                <w:szCs w:val="20"/>
                <w:color w:val="auto"/>
              </w:rPr>
            </w:pPr>
            <w:r>
              <w:rPr>
                <w:rFonts w:ascii="Arial" w:cs="Arial" w:eastAsia="Arial" w:hAnsi="Arial"/>
                <w:sz w:val="21"/>
                <w:szCs w:val="21"/>
                <w:color w:val="auto"/>
                <w:vertAlign w:val="subscript"/>
              </w:rPr>
              <w:t>S&amp;P</w:t>
            </w:r>
            <w:r>
              <w:rPr>
                <w:rFonts w:ascii="Arial" w:cs="Arial" w:eastAsia="Arial" w:hAnsi="Arial"/>
                <w:sz w:val="9"/>
                <w:szCs w:val="9"/>
                <w:color w:val="auto"/>
              </w:rPr>
              <w:t xml:space="preserve"> (a)</w:t>
            </w:r>
          </w:p>
        </w:tc>
        <w:tc>
          <w:tcPr>
            <w:tcW w:w="5080" w:type="dxa"/>
            <w:vAlign w:val="bottom"/>
            <w:shd w:val="clear" w:color="auto" w:fill="CFF0FC"/>
          </w:tcPr>
          <w:p>
            <w:pPr>
              <w:jc w:val="center"/>
              <w:ind w:left="1299"/>
              <w:spacing w:after="0" w:line="183" w:lineRule="exact"/>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59"/>
              <w:spacing w:after="0" w:line="183" w:lineRule="exact"/>
              <w:rPr>
                <w:sz w:val="20"/>
                <w:szCs w:val="20"/>
                <w:color w:val="auto"/>
              </w:rPr>
            </w:pPr>
            <w:r>
              <w:rPr>
                <w:rFonts w:ascii="Arial" w:cs="Arial" w:eastAsia="Arial" w:hAnsi="Arial"/>
                <w:sz w:val="16"/>
                <w:szCs w:val="16"/>
                <w:color w:val="auto"/>
              </w:rPr>
              <w:t>Stable</w:t>
            </w:r>
          </w:p>
        </w:tc>
      </w:tr>
      <w:tr>
        <w:trPr>
          <w:trHeight w:val="290"/>
        </w:trPr>
        <w:tc>
          <w:tcPr>
            <w:tcW w:w="3400" w:type="dxa"/>
            <w:vAlign w:val="bottom"/>
          </w:tcPr>
          <w:p>
            <w:pPr>
              <w:spacing w:after="0"/>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080" w:type="dxa"/>
            <w:vAlign w:val="bottom"/>
          </w:tcPr>
          <w:p>
            <w:pPr>
              <w:jc w:val="center"/>
              <w:ind w:left="1299"/>
              <w:spacing w:after="0"/>
              <w:rPr>
                <w:sz w:val="20"/>
                <w:szCs w:val="20"/>
                <w:color w:val="auto"/>
              </w:rPr>
            </w:pPr>
            <w:r>
              <w:rPr>
                <w:rFonts w:ascii="Arial" w:cs="Arial" w:eastAsia="Arial" w:hAnsi="Arial"/>
                <w:sz w:val="16"/>
                <w:szCs w:val="16"/>
                <w:color w:val="auto"/>
              </w:rPr>
              <w:t>Baa2</w:t>
            </w:r>
          </w:p>
        </w:tc>
        <w:tc>
          <w:tcPr>
            <w:tcW w:w="2760" w:type="dxa"/>
            <w:vAlign w:val="bottom"/>
          </w:tcPr>
          <w:p>
            <w:pPr>
              <w:jc w:val="center"/>
              <w:ind w:right="259"/>
              <w:spacing w:after="0"/>
              <w:rPr>
                <w:sz w:val="20"/>
                <w:szCs w:val="20"/>
                <w:color w:val="auto"/>
              </w:rPr>
            </w:pPr>
            <w:r>
              <w:rPr>
                <w:rFonts w:ascii="Arial" w:cs="Arial" w:eastAsia="Arial" w:hAnsi="Arial"/>
                <w:sz w:val="16"/>
                <w:szCs w:val="16"/>
                <w:color w:val="auto"/>
              </w:rPr>
              <w:t>Stable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0458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9"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August 19, 2025, S&amp;P affirmed our BBB+ rating and maintained a Stable outlook.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August 19, 2025, Moody's affirmed our Baa2 rating and maintained a Stable outlook.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 of South Dakota Electric as of the date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Rating Agency</w:t>
            </w:r>
          </w:p>
        </w:tc>
        <w:tc>
          <w:tcPr>
            <w:tcW w:w="7900" w:type="dxa"/>
            <w:vAlign w:val="bottom"/>
            <w:tcBorders>
              <w:bottom w:val="single" w:sz="8" w:color="auto"/>
            </w:tcBorders>
          </w:tcPr>
          <w:p>
            <w:pPr>
              <w:jc w:val="center"/>
              <w:ind w:left="3319"/>
              <w:spacing w:after="0"/>
              <w:rPr>
                <w:sz w:val="20"/>
                <w:szCs w:val="20"/>
                <w:color w:val="auto"/>
              </w:rPr>
            </w:pPr>
            <w:r>
              <w:rPr>
                <w:rFonts w:ascii="Arial" w:cs="Arial" w:eastAsia="Arial" w:hAnsi="Arial"/>
                <w:sz w:val="16"/>
                <w:szCs w:val="16"/>
                <w:b w:val="1"/>
                <w:bCs w:val="1"/>
                <w:color w:val="auto"/>
              </w:rPr>
              <w:t>Senior Secured Rating</w:t>
            </w:r>
          </w:p>
        </w:tc>
      </w:tr>
      <w:tr>
        <w:trPr>
          <w:trHeight w:val="182"/>
        </w:trPr>
        <w:tc>
          <w:tcPr>
            <w:tcW w:w="3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S&amp;P</w:t>
            </w:r>
          </w:p>
        </w:tc>
        <w:tc>
          <w:tcPr>
            <w:tcW w:w="7900" w:type="dxa"/>
            <w:vAlign w:val="bottom"/>
            <w:shd w:val="clear" w:color="auto" w:fill="CFF0FC"/>
          </w:tcPr>
          <w:p>
            <w:pPr>
              <w:jc w:val="center"/>
              <w:ind w:left="3319"/>
              <w:spacing w:after="0" w:line="183" w:lineRule="exact"/>
              <w:rPr>
                <w:sz w:val="20"/>
                <w:szCs w:val="20"/>
                <w:color w:val="auto"/>
              </w:rPr>
            </w:pPr>
            <w:r>
              <w:rPr>
                <w:rFonts w:ascii="Arial" w:cs="Arial" w:eastAsia="Arial" w:hAnsi="Arial"/>
                <w:sz w:val="16"/>
                <w:szCs w:val="16"/>
                <w:color w:val="auto"/>
                <w:w w:val="93"/>
              </w:rPr>
              <w:t>A</w:t>
            </w:r>
          </w:p>
        </w:tc>
      </w:tr>
      <w:tr>
        <w:trPr>
          <w:trHeight w:val="606"/>
        </w:trPr>
        <w:tc>
          <w:tcPr>
            <w:tcW w:w="3340" w:type="dxa"/>
            <w:vAlign w:val="bottom"/>
          </w:tcPr>
          <w:p>
            <w:pPr>
              <w:spacing w:after="0"/>
              <w:rPr>
                <w:sz w:val="24"/>
                <w:szCs w:val="24"/>
                <w:color w:val="auto"/>
              </w:rPr>
            </w:pPr>
          </w:p>
        </w:tc>
        <w:tc>
          <w:tcPr>
            <w:tcW w:w="7900" w:type="dxa"/>
            <w:vAlign w:val="bottom"/>
          </w:tcPr>
          <w:p>
            <w:pPr>
              <w:jc w:val="right"/>
              <w:ind w:right="5439"/>
              <w:spacing w:after="0"/>
              <w:rPr>
                <w:sz w:val="20"/>
                <w:szCs w:val="20"/>
                <w:color w:val="auto"/>
              </w:rPr>
            </w:pPr>
            <w:r>
              <w:rPr>
                <w:rFonts w:ascii="Arial" w:cs="Arial" w:eastAsia="Arial" w:hAnsi="Arial"/>
                <w:sz w:val="16"/>
                <w:szCs w:val="16"/>
                <w:color w:val="auto"/>
              </w:rPr>
              <w:t>38</w:t>
            </w:r>
          </w:p>
        </w:tc>
      </w:tr>
      <w:tr>
        <w:trPr>
          <w:trHeight w:val="751"/>
        </w:trPr>
        <w:tc>
          <w:tcPr>
            <w:tcW w:w="334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xml:space="preserve">Actual </w:t>
            </w:r>
            <w:r>
              <w:rPr>
                <w:rFonts w:ascii="Arial" w:cs="Arial" w:eastAsia="Arial" w:hAnsi="Arial"/>
                <w:sz w:val="21"/>
                <w:szCs w:val="21"/>
                <w:b w:val="1"/>
                <w:bCs w:val="1"/>
                <w:color w:val="auto"/>
                <w:w w:val="93"/>
                <w:vertAlign w:val="superscript"/>
              </w:rPr>
              <w:t>(a)</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4"/>
              </w:rPr>
              <w:t xml:space="preserve">Forecasted </w:t>
            </w:r>
            <w:r>
              <w:rPr>
                <w:rFonts w:ascii="Arial" w:cs="Arial" w:eastAsia="Arial" w:hAnsi="Arial"/>
                <w:sz w:val="21"/>
                <w:szCs w:val="21"/>
                <w:b w:val="1"/>
                <w:bCs w:val="1"/>
                <w:color w:val="auto"/>
                <w:w w:val="94"/>
                <w:vertAlign w:val="superscript"/>
              </w:rPr>
              <w:t>(b)</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b w:val="1"/>
                <w:bCs w:val="1"/>
                <w:color w:val="auto"/>
              </w:rPr>
              <w:t>Capital Expenditures by Segment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5"/>
                <w:szCs w:val="15"/>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5"/>
                <w:szCs w:val="15"/>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2027</w:t>
            </w:r>
          </w:p>
        </w:tc>
        <w:tc>
          <w:tcPr>
            <w:tcW w:w="300" w:type="dxa"/>
            <w:vAlign w:val="bottom"/>
          </w:tcPr>
          <w:p>
            <w:pPr>
              <w:spacing w:after="0"/>
              <w:rPr>
                <w:sz w:val="15"/>
                <w:szCs w:val="15"/>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2028</w:t>
            </w:r>
          </w:p>
        </w:tc>
        <w:tc>
          <w:tcPr>
            <w:tcW w:w="260" w:type="dxa"/>
            <w:vAlign w:val="bottom"/>
          </w:tcPr>
          <w:p>
            <w:pPr>
              <w:spacing w:after="0"/>
              <w:rPr>
                <w:sz w:val="15"/>
                <w:szCs w:val="15"/>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2029</w:t>
            </w:r>
          </w:p>
        </w:tc>
        <w:tc>
          <w:tcPr>
            <w:tcW w:w="240" w:type="dxa"/>
            <w:vAlign w:val="bottom"/>
          </w:tcPr>
          <w:p>
            <w:pPr>
              <w:spacing w:after="0"/>
              <w:rPr>
                <w:sz w:val="15"/>
                <w:szCs w:val="15"/>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2030</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(minor differences may result due to rounding)</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2026</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98"/>
              </w:rPr>
              <w:t>(in millions)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1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7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7"/>
              </w:rPr>
              <w:t>190</w:t>
            </w:r>
          </w:p>
        </w:tc>
        <w:tc>
          <w:tcPr>
            <w:tcW w:w="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471</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367</w:t>
            </w:r>
          </w:p>
        </w:tc>
        <w:tc>
          <w:tcPr>
            <w:tcW w:w="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455</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356</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Gas Utilities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68</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591</w:t>
            </w:r>
          </w:p>
        </w:tc>
        <w:tc>
          <w:tcPr>
            <w:tcW w:w="24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260</w:t>
            </w:r>
          </w:p>
        </w:tc>
        <w:tc>
          <w:tcPr>
            <w:tcW w:w="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906</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844</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983</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800" w:hanging="512"/>
        <w:spacing w:after="0" w:line="251"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Projects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-215900</wp:posOffset>
            </wp:positionV>
            <wp:extent cx="16249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Dividends paid on our common stock totaled $53.1 million for the three months ended March 31, 2026, or $0.703 per share. On April 28, 2026, our board of directors declared a quarterly dividend of $0.703 per share payable June 1, 2026, equivalent to an annual dividend of $2.812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 summary of our critical accounting estimates is included in our 2025 Annual Report on Form 10-K. There were no material changes made as of March 31, 2026.</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194"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for a description of recent accounting pronouncements, if any, and our expectation of their impact on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2025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March 31, 2026. Based on their evaluation, they have concluded that our disclosure controls and procedures were effective at March 31, 2026.</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During the quarter ended March 31, 2026, there have been no changes in our internal controls over financial reporting that have materially affected, or are reasonably likely, to materially affect our internal control over financial reporting.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 xml:space="preserve">For information regarding legal proceedings,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and Note 3 in Item 8 of our 2025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-165735</wp:posOffset>
            </wp:positionV>
            <wp:extent cx="302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previously disclosed in Item 1A of Part I in our 2025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March 31,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540" w:type="dxa"/>
            <w:vAlign w:val="bottom"/>
            <w:vMerge w:val="restart"/>
          </w:tcPr>
          <w:p>
            <w:pPr>
              <w:jc w:val="center"/>
              <w:ind w:right="23"/>
              <w:spacing w:after="0"/>
              <w:rPr>
                <w:sz w:val="20"/>
                <w:szCs w:val="20"/>
                <w:color w:val="auto"/>
              </w:rPr>
            </w:pPr>
            <w:r>
              <w:rPr>
                <w:rFonts w:ascii="Arial" w:cs="Arial" w:eastAsia="Arial" w:hAnsi="Arial"/>
                <w:sz w:val="16"/>
                <w:szCs w:val="16"/>
                <w:b w:val="1"/>
                <w:bCs w:val="1"/>
                <w:color w:val="auto"/>
              </w:rPr>
              <w:t>Total Number of</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400" w:type="dxa"/>
            <w:vAlign w:val="bottom"/>
          </w:tcPr>
          <w:p>
            <w:pPr>
              <w:jc w:val="center"/>
              <w:ind w:right="19"/>
              <w:spacing w:after="0"/>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Publicly Announced Plans or</w:t>
            </w:r>
          </w:p>
        </w:tc>
        <w:tc>
          <w:tcPr>
            <w:tcW w:w="24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Purchased Under the Plans</w:t>
            </w:r>
          </w:p>
        </w:tc>
        <w:tc>
          <w:tcPr>
            <w:tcW w:w="0" w:type="dxa"/>
            <w:vAlign w:val="bottom"/>
          </w:tcPr>
          <w:p>
            <w:pPr>
              <w:spacing w:after="0"/>
              <w:rPr>
                <w:sz w:val="1"/>
                <w:szCs w:val="1"/>
                <w:color w:val="auto"/>
              </w:rPr>
            </w:pPr>
          </w:p>
        </w:tc>
      </w:tr>
      <w:tr>
        <w:trPr>
          <w:trHeight w:val="163"/>
        </w:trPr>
        <w:tc>
          <w:tcPr>
            <w:tcW w:w="3380" w:type="dxa"/>
            <w:vAlign w:val="bottom"/>
          </w:tcPr>
          <w:p>
            <w:pPr>
              <w:spacing w:after="0"/>
              <w:rPr>
                <w:sz w:val="14"/>
                <w:szCs w:val="14"/>
                <w:color w:val="auto"/>
              </w:rPr>
            </w:pPr>
          </w:p>
        </w:tc>
        <w:tc>
          <w:tcPr>
            <w:tcW w:w="1540" w:type="dxa"/>
            <w:vAlign w:val="bottom"/>
          </w:tcPr>
          <w:p>
            <w:pPr>
              <w:jc w:val="center"/>
              <w:ind w:right="43"/>
              <w:spacing w:after="0" w:line="163" w:lineRule="exact"/>
              <w:rPr>
                <w:sz w:val="20"/>
                <w:szCs w:val="20"/>
                <w:color w:val="auto"/>
              </w:rPr>
            </w:pPr>
            <w:r>
              <w:rPr>
                <w:rFonts w:ascii="Arial" w:cs="Arial" w:eastAsia="Arial" w:hAnsi="Arial"/>
                <w:sz w:val="16"/>
                <w:szCs w:val="16"/>
                <w:b w:val="1"/>
                <w:bCs w:val="1"/>
                <w:color w:val="auto"/>
              </w:rPr>
              <w:t>Shares Purchased</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1440"/>
              <w:spacing w:after="0" w:line="162" w:lineRule="exact"/>
              <w:rPr>
                <w:sz w:val="20"/>
                <w:szCs w:val="20"/>
                <w:color w:val="auto"/>
              </w:rPr>
            </w:pPr>
            <w:r>
              <w:rPr>
                <w:rFonts w:ascii="Arial" w:cs="Arial" w:eastAsia="Arial" w:hAnsi="Arial"/>
                <w:sz w:val="16"/>
                <w:szCs w:val="16"/>
                <w:b w:val="1"/>
                <w:bCs w:val="1"/>
                <w:color w:val="auto"/>
              </w:rPr>
              <w:t>Period</w:t>
            </w:r>
          </w:p>
        </w:tc>
        <w:tc>
          <w:tcPr>
            <w:tcW w:w="1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(a)</w:t>
            </w:r>
          </w:p>
        </w:tc>
        <w:tc>
          <w:tcPr>
            <w:tcW w:w="180" w:type="dxa"/>
            <w:vAlign w:val="bottom"/>
          </w:tcPr>
          <w:p>
            <w:pPr>
              <w:spacing w:after="0"/>
              <w:rPr>
                <w:sz w:val="10"/>
                <w:szCs w:val="10"/>
                <w:color w:val="auto"/>
              </w:rPr>
            </w:pPr>
          </w:p>
        </w:tc>
        <w:tc>
          <w:tcPr>
            <w:tcW w:w="1380" w:type="dxa"/>
            <w:vAlign w:val="bottom"/>
            <w:vMerge w:val="restart"/>
          </w:tcPr>
          <w:p>
            <w:pPr>
              <w:ind w:left="40"/>
              <w:spacing w:after="0" w:line="162" w:lineRule="exact"/>
              <w:rPr>
                <w:sz w:val="20"/>
                <w:szCs w:val="20"/>
                <w:color w:val="auto"/>
              </w:rPr>
            </w:pPr>
            <w:r>
              <w:rPr>
                <w:rFonts w:ascii="Arial" w:cs="Arial" w:eastAsia="Arial" w:hAnsi="Arial"/>
                <w:sz w:val="16"/>
                <w:szCs w:val="16"/>
                <w:b w:val="1"/>
                <w:bCs w:val="1"/>
                <w:color w:val="auto"/>
              </w:rPr>
              <w:t>Paid per Share</w:t>
            </w:r>
          </w:p>
        </w:tc>
        <w:tc>
          <w:tcPr>
            <w:tcW w:w="23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Programs</w:t>
            </w:r>
          </w:p>
        </w:tc>
        <w:tc>
          <w:tcPr>
            <w:tcW w:w="24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vMerge w:val="continue"/>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vMerge w:val="continue"/>
          </w:tcPr>
          <w:p>
            <w:pPr>
              <w:spacing w:after="0"/>
              <w:rPr>
                <w:sz w:val="3"/>
                <w:szCs w:val="3"/>
                <w:color w:val="auto"/>
              </w:rPr>
            </w:pPr>
          </w:p>
        </w:tc>
        <w:tc>
          <w:tcPr>
            <w:tcW w:w="2360" w:type="dxa"/>
            <w:vAlign w:val="bottom"/>
            <w:tcBorders>
              <w:bottom w:val="single" w:sz="8" w:color="auto"/>
            </w:tcBorders>
            <w:vMerge w:val="continue"/>
          </w:tcPr>
          <w:p>
            <w:pPr>
              <w:spacing w:after="0"/>
              <w:rPr>
                <w:sz w:val="3"/>
                <w:szCs w:val="3"/>
                <w:color w:val="auto"/>
              </w:rPr>
            </w:pPr>
          </w:p>
        </w:tc>
        <w:tc>
          <w:tcPr>
            <w:tcW w:w="24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January 1, 2026 - January 31, 2026</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69.42</w:t>
            </w:r>
          </w:p>
        </w:tc>
        <w:tc>
          <w:tcPr>
            <w:tcW w:w="2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400" w:type="dxa"/>
            <w:vAlign w:val="bottom"/>
            <w:shd w:val="clear" w:color="auto" w:fill="CFF0FC"/>
          </w:tcPr>
          <w:p>
            <w:pPr>
              <w:ind w:left="21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February 1, 2026 - February 28, 2026</w:t>
            </w:r>
          </w:p>
        </w:tc>
        <w:tc>
          <w:tcPr>
            <w:tcW w:w="1540" w:type="dxa"/>
            <w:vAlign w:val="bottom"/>
          </w:tcPr>
          <w:p>
            <w:pPr>
              <w:jc w:val="right"/>
              <w:spacing w:after="0"/>
              <w:rPr>
                <w:sz w:val="20"/>
                <w:szCs w:val="20"/>
                <w:color w:val="auto"/>
              </w:rPr>
            </w:pPr>
            <w:r>
              <w:rPr>
                <w:rFonts w:ascii="Arial" w:cs="Arial" w:eastAsia="Arial" w:hAnsi="Arial"/>
                <w:sz w:val="16"/>
                <w:szCs w:val="16"/>
                <w:color w:val="auto"/>
              </w:rPr>
              <w:t>32,951</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72.16</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2400" w:type="dxa"/>
            <w:vAlign w:val="bottom"/>
          </w:tcPr>
          <w:p>
            <w:pPr>
              <w:ind w:left="2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March 1, 2026 - March 31, 2026</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73.63</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shd w:val="clear" w:color="auto" w:fill="CFF0FC"/>
          </w:tcPr>
          <w:p>
            <w:pPr>
              <w:ind w:left="2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380" w:type="dxa"/>
            <w:vAlign w:val="bottom"/>
          </w:tcPr>
          <w:p>
            <w:pPr>
              <w:ind w:left="100"/>
              <w:spacing w:after="0" w:line="169" w:lineRule="exact"/>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32,953</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72.16</w:t>
            </w:r>
          </w:p>
        </w:tc>
        <w:tc>
          <w:tcPr>
            <w:tcW w:w="2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ind w:left="214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March 31, 2026.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 Items constituting a board of director or management compensatory plan are designated by a cross (†).</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6"/>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28"/>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4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440" w:type="dxa"/>
            <w:vAlign w:val="bottom"/>
          </w:tcPr>
          <w:p>
            <w:pPr>
              <w:ind w:left="120"/>
              <w:spacing w:after="0"/>
              <w:rPr>
                <w:sz w:val="20"/>
                <w:szCs w:val="20"/>
                <w:color w:val="auto"/>
              </w:rPr>
            </w:pPr>
            <w:r>
              <w:rPr>
                <w:rFonts w:ascii="Arial" w:cs="Arial" w:eastAsia="Arial" w:hAnsi="Arial"/>
                <w:sz w:val="16"/>
                <w:szCs w:val="16"/>
                <w:color w:val="auto"/>
              </w:rPr>
              <w:t>10.1*†</w:t>
            </w:r>
          </w:p>
        </w:tc>
        <w:tc>
          <w:tcPr>
            <w:tcW w:w="91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Form of Restricted Stock Unit Award Agreement (Non-Employee Director) effective for awards granted on or after May 1, 2026.</w:t>
            </w:r>
          </w:p>
        </w:tc>
        <w:tc>
          <w:tcPr>
            <w:tcW w:w="7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40" w:type="dxa"/>
            <w:vAlign w:val="bottom"/>
          </w:tcPr>
          <w:p>
            <w:pPr>
              <w:ind w:left="120"/>
              <w:spacing w:after="0"/>
              <w:rPr>
                <w:sz w:val="20"/>
                <w:szCs w:val="20"/>
                <w:color w:val="auto"/>
              </w:rPr>
            </w:pPr>
            <w:r>
              <w:rPr>
                <w:rFonts w:ascii="Arial" w:cs="Arial" w:eastAsia="Arial" w:hAnsi="Arial"/>
                <w:sz w:val="16"/>
                <w:szCs w:val="16"/>
                <w:color w:val="auto"/>
              </w:rPr>
              <w:t>31.1*</w:t>
            </w:r>
          </w:p>
        </w:tc>
        <w:tc>
          <w:tcPr>
            <w:tcW w:w="9800" w:type="dxa"/>
            <w:vAlign w:val="bottom"/>
            <w:gridSpan w:val="10"/>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31.2*</w:t>
            </w:r>
          </w:p>
        </w:tc>
        <w:tc>
          <w:tcPr>
            <w:tcW w:w="94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350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w w:val="99"/>
              </w:rPr>
              <w:t>Certification of Chief Financial Officer pursuant to</w:t>
            </w:r>
          </w:p>
        </w:tc>
        <w:tc>
          <w:tcPr>
            <w:tcW w:w="6300" w:type="dxa"/>
            <w:vAlign w:val="bottom"/>
            <w:gridSpan w:val="7"/>
          </w:tcPr>
          <w:p>
            <w:pPr>
              <w:ind w:left="60"/>
              <w:spacing w:after="0" w:line="169" w:lineRule="exact"/>
              <w:rPr>
                <w:sz w:val="20"/>
                <w:szCs w:val="20"/>
                <w:color w:val="auto"/>
              </w:rPr>
            </w:pPr>
            <w:r>
              <w:rPr>
                <w:rFonts w:ascii="Arial" w:cs="Arial" w:eastAsia="Arial" w:hAnsi="Arial"/>
                <w:sz w:val="16"/>
                <w:szCs w:val="16"/>
                <w:color w:val="0000FF"/>
              </w:rPr>
              <w:t>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32.1*</w:t>
            </w:r>
          </w:p>
        </w:tc>
        <w:tc>
          <w:tcPr>
            <w:tcW w:w="93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10"/>
          </w:tcPr>
          <w:p>
            <w:pPr>
              <w:spacing w:after="0" w:line="169"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32.2*</w:t>
            </w:r>
          </w:p>
        </w:tc>
        <w:tc>
          <w:tcPr>
            <w:tcW w:w="13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7980" w:type="dxa"/>
            <w:vAlign w:val="bottom"/>
            <w:tcBorders>
              <w:top w:val="single" w:sz="8" w:color="0000FF"/>
            </w:tcBorders>
            <w:gridSpan w:val="4"/>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10"/>
          </w:tcPr>
          <w:p>
            <w:pPr>
              <w:spacing w:after="0" w:line="169" w:lineRule="exact"/>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95*</w:t>
            </w:r>
          </w:p>
        </w:tc>
        <w:tc>
          <w:tcPr>
            <w:tcW w:w="970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6"/>
                <w:szCs w:val="16"/>
                <w:color w:val="0000FF"/>
              </w:rPr>
              <w:t>Act of 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860" w:type="dxa"/>
            <w:vAlign w:val="bottom"/>
            <w:tcBorders>
              <w:top w:val="single" w:sz="8" w:color="0000FF"/>
            </w:tcBorders>
          </w:tcPr>
          <w:p>
            <w:pPr>
              <w:spacing w:after="0" w:line="169" w:lineRule="exact"/>
              <w:rPr>
                <w:sz w:val="20"/>
                <w:szCs w:val="20"/>
                <w:color w:val="auto"/>
              </w:rPr>
            </w:pPr>
            <w:r>
              <w:rPr>
                <w:rFonts w:ascii="Arial" w:cs="Arial" w:eastAsia="Arial" w:hAnsi="Arial"/>
                <w:sz w:val="16"/>
                <w:szCs w:val="16"/>
                <w:color w:val="0000FF"/>
                <w:w w:val="99"/>
              </w:rPr>
              <w:t>Mine Safety</w:t>
            </w:r>
          </w:p>
        </w:tc>
        <w:tc>
          <w:tcPr>
            <w:tcW w:w="8940" w:type="dxa"/>
            <w:vAlign w:val="bottom"/>
            <w:gridSpan w:val="9"/>
          </w:tcPr>
          <w:p>
            <w:pPr>
              <w:ind w:left="40"/>
              <w:spacing w:after="0" w:line="169" w:lineRule="exact"/>
              <w:rPr>
                <w:sz w:val="20"/>
                <w:szCs w:val="20"/>
                <w:color w:val="auto"/>
              </w:rPr>
            </w:pPr>
            <w:r>
              <w:rPr>
                <w:rFonts w:ascii="Arial" w:cs="Arial" w:eastAsia="Arial" w:hAnsi="Arial"/>
                <w:sz w:val="16"/>
                <w:szCs w:val="16"/>
                <w:color w:val="0000FF"/>
              </w:rPr>
              <w:t>and Health Administration Safety Data.</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101.INS*</w:t>
            </w:r>
          </w:p>
        </w:tc>
        <w:tc>
          <w:tcPr>
            <w:tcW w:w="3680" w:type="dxa"/>
            <w:vAlign w:val="bottom"/>
            <w:gridSpan w:val="4"/>
            <w:shd w:val="clear" w:color="auto" w:fill="0000FF"/>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vMerge w:val="continue"/>
          </w:tcPr>
          <w:p>
            <w:pPr>
              <w:spacing w:after="0"/>
              <w:rPr>
                <w:sz w:val="15"/>
                <w:szCs w:val="15"/>
                <w:color w:val="auto"/>
              </w:rPr>
            </w:pPr>
          </w:p>
        </w:tc>
        <w:tc>
          <w:tcPr>
            <w:tcW w:w="9800" w:type="dxa"/>
            <w:vAlign w:val="bottom"/>
            <w:gridSpan w:val="10"/>
          </w:tcPr>
          <w:p>
            <w:pPr>
              <w:spacing w:after="0" w:line="182"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800" w:type="dxa"/>
            <w:vAlign w:val="bottom"/>
            <w:gridSpan w:val="10"/>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189"/>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15"/>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9100" w:type="dxa"/>
            <w:vAlign w:val="bottom"/>
            <w:gridSpan w:val="5"/>
          </w:tcPr>
          <w:p>
            <w:pPr>
              <w:ind w:left="410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48"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Linden R. Evans,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2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Kimberly F. Nooney, Senior Vice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Dated:</w:t>
            </w:r>
          </w:p>
        </w:tc>
        <w:tc>
          <w:tcPr>
            <w:tcW w:w="1060" w:type="dxa"/>
            <w:vAlign w:val="bottom"/>
          </w:tcPr>
          <w:p>
            <w:pPr>
              <w:ind w:left="160"/>
              <w:spacing w:after="0"/>
              <w:rPr>
                <w:sz w:val="20"/>
                <w:szCs w:val="20"/>
                <w:color w:val="auto"/>
              </w:rPr>
            </w:pPr>
            <w:r>
              <w:rPr>
                <w:rFonts w:ascii="Arial" w:cs="Arial" w:eastAsia="Arial" w:hAnsi="Arial"/>
                <w:sz w:val="16"/>
                <w:szCs w:val="16"/>
                <w:color w:val="auto"/>
                <w:w w:val="99"/>
              </w:rPr>
              <w:t>May 7, 2026</w:t>
            </w:r>
          </w:p>
        </w:tc>
      </w:tr>
    </w:tbl>
    <w:p>
      <w:pPr>
        <w:spacing w:after="0" w:line="21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41" w:name="page42"/>
    <w:bookmarkEnd w:id="41"/>
    <w:p>
      <w:pPr>
        <w:jc w:val="center"/>
        <w:ind w:left="340" w:right="2700"/>
        <w:spacing w:after="0" w:line="250" w:lineRule="auto"/>
        <w:rPr>
          <w:sz w:val="20"/>
          <w:szCs w:val="20"/>
          <w:color w:val="auto"/>
        </w:rPr>
      </w:pPr>
      <w:r>
        <w:rPr>
          <w:rFonts w:ascii="Times New Roman" w:cs="Times New Roman" w:eastAsia="Times New Roman" w:hAnsi="Times New Roman"/>
          <w:sz w:val="20"/>
          <w:szCs w:val="20"/>
          <w:b w:val="1"/>
          <w:bCs w:val="1"/>
          <w:color w:val="auto"/>
        </w:rPr>
        <w:t>BLACK HILLS CORPORATION NON-EMPLOYEE DIRECTOR EQUITY COMPENSATION PLAN UNDER THE BLACK HILLS CORPORATION AMENDED AND RESTATED 2015 OMNIBUS INCENTIVE PLAN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 (Non-Employee Director)</w:t>
      </w:r>
    </w:p>
    <w:p>
      <w:pPr>
        <w:spacing w:after="0" w:line="233" w:lineRule="exact"/>
        <w:rPr>
          <w:sz w:val="20"/>
          <w:szCs w:val="20"/>
          <w:color w:val="auto"/>
        </w:rPr>
      </w:pPr>
    </w:p>
    <w:p>
      <w:pPr>
        <w:jc w:val="both"/>
        <w:ind w:firstLine="396"/>
        <w:spacing w:after="0" w:line="244" w:lineRule="auto"/>
        <w:rPr>
          <w:sz w:val="20"/>
          <w:szCs w:val="20"/>
          <w:color w:val="auto"/>
        </w:rPr>
      </w:pPr>
      <w:r>
        <w:rPr>
          <w:rFonts w:ascii="Times New Roman" w:cs="Times New Roman" w:eastAsia="Times New Roman" w:hAnsi="Times New Roman"/>
          <w:sz w:val="20"/>
          <w:szCs w:val="20"/>
          <w:color w:val="auto"/>
        </w:rPr>
        <w:t>Black Hills Corporation (the “Company”), pursuant to its Non-Employee Director Equity Compensation Plan (the “Non-Employee Director Equity Plan”) under its Amended and Restated 2015 Omnibus Incentive Plan (the “Omnibus Plan”), hereby grants an award of Restricted Stock Units to you, the Participant named below. The terms and conditions of this Award are set forth in this Restricted Stock Unit Award Agreement (the “Agreement”), consisting of this cover page and the Terms and Conditions on the following pages, and in the Omnibus Plan document and the Non-Employee Director Equity Plan document, a copy of both documents which has been made available to you. Any capitalized term that is used but not defined in this Agreement shall have the meaning assigned to it in the Omnibus Plan or Non-Employee Director Equity Plan, as they currently exist or as they may be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744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pacing w:after="0" w:line="3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3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Number of Restricted Stock Units:</w:t>
      </w:r>
    </w:p>
    <w:p>
      <w:pPr>
        <w:spacing w:after="0" w:line="337" w:lineRule="exact"/>
        <w:rPr>
          <w:sz w:val="20"/>
          <w:szCs w:val="20"/>
          <w:color w:val="auto"/>
        </w:rPr>
      </w:pPr>
    </w:p>
    <w:p>
      <w:pPr>
        <w:ind w:left="140"/>
        <w:spacing w:after="0"/>
        <w:tabs>
          <w:tab w:leader="none" w:pos="1260" w:val="left"/>
        </w:tabs>
        <w:rPr>
          <w:sz w:val="20"/>
          <w:szCs w:val="20"/>
          <w:color w:val="auto"/>
        </w:rPr>
      </w:pPr>
      <w:r>
        <w:rPr>
          <w:rFonts w:ascii="Times New Roman" w:cs="Times New Roman" w:eastAsia="Times New Roman" w:hAnsi="Times New Roman"/>
          <w:sz w:val="20"/>
          <w:szCs w:val="20"/>
          <w:color w:val="auto"/>
        </w:rPr>
        <w:t>Grant Date:</w:t>
      </w:r>
      <w:r>
        <w:rPr>
          <w:sz w:val="20"/>
          <w:szCs w:val="20"/>
          <w:color w:val="auto"/>
        </w:rPr>
        <w:tab/>
      </w:r>
      <w:r>
        <w:rPr>
          <w:rFonts w:ascii="Times New Roman" w:cs="Times New Roman" w:eastAsia="Times New Roman" w:hAnsi="Times New Roman"/>
          <w:sz w:val="19"/>
          <w:szCs w:val="19"/>
          <w:color w:val="auto"/>
        </w:rPr>
        <w:t>May 1, 2026</w:t>
      </w:r>
    </w:p>
    <w:p>
      <w:pPr>
        <w:spacing w:after="0" w:line="3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Scheduled Vesting Date:  April 30, 2027</w:t>
      </w:r>
    </w:p>
    <w:p>
      <w:pPr>
        <w:spacing w:after="0" w:line="200" w:lineRule="exact"/>
        <w:rPr>
          <w:sz w:val="20"/>
          <w:szCs w:val="20"/>
          <w:color w:val="auto"/>
        </w:rPr>
      </w:pPr>
    </w:p>
    <w:p>
      <w:pPr>
        <w:spacing w:after="0" w:line="21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By signing below or otherwise evidencing your acceptance of this Agreement in a manner approved by the Company, you agree to all of the terms and conditions contained in this Agreement, the Omnibus Plan and Non-Employee Director Equity Plan. You acknowledge that you have reviewed these documents.</w:t>
      </w:r>
    </w:p>
    <w:p>
      <w:pPr>
        <w:spacing w:after="0" w:line="188"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20"/>
          <w:szCs w:val="20"/>
          <w:color w:val="auto"/>
        </w:rPr>
        <w:t>PARTICIPANT:</w:t>
      </w:r>
      <w:r>
        <w:rPr>
          <w:sz w:val="20"/>
          <w:szCs w:val="20"/>
          <w:color w:val="auto"/>
        </w:rPr>
        <w:tab/>
      </w:r>
      <w:r>
        <w:rPr>
          <w:rFonts w:ascii="Times New Roman" w:cs="Times New Roman" w:eastAsia="Times New Roman" w:hAnsi="Times New Roman"/>
          <w:sz w:val="20"/>
          <w:szCs w:val="20"/>
          <w:color w:val="auto"/>
        </w:rPr>
        <w:t>BLACK HILLS CORPORATION</w:t>
      </w:r>
    </w:p>
    <w:p>
      <w:pPr>
        <w:spacing w:after="0" w:line="200" w:lineRule="exact"/>
        <w:rPr>
          <w:sz w:val="20"/>
          <w:szCs w:val="20"/>
          <w:color w:val="auto"/>
        </w:rPr>
      </w:pPr>
    </w:p>
    <w:p>
      <w:pPr>
        <w:spacing w:after="0" w:line="3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Darren Nakata, Senior Vice President -- Chief Legal Officer, Corporate</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Secretary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2" w:name="page43"/>
    <w:bookmarkEnd w:id="42"/>
    <w:p>
      <w:pPr>
        <w:jc w:val="center"/>
        <w:ind w:left="340" w:right="2700"/>
        <w:spacing w:after="0" w:line="247" w:lineRule="auto"/>
        <w:rPr>
          <w:sz w:val="20"/>
          <w:szCs w:val="20"/>
          <w:color w:val="auto"/>
        </w:rPr>
      </w:pPr>
      <w:r>
        <w:rPr>
          <w:rFonts w:ascii="Times New Roman" w:cs="Times New Roman" w:eastAsia="Times New Roman" w:hAnsi="Times New Roman"/>
          <w:sz w:val="20"/>
          <w:szCs w:val="20"/>
          <w:b w:val="1"/>
          <w:bCs w:val="1"/>
          <w:color w:val="auto"/>
        </w:rPr>
        <w:t>BLACK HILLS CORPORATION NON-EMPLOYEE DIRECTOR EQUITY COMPENSATION PLAN UNDER THE BLACK HILLS CORPORATION AMENDED AND RESTATED 2015 OMNIBUS INCENTIVE PLAN Restricted Stock Unit Award Agreement (Non-Employee Director)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29" w:lineRule="exact"/>
        <w:rPr>
          <w:sz w:val="20"/>
          <w:szCs w:val="20"/>
          <w:color w:val="auto"/>
        </w:rPr>
      </w:pPr>
    </w:p>
    <w:p>
      <w:pPr>
        <w:jc w:val="both"/>
        <w:ind w:firstLine="8"/>
        <w:spacing w:after="0" w:line="246" w:lineRule="auto"/>
        <w:tabs>
          <w:tab w:leader="none" w:pos="3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hereby confirms the grant to you, as of the Grant Date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this Agreement, the Omnibus Plan and the Non-Employee Director Equity Plan, of the number of Restricted Stock Units specified on the cover page of this Agreement (the “Units”). Each Unit represents the right to receive one share of the Company’s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78" w:lineRule="exact"/>
        <w:rPr>
          <w:rFonts w:ascii="Times New Roman" w:cs="Times New Roman" w:eastAsia="Times New Roman" w:hAnsi="Times New Roman"/>
          <w:sz w:val="20"/>
          <w:szCs w:val="20"/>
          <w:color w:val="auto"/>
        </w:rPr>
      </w:pPr>
    </w:p>
    <w:p>
      <w:pPr>
        <w:jc w:val="both"/>
        <w:ind w:firstLine="8"/>
        <w:spacing w:after="0" w:line="245" w:lineRule="auto"/>
        <w:tabs>
          <w:tab w:leader="none" w:pos="43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 Applicable to Units</w:t>
      </w:r>
      <w:r>
        <w:rPr>
          <w:rFonts w:ascii="Times New Roman" w:cs="Times New Roman" w:eastAsia="Times New Roman" w:hAnsi="Times New Roman"/>
          <w:sz w:val="20"/>
          <w:szCs w:val="20"/>
          <w:color w:val="auto"/>
        </w:rPr>
        <w:t>. Neither this Award nor the Units subject to this Award may be sold, assigned, transferred,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exchanged 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2 shall be void and without effect. The Units and your right to receive Shares in settlement of the Units under this Agreement shall be subject to forfeiture as provided in Section 5 until satisfaction of the vesting conditions set forth in Section 4.</w:t>
      </w:r>
    </w:p>
    <w:p>
      <w:pPr>
        <w:spacing w:after="0" w:line="192" w:lineRule="exact"/>
        <w:rPr>
          <w:rFonts w:ascii="Times New Roman" w:cs="Times New Roman" w:eastAsia="Times New Roman" w:hAnsi="Times New Roman"/>
          <w:sz w:val="20"/>
          <w:szCs w:val="20"/>
          <w:color w:val="auto"/>
        </w:rPr>
      </w:pPr>
    </w:p>
    <w:p>
      <w:pPr>
        <w:jc w:val="both"/>
        <w:ind w:firstLine="8"/>
        <w:spacing w:after="0" w:line="256" w:lineRule="auto"/>
        <w:tabs>
          <w:tab w:leader="none" w:pos="3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Units subject to this Award do not entitle you to any rights of a holder of the Company’s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will not have any of the rights of a shareholder of the Company in connection with the grant of Units subject to this Agreement unless and until Shares are issued to you upon settlement of the Units as provided in Section 6.</w:t>
      </w:r>
    </w:p>
    <w:p>
      <w:pPr>
        <w:spacing w:after="0" w:line="168" w:lineRule="exact"/>
        <w:rPr>
          <w:rFonts w:ascii="Times New Roman" w:cs="Times New Roman" w:eastAsia="Times New Roman" w:hAnsi="Times New Roman"/>
          <w:sz w:val="20"/>
          <w:szCs w:val="20"/>
          <w:color w:val="auto"/>
        </w:rPr>
      </w:pPr>
    </w:p>
    <w:p>
      <w:pPr>
        <w:jc w:val="both"/>
        <w:ind w:firstLine="8"/>
        <w:spacing w:after="0" w:line="250" w:lineRule="auto"/>
        <w:tabs>
          <w:tab w:leader="none" w:pos="39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of Units</w:t>
      </w:r>
      <w:r>
        <w:rPr>
          <w:rFonts w:ascii="Times New Roman" w:cs="Times New Roman" w:eastAsia="Times New Roman" w:hAnsi="Times New Roman"/>
          <w:sz w:val="20"/>
          <w:szCs w:val="20"/>
          <w:color w:val="auto"/>
        </w:rPr>
        <w:t>. For purposes of this Agreement, “Vesting Date” means any date, including the Scheduled Vesting Date specified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cover page of this Agreement, on which Units subject to this Agreement vest as provided in this Section 4. Notwithstanding the vesting and subsequent settlement of this Award, the Award and any Share issuances or payments made hereunder shall remain subject to the provisions of Section 21.1 of the Omnibus Plan.</w:t>
      </w:r>
    </w:p>
    <w:p>
      <w:pPr>
        <w:spacing w:after="0" w:line="193"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Vesting</w:t>
      </w:r>
      <w:r>
        <w:rPr>
          <w:rFonts w:ascii="Times New Roman" w:cs="Times New Roman" w:eastAsia="Times New Roman" w:hAnsi="Times New Roman"/>
          <w:sz w:val="20"/>
          <w:szCs w:val="20"/>
          <w:color w:val="auto"/>
        </w:rPr>
        <w:t>. If you remain a Director continuously from the Grant Date specified on the cover page of this Agreement, then the Units will vest on the Scheduled Vesting Date.</w:t>
      </w:r>
    </w:p>
    <w:p>
      <w:pPr>
        <w:spacing w:after="0" w:line="17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The vesting of outstanding Units will be accelerated under the circumstances provided below:</w:t>
      </w:r>
    </w:p>
    <w:p>
      <w:pPr>
        <w:spacing w:after="0" w:line="225" w:lineRule="exact"/>
        <w:rPr>
          <w:rFonts w:ascii="Times New Roman" w:cs="Times New Roman" w:eastAsia="Times New Roman" w:hAnsi="Times New Roman"/>
          <w:sz w:val="20"/>
          <w:szCs w:val="20"/>
          <w:color w:val="auto"/>
        </w:rPr>
      </w:pPr>
    </w:p>
    <w:p>
      <w:pPr>
        <w:jc w:val="both"/>
        <w:ind w:left="760" w:firstLine="745"/>
        <w:spacing w:after="0" w:line="250" w:lineRule="auto"/>
        <w:tabs>
          <w:tab w:leader="none" w:pos="2048"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 or Disability</w:t>
      </w:r>
      <w:r>
        <w:rPr>
          <w:rFonts w:ascii="Times New Roman" w:cs="Times New Roman" w:eastAsia="Times New Roman" w:hAnsi="Times New Roman"/>
          <w:sz w:val="20"/>
          <w:szCs w:val="20"/>
          <w:color w:val="auto"/>
        </w:rPr>
        <w:t>. If you cease to be a Director prior to the Scheduled Vesting Date due to your death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Disability, then all of the unvested Units shall vest as of such termination date. Disability for this purpose means that the Director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RSU Agreement – Non-Employee Directors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3" w:name="page44"/>
    <w:bookmarkEnd w:id="43"/>
    <w:p>
      <w:pPr>
        <w:ind w:left="760" w:right="20" w:firstLine="745"/>
        <w:spacing w:after="0" w:line="273" w:lineRule="auto"/>
        <w:tabs>
          <w:tab w:leader="none" w:pos="2048"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If a Change of Control occurs while you are a Director and prior to the Scheduled Vesting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then all of the unvested Units shall vest as of the date of the consummation of such Change of Control.</w:t>
      </w:r>
    </w:p>
    <w:p>
      <w:pPr>
        <w:spacing w:after="0" w:line="16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as Director upon Closing of the Merger</w:t>
      </w:r>
      <w:r>
        <w:rPr>
          <w:rFonts w:ascii="Times New Roman" w:cs="Times New Roman" w:eastAsia="Times New Roman" w:hAnsi="Times New Roman"/>
          <w:sz w:val="20"/>
          <w:szCs w:val="20"/>
          <w:color w:val="auto"/>
        </w:rPr>
        <w:t>. In the event that your service as a Director terminates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closing of the Agreement and Plan of Merger by and among the Company, NorthWestern Energy Group, Inc., and River Merger Sub Inc. dated August 18, 2025, then you will vest in a pro-rated amount of the Units with (i) 25% of the Units vesting for each calendar quarter that ended within the period between the Grant Date and the closing date and (ii) 25% of the Units vesting for the calendar quarter in which the closing date occurs (rounded in accordance with Section 6(a) and in no event in excess of an aggregate 100% vesting). For the avoidance of doubt, the end of the calendar quarter in which the Award was granted will count for purposes of determining the number of calendar quarters that ended between the Grant Date and the closing date, even though the Award was granted within that calendar quarter.</w:t>
      </w:r>
    </w:p>
    <w:p>
      <w:pPr>
        <w:spacing w:after="0" w:line="181" w:lineRule="exact"/>
        <w:rPr>
          <w:rFonts w:ascii="Times New Roman" w:cs="Times New Roman" w:eastAsia="Times New Roman" w:hAnsi="Times New Roman"/>
          <w:sz w:val="20"/>
          <w:szCs w:val="20"/>
          <w:color w:val="auto"/>
        </w:rPr>
      </w:pPr>
    </w:p>
    <w:p>
      <w:pPr>
        <w:ind w:firstLine="8"/>
        <w:spacing w:after="0" w:line="273" w:lineRule="auto"/>
        <w:tabs>
          <w:tab w:leader="none" w:pos="3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Forfeiture</w:t>
      </w:r>
      <w:r>
        <w:rPr>
          <w:rFonts w:ascii="Times New Roman" w:cs="Times New Roman" w:eastAsia="Times New Roman" w:hAnsi="Times New Roman"/>
          <w:sz w:val="20"/>
          <w:szCs w:val="20"/>
          <w:color w:val="auto"/>
        </w:rPr>
        <w:t>. Except as otherwise provided in accordance with Section 4 above or under the terms of the Non-Employee Director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if you cease to be a Director, you will forfeit all unvested Units.</w:t>
      </w:r>
    </w:p>
    <w:p>
      <w:pPr>
        <w:spacing w:after="0" w:line="165"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Units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you have elected to defer settlement of the Units, after any Units vest pursuant to Section 4, the Company shall, as soon as practicable (but no later than the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provisions of Section 8, to the extent applicable, and compliance with all applicable legal requirements as provided in the Omnibus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have elected to defer the settlement of the Units (“Deferred Units”) pursuant to the terms of the Non-Employee Director Equity Plan, after any Deferred Units vest pursuant to Section 4, the settlement of such Deferred Units shall be governed by the terms of the Non-Employee Director Equity Plan and your related deferral election.</w:t>
      </w:r>
    </w:p>
    <w:p>
      <w:pPr>
        <w:spacing w:after="0" w:line="183" w:lineRule="exact"/>
        <w:rPr>
          <w:rFonts w:ascii="Times New Roman" w:cs="Times New Roman" w:eastAsia="Times New Roman" w:hAnsi="Times New Roman"/>
          <w:sz w:val="20"/>
          <w:szCs w:val="20"/>
          <w:color w:val="auto"/>
        </w:rPr>
      </w:pPr>
    </w:p>
    <w:p>
      <w:pPr>
        <w:jc w:val="both"/>
        <w:ind w:firstLine="8"/>
        <w:spacing w:after="0" w:line="261" w:lineRule="auto"/>
        <w:tabs>
          <w:tab w:leader="none" w:pos="39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Dividend Equivalents</w:t>
      </w:r>
      <w:r>
        <w:rPr>
          <w:rFonts w:ascii="Times New Roman" w:cs="Times New Roman" w:eastAsia="Times New Roman" w:hAnsi="Times New Roman"/>
          <w:sz w:val="19"/>
          <w:szCs w:val="19"/>
          <w:color w:val="auto"/>
        </w:rPr>
        <w:t>. If the Company pays cash dividends on its Shares while any Units subject to this Agreement are outstanding,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then the Company shall credit, as of each dividend payment date, with a number of additional Units (the “Dividend Units”) equal to the result of dividing (i) the product of (x) the total number of Restricted Stock Units credited to your Account on the record date for such dividend and</w:t>
      </w:r>
    </w:p>
    <w:p>
      <w:pPr>
        <w:spacing w:after="0" w:line="1" w:lineRule="exact"/>
        <w:rPr>
          <w:rFonts w:ascii="Times New Roman" w:cs="Times New Roman" w:eastAsia="Times New Roman" w:hAnsi="Times New Roman"/>
          <w:sz w:val="19"/>
          <w:szCs w:val="19"/>
          <w:color w:val="auto"/>
        </w:rPr>
      </w:pPr>
    </w:p>
    <w:p>
      <w:pPr>
        <w:jc w:val="both"/>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the per share amount of such dividend by (ii) the Fair Market Value of one Share on the date such dividend is paid by the Company to the holder of Shares. Your right to receive such accrued Dividend Units shall vest, and the Dividend Units shall be settled, to the same extent and at the same time as the underlying Units to which the Dividend Units relate vest and are settled, as provided in Sections 4 and 6 of this Agreement. Any Dividend Units accrued on Units that are forfeited in accordance with this Agreement shall also be forfeited.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RSU Agreement – Non-Employee Directors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4" w:name="page45"/>
    <w:bookmarkEnd w:id="44"/>
    <w:p>
      <w:pPr>
        <w:ind w:right="20" w:firstLine="8"/>
        <w:spacing w:after="0" w:line="273" w:lineRule="auto"/>
        <w:tabs>
          <w:tab w:leader="none" w:pos="3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Consequences</w:t>
      </w:r>
      <w:r>
        <w:rPr>
          <w:rFonts w:ascii="Times New Roman" w:cs="Times New Roman" w:eastAsia="Times New Roman" w:hAnsi="Times New Roman"/>
          <w:sz w:val="20"/>
          <w:szCs w:val="20"/>
          <w:color w:val="auto"/>
        </w:rPr>
        <w:t>. No Shares will be delivered to you in settlement of vested Units unless you have made arrangements acceptable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for payment of any federal, state, local or foreign taxes that may be due as a result of the delivery of the Shares.</w:t>
      </w:r>
    </w:p>
    <w:p>
      <w:pPr>
        <w:spacing w:after="0" w:line="151" w:lineRule="exact"/>
        <w:rPr>
          <w:rFonts w:ascii="Times New Roman" w:cs="Times New Roman" w:eastAsia="Times New Roman" w:hAnsi="Times New Roman"/>
          <w:sz w:val="20"/>
          <w:szCs w:val="20"/>
          <w:color w:val="auto"/>
        </w:rPr>
      </w:pPr>
    </w:p>
    <w:p>
      <w:pPr>
        <w:jc w:val="both"/>
        <w:ind w:firstLine="8"/>
        <w:spacing w:after="0" w:line="245" w:lineRule="auto"/>
        <w:tabs>
          <w:tab w:leader="none" w:pos="42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Every notice or other communication relating to this Agreement shall be in writing and shall be mailed to or delivered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Corporate Secretary, at its office at 7001 Mt. Rushmore Road, Rapid City, SD 57702, darren.nakata@blackhillscorp.com, and all notices or communications by the Company to you may be given to you personally or may be mailed or, if you are still a Director, emailed to you at the address indicated in the Company's records as your most recent mailing or email address.</w:t>
      </w:r>
    </w:p>
    <w:p>
      <w:pPr>
        <w:spacing w:after="0" w:line="17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Provisions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firstLine="757"/>
        <w:spacing w:after="0" w:line="269" w:lineRule="auto"/>
        <w:tabs>
          <w:tab w:leader="none" w:pos="114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This Agreement does not give you a right to continue as a Director or other service provider with the Company or any Affiliate, regardless of the effect it may have upon you under this Agreement.</w:t>
      </w:r>
    </w:p>
    <w:p>
      <w:pPr>
        <w:spacing w:after="0" w:line="172"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Omnibus Plan, the Non-Employee Director Equity Plan, and to all interpretations, rules and regulations which may, from time to time, be adopted and promulgated by the Committee pursuant to the Omnibus Plan and the Non-Employee Director Equity Plan. If there is any conflict between the provisions of this Agreement and the Omnibus Plan or Non-Employee Director Equity Plan, the provisions of the Omnibus Plan or Non-Employee Director Equity Plan will govern.</w:t>
      </w:r>
    </w:p>
    <w:p>
      <w:pPr>
        <w:spacing w:after="0" w:line="198"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the parties’ performance hereunder, and the relationship between them shall be governed by, construed, and enforced in accordance with the laws of the State of South Dakota, without giving effect to the choice of law principles thereof. The parties agree that any action relating to or arising out of this Agreement shall take place exclusively in the State of South Dakota, and you consent to the jurisdiction of the federal and/or state courts in South Dakota. You further consent to personal jurisdiction and venue in both such courts and to service of process by United States Mail or express courier service in any such action.</w:t>
      </w:r>
    </w:p>
    <w:p>
      <w:pPr>
        <w:spacing w:after="0" w:line="198"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93"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 successors and assigns of the Company.</w:t>
      </w:r>
    </w:p>
    <w:p>
      <w:pPr>
        <w:spacing w:after="0" w:line="172" w:lineRule="exact"/>
        <w:rPr>
          <w:rFonts w:ascii="Times New Roman" w:cs="Times New Roman" w:eastAsia="Times New Roman" w:hAnsi="Times New Roman"/>
          <w:sz w:val="20"/>
          <w:szCs w:val="20"/>
          <w:color w:val="auto"/>
        </w:rPr>
      </w:pPr>
    </w:p>
    <w:p>
      <w:pPr>
        <w:jc w:val="both"/>
        <w:ind w:firstLine="757"/>
        <w:spacing w:after="0" w:line="249" w:lineRule="auto"/>
        <w:tabs>
          <w:tab w:leader="none" w:pos="115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 Except to the extent Participant has elected to defer the Units pursuant to the terms of the Non-Employee Director Equity Plan and his or her related deferral election form,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RSU Agreement – Non-Employee Directors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5" w:name="page46"/>
    <w:bookmarkEnd w:id="45"/>
    <w:p>
      <w:pPr>
        <w:jc w:val="both"/>
        <w:ind w:firstLine="757"/>
        <w:spacing w:after="0" w:line="246" w:lineRule="auto"/>
        <w:tabs>
          <w:tab w:leader="none" w:pos="114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Omnibus Plan and Non-Employee Director Equity Plan through an on-line (and/or voice activated) system established and maintained by the Company or, if appliable, the Company’s third-party stock plan administrator.</w:t>
      </w:r>
    </w:p>
    <w:p>
      <w:pPr>
        <w:spacing w:after="0" w:line="30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By signing the cover page of this Agreement or otherwise accepting this Agreement in a manner approved by the Company, you agree to all the terms and conditions described above, in the Omnibus Plan document and the Non-Employee Director Equity Plan document.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RSU Agreement – Non-Employee Directors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7, 2026</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7, 2026</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2026,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May 7, 2026</w:t>
      </w:r>
    </w:p>
    <w:p>
      <w:pPr>
        <w:spacing w:after="0" w:line="22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2026,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May 7, 2026</w:t>
      </w:r>
    </w:p>
    <w:p>
      <w:pPr>
        <w:spacing w:after="0" w:line="194"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2026.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900" w:right="140" w:hanging="518"/>
        <w:spacing w:after="0" w:line="256" w:lineRule="auto"/>
        <w:tabs>
          <w:tab w:leader="none" w:pos="9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900" w:right="100" w:hanging="518"/>
        <w:spacing w:after="0" w:line="256" w:lineRule="auto"/>
        <w:tabs>
          <w:tab w:leader="none" w:pos="9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Wyodak Mine under the indicated provisions of the Mine Act, together with the total dollar value of proposed MSHA assessments received during the three months ended March 31, 2026, and legal actions pending before the Federal Mine Safety and Health Review Commission (FMSHRC), together with the Administrative Law Judges thereof, for Wyodak Mine, our only mining complex. All citations were abated within 24 hours of issue.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240" w:type="dxa"/>
            <w:vAlign w:val="bottom"/>
          </w:tcPr>
          <w:p>
            <w:pPr>
              <w:jc w:val="center"/>
              <w:ind w:left="16"/>
              <w:spacing w:after="0"/>
              <w:rPr>
                <w:sz w:val="20"/>
                <w:szCs w:val="20"/>
                <w:color w:val="auto"/>
              </w:rPr>
            </w:pPr>
            <w:r>
              <w:rPr>
                <w:rFonts w:ascii="Arial" w:cs="Arial" w:eastAsia="Arial" w:hAnsi="Arial"/>
                <w:sz w:val="13"/>
                <w:szCs w:val="13"/>
                <w:b w:val="1"/>
                <w:bCs w:val="1"/>
                <w:color w:val="auto"/>
                <w:w w:val="95"/>
              </w:rPr>
              <w:t>Mine Act Section</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4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24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5"/>
              </w:rPr>
              <w:t>104 S&amp;S Citations</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Mine Act</w:t>
            </w: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106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8"/>
              </w:rPr>
              <w:t>Mine/ MSHA</w:t>
            </w:r>
          </w:p>
        </w:tc>
        <w:tc>
          <w:tcPr>
            <w:tcW w:w="124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8"/>
              </w:rPr>
              <w:t>issued during</w:t>
            </w: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900" w:type="dxa"/>
            <w:vAlign w:val="bottom"/>
            <w:vMerge w:val="continue"/>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Potential to</w:t>
            </w:r>
          </w:p>
        </w:tc>
        <w:tc>
          <w:tcPr>
            <w:tcW w:w="8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Pending as</w:t>
            </w:r>
          </w:p>
        </w:tc>
        <w:tc>
          <w:tcPr>
            <w:tcW w:w="740" w:type="dxa"/>
            <w:vAlign w:val="bottom"/>
          </w:tcPr>
          <w:p>
            <w:pPr>
              <w:jc w:val="center"/>
              <w:ind w:right="16"/>
              <w:spacing w:after="0" w:line="126"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three months</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1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Section 104(d) Section 110(b)</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4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120" w:type="dxa"/>
            <w:vAlign w:val="bottom"/>
          </w:tcPr>
          <w:p>
            <w:pPr>
              <w:jc w:val="center"/>
              <w:ind w:left="33"/>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8"/>
              </w:rPr>
              <w:t>ended March 31,</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298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w w:val="98"/>
              </w:rPr>
              <w:t>(2) Violations Danger Orders of Proposed MSHA</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of Period (#)</w:t>
            </w:r>
          </w:p>
        </w:tc>
        <w:tc>
          <w:tcPr>
            <w:tcW w:w="74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53"/>
        </w:trPr>
        <w:tc>
          <w:tcPr>
            <w:tcW w:w="1120" w:type="dxa"/>
            <w:vAlign w:val="bottom"/>
          </w:tcPr>
          <w:p>
            <w:pPr>
              <w:jc w:val="center"/>
              <w:ind w:left="73"/>
              <w:spacing w:after="0"/>
              <w:rPr>
                <w:sz w:val="20"/>
                <w:szCs w:val="20"/>
                <w:color w:val="auto"/>
              </w:rPr>
            </w:pPr>
            <w:r>
              <w:rPr>
                <w:rFonts w:ascii="Arial" w:cs="Arial" w:eastAsia="Arial" w:hAnsi="Arial"/>
                <w:sz w:val="13"/>
                <w:szCs w:val="13"/>
                <w:b w:val="1"/>
                <w:bCs w:val="1"/>
                <w:color w:val="auto"/>
                <w:w w:val="93"/>
              </w:rPr>
              <w:t>Number</w:t>
            </w:r>
          </w:p>
        </w:tc>
        <w:tc>
          <w:tcPr>
            <w:tcW w:w="124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2026</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0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Wyodak Mine -</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Arial" w:cs="Arial" w:eastAsia="Arial" w:hAnsi="Arial"/>
                <w:sz w:val="14"/>
                <w:szCs w:val="14"/>
                <w:color w:val="auto"/>
              </w:rPr>
              <w:t>4800083</w:t>
            </w:r>
          </w:p>
        </w:tc>
        <w:tc>
          <w:tcPr>
            <w:tcW w:w="1240" w:type="dxa"/>
            <w:vAlign w:val="bottom"/>
          </w:tcPr>
          <w:p>
            <w:pPr>
              <w:jc w:val="right"/>
              <w:ind w:right="516"/>
              <w:spacing w:after="0"/>
              <w:rPr>
                <w:sz w:val="20"/>
                <w:szCs w:val="20"/>
                <w:color w:val="auto"/>
              </w:rPr>
            </w:pPr>
            <w:r>
              <w:rPr>
                <w:rFonts w:ascii="Arial" w:cs="Arial" w:eastAsia="Arial" w:hAnsi="Arial"/>
                <w:sz w:val="14"/>
                <w:szCs w:val="14"/>
                <w:color w:val="auto"/>
              </w:rPr>
              <w:t>0</w:t>
            </w: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33"/>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jc w:val="right"/>
              <w:ind w:right="376"/>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9030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1" w:lineRule="exact"/>
        <w:rPr>
          <w:sz w:val="20"/>
          <w:szCs w:val="20"/>
          <w:color w:val="auto"/>
        </w:rPr>
      </w:pPr>
    </w:p>
    <w:p>
      <w:pPr>
        <w:ind w:left="520" w:right="80" w:hanging="512"/>
        <w:spacing w:after="0" w:line="262" w:lineRule="auto"/>
        <w:tabs>
          <w:tab w:leader="none" w:pos="520" w:val="left"/>
        </w:tabs>
        <w:numPr>
          <w:ilvl w:val="0"/>
          <w:numId w:val="65"/>
        </w:numPr>
        <w:rPr>
          <w:rFonts w:ascii="Times New Roman" w:cs="Times New Roman" w:eastAsia="Times New Roman" w:hAnsi="Times New Roman"/>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3"/>
    </w:lvl>
  </w:abstractNum>
  <w:abstractNum w:abstractNumId="5">
    <w:nsid w:val="440BADFC"/>
    <w:multiLevelType w:val="hybridMultilevel"/>
    <w:lvl w:ilvl="0">
      <w:lvlJc w:val="left"/>
      <w:lvlText w:val="(%1)"/>
      <w:numFmt w:val="decimal"/>
      <w:start w:val="4"/>
    </w:lvl>
  </w:abstractNum>
  <w:abstractNum w:abstractNumId="6">
    <w:nsid w:val="5072367"/>
    <w:multiLevelType w:val="hybridMultilevel"/>
    <w:lvl w:ilvl="0">
      <w:lvlJc w:val="left"/>
      <w:lvlText w:val="(%1)"/>
      <w:numFmt w:val="lowerLetter"/>
      <w:start w:val="1"/>
    </w:lvl>
  </w:abstractNum>
  <w:abstractNum w:abstractNumId="7">
    <w:nsid w:val="3804823E"/>
    <w:multiLevelType w:val="hybridMultilevel"/>
    <w:lvl w:ilvl="0">
      <w:lvlJc w:val="left"/>
      <w:lvlText w:val="(%1)"/>
      <w:numFmt w:val="decimal"/>
      <w:start w:val="6"/>
    </w:lvl>
  </w:abstractNum>
  <w:abstractNum w:abstractNumId="8">
    <w:nsid w:val="77465F01"/>
    <w:multiLevelType w:val="hybridMultilevel"/>
    <w:lvl w:ilvl="0">
      <w:lvlJc w:val="left"/>
      <w:lvlText w:val="(%1)"/>
      <w:numFmt w:val="decimal"/>
      <w:start w:val="7"/>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lowerLetter"/>
      <w:start w:val="1"/>
    </w:lvl>
  </w:abstractNum>
  <w:abstractNum w:abstractNumId="11">
    <w:nsid w:val="2463B9EA"/>
    <w:multiLevelType w:val="hybridMultilevel"/>
    <w:lvl w:ilvl="0">
      <w:lvlJc w:val="left"/>
      <w:lvlText w:val="(%1)"/>
      <w:numFmt w:val="decimal"/>
      <w:start w:val="8"/>
    </w:lvl>
  </w:abstractNum>
  <w:abstractNum w:abstractNumId="12">
    <w:nsid w:val="5E884ADC"/>
    <w:multiLevelType w:val="hybridMultilevel"/>
    <w:lvl w:ilvl="0">
      <w:lvlJc w:val="left"/>
      <w:lvlText w:val="(%1)"/>
      <w:numFmt w:val="lowerLetter"/>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decimal"/>
      <w:start w:val="9"/>
    </w:lvl>
  </w:abstractNum>
  <w:abstractNum w:abstractNumId="16">
    <w:nsid w:val="153EA438"/>
    <w:multiLevelType w:val="hybridMultilevel"/>
    <w:lvl w:ilvl="0">
      <w:lvlJc w:val="left"/>
      <w:lvlText w:val="(%1)"/>
      <w:numFmt w:val="decimal"/>
      <w:start w:val="11"/>
    </w:lvl>
  </w:abstractNum>
  <w:abstractNum w:abstractNumId="17">
    <w:nsid w:val="3855585C"/>
    <w:multiLevelType w:val="hybridMultilevel"/>
    <w:lvl w:ilvl="0">
      <w:lvlJc w:val="left"/>
      <w:lvlText w:val="(%1)"/>
      <w:numFmt w:val="decimal"/>
      <w:start w:val="12"/>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decimal"/>
      <w:start w:val="13"/>
    </w:lvl>
  </w:abstractNum>
  <w:abstractNum w:abstractNumId="21">
    <w:nsid w:val="1D4ED43B"/>
    <w:multiLevelType w:val="hybridMultilevel"/>
    <w:lvl w:ilvl="0">
      <w:lvlJc w:val="left"/>
      <w:lvlText w:val="(%1)"/>
      <w:numFmt w:val="decimal"/>
      <w:start w:val="14"/>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5"/>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lowerLetter"/>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lvl w:ilvl="1">
      <w:lvlJc w:val="left"/>
      <w:lvlText w:val="o"/>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5">
    <w:nsid w:val="D34B6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6">
    <w:nsid w:val="10233C99"/>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7">
    <w:nsid w:val="3F6AB60F"/>
    <w:multiLevelType w:val="hybridMultilevel"/>
    <w:lvl w:ilvl="0">
      <w:lvlJc w:val="left"/>
      <w:lvlText w:val="%1."/>
      <w:numFmt w:val="decimal"/>
      <w:start w:val="8"/>
    </w:lvl>
    <w:lvl w:ilvl="1">
      <w:lvlJc w:val="left"/>
      <w:lvlText w:val="(%2)"/>
      <w:numFmt w:val="lowerLetter"/>
      <w:start w:val="1"/>
    </w:lvl>
  </w:abstractNum>
  <w:abstractNum w:abstractNumId="58">
    <w:nsid w:val="61574095"/>
    <w:multiLevelType w:val="hybridMultilevel"/>
    <w:lvl w:ilvl="0">
      <w:lvlJc w:val="left"/>
      <w:lvlText w:val="(%1)"/>
      <w:numFmt w:val="lowerLetter"/>
      <w:start w:val="7"/>
    </w:lvl>
  </w:abstractNum>
  <w:abstractNum w:abstractNumId="59">
    <w:nsid w:val="7E0C57B1"/>
    <w:multiLevelType w:val="hybridMultilevel"/>
    <w:lvl w:ilvl="0">
      <w:lvlJc w:val="left"/>
      <w:lvlText w:val="%1."/>
      <w:numFmt w:val="decimal"/>
      <w:start w:val="1"/>
    </w:lvl>
    <w:lvl w:ilvl="1">
      <w:lvlJc w:val="left"/>
      <w:lvlText w:val="%2)"/>
      <w:numFmt w:val="lowerLetter"/>
      <w:start w:val="1"/>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2026-05-07T10:49:40Z</dcterms:created>
  <dcterms:modified xsi:type="dcterms:W3CDTF">2026-05-07T10:49:40Z</dcterms:modified>
</cp:coreProperties>
</file>