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251" w:lineRule="exact"/>
        <w:rPr>
          <w:sz w:val="24"/>
          <w:szCs w:val="24"/>
          <w:color w:val="auto"/>
        </w:rPr>
      </w:pPr>
    </w:p>
    <w:p>
      <w:pPr>
        <w:jc w:val="center"/>
        <w:ind w:left="4180" w:right="2000" w:hanging="2166"/>
        <w:spacing w:after="0" w:line="241" w:lineRule="auto"/>
        <w:tabs>
          <w:tab w:leader="none" w:pos="218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244" w:lineRule="exact"/>
        <w:rPr>
          <w:sz w:val="24"/>
          <w:szCs w:val="24"/>
          <w:color w:val="auto"/>
        </w:rPr>
      </w:pPr>
    </w:p>
    <w:p>
      <w:pPr>
        <w:ind w:left="3380" w:right="1860" w:hanging="1510"/>
        <w:spacing w:after="0" w:line="258" w:lineRule="auto"/>
        <w:tabs>
          <w:tab w:leader="none" w:pos="2045"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 to 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001-31303</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3" w:lineRule="exact"/>
        <w:rPr>
          <w:sz w:val="24"/>
          <w:szCs w:val="24"/>
          <w:color w:val="auto"/>
        </w:rPr>
      </w:pPr>
    </w:p>
    <w:p>
      <w:pPr>
        <w:jc w:val="center"/>
        <w:ind w:right="-19"/>
        <w:spacing w:after="0"/>
        <w:tabs>
          <w:tab w:leader="none" w:pos="140" w:val="left"/>
        </w:tabs>
        <w:rPr>
          <w:sz w:val="20"/>
          <w:szCs w:val="20"/>
          <w:color w:val="auto"/>
        </w:rPr>
      </w:pPr>
      <w:r>
        <w:rPr>
          <w:rFonts w:ascii="Arial" w:cs="Arial" w:eastAsia="Arial" w:hAnsi="Arial"/>
          <w:sz w:val="14"/>
          <w:szCs w:val="14"/>
          <w:b w:val="1"/>
          <w:bCs w:val="1"/>
          <w:color w:val="auto"/>
        </w:rPr>
        <w:t>Incorporated in South Dakota</w:t>
        <w:tab/>
        <w:t>IRS Identification Number 46-0458824</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7001 Mount Rushmore Road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Rapid City, South Dakota 57702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(605) 721-1700</w:t>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28"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Trading Symbol</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28" w:lineRule="exact"/>
        <w:rPr>
          <w:sz w:val="24"/>
          <w:szCs w:val="24"/>
          <w:color w:val="auto"/>
        </w:rPr>
      </w:pPr>
    </w:p>
    <w:p>
      <w:pPr>
        <w:sectPr>
          <w:pgSz w:w="11900" w:h="16838" w:orient="portrait"/>
          <w:cols w:equalWidth="0" w:num="3">
            <w:col w:w="4540" w:space="720"/>
            <w:col w:w="1540" w:space="720"/>
            <w:col w:w="3720"/>
          </w:cols>
          <w:pgMar w:left="320" w:top="229" w:right="339" w:bottom="1440" w:gutter="0" w:footer="0" w:header="0"/>
          <w:type w:val="continuous"/>
        </w:sectPr>
      </w:pPr>
    </w:p>
    <w:p>
      <w:pPr>
        <w:ind w:left="1360"/>
        <w:spacing w:after="0"/>
        <w:rPr>
          <w:sz w:val="20"/>
          <w:szCs w:val="20"/>
          <w:color w:val="auto"/>
        </w:rPr>
      </w:pPr>
      <w:r>
        <w:rPr>
          <w:rFonts w:ascii="Arial" w:cs="Arial" w:eastAsia="Arial" w:hAnsi="Arial"/>
          <w:sz w:val="14"/>
          <w:szCs w:val="14"/>
          <w:color w:val="auto"/>
        </w:rPr>
        <w:t>Common stock of $1.00 par value</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4"/>
          <w:szCs w:val="14"/>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00" w:lineRule="exact"/>
        <w:rPr>
          <w:sz w:val="24"/>
          <w:szCs w:val="24"/>
          <w:color w:val="auto"/>
        </w:rPr>
      </w:pPr>
    </w:p>
    <w:p>
      <w:pPr>
        <w:sectPr>
          <w:pgSz w:w="11900" w:h="16838" w:orient="portrait"/>
          <w:cols w:equalWidth="0" w:num="3">
            <w:col w:w="4880" w:space="720"/>
            <w:col w:w="1780" w:space="720"/>
            <w:col w:w="3140"/>
          </w:cols>
          <w:pgMar w:left="320" w:top="229" w:right="339" w:bottom="1440" w:gutter="0" w:footer="0" w:header="0"/>
          <w:type w:val="continuous"/>
        </w:sectPr>
      </w:pPr>
    </w:p>
    <w:p>
      <w:pPr>
        <w:spacing w:after="0" w:line="10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1" w:lineRule="exact"/>
        <w:rPr>
          <w:sz w:val="24"/>
          <w:szCs w:val="24"/>
          <w:color w:val="auto"/>
        </w:rPr>
      </w:pPr>
    </w:p>
    <w:p>
      <w:pPr>
        <w:ind w:right="1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ind w:right="5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30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248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10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248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8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25"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1"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The aggregate market value of the voting common equity held by non-affiliates of the registrant on the last business day of the registrant’s most recently completed second fiscal quarter, June 30, 2020, was $3,528,768,075</w:t>
      </w:r>
    </w:p>
    <w:p>
      <w:pPr>
        <w:spacing w:after="0" w:line="342" w:lineRule="exact"/>
        <w:rPr>
          <w:sz w:val="24"/>
          <w:szCs w:val="24"/>
          <w:color w:val="auto"/>
        </w:rPr>
      </w:pPr>
    </w:p>
    <w:p>
      <w:pPr>
        <w:ind w:left="8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1"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380" w:type="dxa"/>
            <w:vAlign w:val="bottom"/>
            <w:gridSpan w:val="2"/>
          </w:tcPr>
          <w:p>
            <w:pPr>
              <w:jc w:val="center"/>
              <w:ind w:right="2020"/>
              <w:spacing w:after="0"/>
              <w:rPr>
                <w:sz w:val="20"/>
                <w:szCs w:val="20"/>
                <w:color w:val="auto"/>
              </w:rPr>
            </w:pPr>
            <w:r>
              <w:rPr>
                <w:rFonts w:ascii="Arial" w:cs="Arial" w:eastAsia="Arial" w:hAnsi="Arial"/>
                <w:sz w:val="14"/>
                <w:szCs w:val="14"/>
                <w:color w:val="auto"/>
              </w:rPr>
              <w:t>Class</w:t>
            </w:r>
          </w:p>
        </w:tc>
        <w:tc>
          <w:tcPr>
            <w:tcW w:w="3340" w:type="dxa"/>
            <w:vAlign w:val="bottom"/>
            <w:gridSpan w:val="2"/>
          </w:tcPr>
          <w:p>
            <w:pPr>
              <w:ind w:left="1260"/>
              <w:spacing w:after="0"/>
              <w:rPr>
                <w:sz w:val="20"/>
                <w:szCs w:val="20"/>
                <w:color w:val="auto"/>
              </w:rPr>
            </w:pPr>
            <w:r>
              <w:rPr>
                <w:rFonts w:ascii="Arial" w:cs="Arial" w:eastAsia="Arial" w:hAnsi="Arial"/>
                <w:sz w:val="14"/>
                <w:szCs w:val="14"/>
                <w:color w:val="auto"/>
              </w:rPr>
              <w:t>Outstanding at January 31, 2021</w:t>
            </w: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198"/>
        </w:trPr>
        <w:tc>
          <w:tcPr>
            <w:tcW w:w="3200" w:type="dxa"/>
            <w:vAlign w:val="bottom"/>
            <w:gridSpan w:val="3"/>
          </w:tcPr>
          <w:p>
            <w:pPr>
              <w:jc w:val="center"/>
              <w:ind w:right="1180"/>
              <w:spacing w:after="0"/>
              <w:rPr>
                <w:sz w:val="20"/>
                <w:szCs w:val="20"/>
                <w:color w:val="auto"/>
              </w:rPr>
            </w:pPr>
            <w:r>
              <w:rPr>
                <w:rFonts w:ascii="Arial" w:cs="Arial" w:eastAsia="Arial" w:hAnsi="Arial"/>
                <w:sz w:val="14"/>
                <w:szCs w:val="14"/>
                <w:color w:val="auto"/>
              </w:rPr>
              <w:t>Common stock, $1.00 par value</w:t>
            </w:r>
          </w:p>
        </w:tc>
        <w:tc>
          <w:tcPr>
            <w:tcW w:w="3340" w:type="dxa"/>
            <w:vAlign w:val="bottom"/>
            <w:gridSpan w:val="2"/>
          </w:tcPr>
          <w:p>
            <w:pPr>
              <w:ind w:left="1180"/>
              <w:spacing w:after="0"/>
              <w:rPr>
                <w:sz w:val="20"/>
                <w:szCs w:val="20"/>
                <w:color w:val="auto"/>
              </w:rPr>
            </w:pPr>
            <w:r>
              <w:rPr>
                <w:rFonts w:ascii="Arial" w:cs="Arial" w:eastAsia="Arial" w:hAnsi="Arial"/>
                <w:sz w:val="14"/>
                <w:szCs w:val="14"/>
                <w:color w:val="auto"/>
              </w:rPr>
              <w:t>62,794,490 shares</w:t>
            </w:r>
          </w:p>
        </w:tc>
      </w:tr>
    </w:tbl>
    <w:p>
      <w:pPr>
        <w:spacing w:after="0" w:line="3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Portions of the registrant’s Definitive Proxy Statement being prepared for the solicitation of proxies in connection with the 2021 Annual Meeting of Stockholders to be held on April 27, 2021,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80" w:type="dxa"/>
            <w:vAlign w:val="bottom"/>
            <w:gridSpan w:val="5"/>
          </w:tcPr>
          <w:p>
            <w:pPr>
              <w:ind w:left="32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r>
      <w:tr>
        <w:trPr>
          <w:trHeight w:val="335"/>
        </w:trPr>
        <w:tc>
          <w:tcPr>
            <w:tcW w:w="1720" w:type="dxa"/>
            <w:vAlign w:val="bottom"/>
            <w:tcBorders>
              <w:bottom w:val="single" w:sz="8" w:color="CEFFE7"/>
            </w:tcBorders>
          </w:tcPr>
          <w:p>
            <w:pPr>
              <w:spacing w:after="0"/>
              <w:rPr>
                <w:sz w:val="24"/>
                <w:szCs w:val="24"/>
                <w:color w:val="auto"/>
              </w:rPr>
            </w:pPr>
          </w:p>
        </w:tc>
        <w:tc>
          <w:tcPr>
            <w:tcW w:w="320" w:type="dxa"/>
            <w:vAlign w:val="bottom"/>
            <w:tcBorders>
              <w:bottom w:val="single" w:sz="8" w:color="CEFFE7"/>
            </w:tcBorders>
          </w:tcPr>
          <w:p>
            <w:pPr>
              <w:spacing w:after="0"/>
              <w:rPr>
                <w:sz w:val="24"/>
                <w:szCs w:val="24"/>
                <w:color w:val="auto"/>
              </w:rPr>
            </w:pPr>
          </w:p>
        </w:tc>
        <w:tc>
          <w:tcPr>
            <w:tcW w:w="720" w:type="dxa"/>
            <w:vAlign w:val="bottom"/>
            <w:tcBorders>
              <w:bottom w:val="single" w:sz="8" w:color="CEFFE7"/>
            </w:tcBorders>
          </w:tcPr>
          <w:p>
            <w:pPr>
              <w:spacing w:after="0"/>
              <w:rPr>
                <w:sz w:val="24"/>
                <w:szCs w:val="24"/>
                <w:color w:val="auto"/>
              </w:rPr>
            </w:pPr>
          </w:p>
        </w:tc>
        <w:tc>
          <w:tcPr>
            <w:tcW w:w="20" w:type="dxa"/>
            <w:vAlign w:val="bottom"/>
            <w:tcBorders>
              <w:bottom w:val="single" w:sz="8" w:color="CEFFE7"/>
            </w:tcBorders>
          </w:tcPr>
          <w:p>
            <w:pPr>
              <w:spacing w:after="0"/>
              <w:rPr>
                <w:sz w:val="24"/>
                <w:szCs w:val="24"/>
                <w:color w:val="auto"/>
              </w:rPr>
            </w:pPr>
          </w:p>
        </w:tc>
        <w:tc>
          <w:tcPr>
            <w:tcW w:w="1420" w:type="dxa"/>
            <w:vAlign w:val="bottom"/>
            <w:tcBorders>
              <w:bottom w:val="single" w:sz="8" w:color="CEFFE7"/>
            </w:tcBorders>
          </w:tcPr>
          <w:p>
            <w:pPr>
              <w:spacing w:after="0"/>
              <w:rPr>
                <w:sz w:val="24"/>
                <w:szCs w:val="24"/>
                <w:color w:val="auto"/>
              </w:rPr>
            </w:pPr>
          </w:p>
        </w:tc>
        <w:tc>
          <w:tcPr>
            <w:tcW w:w="460" w:type="dxa"/>
            <w:vAlign w:val="bottom"/>
            <w:tcBorders>
              <w:bottom w:val="single" w:sz="8" w:color="CEFFE7"/>
            </w:tcBorders>
          </w:tcPr>
          <w:p>
            <w:pPr>
              <w:spacing w:after="0"/>
              <w:rPr>
                <w:sz w:val="24"/>
                <w:szCs w:val="24"/>
                <w:color w:val="auto"/>
              </w:rPr>
            </w:pPr>
          </w:p>
        </w:tc>
        <w:tc>
          <w:tcPr>
            <w:tcW w:w="4180" w:type="dxa"/>
            <w:vAlign w:val="bottom"/>
            <w:tcBorders>
              <w:bottom w:val="single" w:sz="8" w:color="CEFFE7"/>
            </w:tcBorders>
          </w:tcPr>
          <w:p>
            <w:pPr>
              <w:spacing w:after="0"/>
              <w:rPr>
                <w:sz w:val="24"/>
                <w:szCs w:val="24"/>
                <w:color w:val="auto"/>
              </w:rPr>
            </w:pPr>
          </w:p>
        </w:tc>
        <w:tc>
          <w:tcPr>
            <w:tcW w:w="540" w:type="dxa"/>
            <w:vAlign w:val="bottom"/>
            <w:tcBorders>
              <w:bottom w:val="single" w:sz="8" w:color="CEFFE7"/>
            </w:tcBorders>
          </w:tcPr>
          <w:p>
            <w:pPr>
              <w:spacing w:after="0"/>
              <w:rPr>
                <w:sz w:val="24"/>
                <w:szCs w:val="24"/>
                <w:color w:val="auto"/>
              </w:rPr>
            </w:pPr>
          </w:p>
        </w:tc>
        <w:tc>
          <w:tcPr>
            <w:tcW w:w="380" w:type="dxa"/>
            <w:vAlign w:val="bottom"/>
            <w:tcBorders>
              <w:bottom w:val="single" w:sz="8" w:color="CEFFE7"/>
            </w:tcBorders>
          </w:tcPr>
          <w:p>
            <w:pPr>
              <w:spacing w:after="0"/>
              <w:rPr>
                <w:sz w:val="24"/>
                <w:szCs w:val="24"/>
                <w:color w:val="auto"/>
              </w:rPr>
            </w:pPr>
          </w:p>
        </w:tc>
        <w:tc>
          <w:tcPr>
            <w:tcW w:w="120" w:type="dxa"/>
            <w:vAlign w:val="bottom"/>
            <w:tcBorders>
              <w:bottom w:val="single" w:sz="8" w:color="CEFFE7"/>
            </w:tcBorders>
          </w:tcPr>
          <w:p>
            <w:pPr>
              <w:spacing w:after="0"/>
              <w:rPr>
                <w:sz w:val="24"/>
                <w:szCs w:val="24"/>
                <w:color w:val="auto"/>
              </w:rPr>
            </w:pP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Page</w:t>
            </w:r>
          </w:p>
        </w:tc>
      </w:tr>
      <w:tr>
        <w:trPr>
          <w:trHeight w:val="212"/>
        </w:trPr>
        <w:tc>
          <w:tcPr>
            <w:tcW w:w="9880" w:type="dxa"/>
            <w:vAlign w:val="bottom"/>
            <w:gridSpan w:val="10"/>
            <w:shd w:val="clear" w:color="auto" w:fill="CEFFE7"/>
          </w:tcPr>
          <w:p>
            <w:pPr>
              <w:ind w:left="2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GLOSSARY OF TERMS AND ABBREVIATIONS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w w:val="89"/>
              </w:rPr>
            </w:pPr>
            <w:hyperlink w:anchor="page3">
              <w:r>
                <w:rPr>
                  <w:rFonts w:ascii="Arial" w:cs="Arial" w:eastAsia="Arial" w:hAnsi="Arial"/>
                  <w:sz w:val="16"/>
                  <w:szCs w:val="16"/>
                  <w:u w:val="single" w:color="auto"/>
                  <w:color w:val="0000FF"/>
                  <w:w w:val="89"/>
                </w:rPr>
                <w:t>4</w:t>
              </w:r>
            </w:hyperlink>
          </w:p>
        </w:tc>
      </w:tr>
      <w:tr>
        <w:trPr>
          <w:trHeight w:val="213"/>
        </w:trPr>
        <w:tc>
          <w:tcPr>
            <w:tcW w:w="9880" w:type="dxa"/>
            <w:vAlign w:val="bottom"/>
            <w:gridSpan w:val="10"/>
          </w:tcPr>
          <w:p>
            <w:pPr>
              <w:ind w:left="2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WEBSITE ACCESS TO REPORTS</w:t>
              </w:r>
            </w:hyperlink>
          </w:p>
        </w:tc>
        <w:tc>
          <w:tcPr>
            <w:tcW w:w="1100" w:type="dxa"/>
            <w:vAlign w:val="bottom"/>
          </w:tcPr>
          <w:p>
            <w:pPr>
              <w:jc w:val="center"/>
              <w:spacing w:after="0"/>
              <w:rPr>
                <w:rFonts w:ascii="Arial" w:cs="Arial" w:eastAsia="Arial" w:hAnsi="Arial"/>
                <w:sz w:val="16"/>
                <w:szCs w:val="16"/>
                <w:u w:val="single" w:color="auto"/>
                <w:color w:val="0000FF"/>
                <w:w w:val="89"/>
              </w:rPr>
            </w:pPr>
            <w:hyperlink w:anchor="page8">
              <w:r>
                <w:rPr>
                  <w:rFonts w:ascii="Arial" w:cs="Arial" w:eastAsia="Arial" w:hAnsi="Arial"/>
                  <w:sz w:val="16"/>
                  <w:szCs w:val="16"/>
                  <w:u w:val="single" w:color="auto"/>
                  <w:color w:val="0000FF"/>
                  <w:w w:val="89"/>
                </w:rPr>
                <w:t>9</w:t>
              </w:r>
            </w:hyperlink>
          </w:p>
        </w:tc>
      </w:tr>
      <w:tr>
        <w:trPr>
          <w:trHeight w:val="219"/>
        </w:trPr>
        <w:tc>
          <w:tcPr>
            <w:tcW w:w="9880" w:type="dxa"/>
            <w:vAlign w:val="bottom"/>
            <w:gridSpan w:val="10"/>
            <w:shd w:val="clear" w:color="auto" w:fill="CEFFE7"/>
          </w:tcPr>
          <w:p>
            <w:pPr>
              <w:ind w:left="20"/>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FORWARD-LOOKING INFORMATION</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w w:val="89"/>
              </w:rPr>
            </w:pPr>
            <w:hyperlink w:anchor="page9">
              <w:r>
                <w:rPr>
                  <w:rFonts w:ascii="Arial" w:cs="Arial" w:eastAsia="Arial" w:hAnsi="Arial"/>
                  <w:sz w:val="16"/>
                  <w:szCs w:val="16"/>
                  <w:u w:val="single" w:color="auto"/>
                  <w:color w:val="0000FF"/>
                  <w:w w:val="89"/>
                </w:rPr>
                <w:t>9</w:t>
              </w:r>
            </w:hyperlink>
          </w:p>
        </w:tc>
      </w:tr>
      <w:tr>
        <w:trPr>
          <w:trHeight w:val="215"/>
        </w:trPr>
        <w:tc>
          <w:tcPr>
            <w:tcW w:w="1720" w:type="dxa"/>
            <w:vAlign w:val="bottom"/>
          </w:tcPr>
          <w:p>
            <w:pPr>
              <w:ind w:left="20"/>
              <w:spacing w:after="0"/>
              <w:rPr>
                <w:rFonts w:ascii="Arial" w:cs="Arial" w:eastAsia="Arial" w:hAnsi="Arial"/>
                <w:sz w:val="16"/>
                <w:szCs w:val="16"/>
                <w:b w:val="1"/>
                <w:bCs w:val="1"/>
                <w:u w:val="single" w:color="auto"/>
                <w:color w:val="0000FF"/>
              </w:rPr>
            </w:pPr>
            <w:hyperlink w:anchor="page9">
              <w:r>
                <w:rPr>
                  <w:rFonts w:ascii="Arial" w:cs="Arial" w:eastAsia="Arial" w:hAnsi="Arial"/>
                  <w:sz w:val="16"/>
                  <w:szCs w:val="16"/>
                  <w:b w:val="1"/>
                  <w:bCs w:val="1"/>
                  <w:u w:val="single" w:color="auto"/>
                  <w:color w:val="0000FF"/>
                </w:rPr>
                <w:t>Part I</w:t>
              </w:r>
            </w:hyperlink>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1720" w:type="dxa"/>
            <w:vAlign w:val="bottom"/>
            <w:shd w:val="clear" w:color="auto" w:fill="CEFFE7"/>
          </w:tcPr>
          <w:p>
            <w:pPr>
              <w:ind w:left="20"/>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ITEMS 1. and 2.</w:t>
              </w:r>
            </w:hyperlink>
          </w:p>
        </w:tc>
        <w:tc>
          <w:tcPr>
            <w:tcW w:w="8160" w:type="dxa"/>
            <w:vAlign w:val="bottom"/>
            <w:gridSpan w:val="9"/>
            <w:shd w:val="clear" w:color="auto" w:fill="CEFFE7"/>
          </w:tcPr>
          <w:p>
            <w:pPr>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BUSINESS AND PROPERTIES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10</w:t>
              </w:r>
            </w:hyperlink>
          </w:p>
        </w:tc>
      </w:tr>
      <w:tr>
        <w:trPr>
          <w:trHeight w:val="213"/>
        </w:trPr>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History and Organization</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10</w:t>
              </w:r>
            </w:hyperlink>
          </w:p>
        </w:tc>
      </w:tr>
      <w:tr>
        <w:trPr>
          <w:trHeight w:val="219"/>
        </w:trPr>
        <w:tc>
          <w:tcPr>
            <w:tcW w:w="17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840" w:type="dxa"/>
            <w:vAlign w:val="bottom"/>
            <w:gridSpan w:val="8"/>
            <w:shd w:val="clear" w:color="auto" w:fill="CEFFE7"/>
          </w:tcPr>
          <w:p>
            <w:pPr>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Electric Utilities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10</w:t>
              </w:r>
            </w:hyperlink>
          </w:p>
        </w:tc>
      </w:tr>
      <w:tr>
        <w:trPr>
          <w:trHeight w:val="213"/>
        </w:trPr>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Gas Utilities</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14</w:t>
              </w:r>
            </w:hyperlink>
          </w:p>
        </w:tc>
      </w:tr>
      <w:tr>
        <w:trPr>
          <w:trHeight w:val="219"/>
        </w:trPr>
        <w:tc>
          <w:tcPr>
            <w:tcW w:w="17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840" w:type="dxa"/>
            <w:vAlign w:val="bottom"/>
            <w:gridSpan w:val="8"/>
            <w:shd w:val="clear" w:color="auto" w:fill="CEFFE7"/>
          </w:tcPr>
          <w:p>
            <w:pPr>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Utility Regulation Characteristics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17</w:t>
              </w:r>
            </w:hyperlink>
          </w:p>
        </w:tc>
      </w:tr>
      <w:tr>
        <w:trPr>
          <w:trHeight w:val="213"/>
        </w:trPr>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Power Generation</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18</w:t>
              </w:r>
            </w:hyperlink>
          </w:p>
        </w:tc>
      </w:tr>
      <w:tr>
        <w:trPr>
          <w:trHeight w:val="219"/>
        </w:trPr>
        <w:tc>
          <w:tcPr>
            <w:tcW w:w="17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840" w:type="dxa"/>
            <w:vAlign w:val="bottom"/>
            <w:gridSpan w:val="8"/>
            <w:shd w:val="clear" w:color="auto" w:fill="CEFFE7"/>
          </w:tcPr>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Mining</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19</w:t>
              </w:r>
            </w:hyperlink>
          </w:p>
        </w:tc>
      </w:tr>
      <w:tr>
        <w:trPr>
          <w:trHeight w:val="213"/>
        </w:trPr>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Environmental Matters</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21</w:t>
              </w:r>
            </w:hyperlink>
          </w:p>
        </w:tc>
      </w:tr>
      <w:tr>
        <w:trPr>
          <w:trHeight w:val="219"/>
        </w:trPr>
        <w:tc>
          <w:tcPr>
            <w:tcW w:w="17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840" w:type="dxa"/>
            <w:vAlign w:val="bottom"/>
            <w:gridSpan w:val="8"/>
            <w:shd w:val="clear" w:color="auto" w:fill="CEFFE7"/>
          </w:tcPr>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Other Properties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22</w:t>
              </w:r>
            </w:hyperlink>
          </w:p>
        </w:tc>
      </w:tr>
      <w:tr>
        <w:trPr>
          <w:trHeight w:val="213"/>
        </w:trPr>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Human Capital Resources</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22</w:t>
              </w:r>
            </w:hyperlink>
          </w:p>
        </w:tc>
      </w:tr>
      <w:tr>
        <w:trPr>
          <w:trHeight w:val="219"/>
        </w:trPr>
        <w:tc>
          <w:tcPr>
            <w:tcW w:w="1720" w:type="dxa"/>
            <w:vAlign w:val="bottom"/>
            <w:shd w:val="clear" w:color="auto" w:fill="CEFFE7"/>
          </w:tcPr>
          <w:p>
            <w:pPr>
              <w:ind w:left="20"/>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ITEM 1A.</w:t>
              </w:r>
            </w:hyperlink>
          </w:p>
        </w:tc>
        <w:tc>
          <w:tcPr>
            <w:tcW w:w="8160" w:type="dxa"/>
            <w:vAlign w:val="bottom"/>
            <w:gridSpan w:val="9"/>
            <w:shd w:val="clear" w:color="auto" w:fill="CEFFE7"/>
          </w:tcPr>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RISK FACTORS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24</w:t>
              </w:r>
            </w:hyperlink>
          </w:p>
        </w:tc>
      </w:tr>
      <w:tr>
        <w:trPr>
          <w:trHeight w:val="213"/>
        </w:trPr>
        <w:tc>
          <w:tcPr>
            <w:tcW w:w="1720" w:type="dxa"/>
            <w:vAlign w:val="bottom"/>
          </w:tcPr>
          <w:p>
            <w:pPr>
              <w:ind w:left="2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1B.</w:t>
              </w:r>
            </w:hyperlink>
          </w:p>
        </w:tc>
        <w:tc>
          <w:tcPr>
            <w:tcW w:w="8160" w:type="dxa"/>
            <w:vAlign w:val="bottom"/>
            <w:gridSpan w:val="9"/>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UNRESOLVED STAFF COMMENTS</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tc>
      </w:tr>
      <w:tr>
        <w:trPr>
          <w:trHeight w:val="219"/>
        </w:trPr>
        <w:tc>
          <w:tcPr>
            <w:tcW w:w="1720" w:type="dxa"/>
            <w:vAlign w:val="bottom"/>
            <w:shd w:val="clear" w:color="auto" w:fill="CEFFE7"/>
          </w:tcPr>
          <w:p>
            <w:pPr>
              <w:ind w:left="2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3.</w:t>
              </w:r>
            </w:hyperlink>
          </w:p>
        </w:tc>
        <w:tc>
          <w:tcPr>
            <w:tcW w:w="8160" w:type="dxa"/>
            <w:vAlign w:val="bottom"/>
            <w:gridSpan w:val="9"/>
            <w:shd w:val="clear" w:color="auto" w:fill="CEFFE7"/>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LEGAL PROCEEDINGS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tc>
      </w:tr>
      <w:tr>
        <w:trPr>
          <w:trHeight w:val="213"/>
        </w:trPr>
        <w:tc>
          <w:tcPr>
            <w:tcW w:w="1720" w:type="dxa"/>
            <w:vAlign w:val="bottom"/>
          </w:tcPr>
          <w:p>
            <w:pPr>
              <w:ind w:left="2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4.</w:t>
              </w:r>
            </w:hyperlink>
          </w:p>
        </w:tc>
        <w:tc>
          <w:tcPr>
            <w:tcW w:w="8160" w:type="dxa"/>
            <w:vAlign w:val="bottom"/>
            <w:gridSpan w:val="9"/>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MINE SAFETY DISCLOSURES</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tc>
      </w:tr>
      <w:tr>
        <w:trPr>
          <w:trHeight w:val="219"/>
        </w:trPr>
        <w:tc>
          <w:tcPr>
            <w:tcW w:w="9880" w:type="dxa"/>
            <w:vAlign w:val="bottom"/>
            <w:gridSpan w:val="10"/>
            <w:shd w:val="clear" w:color="auto" w:fill="CEFFE7"/>
          </w:tcPr>
          <w:p>
            <w:pPr>
              <w:ind w:left="2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INFORMATION ABOUT OUR EXECUTIVE OFFICERS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32</w:t>
              </w:r>
            </w:hyperlink>
          </w:p>
        </w:tc>
      </w:tr>
      <w:tr>
        <w:trPr>
          <w:trHeight w:val="215"/>
        </w:trPr>
        <w:tc>
          <w:tcPr>
            <w:tcW w:w="1720" w:type="dxa"/>
            <w:vAlign w:val="bottom"/>
          </w:tcPr>
          <w:p>
            <w:pPr>
              <w:ind w:left="20"/>
              <w:spacing w:after="0"/>
              <w:rPr>
                <w:rFonts w:ascii="Arial" w:cs="Arial" w:eastAsia="Arial" w:hAnsi="Arial"/>
                <w:sz w:val="16"/>
                <w:szCs w:val="16"/>
                <w:b w:val="1"/>
                <w:bCs w:val="1"/>
                <w:u w:val="single" w:color="auto"/>
                <w:color w:val="0000FF"/>
              </w:rPr>
            </w:pPr>
            <w:hyperlink w:anchor="page32">
              <w:r>
                <w:rPr>
                  <w:rFonts w:ascii="Arial" w:cs="Arial" w:eastAsia="Arial" w:hAnsi="Arial"/>
                  <w:sz w:val="16"/>
                  <w:szCs w:val="16"/>
                  <w:b w:val="1"/>
                  <w:bCs w:val="1"/>
                  <w:u w:val="single" w:color="auto"/>
                  <w:color w:val="0000FF"/>
                </w:rPr>
                <w:t>Part II</w:t>
              </w:r>
            </w:hyperlink>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6"/>
        </w:trPr>
        <w:tc>
          <w:tcPr>
            <w:tcW w:w="1720" w:type="dxa"/>
            <w:vAlign w:val="bottom"/>
            <w:shd w:val="clear" w:color="auto" w:fill="CEFFE7"/>
          </w:tcPr>
          <w:p>
            <w:pPr>
              <w:ind w:left="20"/>
              <w:spacing w:after="0" w:line="176" w:lineRule="exact"/>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ITEM 5.</w:t>
              </w:r>
            </w:hyperlink>
          </w:p>
        </w:tc>
        <w:tc>
          <w:tcPr>
            <w:tcW w:w="8160" w:type="dxa"/>
            <w:vAlign w:val="bottom"/>
            <w:gridSpan w:val="9"/>
            <w:shd w:val="clear" w:color="auto" w:fill="CEFFE7"/>
          </w:tcPr>
          <w:p>
            <w:pPr>
              <w:spacing w:after="0" w:line="176" w:lineRule="exact"/>
              <w:rPr>
                <w:rFonts w:ascii="Arial" w:cs="Arial" w:eastAsia="Arial" w:hAnsi="Arial"/>
                <w:sz w:val="16"/>
                <w:szCs w:val="16"/>
                <w:color w:val="0000FF"/>
              </w:rPr>
            </w:pPr>
            <w:hyperlink w:anchor="page33">
              <w:r>
                <w:rPr>
                  <w:rFonts w:ascii="Arial" w:cs="Arial" w:eastAsia="Arial" w:hAnsi="Arial"/>
                  <w:sz w:val="16"/>
                  <w:szCs w:val="16"/>
                  <w:color w:val="0000FF"/>
                </w:rPr>
                <w:t>MARKET FOR REGISTRANT’S COMMON EQUITY, RELATED STOCKHOLDER MATTERS AND ISSUER</w:t>
              </w:r>
            </w:hyperlink>
          </w:p>
        </w:tc>
        <w:tc>
          <w:tcPr>
            <w:tcW w:w="1100" w:type="dxa"/>
            <w:vAlign w:val="bottom"/>
            <w:shd w:val="clear" w:color="auto" w:fill="CEFFE7"/>
          </w:tcPr>
          <w:p>
            <w:pPr>
              <w:jc w:val="center"/>
              <w:spacing w:after="0" w:line="176" w:lineRule="exact"/>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r>
      <w:tr>
        <w:trPr>
          <w:trHeight w:val="163"/>
        </w:trPr>
        <w:tc>
          <w:tcPr>
            <w:tcW w:w="1720" w:type="dxa"/>
            <w:vAlign w:val="bottom"/>
            <w:tcBorders>
              <w:top w:val="single" w:sz="8" w:color="CEFFE7"/>
              <w:bottom w:val="single" w:sz="8" w:color="CEFFE7"/>
            </w:tcBorders>
            <w:shd w:val="clear" w:color="auto" w:fill="CEFFE7"/>
          </w:tcPr>
          <w:p>
            <w:pPr>
              <w:spacing w:after="0"/>
              <w:rPr>
                <w:sz w:val="14"/>
                <w:szCs w:val="14"/>
                <w:color w:val="auto"/>
              </w:rPr>
            </w:pPr>
          </w:p>
        </w:tc>
        <w:tc>
          <w:tcPr>
            <w:tcW w:w="2940" w:type="dxa"/>
            <w:vAlign w:val="bottom"/>
            <w:tcBorders>
              <w:top w:val="single" w:sz="8" w:color="0000FF"/>
              <w:bottom w:val="single" w:sz="8" w:color="0000FF"/>
            </w:tcBorders>
            <w:gridSpan w:val="5"/>
            <w:shd w:val="clear" w:color="auto" w:fill="CEFFE7"/>
          </w:tcPr>
          <w:p>
            <w:pPr>
              <w:spacing w:after="0" w:line="142" w:lineRule="exact"/>
              <w:rPr>
                <w:rFonts w:ascii="Arial" w:cs="Arial" w:eastAsia="Arial" w:hAnsi="Arial"/>
                <w:sz w:val="16"/>
                <w:szCs w:val="16"/>
                <w:color w:val="0000FF"/>
              </w:rPr>
            </w:pPr>
            <w:hyperlink w:anchor="page33">
              <w:r>
                <w:rPr>
                  <w:rFonts w:ascii="Arial" w:cs="Arial" w:eastAsia="Arial" w:hAnsi="Arial"/>
                  <w:sz w:val="16"/>
                  <w:szCs w:val="16"/>
                  <w:color w:val="0000FF"/>
                </w:rPr>
                <w:t>PURCHASES OF EQUITY SECURITIES</w:t>
              </w:r>
            </w:hyperlink>
          </w:p>
        </w:tc>
        <w:tc>
          <w:tcPr>
            <w:tcW w:w="4720" w:type="dxa"/>
            <w:vAlign w:val="bottom"/>
            <w:tcBorders>
              <w:top w:val="single" w:sz="8" w:color="0000FF"/>
              <w:bottom w:val="single" w:sz="8" w:color="CEFFE7"/>
            </w:tcBorders>
            <w:gridSpan w:val="2"/>
            <w:shd w:val="clear" w:color="auto" w:fill="CEFFE7"/>
          </w:tcPr>
          <w:p>
            <w:pPr>
              <w:spacing w:after="0"/>
              <w:rPr>
                <w:sz w:val="14"/>
                <w:szCs w:val="14"/>
                <w:color w:val="auto"/>
              </w:rPr>
            </w:pPr>
          </w:p>
        </w:tc>
        <w:tc>
          <w:tcPr>
            <w:tcW w:w="380" w:type="dxa"/>
            <w:vAlign w:val="bottom"/>
            <w:tcBorders>
              <w:top w:val="single" w:sz="8" w:color="CEFFE7"/>
              <w:bottom w:val="single" w:sz="8" w:color="CEFFE7"/>
            </w:tcBorders>
            <w:shd w:val="clear" w:color="auto" w:fill="CEFFE7"/>
          </w:tcPr>
          <w:p>
            <w:pPr>
              <w:spacing w:after="0"/>
              <w:rPr>
                <w:sz w:val="14"/>
                <w:szCs w:val="14"/>
                <w:color w:val="auto"/>
              </w:rPr>
            </w:pPr>
          </w:p>
        </w:tc>
        <w:tc>
          <w:tcPr>
            <w:tcW w:w="120" w:type="dxa"/>
            <w:vAlign w:val="bottom"/>
            <w:tcBorders>
              <w:top w:val="single" w:sz="8" w:color="CEFFE7"/>
              <w:bottom w:val="single" w:sz="8" w:color="CEFFE7"/>
            </w:tcBorders>
            <w:shd w:val="clear" w:color="auto" w:fill="CEFFE7"/>
          </w:tcPr>
          <w:p>
            <w:pPr>
              <w:spacing w:after="0"/>
              <w:rPr>
                <w:sz w:val="14"/>
                <w:szCs w:val="14"/>
                <w:color w:val="auto"/>
              </w:rPr>
            </w:pPr>
          </w:p>
        </w:tc>
        <w:tc>
          <w:tcPr>
            <w:tcW w:w="110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213"/>
        </w:trPr>
        <w:tc>
          <w:tcPr>
            <w:tcW w:w="1720" w:type="dxa"/>
            <w:vAlign w:val="bottom"/>
          </w:tcPr>
          <w:p>
            <w:pPr>
              <w:ind w:left="2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ITEM 6.</w:t>
              </w:r>
            </w:hyperlink>
          </w:p>
        </w:tc>
        <w:tc>
          <w:tcPr>
            <w:tcW w:w="8160" w:type="dxa"/>
            <w:vAlign w:val="bottom"/>
            <w:gridSpan w:val="9"/>
          </w:tcPr>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SELECTED FINANCIAL DATA</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r>
      <w:tr>
        <w:trPr>
          <w:trHeight w:val="178"/>
        </w:trPr>
        <w:tc>
          <w:tcPr>
            <w:tcW w:w="1720" w:type="dxa"/>
            <w:vAlign w:val="bottom"/>
            <w:shd w:val="clear" w:color="auto" w:fill="CEFFE7"/>
          </w:tcPr>
          <w:p>
            <w:pPr>
              <w:ind w:left="20"/>
              <w:spacing w:after="0" w:line="178" w:lineRule="exact"/>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ITEM 7.</w:t>
              </w:r>
            </w:hyperlink>
          </w:p>
        </w:tc>
        <w:tc>
          <w:tcPr>
            <w:tcW w:w="8160" w:type="dxa"/>
            <w:vAlign w:val="bottom"/>
            <w:gridSpan w:val="9"/>
            <w:shd w:val="clear" w:color="auto" w:fill="CEFFE7"/>
          </w:tcPr>
          <w:p>
            <w:pPr>
              <w:spacing w:after="0" w:line="178" w:lineRule="exact"/>
              <w:rPr>
                <w:rFonts w:ascii="Arial" w:cs="Arial" w:eastAsia="Arial" w:hAnsi="Arial"/>
                <w:sz w:val="16"/>
                <w:szCs w:val="16"/>
                <w:color w:val="0000FF"/>
              </w:rPr>
            </w:pPr>
            <w:hyperlink w:anchor="page33">
              <w:r>
                <w:rPr>
                  <w:rFonts w:ascii="Arial" w:cs="Arial" w:eastAsia="Arial" w:hAnsi="Arial"/>
                  <w:sz w:val="16"/>
                  <w:szCs w:val="16"/>
                  <w:color w:val="0000FF"/>
                </w:rPr>
                <w:t>MANAGEMENT’S DISCUSSION AND ANALYSIS OF FINANCIAL CONDITION AND RESULTS OF</w:t>
              </w:r>
            </w:hyperlink>
          </w:p>
        </w:tc>
        <w:tc>
          <w:tcPr>
            <w:tcW w:w="1100" w:type="dxa"/>
            <w:vAlign w:val="bottom"/>
            <w:shd w:val="clear" w:color="auto" w:fill="CEFFE7"/>
          </w:tcPr>
          <w:p>
            <w:pPr>
              <w:jc w:val="center"/>
              <w:spacing w:after="0" w:line="178" w:lineRule="exact"/>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34</w:t>
              </w:r>
            </w:hyperlink>
          </w:p>
        </w:tc>
      </w:tr>
      <w:tr>
        <w:trPr>
          <w:trHeight w:val="142"/>
        </w:trPr>
        <w:tc>
          <w:tcPr>
            <w:tcW w:w="1720" w:type="dxa"/>
            <w:vAlign w:val="bottom"/>
            <w:tcBorders>
              <w:top w:val="single" w:sz="8" w:color="CEFFE7"/>
            </w:tcBorders>
            <w:shd w:val="clear" w:color="auto" w:fill="CEFFE7"/>
          </w:tcPr>
          <w:p>
            <w:pPr>
              <w:spacing w:after="0"/>
              <w:rPr>
                <w:sz w:val="12"/>
                <w:szCs w:val="12"/>
                <w:color w:val="auto"/>
              </w:rPr>
            </w:pPr>
          </w:p>
        </w:tc>
        <w:tc>
          <w:tcPr>
            <w:tcW w:w="7120" w:type="dxa"/>
            <w:vAlign w:val="bottom"/>
            <w:tcBorders>
              <w:top w:val="single" w:sz="8" w:color="0000FF"/>
            </w:tcBorders>
            <w:gridSpan w:val="6"/>
            <w:shd w:val="clear" w:color="auto" w:fill="CEFFE7"/>
          </w:tcPr>
          <w:p>
            <w:pPr>
              <w:spacing w:after="0" w:line="142" w:lineRule="exact"/>
              <w:rPr>
                <w:rFonts w:ascii="Arial" w:cs="Arial" w:eastAsia="Arial" w:hAnsi="Arial"/>
                <w:sz w:val="16"/>
                <w:szCs w:val="16"/>
                <w:color w:val="0000FF"/>
              </w:rPr>
            </w:pPr>
            <w:hyperlink w:anchor="page33">
              <w:r>
                <w:rPr>
                  <w:rFonts w:ascii="Arial" w:cs="Arial" w:eastAsia="Arial" w:hAnsi="Arial"/>
                  <w:sz w:val="16"/>
                  <w:szCs w:val="16"/>
                  <w:color w:val="0000FF"/>
                </w:rPr>
                <w:t>OPERATIONS</w:t>
              </w:r>
            </w:hyperlink>
          </w:p>
        </w:tc>
        <w:tc>
          <w:tcPr>
            <w:tcW w:w="920" w:type="dxa"/>
            <w:vAlign w:val="bottom"/>
            <w:tcBorders>
              <w:top w:val="single" w:sz="8" w:color="CEFFE7"/>
            </w:tcBorders>
            <w:gridSpan w:val="2"/>
            <w:shd w:val="clear" w:color="auto" w:fill="CEFFE7"/>
          </w:tcPr>
          <w:p>
            <w:pPr>
              <w:spacing w:after="0"/>
              <w:rPr>
                <w:sz w:val="12"/>
                <w:szCs w:val="12"/>
                <w:color w:val="auto"/>
              </w:rPr>
            </w:pPr>
          </w:p>
        </w:tc>
        <w:tc>
          <w:tcPr>
            <w:tcW w:w="120" w:type="dxa"/>
            <w:vAlign w:val="bottom"/>
            <w:tcBorders>
              <w:top w:val="single" w:sz="8" w:color="CEFFE7"/>
            </w:tcBorders>
            <w:shd w:val="clear" w:color="auto" w:fill="CEFFE7"/>
          </w:tcPr>
          <w:p>
            <w:pPr>
              <w:spacing w:after="0"/>
              <w:rPr>
                <w:sz w:val="12"/>
                <w:szCs w:val="12"/>
                <w:color w:val="auto"/>
              </w:rPr>
            </w:pPr>
          </w:p>
        </w:tc>
        <w:tc>
          <w:tcPr>
            <w:tcW w:w="1100" w:type="dxa"/>
            <w:vAlign w:val="bottom"/>
            <w:tcBorders>
              <w:top w:val="single" w:sz="8" w:color="CEFFE7"/>
            </w:tcBorders>
            <w:shd w:val="clear" w:color="auto" w:fill="CEFFE7"/>
          </w:tcPr>
          <w:p>
            <w:pPr>
              <w:spacing w:after="0"/>
              <w:rPr>
                <w:sz w:val="12"/>
                <w:szCs w:val="12"/>
                <w:color w:val="auto"/>
              </w:rPr>
            </w:pPr>
          </w:p>
        </w:tc>
      </w:tr>
      <w:tr>
        <w:trPr>
          <w:trHeight w:val="20"/>
        </w:trPr>
        <w:tc>
          <w:tcPr>
            <w:tcW w:w="17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7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2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CEFFE7"/>
            </w:tcBorders>
            <w:shd w:val="clear" w:color="auto" w:fill="CEFFE7"/>
          </w:tcPr>
          <w:p>
            <w:pPr>
              <w:spacing w:after="0" w:line="20" w:lineRule="exact"/>
              <w:rPr>
                <w:sz w:val="1"/>
                <w:szCs w:val="1"/>
                <w:color w:val="auto"/>
              </w:rPr>
            </w:pPr>
          </w:p>
        </w:tc>
        <w:tc>
          <w:tcPr>
            <w:tcW w:w="41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r>
      <w:tr>
        <w:trPr>
          <w:trHeight w:val="213"/>
        </w:trPr>
        <w:tc>
          <w:tcPr>
            <w:tcW w:w="1720" w:type="dxa"/>
            <w:vAlign w:val="bottom"/>
          </w:tcPr>
          <w:p>
            <w:pPr>
              <w:spacing w:after="0"/>
              <w:rPr>
                <w:sz w:val="18"/>
                <w:szCs w:val="18"/>
                <w:color w:val="auto"/>
              </w:rPr>
            </w:pPr>
          </w:p>
        </w:tc>
        <w:tc>
          <w:tcPr>
            <w:tcW w:w="8160" w:type="dxa"/>
            <w:vAlign w:val="bottom"/>
            <w:gridSpan w:val="9"/>
          </w:tcPr>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Executive Summary</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34</w:t>
              </w:r>
            </w:hyperlink>
          </w:p>
        </w:tc>
      </w:tr>
      <w:tr>
        <w:trPr>
          <w:trHeight w:val="219"/>
        </w:trPr>
        <w:tc>
          <w:tcPr>
            <w:tcW w:w="1720" w:type="dxa"/>
            <w:vAlign w:val="bottom"/>
            <w:shd w:val="clear" w:color="auto" w:fill="CEFFE7"/>
          </w:tcPr>
          <w:p>
            <w:pPr>
              <w:spacing w:after="0"/>
              <w:rPr>
                <w:sz w:val="19"/>
                <w:szCs w:val="19"/>
                <w:color w:val="auto"/>
              </w:rPr>
            </w:pPr>
          </w:p>
        </w:tc>
        <w:tc>
          <w:tcPr>
            <w:tcW w:w="8160" w:type="dxa"/>
            <w:vAlign w:val="bottom"/>
            <w:gridSpan w:val="9"/>
            <w:shd w:val="clear" w:color="auto" w:fill="CEFFE7"/>
          </w:tcPr>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Key Elements of our Business Strategy</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34</w:t>
              </w:r>
            </w:hyperlink>
          </w:p>
        </w:tc>
      </w:tr>
      <w:tr>
        <w:trPr>
          <w:trHeight w:val="213"/>
        </w:trPr>
        <w:tc>
          <w:tcPr>
            <w:tcW w:w="1720" w:type="dxa"/>
            <w:vAlign w:val="bottom"/>
          </w:tcPr>
          <w:p>
            <w:pPr>
              <w:spacing w:after="0"/>
              <w:rPr>
                <w:sz w:val="18"/>
                <w:szCs w:val="18"/>
                <w:color w:val="auto"/>
              </w:rPr>
            </w:pPr>
          </w:p>
        </w:tc>
        <w:tc>
          <w:tcPr>
            <w:tcW w:w="8160" w:type="dxa"/>
            <w:vAlign w:val="bottom"/>
            <w:gridSpan w:val="9"/>
          </w:tcPr>
          <w:p>
            <w:pPr>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Prospective Information</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37</w:t>
              </w:r>
            </w:hyperlink>
          </w:p>
        </w:tc>
      </w:tr>
      <w:tr>
        <w:trPr>
          <w:trHeight w:val="219"/>
        </w:trPr>
        <w:tc>
          <w:tcPr>
            <w:tcW w:w="1720" w:type="dxa"/>
            <w:vAlign w:val="bottom"/>
            <w:shd w:val="clear" w:color="auto" w:fill="CEFFE7"/>
          </w:tcPr>
          <w:p>
            <w:pPr>
              <w:spacing w:after="0"/>
              <w:rPr>
                <w:sz w:val="19"/>
                <w:szCs w:val="19"/>
                <w:color w:val="auto"/>
              </w:rPr>
            </w:pPr>
          </w:p>
        </w:tc>
        <w:tc>
          <w:tcPr>
            <w:tcW w:w="8160" w:type="dxa"/>
            <w:vAlign w:val="bottom"/>
            <w:gridSpan w:val="9"/>
            <w:shd w:val="clear" w:color="auto" w:fill="CEFFE7"/>
          </w:tcPr>
          <w:p>
            <w:pPr>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Company Highlights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37</w:t>
              </w:r>
            </w:hyperlink>
          </w:p>
        </w:tc>
      </w:tr>
      <w:tr>
        <w:trPr>
          <w:trHeight w:val="213"/>
        </w:trPr>
        <w:tc>
          <w:tcPr>
            <w:tcW w:w="1720" w:type="dxa"/>
            <w:vAlign w:val="bottom"/>
          </w:tcPr>
          <w:p>
            <w:pPr>
              <w:spacing w:after="0"/>
              <w:rPr>
                <w:sz w:val="18"/>
                <w:szCs w:val="18"/>
                <w:color w:val="auto"/>
              </w:rPr>
            </w:pPr>
          </w:p>
        </w:tc>
        <w:tc>
          <w:tcPr>
            <w:tcW w:w="8160" w:type="dxa"/>
            <w:vAlign w:val="bottom"/>
            <w:gridSpan w:val="9"/>
          </w:tcPr>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Results of Operations - Consolidated Summary and Overview</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41</w:t>
              </w:r>
            </w:hyperlink>
          </w:p>
        </w:tc>
      </w:tr>
      <w:tr>
        <w:trPr>
          <w:trHeight w:val="199"/>
        </w:trPr>
        <w:tc>
          <w:tcPr>
            <w:tcW w:w="1720" w:type="dxa"/>
            <w:vAlign w:val="bottom"/>
            <w:shd w:val="clear" w:color="auto" w:fill="CEFFE7"/>
          </w:tcPr>
          <w:p>
            <w:pPr>
              <w:spacing w:after="0"/>
              <w:rPr>
                <w:sz w:val="17"/>
                <w:szCs w:val="17"/>
                <w:color w:val="auto"/>
              </w:rPr>
            </w:pPr>
          </w:p>
        </w:tc>
        <w:tc>
          <w:tcPr>
            <w:tcW w:w="320" w:type="dxa"/>
            <w:vAlign w:val="bottom"/>
            <w:shd w:val="clear" w:color="auto" w:fill="CEFFE7"/>
          </w:tcPr>
          <w:p>
            <w:pPr>
              <w:spacing w:after="0"/>
              <w:rPr>
                <w:sz w:val="17"/>
                <w:szCs w:val="17"/>
                <w:color w:val="auto"/>
              </w:rPr>
            </w:pPr>
          </w:p>
        </w:tc>
        <w:tc>
          <w:tcPr>
            <w:tcW w:w="7840" w:type="dxa"/>
            <w:vAlign w:val="bottom"/>
            <w:gridSpan w:val="8"/>
            <w:shd w:val="clear" w:color="auto" w:fill="CEFFE7"/>
          </w:tcPr>
          <w:p>
            <w:pPr>
              <w:spacing w:after="0" w:line="178" w:lineRule="exact"/>
              <w:rPr>
                <w:rFonts w:ascii="Arial" w:cs="Arial" w:eastAsia="Arial" w:hAnsi="Arial"/>
                <w:sz w:val="16"/>
                <w:szCs w:val="16"/>
                <w:color w:val="0000FF"/>
              </w:rPr>
            </w:pPr>
            <w:hyperlink w:anchor="page42">
              <w:r>
                <w:rPr>
                  <w:rFonts w:ascii="Arial" w:cs="Arial" w:eastAsia="Arial" w:hAnsi="Arial"/>
                  <w:sz w:val="16"/>
                  <w:szCs w:val="16"/>
                  <w:color w:val="0000FF"/>
                </w:rPr>
                <w:t>Non-GAAP Financial Measure</w:t>
              </w:r>
            </w:hyperlink>
          </w:p>
        </w:tc>
        <w:tc>
          <w:tcPr>
            <w:tcW w:w="1100" w:type="dxa"/>
            <w:vAlign w:val="bottom"/>
            <w:shd w:val="clear" w:color="auto" w:fill="CEFFE7"/>
          </w:tcPr>
          <w:p>
            <w:pPr>
              <w:jc w:val="center"/>
              <w:spacing w:after="0" w:line="178" w:lineRule="exact"/>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42</w:t>
              </w:r>
            </w:hyperlink>
          </w:p>
        </w:tc>
      </w:tr>
      <w:tr>
        <w:trPr>
          <w:trHeight w:val="213"/>
        </w:trPr>
        <w:tc>
          <w:tcPr>
            <w:tcW w:w="1720" w:type="dxa"/>
            <w:vAlign w:val="bottom"/>
            <w:tcBorders>
              <w:top w:val="single" w:sz="8" w:color="CEFFE7"/>
            </w:tcBorders>
          </w:tcPr>
          <w:p>
            <w:pPr>
              <w:spacing w:after="0"/>
              <w:rPr>
                <w:sz w:val="18"/>
                <w:szCs w:val="18"/>
                <w:color w:val="auto"/>
              </w:rPr>
            </w:pPr>
          </w:p>
        </w:tc>
        <w:tc>
          <w:tcPr>
            <w:tcW w:w="320" w:type="dxa"/>
            <w:vAlign w:val="bottom"/>
            <w:tcBorders>
              <w:top w:val="single" w:sz="8" w:color="CEFFE7"/>
            </w:tcBorders>
          </w:tcPr>
          <w:p>
            <w:pPr>
              <w:spacing w:after="0"/>
              <w:rPr>
                <w:sz w:val="18"/>
                <w:szCs w:val="18"/>
                <w:color w:val="auto"/>
              </w:rPr>
            </w:pPr>
          </w:p>
        </w:tc>
        <w:tc>
          <w:tcPr>
            <w:tcW w:w="2160" w:type="dxa"/>
            <w:vAlign w:val="bottom"/>
            <w:tcBorders>
              <w:top w:val="single" w:sz="8" w:color="0000FF"/>
            </w:tcBorders>
            <w:gridSpan w:val="3"/>
          </w:tcPr>
          <w:p>
            <w:pPr>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Electric Utilities</w:t>
              </w:r>
            </w:hyperlink>
          </w:p>
        </w:tc>
        <w:tc>
          <w:tcPr>
            <w:tcW w:w="5680" w:type="dxa"/>
            <w:vAlign w:val="bottom"/>
            <w:tcBorders>
              <w:top w:val="single" w:sz="8" w:color="CEFFE7"/>
            </w:tcBorders>
            <w:gridSpan w:val="5"/>
          </w:tcPr>
          <w:p>
            <w:pPr>
              <w:spacing w:after="0"/>
              <w:rPr>
                <w:sz w:val="18"/>
                <w:szCs w:val="18"/>
                <w:color w:val="auto"/>
              </w:rPr>
            </w:pPr>
          </w:p>
        </w:tc>
        <w:tc>
          <w:tcPr>
            <w:tcW w:w="1100" w:type="dxa"/>
            <w:vAlign w:val="bottom"/>
            <w:tcBorders>
              <w:top w:val="single" w:sz="8" w:color="CEFFE7"/>
            </w:tcBorders>
          </w:tcPr>
          <w:p>
            <w:pPr>
              <w:jc w:val="center"/>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43</w:t>
              </w:r>
            </w:hyperlink>
          </w:p>
        </w:tc>
      </w:tr>
      <w:tr>
        <w:trPr>
          <w:trHeight w:val="219"/>
        </w:trPr>
        <w:tc>
          <w:tcPr>
            <w:tcW w:w="17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840" w:type="dxa"/>
            <w:vAlign w:val="bottom"/>
            <w:gridSpan w:val="8"/>
            <w:shd w:val="clear" w:color="auto" w:fill="CEFFE7"/>
          </w:tcPr>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Gas Utilities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46</w:t>
              </w:r>
            </w:hyperlink>
          </w:p>
        </w:tc>
      </w:tr>
      <w:tr>
        <w:trPr>
          <w:trHeight w:val="213"/>
        </w:trPr>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Power Generation</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48</w:t>
              </w:r>
            </w:hyperlink>
          </w:p>
        </w:tc>
      </w:tr>
      <w:tr>
        <w:trPr>
          <w:trHeight w:val="219"/>
        </w:trPr>
        <w:tc>
          <w:tcPr>
            <w:tcW w:w="17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840" w:type="dxa"/>
            <w:vAlign w:val="bottom"/>
            <w:gridSpan w:val="8"/>
            <w:shd w:val="clear" w:color="auto" w:fill="CEFFE7"/>
          </w:tcPr>
          <w:p>
            <w:pP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Mining</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49</w:t>
              </w:r>
            </w:hyperlink>
          </w:p>
        </w:tc>
      </w:tr>
      <w:tr>
        <w:trPr>
          <w:trHeight w:val="213"/>
        </w:trPr>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Corporate and Other</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49</w:t>
              </w:r>
            </w:hyperlink>
          </w:p>
        </w:tc>
      </w:tr>
      <w:tr>
        <w:trPr>
          <w:trHeight w:val="179"/>
        </w:trPr>
        <w:tc>
          <w:tcPr>
            <w:tcW w:w="172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7840" w:type="dxa"/>
            <w:vAlign w:val="bottom"/>
            <w:gridSpan w:val="8"/>
            <w:shd w:val="clear" w:color="auto" w:fill="CEFFE7"/>
          </w:tcPr>
          <w:p>
            <w:pPr>
              <w:spacing w:after="0" w:line="178" w:lineRule="exact"/>
              <w:rPr>
                <w:rFonts w:ascii="Arial" w:cs="Arial" w:eastAsia="Arial" w:hAnsi="Arial"/>
                <w:sz w:val="16"/>
                <w:szCs w:val="16"/>
                <w:color w:val="0000FF"/>
              </w:rPr>
            </w:pPr>
            <w:hyperlink w:anchor="page49">
              <w:r>
                <w:rPr>
                  <w:rFonts w:ascii="Arial" w:cs="Arial" w:eastAsia="Arial" w:hAnsi="Arial"/>
                  <w:sz w:val="16"/>
                  <w:szCs w:val="16"/>
                  <w:color w:val="0000FF"/>
                </w:rPr>
                <w:t>Consolidated Interest Expense, Impairment of Investment, Other Income (Expense) and Income Tax Benefit</w:t>
              </w:r>
            </w:hyperlink>
          </w:p>
        </w:tc>
        <w:tc>
          <w:tcPr>
            <w:tcW w:w="1100" w:type="dxa"/>
            <w:vAlign w:val="bottom"/>
            <w:shd w:val="clear" w:color="auto" w:fill="CEFFE7"/>
          </w:tcPr>
          <w:p>
            <w:pPr>
              <w:jc w:val="center"/>
              <w:spacing w:after="0" w:line="178" w:lineRule="exact"/>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50</w:t>
              </w:r>
            </w:hyperlink>
          </w:p>
        </w:tc>
      </w:tr>
      <w:tr>
        <w:trPr>
          <w:trHeight w:val="163"/>
        </w:trPr>
        <w:tc>
          <w:tcPr>
            <w:tcW w:w="1720" w:type="dxa"/>
            <w:vAlign w:val="bottom"/>
            <w:tcBorders>
              <w:top w:val="single" w:sz="8" w:color="CEFFE7"/>
              <w:bottom w:val="single" w:sz="8" w:color="CEFFE7"/>
            </w:tcBorders>
            <w:shd w:val="clear" w:color="auto" w:fill="CEFFE7"/>
          </w:tcPr>
          <w:p>
            <w:pPr>
              <w:spacing w:after="0"/>
              <w:rPr>
                <w:sz w:val="14"/>
                <w:szCs w:val="14"/>
                <w:color w:val="auto"/>
              </w:rPr>
            </w:pPr>
          </w:p>
        </w:tc>
        <w:tc>
          <w:tcPr>
            <w:tcW w:w="320" w:type="dxa"/>
            <w:vAlign w:val="bottom"/>
            <w:tcBorders>
              <w:top w:val="single" w:sz="8" w:color="CEFFE7"/>
              <w:bottom w:val="single" w:sz="8" w:color="CEFFE7"/>
            </w:tcBorders>
            <w:shd w:val="clear" w:color="auto" w:fill="CEFFE7"/>
          </w:tcPr>
          <w:p>
            <w:pPr>
              <w:spacing w:after="0"/>
              <w:rPr>
                <w:sz w:val="14"/>
                <w:szCs w:val="14"/>
                <w:color w:val="auto"/>
              </w:rPr>
            </w:pPr>
          </w:p>
        </w:tc>
        <w:tc>
          <w:tcPr>
            <w:tcW w:w="740" w:type="dxa"/>
            <w:vAlign w:val="bottom"/>
            <w:tcBorders>
              <w:top w:val="single" w:sz="8" w:color="0000FF"/>
              <w:bottom w:val="single" w:sz="8" w:color="0000FF"/>
            </w:tcBorders>
            <w:gridSpan w:val="2"/>
            <w:shd w:val="clear" w:color="auto" w:fill="CEFFE7"/>
          </w:tcPr>
          <w:p>
            <w:pPr>
              <w:spacing w:after="0" w:line="142" w:lineRule="exact"/>
              <w:rPr>
                <w:rFonts w:ascii="Arial" w:cs="Arial" w:eastAsia="Arial" w:hAnsi="Arial"/>
                <w:sz w:val="16"/>
                <w:szCs w:val="16"/>
                <w:color w:val="0000FF"/>
                <w:w w:val="98"/>
              </w:rPr>
            </w:pPr>
            <w:hyperlink w:anchor="page49">
              <w:r>
                <w:rPr>
                  <w:rFonts w:ascii="Arial" w:cs="Arial" w:eastAsia="Arial" w:hAnsi="Arial"/>
                  <w:sz w:val="16"/>
                  <w:szCs w:val="16"/>
                  <w:color w:val="0000FF"/>
                  <w:w w:val="98"/>
                </w:rPr>
                <w:t>(Expense)</w:t>
              </w:r>
            </w:hyperlink>
          </w:p>
        </w:tc>
        <w:tc>
          <w:tcPr>
            <w:tcW w:w="6980" w:type="dxa"/>
            <w:vAlign w:val="bottom"/>
            <w:tcBorders>
              <w:top w:val="single" w:sz="8" w:color="0000FF"/>
              <w:bottom w:val="single" w:sz="8" w:color="CEFFE7"/>
            </w:tcBorders>
            <w:gridSpan w:val="5"/>
            <w:shd w:val="clear" w:color="auto" w:fill="CEFFE7"/>
          </w:tcPr>
          <w:p>
            <w:pPr>
              <w:spacing w:after="0"/>
              <w:rPr>
                <w:sz w:val="14"/>
                <w:szCs w:val="14"/>
                <w:color w:val="auto"/>
              </w:rPr>
            </w:pPr>
          </w:p>
        </w:tc>
        <w:tc>
          <w:tcPr>
            <w:tcW w:w="120" w:type="dxa"/>
            <w:vAlign w:val="bottom"/>
            <w:tcBorders>
              <w:top w:val="single" w:sz="8" w:color="CEFFE7"/>
              <w:bottom w:val="single" w:sz="8" w:color="CEFFE7"/>
            </w:tcBorders>
            <w:shd w:val="clear" w:color="auto" w:fill="CEFFE7"/>
          </w:tcPr>
          <w:p>
            <w:pPr>
              <w:spacing w:after="0"/>
              <w:rPr>
                <w:sz w:val="14"/>
                <w:szCs w:val="14"/>
                <w:color w:val="auto"/>
              </w:rPr>
            </w:pPr>
          </w:p>
        </w:tc>
        <w:tc>
          <w:tcPr>
            <w:tcW w:w="110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213"/>
        </w:trPr>
        <w:tc>
          <w:tcPr>
            <w:tcW w:w="1720" w:type="dxa"/>
            <w:vAlign w:val="bottom"/>
          </w:tcPr>
          <w:p>
            <w:pPr>
              <w:spacing w:after="0"/>
              <w:rPr>
                <w:sz w:val="18"/>
                <w:szCs w:val="18"/>
                <w:color w:val="auto"/>
              </w:rPr>
            </w:pPr>
          </w:p>
        </w:tc>
        <w:tc>
          <w:tcPr>
            <w:tcW w:w="8160" w:type="dxa"/>
            <w:vAlign w:val="bottom"/>
            <w:gridSpan w:val="9"/>
          </w:tcPr>
          <w:p>
            <w:pP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Liquidity and Capital Resources</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50</w:t>
              </w:r>
            </w:hyperlink>
          </w:p>
        </w:tc>
      </w:tr>
      <w:tr>
        <w:trPr>
          <w:trHeight w:val="219"/>
        </w:trPr>
        <w:tc>
          <w:tcPr>
            <w:tcW w:w="17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840" w:type="dxa"/>
            <w:vAlign w:val="bottom"/>
            <w:gridSpan w:val="8"/>
            <w:shd w:val="clear" w:color="auto" w:fill="CEFFE7"/>
          </w:tcPr>
          <w:p>
            <w:pPr>
              <w:ind w:left="20"/>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Cash Flow Activities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51</w:t>
              </w:r>
            </w:hyperlink>
          </w:p>
        </w:tc>
      </w:tr>
      <w:tr>
        <w:trPr>
          <w:trHeight w:val="213"/>
        </w:trPr>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ind w:left="20"/>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Capital Sources</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52</w:t>
              </w:r>
            </w:hyperlink>
          </w:p>
        </w:tc>
      </w:tr>
      <w:tr>
        <w:trPr>
          <w:trHeight w:val="219"/>
        </w:trPr>
        <w:tc>
          <w:tcPr>
            <w:tcW w:w="17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840" w:type="dxa"/>
            <w:vAlign w:val="bottom"/>
            <w:gridSpan w:val="8"/>
            <w:shd w:val="clear" w:color="auto" w:fill="CEFFE7"/>
          </w:tcPr>
          <w:p>
            <w:pPr>
              <w:ind w:left="20"/>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Credit Ratings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54</w:t>
              </w:r>
            </w:hyperlink>
          </w:p>
        </w:tc>
      </w:tr>
      <w:tr>
        <w:trPr>
          <w:trHeight w:val="213"/>
        </w:trPr>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Capital Requirements</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55</w:t>
              </w:r>
            </w:hyperlink>
          </w:p>
        </w:tc>
      </w:tr>
      <w:tr>
        <w:trPr>
          <w:trHeight w:val="219"/>
        </w:trPr>
        <w:tc>
          <w:tcPr>
            <w:tcW w:w="1720" w:type="dxa"/>
            <w:vAlign w:val="bottom"/>
            <w:shd w:val="clear" w:color="auto" w:fill="CEFFE7"/>
          </w:tcPr>
          <w:p>
            <w:pPr>
              <w:spacing w:after="0"/>
              <w:rPr>
                <w:sz w:val="19"/>
                <w:szCs w:val="19"/>
                <w:color w:val="auto"/>
              </w:rPr>
            </w:pPr>
          </w:p>
        </w:tc>
        <w:tc>
          <w:tcPr>
            <w:tcW w:w="8160" w:type="dxa"/>
            <w:vAlign w:val="bottom"/>
            <w:gridSpan w:val="9"/>
            <w:shd w:val="clear" w:color="auto" w:fill="CEFFE7"/>
          </w:tcPr>
          <w:p>
            <w:pPr>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Critical Accounting Policies Involving Significant Estimates</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56</w:t>
              </w:r>
            </w:hyperlink>
          </w:p>
        </w:tc>
      </w:tr>
      <w:tr>
        <w:trPr>
          <w:trHeight w:val="213"/>
        </w:trPr>
        <w:tc>
          <w:tcPr>
            <w:tcW w:w="1720" w:type="dxa"/>
            <w:vAlign w:val="bottom"/>
          </w:tcPr>
          <w:p>
            <w:pPr>
              <w:spacing w:after="0"/>
              <w:rPr>
                <w:sz w:val="18"/>
                <w:szCs w:val="18"/>
                <w:color w:val="auto"/>
              </w:rPr>
            </w:pPr>
          </w:p>
        </w:tc>
        <w:tc>
          <w:tcPr>
            <w:tcW w:w="8160" w:type="dxa"/>
            <w:vAlign w:val="bottom"/>
            <w:gridSpan w:val="9"/>
          </w:tcPr>
          <w:p>
            <w:pPr>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New Accounting Pronouncements</w:t>
              </w:r>
            </w:hyperlink>
          </w:p>
        </w:tc>
        <w:tc>
          <w:tcPr>
            <w:tcW w:w="1100" w:type="dxa"/>
            <w:vAlign w:val="bottom"/>
          </w:tcPr>
          <w:p>
            <w:pPr>
              <w:jc w:val="center"/>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59</w:t>
              </w:r>
            </w:hyperlink>
          </w:p>
        </w:tc>
      </w:tr>
      <w:tr>
        <w:trPr>
          <w:trHeight w:val="219"/>
        </w:trPr>
        <w:tc>
          <w:tcPr>
            <w:tcW w:w="1720" w:type="dxa"/>
            <w:vAlign w:val="bottom"/>
            <w:shd w:val="clear" w:color="auto" w:fill="CEFFE7"/>
          </w:tcPr>
          <w:p>
            <w:pPr>
              <w:ind w:left="2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ITEM 7A.</w:t>
              </w:r>
            </w:hyperlink>
          </w:p>
        </w:tc>
        <w:tc>
          <w:tcPr>
            <w:tcW w:w="8160" w:type="dxa"/>
            <w:vAlign w:val="bottom"/>
            <w:gridSpan w:val="9"/>
            <w:shd w:val="clear" w:color="auto" w:fill="CEFFE7"/>
          </w:tcPr>
          <w:p>
            <w:pPr>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QUANTITATIVE AND QUALITATIVE DISCLOSURES ABOUT MARKET RISK</w:t>
              </w:r>
            </w:hyperlink>
          </w:p>
        </w:tc>
        <w:tc>
          <w:tcPr>
            <w:tcW w:w="1100" w:type="dxa"/>
            <w:vAlign w:val="bottom"/>
            <w:shd w:val="clear" w:color="auto" w:fill="CEFFE7"/>
          </w:tcPr>
          <w:p>
            <w:pPr>
              <w:jc w:val="center"/>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60</w:t>
              </w:r>
            </w:hyperlink>
          </w:p>
        </w:tc>
      </w:tr>
    </w:tbl>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8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8"/>
        </w:trPr>
        <w:tc>
          <w:tcPr>
            <w:tcW w:w="1720" w:type="dxa"/>
            <w:vAlign w:val="bottom"/>
          </w:tcPr>
          <w:p>
            <w:pPr>
              <w:ind w:left="20"/>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ITEM 8.</w:t>
              </w:r>
            </w:hyperlink>
          </w:p>
        </w:tc>
        <w:tc>
          <w:tcPr>
            <w:tcW w:w="7400" w:type="dxa"/>
            <w:vAlign w:val="bottom"/>
            <w:gridSpan w:val="11"/>
          </w:tcPr>
          <w:p>
            <w:pPr>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FINANCIAL STATEMENTS AND SUPPLEMENTARY DATA</w:t>
              </w:r>
            </w:hyperlink>
          </w:p>
        </w:tc>
        <w:tc>
          <w:tcPr>
            <w:tcW w:w="1860" w:type="dxa"/>
            <w:vAlign w:val="bottom"/>
          </w:tcPr>
          <w:p>
            <w:pPr>
              <w:jc w:val="center"/>
              <w:ind w:left="639"/>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62</w:t>
              </w:r>
            </w:hyperlink>
          </w:p>
        </w:tc>
      </w:tr>
      <w:tr>
        <w:trPr>
          <w:trHeight w:val="219"/>
        </w:trPr>
        <w:tc>
          <w:tcPr>
            <w:tcW w:w="1720" w:type="dxa"/>
            <w:vAlign w:val="bottom"/>
            <w:shd w:val="clear" w:color="auto" w:fill="CEFFE7"/>
          </w:tcPr>
          <w:p>
            <w:pPr>
              <w:spacing w:after="0"/>
              <w:rPr>
                <w:sz w:val="19"/>
                <w:szCs w:val="19"/>
                <w:color w:val="auto"/>
              </w:rPr>
            </w:pPr>
          </w:p>
        </w:tc>
        <w:tc>
          <w:tcPr>
            <w:tcW w:w="7400" w:type="dxa"/>
            <w:vAlign w:val="bottom"/>
            <w:gridSpan w:val="11"/>
            <w:shd w:val="clear" w:color="auto" w:fill="CEFFE7"/>
          </w:tcPr>
          <w:p>
            <w:pPr>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Management’s Report on Internal Controls Over Financial Reporting</w:t>
              </w:r>
            </w:hyperlink>
          </w:p>
        </w:tc>
        <w:tc>
          <w:tcPr>
            <w:tcW w:w="1860" w:type="dxa"/>
            <w:vAlign w:val="bottom"/>
            <w:shd w:val="clear" w:color="auto" w:fill="CEFFE7"/>
          </w:tcPr>
          <w:p>
            <w:pPr>
              <w:jc w:val="center"/>
              <w:ind w:left="639"/>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62</w:t>
              </w:r>
            </w:hyperlink>
          </w:p>
        </w:tc>
      </w:tr>
      <w:tr>
        <w:trPr>
          <w:trHeight w:val="213"/>
        </w:trPr>
        <w:tc>
          <w:tcPr>
            <w:tcW w:w="1720" w:type="dxa"/>
            <w:vAlign w:val="bottom"/>
          </w:tcPr>
          <w:p>
            <w:pPr>
              <w:spacing w:after="0"/>
              <w:rPr>
                <w:sz w:val="18"/>
                <w:szCs w:val="18"/>
                <w:color w:val="auto"/>
              </w:rPr>
            </w:pPr>
          </w:p>
        </w:tc>
        <w:tc>
          <w:tcPr>
            <w:tcW w:w="7400" w:type="dxa"/>
            <w:vAlign w:val="bottom"/>
            <w:gridSpan w:val="11"/>
          </w:tcPr>
          <w:p>
            <w:pPr>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Reports of Independent Registered Public Accounting Firm</w:t>
              </w:r>
            </w:hyperlink>
          </w:p>
        </w:tc>
        <w:tc>
          <w:tcPr>
            <w:tcW w:w="1860" w:type="dxa"/>
            <w:vAlign w:val="bottom"/>
          </w:tcPr>
          <w:p>
            <w:pPr>
              <w:jc w:val="center"/>
              <w:ind w:left="639"/>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63</w:t>
              </w:r>
            </w:hyperlink>
          </w:p>
        </w:tc>
      </w:tr>
      <w:tr>
        <w:trPr>
          <w:trHeight w:val="219"/>
        </w:trPr>
        <w:tc>
          <w:tcPr>
            <w:tcW w:w="1720" w:type="dxa"/>
            <w:vAlign w:val="bottom"/>
            <w:shd w:val="clear" w:color="auto" w:fill="CEFFE7"/>
          </w:tcPr>
          <w:p>
            <w:pPr>
              <w:spacing w:after="0"/>
              <w:rPr>
                <w:sz w:val="19"/>
                <w:szCs w:val="19"/>
                <w:color w:val="auto"/>
              </w:rPr>
            </w:pPr>
          </w:p>
        </w:tc>
        <w:tc>
          <w:tcPr>
            <w:tcW w:w="7400" w:type="dxa"/>
            <w:vAlign w:val="bottom"/>
            <w:gridSpan w:val="11"/>
            <w:shd w:val="clear" w:color="auto" w:fill="CEFFE7"/>
          </w:tcPr>
          <w:p>
            <w:pPr>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Consolidated Statements of Income</w:t>
              </w:r>
            </w:hyperlink>
          </w:p>
        </w:tc>
        <w:tc>
          <w:tcPr>
            <w:tcW w:w="1860" w:type="dxa"/>
            <w:vAlign w:val="bottom"/>
            <w:shd w:val="clear" w:color="auto" w:fill="CEFFE7"/>
          </w:tcPr>
          <w:p>
            <w:pPr>
              <w:jc w:val="center"/>
              <w:ind w:left="639"/>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66</w:t>
              </w:r>
            </w:hyperlink>
          </w:p>
        </w:tc>
      </w:tr>
      <w:tr>
        <w:trPr>
          <w:trHeight w:val="213"/>
        </w:trPr>
        <w:tc>
          <w:tcPr>
            <w:tcW w:w="1720" w:type="dxa"/>
            <w:vAlign w:val="bottom"/>
          </w:tcPr>
          <w:p>
            <w:pPr>
              <w:spacing w:after="0"/>
              <w:rPr>
                <w:sz w:val="18"/>
                <w:szCs w:val="18"/>
                <w:color w:val="auto"/>
              </w:rPr>
            </w:pPr>
          </w:p>
        </w:tc>
        <w:tc>
          <w:tcPr>
            <w:tcW w:w="7400" w:type="dxa"/>
            <w:vAlign w:val="bottom"/>
            <w:gridSpan w:val="11"/>
          </w:tcPr>
          <w:p>
            <w:pPr>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Consolidated Statements of Comprehensive Income</w:t>
              </w:r>
            </w:hyperlink>
          </w:p>
        </w:tc>
        <w:tc>
          <w:tcPr>
            <w:tcW w:w="1860" w:type="dxa"/>
            <w:vAlign w:val="bottom"/>
          </w:tcPr>
          <w:p>
            <w:pPr>
              <w:jc w:val="center"/>
              <w:ind w:left="639"/>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67</w:t>
              </w:r>
            </w:hyperlink>
          </w:p>
        </w:tc>
      </w:tr>
      <w:tr>
        <w:trPr>
          <w:trHeight w:val="219"/>
        </w:trPr>
        <w:tc>
          <w:tcPr>
            <w:tcW w:w="1720" w:type="dxa"/>
            <w:vAlign w:val="bottom"/>
            <w:shd w:val="clear" w:color="auto" w:fill="CEFFE7"/>
          </w:tcPr>
          <w:p>
            <w:pPr>
              <w:spacing w:after="0"/>
              <w:rPr>
                <w:sz w:val="19"/>
                <w:szCs w:val="19"/>
                <w:color w:val="auto"/>
              </w:rPr>
            </w:pPr>
          </w:p>
        </w:tc>
        <w:tc>
          <w:tcPr>
            <w:tcW w:w="7400" w:type="dxa"/>
            <w:vAlign w:val="bottom"/>
            <w:gridSpan w:val="11"/>
            <w:shd w:val="clear" w:color="auto" w:fill="CEFFE7"/>
          </w:tcPr>
          <w:p>
            <w:pPr>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Consolidated Balance Sheets</w:t>
              </w:r>
            </w:hyperlink>
          </w:p>
        </w:tc>
        <w:tc>
          <w:tcPr>
            <w:tcW w:w="1860" w:type="dxa"/>
            <w:vAlign w:val="bottom"/>
            <w:shd w:val="clear" w:color="auto" w:fill="CEFFE7"/>
          </w:tcPr>
          <w:p>
            <w:pPr>
              <w:jc w:val="center"/>
              <w:ind w:left="639"/>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68</w:t>
              </w:r>
            </w:hyperlink>
          </w:p>
        </w:tc>
      </w:tr>
      <w:tr>
        <w:trPr>
          <w:trHeight w:val="213"/>
        </w:trPr>
        <w:tc>
          <w:tcPr>
            <w:tcW w:w="1720" w:type="dxa"/>
            <w:vAlign w:val="bottom"/>
          </w:tcPr>
          <w:p>
            <w:pPr>
              <w:spacing w:after="0"/>
              <w:rPr>
                <w:sz w:val="18"/>
                <w:szCs w:val="18"/>
                <w:color w:val="auto"/>
              </w:rPr>
            </w:pPr>
          </w:p>
        </w:tc>
        <w:tc>
          <w:tcPr>
            <w:tcW w:w="7400" w:type="dxa"/>
            <w:vAlign w:val="bottom"/>
            <w:gridSpan w:val="11"/>
          </w:tcPr>
          <w:p>
            <w:pPr>
              <w:spacing w:after="0"/>
              <w:rPr>
                <w:rFonts w:ascii="Arial" w:cs="Arial" w:eastAsia="Arial" w:hAnsi="Arial"/>
                <w:sz w:val="16"/>
                <w:szCs w:val="16"/>
                <w:u w:val="single" w:color="auto"/>
                <w:color w:val="0000FF"/>
              </w:rPr>
            </w:pPr>
            <w:hyperlink w:anchor="page69">
              <w:r>
                <w:rPr>
                  <w:rFonts w:ascii="Arial" w:cs="Arial" w:eastAsia="Arial" w:hAnsi="Arial"/>
                  <w:sz w:val="16"/>
                  <w:szCs w:val="16"/>
                  <w:u w:val="single" w:color="auto"/>
                  <w:color w:val="0000FF"/>
                </w:rPr>
                <w:t>Consolidated Statements of Cash Flows</w:t>
              </w:r>
            </w:hyperlink>
          </w:p>
        </w:tc>
        <w:tc>
          <w:tcPr>
            <w:tcW w:w="1860" w:type="dxa"/>
            <w:vAlign w:val="bottom"/>
          </w:tcPr>
          <w:p>
            <w:pPr>
              <w:jc w:val="center"/>
              <w:ind w:left="639"/>
              <w:spacing w:after="0"/>
              <w:rPr>
                <w:rFonts w:ascii="Arial" w:cs="Arial" w:eastAsia="Arial" w:hAnsi="Arial"/>
                <w:sz w:val="16"/>
                <w:szCs w:val="16"/>
                <w:u w:val="single" w:color="auto"/>
                <w:color w:val="0000FF"/>
              </w:rPr>
            </w:pPr>
            <w:hyperlink w:anchor="page69">
              <w:r>
                <w:rPr>
                  <w:rFonts w:ascii="Arial" w:cs="Arial" w:eastAsia="Arial" w:hAnsi="Arial"/>
                  <w:sz w:val="16"/>
                  <w:szCs w:val="16"/>
                  <w:u w:val="single" w:color="auto"/>
                  <w:color w:val="0000FF"/>
                </w:rPr>
                <w:t>70</w:t>
              </w:r>
            </w:hyperlink>
          </w:p>
        </w:tc>
      </w:tr>
      <w:tr>
        <w:trPr>
          <w:trHeight w:val="219"/>
        </w:trPr>
        <w:tc>
          <w:tcPr>
            <w:tcW w:w="1720" w:type="dxa"/>
            <w:vAlign w:val="bottom"/>
            <w:shd w:val="clear" w:color="auto" w:fill="CEFFE7"/>
          </w:tcPr>
          <w:p>
            <w:pPr>
              <w:spacing w:after="0"/>
              <w:rPr>
                <w:sz w:val="19"/>
                <w:szCs w:val="19"/>
                <w:color w:val="auto"/>
              </w:rPr>
            </w:pPr>
          </w:p>
        </w:tc>
        <w:tc>
          <w:tcPr>
            <w:tcW w:w="7400" w:type="dxa"/>
            <w:vAlign w:val="bottom"/>
            <w:gridSpan w:val="11"/>
            <w:shd w:val="clear" w:color="auto" w:fill="CEFFE7"/>
          </w:tcPr>
          <w:p>
            <w:pPr>
              <w:spacing w:after="0"/>
              <w:rPr>
                <w:rFonts w:ascii="Arial" w:cs="Arial" w:eastAsia="Arial" w:hAnsi="Arial"/>
                <w:sz w:val="16"/>
                <w:szCs w:val="16"/>
                <w:u w:val="single" w:color="auto"/>
                <w:color w:val="0000FF"/>
              </w:rPr>
            </w:pPr>
            <w:hyperlink w:anchor="page70">
              <w:r>
                <w:rPr>
                  <w:rFonts w:ascii="Arial" w:cs="Arial" w:eastAsia="Arial" w:hAnsi="Arial"/>
                  <w:sz w:val="16"/>
                  <w:szCs w:val="16"/>
                  <w:u w:val="single" w:color="auto"/>
                  <w:color w:val="0000FF"/>
                </w:rPr>
                <w:t>Consolidated Statements of Equity</w:t>
              </w:r>
            </w:hyperlink>
          </w:p>
        </w:tc>
        <w:tc>
          <w:tcPr>
            <w:tcW w:w="1860" w:type="dxa"/>
            <w:vAlign w:val="bottom"/>
            <w:shd w:val="clear" w:color="auto" w:fill="CEFFE7"/>
          </w:tcPr>
          <w:p>
            <w:pPr>
              <w:jc w:val="center"/>
              <w:ind w:left="639"/>
              <w:spacing w:after="0"/>
              <w:rPr>
                <w:rFonts w:ascii="Arial" w:cs="Arial" w:eastAsia="Arial" w:hAnsi="Arial"/>
                <w:sz w:val="16"/>
                <w:szCs w:val="16"/>
                <w:u w:val="single" w:color="auto"/>
                <w:color w:val="0000FF"/>
              </w:rPr>
            </w:pPr>
            <w:hyperlink w:anchor="page70">
              <w:r>
                <w:rPr>
                  <w:rFonts w:ascii="Arial" w:cs="Arial" w:eastAsia="Arial" w:hAnsi="Arial"/>
                  <w:sz w:val="16"/>
                  <w:szCs w:val="16"/>
                  <w:u w:val="single" w:color="auto"/>
                  <w:color w:val="0000FF"/>
                </w:rPr>
                <w:t>71</w:t>
              </w:r>
            </w:hyperlink>
          </w:p>
        </w:tc>
      </w:tr>
      <w:tr>
        <w:trPr>
          <w:trHeight w:val="213"/>
        </w:trPr>
        <w:tc>
          <w:tcPr>
            <w:tcW w:w="1720" w:type="dxa"/>
            <w:vAlign w:val="bottom"/>
          </w:tcPr>
          <w:p>
            <w:pPr>
              <w:spacing w:after="0"/>
              <w:rPr>
                <w:sz w:val="18"/>
                <w:szCs w:val="18"/>
                <w:color w:val="auto"/>
              </w:rPr>
            </w:pPr>
          </w:p>
        </w:tc>
        <w:tc>
          <w:tcPr>
            <w:tcW w:w="7400" w:type="dxa"/>
            <w:vAlign w:val="bottom"/>
            <w:gridSpan w:val="11"/>
          </w:tcPr>
          <w:p>
            <w:pPr>
              <w:spacing w:after="0"/>
              <w:rPr>
                <w:rFonts w:ascii="Arial" w:cs="Arial" w:eastAsia="Arial" w:hAnsi="Arial"/>
                <w:sz w:val="16"/>
                <w:szCs w:val="16"/>
                <w:u w:val="single" w:color="auto"/>
                <w:color w:val="0000FF"/>
              </w:rPr>
            </w:pPr>
            <w:hyperlink w:anchor="page71">
              <w:r>
                <w:rPr>
                  <w:rFonts w:ascii="Arial" w:cs="Arial" w:eastAsia="Arial" w:hAnsi="Arial"/>
                  <w:sz w:val="16"/>
                  <w:szCs w:val="16"/>
                  <w:u w:val="single" w:color="auto"/>
                  <w:color w:val="0000FF"/>
                </w:rPr>
                <w:t>Notes to Consolidated Financial Statements</w:t>
              </w:r>
            </w:hyperlink>
          </w:p>
        </w:tc>
        <w:tc>
          <w:tcPr>
            <w:tcW w:w="1860" w:type="dxa"/>
            <w:vAlign w:val="bottom"/>
          </w:tcPr>
          <w:p>
            <w:pPr>
              <w:jc w:val="center"/>
              <w:ind w:left="639"/>
              <w:spacing w:after="0"/>
              <w:rPr>
                <w:rFonts w:ascii="Arial" w:cs="Arial" w:eastAsia="Arial" w:hAnsi="Arial"/>
                <w:sz w:val="16"/>
                <w:szCs w:val="16"/>
                <w:u w:val="single" w:color="auto"/>
                <w:color w:val="0000FF"/>
              </w:rPr>
            </w:pPr>
            <w:hyperlink w:anchor="page71">
              <w:r>
                <w:rPr>
                  <w:rFonts w:ascii="Arial" w:cs="Arial" w:eastAsia="Arial" w:hAnsi="Arial"/>
                  <w:sz w:val="16"/>
                  <w:szCs w:val="16"/>
                  <w:u w:val="single" w:color="auto"/>
                  <w:color w:val="0000FF"/>
                </w:rPr>
                <w:t>72</w:t>
              </w:r>
            </w:hyperlink>
          </w:p>
        </w:tc>
      </w:tr>
      <w:tr>
        <w:trPr>
          <w:trHeight w:val="219"/>
        </w:trPr>
        <w:tc>
          <w:tcPr>
            <w:tcW w:w="1720" w:type="dxa"/>
            <w:vAlign w:val="bottom"/>
            <w:shd w:val="clear" w:color="auto" w:fill="CEFFE7"/>
          </w:tcPr>
          <w:p>
            <w:pPr>
              <w:spacing w:after="0"/>
              <w:rPr>
                <w:sz w:val="19"/>
                <w:szCs w:val="19"/>
                <w:color w:val="auto"/>
              </w:rPr>
            </w:pPr>
          </w:p>
        </w:tc>
        <w:tc>
          <w:tcPr>
            <w:tcW w:w="7400" w:type="dxa"/>
            <w:vAlign w:val="bottom"/>
            <w:gridSpan w:val="11"/>
            <w:shd w:val="clear" w:color="auto" w:fill="CEFFE7"/>
          </w:tcPr>
          <w:p>
            <w:pPr>
              <w:ind w:left="340"/>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Note 1. Business Description and Significant Accounting Policies</w:t>
              </w:r>
            </w:hyperlink>
          </w:p>
        </w:tc>
        <w:tc>
          <w:tcPr>
            <w:tcW w:w="1860" w:type="dxa"/>
            <w:vAlign w:val="bottom"/>
            <w:shd w:val="clear" w:color="auto" w:fill="CEFFE7"/>
          </w:tcPr>
          <w:p>
            <w:pPr>
              <w:jc w:val="center"/>
              <w:ind w:left="639"/>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72</w:t>
              </w:r>
            </w:hyperlink>
          </w:p>
        </w:tc>
      </w:tr>
      <w:tr>
        <w:trPr>
          <w:trHeight w:val="176"/>
        </w:trPr>
        <w:tc>
          <w:tcPr>
            <w:tcW w:w="1720" w:type="dxa"/>
            <w:vAlign w:val="bottom"/>
          </w:tcPr>
          <w:p>
            <w:pPr>
              <w:spacing w:after="0"/>
              <w:rPr>
                <w:sz w:val="15"/>
                <w:szCs w:val="15"/>
                <w:color w:val="auto"/>
              </w:rPr>
            </w:pPr>
          </w:p>
        </w:tc>
        <w:tc>
          <w:tcPr>
            <w:tcW w:w="7400" w:type="dxa"/>
            <w:vAlign w:val="bottom"/>
            <w:gridSpan w:val="11"/>
          </w:tcPr>
          <w:p>
            <w:pPr>
              <w:ind w:left="340"/>
              <w:spacing w:after="0" w:line="175" w:lineRule="exact"/>
              <w:rPr>
                <w:rFonts w:ascii="Arial" w:cs="Arial" w:eastAsia="Arial" w:hAnsi="Arial"/>
                <w:sz w:val="16"/>
                <w:szCs w:val="16"/>
                <w:color w:val="0000FF"/>
              </w:rPr>
            </w:pPr>
            <w:hyperlink w:anchor="page81">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2. </w:t>
            </w:r>
            <w:hyperlink w:anchor="page81">
              <w:r>
                <w:rPr>
                  <w:rFonts w:ascii="Arial" w:cs="Arial" w:eastAsia="Arial" w:hAnsi="Arial"/>
                  <w:sz w:val="16"/>
                  <w:szCs w:val="16"/>
                  <w:u w:val="single" w:color="auto"/>
                  <w:color w:val="0000FF"/>
                </w:rPr>
                <w:t>Regulatory Matters</w:t>
              </w:r>
            </w:hyperlink>
          </w:p>
        </w:tc>
        <w:tc>
          <w:tcPr>
            <w:tcW w:w="1860" w:type="dxa"/>
            <w:vAlign w:val="bottom"/>
          </w:tcPr>
          <w:p>
            <w:pPr>
              <w:jc w:val="center"/>
              <w:ind w:left="639"/>
              <w:spacing w:after="0" w:line="175" w:lineRule="exact"/>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81</w:t>
              </w:r>
            </w:hyperlink>
          </w:p>
        </w:tc>
      </w:tr>
      <w:tr>
        <w:trPr>
          <w:trHeight w:val="21"/>
        </w:trPr>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1720" w:type="dxa"/>
            <w:vAlign w:val="bottom"/>
            <w:shd w:val="clear" w:color="auto" w:fill="CEFFE7"/>
          </w:tcPr>
          <w:p>
            <w:pPr>
              <w:spacing w:after="0"/>
              <w:rPr>
                <w:sz w:val="18"/>
                <w:szCs w:val="18"/>
                <w:color w:val="auto"/>
              </w:rPr>
            </w:pPr>
          </w:p>
        </w:tc>
        <w:tc>
          <w:tcPr>
            <w:tcW w:w="7400" w:type="dxa"/>
            <w:vAlign w:val="bottom"/>
            <w:gridSpan w:val="11"/>
            <w:shd w:val="clear" w:color="auto" w:fill="CEFFE7"/>
          </w:tcPr>
          <w:p>
            <w:pPr>
              <w:ind w:left="340"/>
              <w:spacing w:after="0"/>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Note 3. Commitments, Contingencies and Guarantees</w:t>
              </w:r>
            </w:hyperlink>
          </w:p>
        </w:tc>
        <w:tc>
          <w:tcPr>
            <w:tcW w:w="1860" w:type="dxa"/>
            <w:vAlign w:val="bottom"/>
            <w:shd w:val="clear" w:color="auto" w:fill="CEFFE7"/>
          </w:tcPr>
          <w:p>
            <w:pPr>
              <w:jc w:val="center"/>
              <w:ind w:left="639"/>
              <w:spacing w:after="0"/>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85</w:t>
              </w:r>
            </w:hyperlink>
          </w:p>
        </w:tc>
      </w:tr>
      <w:tr>
        <w:trPr>
          <w:trHeight w:val="175"/>
        </w:trPr>
        <w:tc>
          <w:tcPr>
            <w:tcW w:w="1720" w:type="dxa"/>
            <w:vAlign w:val="bottom"/>
          </w:tcPr>
          <w:p>
            <w:pPr>
              <w:spacing w:after="0"/>
              <w:rPr>
                <w:sz w:val="15"/>
                <w:szCs w:val="15"/>
                <w:color w:val="auto"/>
              </w:rPr>
            </w:pPr>
          </w:p>
        </w:tc>
        <w:tc>
          <w:tcPr>
            <w:tcW w:w="7400" w:type="dxa"/>
            <w:vAlign w:val="bottom"/>
            <w:gridSpan w:val="11"/>
          </w:tcPr>
          <w:p>
            <w:pPr>
              <w:ind w:left="340"/>
              <w:spacing w:after="0" w:line="175" w:lineRule="exact"/>
              <w:rPr>
                <w:rFonts w:ascii="Arial" w:cs="Arial" w:eastAsia="Arial" w:hAnsi="Arial"/>
                <w:sz w:val="16"/>
                <w:szCs w:val="16"/>
                <w:color w:val="0000FF"/>
              </w:rPr>
            </w:pPr>
            <w:hyperlink w:anchor="page88">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4. </w:t>
            </w:r>
            <w:hyperlink w:anchor="page88">
              <w:r>
                <w:rPr>
                  <w:rFonts w:ascii="Arial" w:cs="Arial" w:eastAsia="Arial" w:hAnsi="Arial"/>
                  <w:sz w:val="16"/>
                  <w:szCs w:val="16"/>
                  <w:color w:val="0000FF"/>
                </w:rPr>
                <w:t>Revenue</w:t>
              </w:r>
            </w:hyperlink>
          </w:p>
        </w:tc>
        <w:tc>
          <w:tcPr>
            <w:tcW w:w="1860" w:type="dxa"/>
            <w:vAlign w:val="bottom"/>
          </w:tcPr>
          <w:p>
            <w:pPr>
              <w:jc w:val="center"/>
              <w:ind w:left="639"/>
              <w:spacing w:after="0" w:line="175" w:lineRule="exact"/>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89</w:t>
              </w:r>
            </w:hyperlink>
          </w:p>
        </w:tc>
      </w:tr>
      <w:tr>
        <w:trPr>
          <w:trHeight w:val="21"/>
        </w:trPr>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5"/>
        </w:trPr>
        <w:tc>
          <w:tcPr>
            <w:tcW w:w="1720" w:type="dxa"/>
            <w:vAlign w:val="bottom"/>
            <w:shd w:val="clear" w:color="auto" w:fill="CEFFE7"/>
          </w:tcPr>
          <w:p>
            <w:pPr>
              <w:spacing w:after="0"/>
              <w:rPr>
                <w:sz w:val="15"/>
                <w:szCs w:val="15"/>
                <w:color w:val="auto"/>
              </w:rPr>
            </w:pPr>
          </w:p>
        </w:tc>
        <w:tc>
          <w:tcPr>
            <w:tcW w:w="7400" w:type="dxa"/>
            <w:vAlign w:val="bottom"/>
            <w:gridSpan w:val="11"/>
            <w:shd w:val="clear" w:color="auto" w:fill="CEFFE7"/>
          </w:tcPr>
          <w:p>
            <w:pPr>
              <w:ind w:left="340"/>
              <w:spacing w:after="0" w:line="175" w:lineRule="exact"/>
              <w:rPr>
                <w:rFonts w:ascii="Arial" w:cs="Arial" w:eastAsia="Arial" w:hAnsi="Arial"/>
                <w:sz w:val="16"/>
                <w:szCs w:val="16"/>
                <w:color w:val="0000FF"/>
              </w:rPr>
            </w:pPr>
            <w:hyperlink w:anchor="page91">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5. </w:t>
            </w:r>
            <w:hyperlink w:anchor="page91">
              <w:r>
                <w:rPr>
                  <w:rFonts w:ascii="Arial" w:cs="Arial" w:eastAsia="Arial" w:hAnsi="Arial"/>
                  <w:sz w:val="16"/>
                  <w:szCs w:val="16"/>
                  <w:u w:val="single" w:color="auto"/>
                  <w:color w:val="0000FF"/>
                </w:rPr>
                <w:t>Property, Plant and Equipment</w:t>
              </w:r>
            </w:hyperlink>
          </w:p>
        </w:tc>
        <w:tc>
          <w:tcPr>
            <w:tcW w:w="1860" w:type="dxa"/>
            <w:vAlign w:val="bottom"/>
            <w:shd w:val="clear" w:color="auto" w:fill="CEFFE7"/>
          </w:tcPr>
          <w:p>
            <w:pPr>
              <w:jc w:val="center"/>
              <w:ind w:left="639"/>
              <w:spacing w:after="0" w:line="175" w:lineRule="exact"/>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92</w:t>
              </w:r>
            </w:hyperlink>
          </w:p>
        </w:tc>
      </w:tr>
      <w:tr>
        <w:trPr>
          <w:trHeight w:val="21"/>
        </w:trPr>
        <w:tc>
          <w:tcPr>
            <w:tcW w:w="172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5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8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7400" w:type="dxa"/>
            <w:vAlign w:val="bottom"/>
            <w:gridSpan w:val="11"/>
          </w:tcPr>
          <w:p>
            <w:pPr>
              <w:ind w:left="340"/>
              <w:spacing w:after="0" w:line="175" w:lineRule="exact"/>
              <w:rPr>
                <w:rFonts w:ascii="Arial" w:cs="Arial" w:eastAsia="Arial" w:hAnsi="Arial"/>
                <w:sz w:val="16"/>
                <w:szCs w:val="16"/>
                <w:color w:val="0000FF"/>
              </w:rPr>
            </w:pPr>
            <w:hyperlink w:anchor="page93">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6. </w:t>
            </w:r>
            <w:hyperlink w:anchor="page93">
              <w:r>
                <w:rPr>
                  <w:rFonts w:ascii="Arial" w:cs="Arial" w:eastAsia="Arial" w:hAnsi="Arial"/>
                  <w:sz w:val="16"/>
                  <w:szCs w:val="16"/>
                  <w:u w:val="single" w:color="auto"/>
                  <w:color w:val="0000FF"/>
                </w:rPr>
                <w:t>Jointly Owned Facilities</w:t>
              </w:r>
            </w:hyperlink>
          </w:p>
        </w:tc>
        <w:tc>
          <w:tcPr>
            <w:tcW w:w="1860" w:type="dxa"/>
            <w:vAlign w:val="bottom"/>
          </w:tcPr>
          <w:p>
            <w:pPr>
              <w:jc w:val="center"/>
              <w:ind w:left="639"/>
              <w:spacing w:after="0" w:line="175" w:lineRule="exact"/>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93</w:t>
              </w:r>
            </w:hyperlink>
          </w:p>
        </w:tc>
      </w:tr>
      <w:tr>
        <w:trPr>
          <w:trHeight w:val="20"/>
        </w:trPr>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6"/>
        </w:trPr>
        <w:tc>
          <w:tcPr>
            <w:tcW w:w="1720" w:type="dxa"/>
            <w:vAlign w:val="bottom"/>
            <w:shd w:val="clear" w:color="auto" w:fill="CEFFE7"/>
          </w:tcPr>
          <w:p>
            <w:pPr>
              <w:spacing w:after="0"/>
              <w:rPr>
                <w:sz w:val="15"/>
                <w:szCs w:val="15"/>
                <w:color w:val="auto"/>
              </w:rPr>
            </w:pPr>
          </w:p>
        </w:tc>
        <w:tc>
          <w:tcPr>
            <w:tcW w:w="7400" w:type="dxa"/>
            <w:vAlign w:val="bottom"/>
            <w:gridSpan w:val="11"/>
            <w:shd w:val="clear" w:color="auto" w:fill="CEFFE7"/>
          </w:tcPr>
          <w:p>
            <w:pPr>
              <w:ind w:left="340"/>
              <w:spacing w:after="0" w:line="175" w:lineRule="exact"/>
              <w:rPr>
                <w:rFonts w:ascii="Arial" w:cs="Arial" w:eastAsia="Arial" w:hAnsi="Arial"/>
                <w:sz w:val="16"/>
                <w:szCs w:val="16"/>
                <w:color w:val="0000FF"/>
              </w:rPr>
            </w:pPr>
            <w:hyperlink w:anchor="page94">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7. </w:t>
            </w:r>
            <w:hyperlink w:anchor="page94">
              <w:r>
                <w:rPr>
                  <w:rFonts w:ascii="Arial" w:cs="Arial" w:eastAsia="Arial" w:hAnsi="Arial"/>
                  <w:sz w:val="16"/>
                  <w:szCs w:val="16"/>
                  <w:u w:val="single" w:color="auto"/>
                  <w:color w:val="0000FF"/>
                </w:rPr>
                <w:t>Asset Retirement Obligations</w:t>
              </w:r>
            </w:hyperlink>
          </w:p>
        </w:tc>
        <w:tc>
          <w:tcPr>
            <w:tcW w:w="1860" w:type="dxa"/>
            <w:vAlign w:val="bottom"/>
            <w:shd w:val="clear" w:color="auto" w:fill="CEFFE7"/>
          </w:tcPr>
          <w:p>
            <w:pPr>
              <w:jc w:val="center"/>
              <w:ind w:left="639"/>
              <w:spacing w:after="0" w:line="175" w:lineRule="exact"/>
              <w:rPr>
                <w:rFonts w:ascii="Arial" w:cs="Arial" w:eastAsia="Arial" w:hAnsi="Arial"/>
                <w:sz w:val="16"/>
                <w:szCs w:val="16"/>
                <w:u w:val="single" w:color="auto"/>
                <w:color w:val="0000FF"/>
              </w:rPr>
            </w:pPr>
            <w:hyperlink w:anchor="page94">
              <w:r>
                <w:rPr>
                  <w:rFonts w:ascii="Arial" w:cs="Arial" w:eastAsia="Arial" w:hAnsi="Arial"/>
                  <w:sz w:val="16"/>
                  <w:szCs w:val="16"/>
                  <w:u w:val="single" w:color="auto"/>
                  <w:color w:val="0000FF"/>
                </w:rPr>
                <w:t>95</w:t>
              </w:r>
            </w:hyperlink>
          </w:p>
        </w:tc>
      </w:tr>
      <w:tr>
        <w:trPr>
          <w:trHeight w:val="20"/>
        </w:trPr>
        <w:tc>
          <w:tcPr>
            <w:tcW w:w="172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5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8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7400" w:type="dxa"/>
            <w:vAlign w:val="bottom"/>
            <w:gridSpan w:val="11"/>
          </w:tcPr>
          <w:p>
            <w:pPr>
              <w:ind w:left="340"/>
              <w:spacing w:after="0" w:line="175" w:lineRule="exact"/>
              <w:rPr>
                <w:rFonts w:ascii="Arial" w:cs="Arial" w:eastAsia="Arial" w:hAnsi="Arial"/>
                <w:sz w:val="16"/>
                <w:szCs w:val="16"/>
                <w:color w:val="0000FF"/>
              </w:rPr>
            </w:pPr>
            <w:hyperlink w:anchor="page95">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8. </w:t>
            </w:r>
            <w:hyperlink w:anchor="page95">
              <w:r>
                <w:rPr>
                  <w:rFonts w:ascii="Arial" w:cs="Arial" w:eastAsia="Arial" w:hAnsi="Arial"/>
                  <w:sz w:val="16"/>
                  <w:szCs w:val="16"/>
                  <w:color w:val="0000FF"/>
                </w:rPr>
                <w:t>Leases</w:t>
              </w:r>
            </w:hyperlink>
          </w:p>
        </w:tc>
        <w:tc>
          <w:tcPr>
            <w:tcW w:w="1860" w:type="dxa"/>
            <w:vAlign w:val="bottom"/>
          </w:tcPr>
          <w:p>
            <w:pPr>
              <w:jc w:val="center"/>
              <w:ind w:left="639"/>
              <w:spacing w:after="0" w:line="175" w:lineRule="exact"/>
              <w:rPr>
                <w:rFonts w:ascii="Arial" w:cs="Arial" w:eastAsia="Arial" w:hAnsi="Arial"/>
                <w:sz w:val="16"/>
                <w:szCs w:val="16"/>
                <w:u w:val="single" w:color="auto"/>
                <w:color w:val="0000FF"/>
              </w:rPr>
            </w:pPr>
            <w:hyperlink w:anchor="page95">
              <w:r>
                <w:rPr>
                  <w:rFonts w:ascii="Arial" w:cs="Arial" w:eastAsia="Arial" w:hAnsi="Arial"/>
                  <w:sz w:val="16"/>
                  <w:szCs w:val="16"/>
                  <w:u w:val="single" w:color="auto"/>
                  <w:color w:val="0000FF"/>
                </w:rPr>
                <w:t>95</w:t>
              </w:r>
            </w:hyperlink>
          </w:p>
        </w:tc>
      </w:tr>
      <w:tr>
        <w:trPr>
          <w:trHeight w:val="21"/>
        </w:trPr>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1720" w:type="dxa"/>
            <w:vAlign w:val="bottom"/>
            <w:shd w:val="clear" w:color="auto" w:fill="CEFFE7"/>
          </w:tcPr>
          <w:p>
            <w:pPr>
              <w:spacing w:after="0"/>
              <w:rPr>
                <w:sz w:val="18"/>
                <w:szCs w:val="18"/>
                <w:color w:val="auto"/>
              </w:rPr>
            </w:pPr>
          </w:p>
        </w:tc>
        <w:tc>
          <w:tcPr>
            <w:tcW w:w="7400" w:type="dxa"/>
            <w:vAlign w:val="bottom"/>
            <w:gridSpan w:val="11"/>
            <w:shd w:val="clear" w:color="auto" w:fill="CEFFE7"/>
          </w:tcPr>
          <w:p>
            <w:pPr>
              <w:ind w:left="340"/>
              <w:spacing w:after="0"/>
              <w:rPr>
                <w:rFonts w:ascii="Arial" w:cs="Arial" w:eastAsia="Arial" w:hAnsi="Arial"/>
                <w:sz w:val="16"/>
                <w:szCs w:val="16"/>
                <w:u w:val="single" w:color="auto"/>
                <w:color w:val="0000FF"/>
              </w:rPr>
            </w:pPr>
            <w:hyperlink w:anchor="page97">
              <w:r>
                <w:rPr>
                  <w:rFonts w:ascii="Arial" w:cs="Arial" w:eastAsia="Arial" w:hAnsi="Arial"/>
                  <w:sz w:val="16"/>
                  <w:szCs w:val="16"/>
                  <w:u w:val="single" w:color="auto"/>
                  <w:color w:val="0000FF"/>
                </w:rPr>
                <w:t>Note 9. Debt and Credit Facilities</w:t>
              </w:r>
            </w:hyperlink>
          </w:p>
        </w:tc>
        <w:tc>
          <w:tcPr>
            <w:tcW w:w="1860" w:type="dxa"/>
            <w:vAlign w:val="bottom"/>
            <w:shd w:val="clear" w:color="auto" w:fill="CEFFE7"/>
          </w:tcPr>
          <w:p>
            <w:pPr>
              <w:jc w:val="center"/>
              <w:ind w:left="639"/>
              <w:spacing w:after="0"/>
              <w:rPr>
                <w:rFonts w:ascii="Arial" w:cs="Arial" w:eastAsia="Arial" w:hAnsi="Arial"/>
                <w:sz w:val="16"/>
                <w:szCs w:val="16"/>
                <w:u w:val="single" w:color="auto"/>
                <w:color w:val="0000FF"/>
              </w:rPr>
            </w:pPr>
            <w:hyperlink w:anchor="page97">
              <w:r>
                <w:rPr>
                  <w:rFonts w:ascii="Arial" w:cs="Arial" w:eastAsia="Arial" w:hAnsi="Arial"/>
                  <w:sz w:val="16"/>
                  <w:szCs w:val="16"/>
                  <w:u w:val="single" w:color="auto"/>
                  <w:color w:val="0000FF"/>
                </w:rPr>
                <w:t>97</w:t>
              </w:r>
            </w:hyperlink>
          </w:p>
        </w:tc>
      </w:tr>
      <w:tr>
        <w:trPr>
          <w:trHeight w:val="175"/>
        </w:trPr>
        <w:tc>
          <w:tcPr>
            <w:tcW w:w="1720" w:type="dxa"/>
            <w:vAlign w:val="bottom"/>
          </w:tcPr>
          <w:p>
            <w:pPr>
              <w:spacing w:after="0"/>
              <w:rPr>
                <w:sz w:val="15"/>
                <w:szCs w:val="15"/>
                <w:color w:val="auto"/>
              </w:rPr>
            </w:pPr>
          </w:p>
        </w:tc>
        <w:tc>
          <w:tcPr>
            <w:tcW w:w="7400" w:type="dxa"/>
            <w:vAlign w:val="bottom"/>
            <w:gridSpan w:val="11"/>
          </w:tcPr>
          <w:p>
            <w:pPr>
              <w:ind w:left="340"/>
              <w:spacing w:after="0" w:line="175" w:lineRule="exact"/>
              <w:rPr>
                <w:rFonts w:ascii="Arial" w:cs="Arial" w:eastAsia="Arial" w:hAnsi="Arial"/>
                <w:sz w:val="16"/>
                <w:szCs w:val="16"/>
                <w:color w:val="0000FF"/>
              </w:rPr>
            </w:pPr>
            <w:hyperlink w:anchor="page100">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10. </w:t>
            </w:r>
            <w:hyperlink w:anchor="page100">
              <w:r>
                <w:rPr>
                  <w:rFonts w:ascii="Arial" w:cs="Arial" w:eastAsia="Arial" w:hAnsi="Arial"/>
                  <w:sz w:val="16"/>
                  <w:szCs w:val="16"/>
                  <w:color w:val="0000FF"/>
                </w:rPr>
                <w:t xml:space="preserve">Stockholders’ </w:t>
              </w:r>
              <w:r>
                <w:rPr>
                  <w:rFonts w:ascii="Arial" w:cs="Arial" w:eastAsia="Arial" w:hAnsi="Arial"/>
                  <w:sz w:val="16"/>
                  <w:szCs w:val="16"/>
                  <w:u w:val="single" w:color="auto"/>
                  <w:color w:val="0000FF"/>
                </w:rPr>
                <w:t>Equity</w:t>
              </w:r>
            </w:hyperlink>
          </w:p>
        </w:tc>
        <w:tc>
          <w:tcPr>
            <w:tcW w:w="1860" w:type="dxa"/>
            <w:vAlign w:val="bottom"/>
          </w:tcPr>
          <w:p>
            <w:pPr>
              <w:jc w:val="center"/>
              <w:ind w:left="659"/>
              <w:spacing w:after="0" w:line="175" w:lineRule="exact"/>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100</w:t>
              </w:r>
            </w:hyperlink>
          </w:p>
        </w:tc>
      </w:tr>
      <w:tr>
        <w:trPr>
          <w:trHeight w:val="21"/>
        </w:trPr>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1720" w:type="dxa"/>
            <w:vAlign w:val="bottom"/>
            <w:shd w:val="clear" w:color="auto" w:fill="CEFFE7"/>
          </w:tcPr>
          <w:p>
            <w:pPr>
              <w:spacing w:after="0"/>
              <w:rPr>
                <w:sz w:val="18"/>
                <w:szCs w:val="18"/>
                <w:color w:val="auto"/>
              </w:rPr>
            </w:pPr>
          </w:p>
        </w:tc>
        <w:tc>
          <w:tcPr>
            <w:tcW w:w="7400" w:type="dxa"/>
            <w:vAlign w:val="bottom"/>
            <w:gridSpan w:val="11"/>
            <w:shd w:val="clear" w:color="auto" w:fill="CEFFE7"/>
          </w:tcPr>
          <w:p>
            <w:pPr>
              <w:ind w:left="340"/>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Note 11. Risk Management and Derivatives</w:t>
              </w:r>
            </w:hyperlink>
          </w:p>
        </w:tc>
        <w:tc>
          <w:tcPr>
            <w:tcW w:w="1860" w:type="dxa"/>
            <w:vAlign w:val="bottom"/>
            <w:shd w:val="clear" w:color="auto" w:fill="CEFFE7"/>
          </w:tcPr>
          <w:p>
            <w:pPr>
              <w:jc w:val="center"/>
              <w:ind w:left="659"/>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101</w:t>
              </w:r>
            </w:hyperlink>
          </w:p>
        </w:tc>
      </w:tr>
      <w:tr>
        <w:trPr>
          <w:trHeight w:val="213"/>
        </w:trPr>
        <w:tc>
          <w:tcPr>
            <w:tcW w:w="1720" w:type="dxa"/>
            <w:vAlign w:val="bottom"/>
          </w:tcPr>
          <w:p>
            <w:pPr>
              <w:spacing w:after="0"/>
              <w:rPr>
                <w:sz w:val="18"/>
                <w:szCs w:val="18"/>
                <w:color w:val="auto"/>
              </w:rPr>
            </w:pPr>
          </w:p>
        </w:tc>
        <w:tc>
          <w:tcPr>
            <w:tcW w:w="7400" w:type="dxa"/>
            <w:vAlign w:val="bottom"/>
            <w:gridSpan w:val="11"/>
          </w:tcPr>
          <w:p>
            <w:pPr>
              <w:ind w:left="340"/>
              <w:spacing w:after="0"/>
              <w:rPr>
                <w:rFonts w:ascii="Arial" w:cs="Arial" w:eastAsia="Arial" w:hAnsi="Arial"/>
                <w:sz w:val="16"/>
                <w:szCs w:val="16"/>
                <w:u w:val="single" w:color="auto"/>
                <w:color w:val="0000FF"/>
              </w:rPr>
            </w:pPr>
            <w:hyperlink w:anchor="page104">
              <w:r>
                <w:rPr>
                  <w:rFonts w:ascii="Arial" w:cs="Arial" w:eastAsia="Arial" w:hAnsi="Arial"/>
                  <w:sz w:val="16"/>
                  <w:szCs w:val="16"/>
                  <w:u w:val="single" w:color="auto"/>
                  <w:color w:val="0000FF"/>
                </w:rPr>
                <w:t>Note 12. Fair Value Measurements</w:t>
              </w:r>
            </w:hyperlink>
          </w:p>
        </w:tc>
        <w:tc>
          <w:tcPr>
            <w:tcW w:w="1860" w:type="dxa"/>
            <w:vAlign w:val="bottom"/>
          </w:tcPr>
          <w:p>
            <w:pPr>
              <w:jc w:val="center"/>
              <w:ind w:left="659"/>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100</w:t>
              </w:r>
            </w:hyperlink>
          </w:p>
        </w:tc>
      </w:tr>
      <w:tr>
        <w:trPr>
          <w:trHeight w:val="178"/>
        </w:trPr>
        <w:tc>
          <w:tcPr>
            <w:tcW w:w="1720" w:type="dxa"/>
            <w:vAlign w:val="bottom"/>
            <w:shd w:val="clear" w:color="auto" w:fill="CEFFE7"/>
          </w:tcPr>
          <w:p>
            <w:pPr>
              <w:spacing w:after="0"/>
              <w:rPr>
                <w:sz w:val="15"/>
                <w:szCs w:val="15"/>
                <w:color w:val="auto"/>
              </w:rPr>
            </w:pPr>
          </w:p>
        </w:tc>
        <w:tc>
          <w:tcPr>
            <w:tcW w:w="7400" w:type="dxa"/>
            <w:vAlign w:val="bottom"/>
            <w:gridSpan w:val="11"/>
            <w:shd w:val="clear" w:color="auto" w:fill="CEFFE7"/>
          </w:tcPr>
          <w:p>
            <w:pPr>
              <w:ind w:left="340"/>
              <w:spacing w:after="0" w:line="178" w:lineRule="exact"/>
              <w:rPr>
                <w:rFonts w:ascii="Arial" w:cs="Arial" w:eastAsia="Arial" w:hAnsi="Arial"/>
                <w:sz w:val="16"/>
                <w:szCs w:val="16"/>
                <w:color w:val="0000FF"/>
              </w:rPr>
            </w:pPr>
            <w:hyperlink w:anchor="page105">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13. </w:t>
            </w:r>
            <w:hyperlink w:anchor="page105">
              <w:r>
                <w:rPr>
                  <w:rFonts w:ascii="Arial" w:cs="Arial" w:eastAsia="Arial" w:hAnsi="Arial"/>
                  <w:sz w:val="16"/>
                  <w:szCs w:val="16"/>
                  <w:u w:val="single" w:color="auto"/>
                  <w:color w:val="0000FF"/>
                </w:rPr>
                <w:t>Other Comprehensive Income</w:t>
              </w:r>
            </w:hyperlink>
          </w:p>
        </w:tc>
        <w:tc>
          <w:tcPr>
            <w:tcW w:w="1860" w:type="dxa"/>
            <w:vAlign w:val="bottom"/>
            <w:shd w:val="clear" w:color="auto" w:fill="CEFFE7"/>
          </w:tcPr>
          <w:p>
            <w:pPr>
              <w:jc w:val="center"/>
              <w:ind w:left="659"/>
              <w:spacing w:after="0" w:line="178" w:lineRule="exact"/>
              <w:rPr>
                <w:rFonts w:ascii="Arial" w:cs="Arial" w:eastAsia="Arial" w:hAnsi="Arial"/>
                <w:sz w:val="16"/>
                <w:szCs w:val="16"/>
                <w:u w:val="single" w:color="auto"/>
                <w:color w:val="0000FF"/>
              </w:rPr>
            </w:pPr>
            <w:hyperlink w:anchor="page105">
              <w:r>
                <w:rPr>
                  <w:rFonts w:ascii="Arial" w:cs="Arial" w:eastAsia="Arial" w:hAnsi="Arial"/>
                  <w:sz w:val="16"/>
                  <w:szCs w:val="16"/>
                  <w:u w:val="single" w:color="auto"/>
                  <w:color w:val="0000FF"/>
                </w:rPr>
                <w:t>106</w:t>
              </w:r>
            </w:hyperlink>
          </w:p>
        </w:tc>
      </w:tr>
      <w:tr>
        <w:trPr>
          <w:trHeight w:val="21"/>
        </w:trPr>
        <w:tc>
          <w:tcPr>
            <w:tcW w:w="172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5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860" w:type="dxa"/>
            <w:vAlign w:val="bottom"/>
            <w:tcBorders>
              <w:top w:val="single" w:sz="8" w:color="CEFFE7"/>
            </w:tcBorders>
            <w:shd w:val="clear" w:color="auto" w:fill="CEFFE7"/>
          </w:tcPr>
          <w:p>
            <w:pPr>
              <w:spacing w:after="0" w:line="20" w:lineRule="exact"/>
              <w:rPr>
                <w:sz w:val="1"/>
                <w:szCs w:val="1"/>
                <w:color w:val="auto"/>
              </w:rPr>
            </w:pPr>
          </w:p>
        </w:tc>
      </w:tr>
      <w:tr>
        <w:trPr>
          <w:trHeight w:val="213"/>
        </w:trPr>
        <w:tc>
          <w:tcPr>
            <w:tcW w:w="1720" w:type="dxa"/>
            <w:vAlign w:val="bottom"/>
          </w:tcPr>
          <w:p>
            <w:pPr>
              <w:spacing w:after="0"/>
              <w:rPr>
                <w:sz w:val="18"/>
                <w:szCs w:val="18"/>
                <w:color w:val="auto"/>
              </w:rPr>
            </w:pPr>
          </w:p>
        </w:tc>
        <w:tc>
          <w:tcPr>
            <w:tcW w:w="7400" w:type="dxa"/>
            <w:vAlign w:val="bottom"/>
            <w:gridSpan w:val="11"/>
          </w:tcPr>
          <w:p>
            <w:pPr>
              <w:ind w:left="340"/>
              <w:spacing w:after="0"/>
              <w:rPr>
                <w:rFonts w:ascii="Arial" w:cs="Arial" w:eastAsia="Arial" w:hAnsi="Arial"/>
                <w:sz w:val="16"/>
                <w:szCs w:val="16"/>
                <w:u w:val="single" w:color="auto"/>
                <w:color w:val="0000FF"/>
              </w:rPr>
            </w:pPr>
            <w:hyperlink w:anchor="page107">
              <w:r>
                <w:rPr>
                  <w:rFonts w:ascii="Arial" w:cs="Arial" w:eastAsia="Arial" w:hAnsi="Arial"/>
                  <w:sz w:val="16"/>
                  <w:szCs w:val="16"/>
                  <w:u w:val="single" w:color="auto"/>
                  <w:color w:val="0000FF"/>
                </w:rPr>
                <w:t>Note 14. Variable Interest Entity</w:t>
              </w:r>
            </w:hyperlink>
          </w:p>
        </w:tc>
        <w:tc>
          <w:tcPr>
            <w:tcW w:w="1860" w:type="dxa"/>
            <w:vAlign w:val="bottom"/>
          </w:tcPr>
          <w:p>
            <w:pPr>
              <w:jc w:val="center"/>
              <w:ind w:left="659"/>
              <w:spacing w:after="0"/>
              <w:rPr>
                <w:rFonts w:ascii="Arial" w:cs="Arial" w:eastAsia="Arial" w:hAnsi="Arial"/>
                <w:sz w:val="16"/>
                <w:szCs w:val="16"/>
                <w:u w:val="single" w:color="auto"/>
                <w:color w:val="0000FF"/>
              </w:rPr>
            </w:pPr>
            <w:hyperlink w:anchor="page104">
              <w:r>
                <w:rPr>
                  <w:rFonts w:ascii="Arial" w:cs="Arial" w:eastAsia="Arial" w:hAnsi="Arial"/>
                  <w:sz w:val="16"/>
                  <w:szCs w:val="16"/>
                  <w:u w:val="single" w:color="auto"/>
                  <w:color w:val="0000FF"/>
                </w:rPr>
                <w:t>104</w:t>
              </w:r>
            </w:hyperlink>
          </w:p>
        </w:tc>
      </w:tr>
      <w:tr>
        <w:trPr>
          <w:trHeight w:val="178"/>
        </w:trPr>
        <w:tc>
          <w:tcPr>
            <w:tcW w:w="1720" w:type="dxa"/>
            <w:vAlign w:val="bottom"/>
            <w:shd w:val="clear" w:color="auto" w:fill="CEFFE7"/>
          </w:tcPr>
          <w:p>
            <w:pPr>
              <w:spacing w:after="0"/>
              <w:rPr>
                <w:sz w:val="15"/>
                <w:szCs w:val="15"/>
                <w:color w:val="auto"/>
              </w:rPr>
            </w:pPr>
          </w:p>
        </w:tc>
        <w:tc>
          <w:tcPr>
            <w:tcW w:w="7400" w:type="dxa"/>
            <w:vAlign w:val="bottom"/>
            <w:gridSpan w:val="11"/>
            <w:shd w:val="clear" w:color="auto" w:fill="CEFFE7"/>
          </w:tcPr>
          <w:p>
            <w:pPr>
              <w:ind w:left="340"/>
              <w:spacing w:after="0" w:line="178" w:lineRule="exact"/>
              <w:rPr>
                <w:rFonts w:ascii="Arial" w:cs="Arial" w:eastAsia="Arial" w:hAnsi="Arial"/>
                <w:sz w:val="16"/>
                <w:szCs w:val="16"/>
                <w:color w:val="0000FF"/>
              </w:rPr>
            </w:pPr>
            <w:hyperlink w:anchor="page108">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15. </w:t>
            </w:r>
            <w:hyperlink w:anchor="page108">
              <w:r>
                <w:rPr>
                  <w:rFonts w:ascii="Arial" w:cs="Arial" w:eastAsia="Arial" w:hAnsi="Arial"/>
                  <w:sz w:val="16"/>
                  <w:szCs w:val="16"/>
                  <w:u w:val="single" w:color="auto"/>
                  <w:color w:val="0000FF"/>
                </w:rPr>
                <w:t>Employee Benefit Plans</w:t>
              </w:r>
            </w:hyperlink>
          </w:p>
        </w:tc>
        <w:tc>
          <w:tcPr>
            <w:tcW w:w="1860" w:type="dxa"/>
            <w:vAlign w:val="bottom"/>
            <w:shd w:val="clear" w:color="auto" w:fill="CEFFE7"/>
          </w:tcPr>
          <w:p>
            <w:pPr>
              <w:jc w:val="center"/>
              <w:ind w:left="659"/>
              <w:spacing w:after="0" w:line="178" w:lineRule="exact"/>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108</w:t>
              </w:r>
            </w:hyperlink>
          </w:p>
        </w:tc>
      </w:tr>
      <w:tr>
        <w:trPr>
          <w:trHeight w:val="21"/>
        </w:trPr>
        <w:tc>
          <w:tcPr>
            <w:tcW w:w="172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4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5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860" w:type="dxa"/>
            <w:vAlign w:val="bottom"/>
            <w:tcBorders>
              <w:top w:val="single" w:sz="8" w:color="CEFFE7"/>
            </w:tcBorders>
            <w:shd w:val="clear" w:color="auto" w:fill="CEFFE7"/>
          </w:tcPr>
          <w:p>
            <w:pPr>
              <w:spacing w:after="0" w:line="20" w:lineRule="exact"/>
              <w:rPr>
                <w:sz w:val="1"/>
                <w:szCs w:val="1"/>
                <w:color w:val="auto"/>
              </w:rPr>
            </w:pPr>
          </w:p>
        </w:tc>
      </w:tr>
      <w:tr>
        <w:trPr>
          <w:trHeight w:val="213"/>
        </w:trPr>
        <w:tc>
          <w:tcPr>
            <w:tcW w:w="1720" w:type="dxa"/>
            <w:vAlign w:val="bottom"/>
          </w:tcPr>
          <w:p>
            <w:pPr>
              <w:spacing w:after="0"/>
              <w:rPr>
                <w:sz w:val="18"/>
                <w:szCs w:val="18"/>
                <w:color w:val="auto"/>
              </w:rPr>
            </w:pPr>
          </w:p>
        </w:tc>
        <w:tc>
          <w:tcPr>
            <w:tcW w:w="7400" w:type="dxa"/>
            <w:vAlign w:val="bottom"/>
            <w:gridSpan w:val="11"/>
          </w:tcPr>
          <w:p>
            <w:pPr>
              <w:ind w:left="340"/>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Note 16. Share-based Compensation Plans</w:t>
              </w:r>
            </w:hyperlink>
          </w:p>
        </w:tc>
        <w:tc>
          <w:tcPr>
            <w:tcW w:w="1860" w:type="dxa"/>
            <w:vAlign w:val="bottom"/>
          </w:tcPr>
          <w:p>
            <w:pPr>
              <w:jc w:val="center"/>
              <w:ind w:left="659"/>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114</w:t>
              </w:r>
            </w:hyperlink>
          </w:p>
        </w:tc>
      </w:tr>
      <w:tr>
        <w:trPr>
          <w:trHeight w:val="178"/>
        </w:trPr>
        <w:tc>
          <w:tcPr>
            <w:tcW w:w="1720" w:type="dxa"/>
            <w:vAlign w:val="bottom"/>
            <w:shd w:val="clear" w:color="auto" w:fill="CEFFE7"/>
          </w:tcPr>
          <w:p>
            <w:pPr>
              <w:spacing w:after="0"/>
              <w:rPr>
                <w:sz w:val="15"/>
                <w:szCs w:val="15"/>
                <w:color w:val="auto"/>
              </w:rPr>
            </w:pPr>
          </w:p>
        </w:tc>
        <w:tc>
          <w:tcPr>
            <w:tcW w:w="7400" w:type="dxa"/>
            <w:vAlign w:val="bottom"/>
            <w:gridSpan w:val="11"/>
            <w:shd w:val="clear" w:color="auto" w:fill="CEFFE7"/>
          </w:tcPr>
          <w:p>
            <w:pPr>
              <w:ind w:left="340"/>
              <w:spacing w:after="0" w:line="178" w:lineRule="exact"/>
              <w:rPr>
                <w:rFonts w:ascii="Arial" w:cs="Arial" w:eastAsia="Arial" w:hAnsi="Arial"/>
                <w:sz w:val="16"/>
                <w:szCs w:val="16"/>
                <w:color w:val="0000FF"/>
              </w:rPr>
            </w:pPr>
            <w:hyperlink w:anchor="page116">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17. </w:t>
            </w:r>
            <w:hyperlink w:anchor="page116">
              <w:r>
                <w:rPr>
                  <w:rFonts w:ascii="Arial" w:cs="Arial" w:eastAsia="Arial" w:hAnsi="Arial"/>
                  <w:sz w:val="16"/>
                  <w:szCs w:val="16"/>
                  <w:color w:val="0000FF"/>
                </w:rPr>
                <w:t>Income Taxes</w:t>
              </w:r>
            </w:hyperlink>
          </w:p>
        </w:tc>
        <w:tc>
          <w:tcPr>
            <w:tcW w:w="1860" w:type="dxa"/>
            <w:vAlign w:val="bottom"/>
            <w:shd w:val="clear" w:color="auto" w:fill="CEFFE7"/>
          </w:tcPr>
          <w:p>
            <w:pPr>
              <w:jc w:val="center"/>
              <w:ind w:left="659"/>
              <w:spacing w:after="0" w:line="178" w:lineRule="exact"/>
              <w:rPr>
                <w:rFonts w:ascii="Arial" w:cs="Arial" w:eastAsia="Arial" w:hAnsi="Arial"/>
                <w:sz w:val="16"/>
                <w:szCs w:val="16"/>
                <w:u w:val="single" w:color="auto"/>
                <w:color w:val="0000FF"/>
              </w:rPr>
            </w:pPr>
            <w:hyperlink w:anchor="page116">
              <w:r>
                <w:rPr>
                  <w:rFonts w:ascii="Arial" w:cs="Arial" w:eastAsia="Arial" w:hAnsi="Arial"/>
                  <w:sz w:val="16"/>
                  <w:szCs w:val="16"/>
                  <w:u w:val="single" w:color="auto"/>
                  <w:color w:val="0000FF"/>
                </w:rPr>
                <w:t>116</w:t>
              </w:r>
            </w:hyperlink>
          </w:p>
        </w:tc>
      </w:tr>
      <w:tr>
        <w:trPr>
          <w:trHeight w:val="20"/>
        </w:trPr>
        <w:tc>
          <w:tcPr>
            <w:tcW w:w="172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4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52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860" w:type="dxa"/>
            <w:vAlign w:val="bottom"/>
            <w:tcBorders>
              <w:top w:val="single" w:sz="8" w:color="CEFFE7"/>
            </w:tcBorders>
            <w:shd w:val="clear" w:color="auto" w:fill="CEFFE7"/>
          </w:tcPr>
          <w:p>
            <w:pPr>
              <w:spacing w:after="0" w:line="20" w:lineRule="exact"/>
              <w:rPr>
                <w:sz w:val="1"/>
                <w:szCs w:val="1"/>
                <w:color w:val="auto"/>
              </w:rPr>
            </w:pPr>
          </w:p>
        </w:tc>
      </w:tr>
      <w:tr>
        <w:trPr>
          <w:trHeight w:val="213"/>
        </w:trPr>
        <w:tc>
          <w:tcPr>
            <w:tcW w:w="1720" w:type="dxa"/>
            <w:vAlign w:val="bottom"/>
          </w:tcPr>
          <w:p>
            <w:pPr>
              <w:spacing w:after="0"/>
              <w:rPr>
                <w:sz w:val="18"/>
                <w:szCs w:val="18"/>
                <w:color w:val="auto"/>
              </w:rPr>
            </w:pPr>
          </w:p>
        </w:tc>
        <w:tc>
          <w:tcPr>
            <w:tcW w:w="7400" w:type="dxa"/>
            <w:vAlign w:val="bottom"/>
            <w:gridSpan w:val="11"/>
          </w:tcPr>
          <w:p>
            <w:pPr>
              <w:ind w:left="340"/>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Note 18. Business Segment Information</w:t>
              </w:r>
            </w:hyperlink>
          </w:p>
        </w:tc>
        <w:tc>
          <w:tcPr>
            <w:tcW w:w="1860" w:type="dxa"/>
            <w:vAlign w:val="bottom"/>
          </w:tcPr>
          <w:p>
            <w:pPr>
              <w:jc w:val="center"/>
              <w:ind w:left="659"/>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121</w:t>
              </w:r>
            </w:hyperlink>
          </w:p>
        </w:tc>
      </w:tr>
      <w:tr>
        <w:trPr>
          <w:trHeight w:val="219"/>
        </w:trPr>
        <w:tc>
          <w:tcPr>
            <w:tcW w:w="1720" w:type="dxa"/>
            <w:vAlign w:val="bottom"/>
            <w:shd w:val="clear" w:color="auto" w:fill="CEFFE7"/>
          </w:tcPr>
          <w:p>
            <w:pPr>
              <w:spacing w:after="0"/>
              <w:rPr>
                <w:sz w:val="19"/>
                <w:szCs w:val="19"/>
                <w:color w:val="auto"/>
              </w:rPr>
            </w:pPr>
          </w:p>
        </w:tc>
        <w:tc>
          <w:tcPr>
            <w:tcW w:w="7400" w:type="dxa"/>
            <w:vAlign w:val="bottom"/>
            <w:gridSpan w:val="11"/>
            <w:shd w:val="clear" w:color="auto" w:fill="CEFFE7"/>
          </w:tcPr>
          <w:p>
            <w:pPr>
              <w:ind w:left="340"/>
              <w:spacing w:after="0"/>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Note 19. Subsequent Event</w:t>
              </w:r>
            </w:hyperlink>
          </w:p>
        </w:tc>
        <w:tc>
          <w:tcPr>
            <w:tcW w:w="1860" w:type="dxa"/>
            <w:vAlign w:val="bottom"/>
            <w:shd w:val="clear" w:color="auto" w:fill="CEFFE7"/>
          </w:tcPr>
          <w:p>
            <w:pPr>
              <w:jc w:val="center"/>
              <w:ind w:left="659"/>
              <w:spacing w:after="0"/>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124</w:t>
              </w:r>
            </w:hyperlink>
          </w:p>
        </w:tc>
      </w:tr>
      <w:tr>
        <w:trPr>
          <w:trHeight w:val="175"/>
        </w:trPr>
        <w:tc>
          <w:tcPr>
            <w:tcW w:w="1720" w:type="dxa"/>
            <w:vAlign w:val="bottom"/>
          </w:tcPr>
          <w:p>
            <w:pPr>
              <w:ind w:left="20"/>
              <w:spacing w:after="0" w:line="175" w:lineRule="exact"/>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ITEM 9.</w:t>
              </w:r>
            </w:hyperlink>
          </w:p>
        </w:tc>
        <w:tc>
          <w:tcPr>
            <w:tcW w:w="7400" w:type="dxa"/>
            <w:vAlign w:val="bottom"/>
            <w:gridSpan w:val="11"/>
          </w:tcPr>
          <w:p>
            <w:pPr>
              <w:spacing w:after="0" w:line="175" w:lineRule="exact"/>
              <w:rPr>
                <w:rFonts w:ascii="Arial" w:cs="Arial" w:eastAsia="Arial" w:hAnsi="Arial"/>
                <w:sz w:val="16"/>
                <w:szCs w:val="16"/>
                <w:color w:val="0000FF"/>
              </w:rPr>
            </w:pPr>
            <w:hyperlink w:anchor="page124">
              <w:r>
                <w:rPr>
                  <w:rFonts w:ascii="Arial" w:cs="Arial" w:eastAsia="Arial" w:hAnsi="Arial"/>
                  <w:sz w:val="16"/>
                  <w:szCs w:val="16"/>
                  <w:color w:val="0000FF"/>
                </w:rPr>
                <w:t>CHANGES IN AND DISAGREEMENTS WITH ACCOUNTANTS ON ACCOUNTING AND FINANCIAL</w:t>
              </w:r>
            </w:hyperlink>
          </w:p>
        </w:tc>
        <w:tc>
          <w:tcPr>
            <w:tcW w:w="1860" w:type="dxa"/>
            <w:vAlign w:val="bottom"/>
          </w:tcPr>
          <w:p>
            <w:pPr>
              <w:jc w:val="center"/>
              <w:ind w:left="659"/>
              <w:spacing w:after="0" w:line="175" w:lineRule="exact"/>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125</w:t>
              </w:r>
            </w:hyperlink>
          </w:p>
        </w:tc>
      </w:tr>
      <w:tr>
        <w:trPr>
          <w:trHeight w:val="142"/>
        </w:trPr>
        <w:tc>
          <w:tcPr>
            <w:tcW w:w="1720" w:type="dxa"/>
            <w:vAlign w:val="bottom"/>
          </w:tcPr>
          <w:p>
            <w:pPr>
              <w:spacing w:after="0"/>
              <w:rPr>
                <w:sz w:val="12"/>
                <w:szCs w:val="12"/>
                <w:color w:val="auto"/>
              </w:rPr>
            </w:pPr>
          </w:p>
        </w:tc>
        <w:tc>
          <w:tcPr>
            <w:tcW w:w="72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124">
              <w:r>
                <w:rPr>
                  <w:rFonts w:ascii="Arial" w:cs="Arial" w:eastAsia="Arial" w:hAnsi="Arial"/>
                  <w:sz w:val="16"/>
                  <w:szCs w:val="16"/>
                  <w:color w:val="0000FF"/>
                </w:rPr>
                <w:t>DISCLOSURE</w:t>
              </w:r>
            </w:hyperlink>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0"/>
        </w:trPr>
        <w:tc>
          <w:tcPr>
            <w:tcW w:w="17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1720" w:type="dxa"/>
            <w:vAlign w:val="bottom"/>
            <w:shd w:val="clear" w:color="auto" w:fill="CEFFE7"/>
          </w:tcPr>
          <w:p>
            <w:pPr>
              <w:ind w:left="20"/>
              <w:spacing w:after="0"/>
              <w:rPr>
                <w:rFonts w:ascii="Arial" w:cs="Arial" w:eastAsia="Arial" w:hAnsi="Arial"/>
                <w:sz w:val="16"/>
                <w:szCs w:val="16"/>
                <w:u w:val="single" w:color="auto"/>
                <w:color w:val="0000FF"/>
              </w:rPr>
            </w:pPr>
            <w:hyperlink w:anchor="page125">
              <w:r>
                <w:rPr>
                  <w:rFonts w:ascii="Arial" w:cs="Arial" w:eastAsia="Arial" w:hAnsi="Arial"/>
                  <w:sz w:val="16"/>
                  <w:szCs w:val="16"/>
                  <w:u w:val="single" w:color="auto"/>
                  <w:color w:val="0000FF"/>
                </w:rPr>
                <w:t>ITEM 9A.</w:t>
              </w:r>
            </w:hyperlink>
          </w:p>
        </w:tc>
        <w:tc>
          <w:tcPr>
            <w:tcW w:w="7400" w:type="dxa"/>
            <w:vAlign w:val="bottom"/>
            <w:gridSpan w:val="11"/>
            <w:shd w:val="clear" w:color="auto" w:fill="CEFFE7"/>
          </w:tcPr>
          <w:p>
            <w:pPr>
              <w:spacing w:after="0"/>
              <w:rPr>
                <w:rFonts w:ascii="Arial" w:cs="Arial" w:eastAsia="Arial" w:hAnsi="Arial"/>
                <w:sz w:val="16"/>
                <w:szCs w:val="16"/>
                <w:u w:val="single" w:color="auto"/>
                <w:color w:val="0000FF"/>
              </w:rPr>
            </w:pPr>
            <w:hyperlink w:anchor="page125">
              <w:r>
                <w:rPr>
                  <w:rFonts w:ascii="Arial" w:cs="Arial" w:eastAsia="Arial" w:hAnsi="Arial"/>
                  <w:sz w:val="16"/>
                  <w:szCs w:val="16"/>
                  <w:u w:val="single" w:color="auto"/>
                  <w:color w:val="0000FF"/>
                </w:rPr>
                <w:t>CONTROLS AND PROCEDURES</w:t>
              </w:r>
            </w:hyperlink>
          </w:p>
        </w:tc>
        <w:tc>
          <w:tcPr>
            <w:tcW w:w="1860" w:type="dxa"/>
            <w:vAlign w:val="bottom"/>
            <w:shd w:val="clear" w:color="auto" w:fill="CEFFE7"/>
          </w:tcPr>
          <w:p>
            <w:pPr>
              <w:jc w:val="center"/>
              <w:ind w:left="659"/>
              <w:spacing w:after="0"/>
              <w:rPr>
                <w:rFonts w:ascii="Arial" w:cs="Arial" w:eastAsia="Arial" w:hAnsi="Arial"/>
                <w:sz w:val="16"/>
                <w:szCs w:val="16"/>
                <w:u w:val="single" w:color="auto"/>
                <w:color w:val="0000FF"/>
              </w:rPr>
            </w:pPr>
            <w:hyperlink w:anchor="page125">
              <w:r>
                <w:rPr>
                  <w:rFonts w:ascii="Arial" w:cs="Arial" w:eastAsia="Arial" w:hAnsi="Arial"/>
                  <w:sz w:val="16"/>
                  <w:szCs w:val="16"/>
                  <w:u w:val="single" w:color="auto"/>
                  <w:color w:val="0000FF"/>
                </w:rPr>
                <w:t>125</w:t>
              </w:r>
            </w:hyperlink>
          </w:p>
        </w:tc>
      </w:tr>
      <w:tr>
        <w:trPr>
          <w:trHeight w:val="213"/>
        </w:trPr>
        <w:tc>
          <w:tcPr>
            <w:tcW w:w="1720" w:type="dxa"/>
            <w:vAlign w:val="bottom"/>
          </w:tcPr>
          <w:p>
            <w:pPr>
              <w:ind w:left="20"/>
              <w:spacing w:after="0"/>
              <w:rPr>
                <w:rFonts w:ascii="Arial" w:cs="Arial" w:eastAsia="Arial" w:hAnsi="Arial"/>
                <w:sz w:val="16"/>
                <w:szCs w:val="16"/>
                <w:u w:val="single" w:color="auto"/>
                <w:color w:val="0000FF"/>
              </w:rPr>
            </w:pPr>
            <w:hyperlink w:anchor="page125">
              <w:r>
                <w:rPr>
                  <w:rFonts w:ascii="Arial" w:cs="Arial" w:eastAsia="Arial" w:hAnsi="Arial"/>
                  <w:sz w:val="16"/>
                  <w:szCs w:val="16"/>
                  <w:u w:val="single" w:color="auto"/>
                  <w:color w:val="0000FF"/>
                </w:rPr>
                <w:t>ITEM 9B.</w:t>
              </w:r>
            </w:hyperlink>
          </w:p>
        </w:tc>
        <w:tc>
          <w:tcPr>
            <w:tcW w:w="7400" w:type="dxa"/>
            <w:vAlign w:val="bottom"/>
            <w:gridSpan w:val="11"/>
          </w:tcPr>
          <w:p>
            <w:pPr>
              <w:spacing w:after="0"/>
              <w:rPr>
                <w:rFonts w:ascii="Arial" w:cs="Arial" w:eastAsia="Arial" w:hAnsi="Arial"/>
                <w:sz w:val="16"/>
                <w:szCs w:val="16"/>
                <w:u w:val="single" w:color="auto"/>
                <w:color w:val="0000FF"/>
              </w:rPr>
            </w:pPr>
            <w:hyperlink w:anchor="page125">
              <w:r>
                <w:rPr>
                  <w:rFonts w:ascii="Arial" w:cs="Arial" w:eastAsia="Arial" w:hAnsi="Arial"/>
                  <w:sz w:val="16"/>
                  <w:szCs w:val="16"/>
                  <w:u w:val="single" w:color="auto"/>
                  <w:color w:val="0000FF"/>
                </w:rPr>
                <w:t>OTHER INFORMATION</w:t>
              </w:r>
            </w:hyperlink>
          </w:p>
        </w:tc>
        <w:tc>
          <w:tcPr>
            <w:tcW w:w="1860" w:type="dxa"/>
            <w:vAlign w:val="bottom"/>
          </w:tcPr>
          <w:p>
            <w:pPr>
              <w:jc w:val="center"/>
              <w:ind w:left="659"/>
              <w:spacing w:after="0"/>
              <w:rPr>
                <w:rFonts w:ascii="Arial" w:cs="Arial" w:eastAsia="Arial" w:hAnsi="Arial"/>
                <w:sz w:val="16"/>
                <w:szCs w:val="16"/>
                <w:u w:val="single" w:color="auto"/>
                <w:color w:val="0000FF"/>
              </w:rPr>
            </w:pPr>
            <w:hyperlink w:anchor="page125">
              <w:r>
                <w:rPr>
                  <w:rFonts w:ascii="Arial" w:cs="Arial" w:eastAsia="Arial" w:hAnsi="Arial"/>
                  <w:sz w:val="16"/>
                  <w:szCs w:val="16"/>
                  <w:u w:val="single" w:color="auto"/>
                  <w:color w:val="0000FF"/>
                </w:rPr>
                <w:t>125</w:t>
              </w:r>
            </w:hyperlink>
          </w:p>
        </w:tc>
      </w:tr>
      <w:tr>
        <w:trPr>
          <w:trHeight w:val="219"/>
        </w:trPr>
        <w:tc>
          <w:tcPr>
            <w:tcW w:w="1720" w:type="dxa"/>
            <w:vAlign w:val="bottom"/>
            <w:shd w:val="clear" w:color="auto" w:fill="CEFFE7"/>
          </w:tcPr>
          <w:p>
            <w:pPr>
              <w:ind w:left="20"/>
              <w:spacing w:after="0"/>
              <w:rPr>
                <w:rFonts w:ascii="Arial" w:cs="Arial" w:eastAsia="Arial" w:hAnsi="Arial"/>
                <w:sz w:val="16"/>
                <w:szCs w:val="16"/>
                <w:b w:val="1"/>
                <w:bCs w:val="1"/>
                <w:u w:val="single" w:color="auto"/>
                <w:color w:val="0000FF"/>
              </w:rPr>
            </w:pPr>
            <w:hyperlink w:anchor="page125">
              <w:r>
                <w:rPr>
                  <w:rFonts w:ascii="Arial" w:cs="Arial" w:eastAsia="Arial" w:hAnsi="Arial"/>
                  <w:sz w:val="16"/>
                  <w:szCs w:val="16"/>
                  <w:b w:val="1"/>
                  <w:bCs w:val="1"/>
                  <w:u w:val="single" w:color="auto"/>
                  <w:color w:val="0000FF"/>
                </w:rPr>
                <w:t>Part III</w:t>
              </w:r>
            </w:hyperlink>
          </w:p>
        </w:tc>
        <w:tc>
          <w:tcPr>
            <w:tcW w:w="3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44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r>
      <w:tr>
        <w:trPr>
          <w:trHeight w:val="213"/>
        </w:trPr>
        <w:tc>
          <w:tcPr>
            <w:tcW w:w="1720" w:type="dxa"/>
            <w:vAlign w:val="bottom"/>
          </w:tcPr>
          <w:p>
            <w:pPr>
              <w:ind w:left="20"/>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ITEM 10.</w:t>
              </w:r>
            </w:hyperlink>
          </w:p>
        </w:tc>
        <w:tc>
          <w:tcPr>
            <w:tcW w:w="7400" w:type="dxa"/>
            <w:vAlign w:val="bottom"/>
            <w:gridSpan w:val="11"/>
          </w:tcPr>
          <w:p>
            <w:pPr>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DIRECTORS, EXECUTIVE OFFICERS AND CORPORATE GOVERNANCE</w:t>
              </w:r>
            </w:hyperlink>
          </w:p>
        </w:tc>
        <w:tc>
          <w:tcPr>
            <w:tcW w:w="1860" w:type="dxa"/>
            <w:vAlign w:val="bottom"/>
          </w:tcPr>
          <w:p>
            <w:pPr>
              <w:jc w:val="center"/>
              <w:ind w:left="659"/>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126</w:t>
              </w:r>
            </w:hyperlink>
          </w:p>
        </w:tc>
      </w:tr>
      <w:tr>
        <w:trPr>
          <w:trHeight w:val="219"/>
        </w:trPr>
        <w:tc>
          <w:tcPr>
            <w:tcW w:w="1720" w:type="dxa"/>
            <w:vAlign w:val="bottom"/>
            <w:shd w:val="clear" w:color="auto" w:fill="CEFFE7"/>
          </w:tcPr>
          <w:p>
            <w:pPr>
              <w:ind w:left="20"/>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ITEM 11.</w:t>
              </w:r>
            </w:hyperlink>
          </w:p>
        </w:tc>
        <w:tc>
          <w:tcPr>
            <w:tcW w:w="7400" w:type="dxa"/>
            <w:vAlign w:val="bottom"/>
            <w:gridSpan w:val="11"/>
            <w:shd w:val="clear" w:color="auto" w:fill="CEFFE7"/>
          </w:tcPr>
          <w:p>
            <w:pPr>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EXECUTIVE COMPENSATION</w:t>
              </w:r>
            </w:hyperlink>
          </w:p>
        </w:tc>
        <w:tc>
          <w:tcPr>
            <w:tcW w:w="1860" w:type="dxa"/>
            <w:vAlign w:val="bottom"/>
            <w:shd w:val="clear" w:color="auto" w:fill="CEFFE7"/>
          </w:tcPr>
          <w:p>
            <w:pPr>
              <w:jc w:val="center"/>
              <w:ind w:left="659"/>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126</w:t>
              </w:r>
            </w:hyperlink>
          </w:p>
        </w:tc>
      </w:tr>
      <w:tr>
        <w:trPr>
          <w:trHeight w:val="175"/>
        </w:trPr>
        <w:tc>
          <w:tcPr>
            <w:tcW w:w="1720" w:type="dxa"/>
            <w:vAlign w:val="bottom"/>
          </w:tcPr>
          <w:p>
            <w:pPr>
              <w:ind w:left="20"/>
              <w:spacing w:after="0" w:line="175" w:lineRule="exact"/>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ITEM 12.</w:t>
              </w:r>
            </w:hyperlink>
          </w:p>
        </w:tc>
        <w:tc>
          <w:tcPr>
            <w:tcW w:w="7400" w:type="dxa"/>
            <w:vAlign w:val="bottom"/>
            <w:tcBorders>
              <w:bottom w:val="single" w:sz="8" w:color="0000FF"/>
            </w:tcBorders>
            <w:gridSpan w:val="11"/>
          </w:tcPr>
          <w:p>
            <w:pPr>
              <w:spacing w:after="0" w:line="175" w:lineRule="exact"/>
              <w:rPr>
                <w:rFonts w:ascii="Arial" w:cs="Arial" w:eastAsia="Arial" w:hAnsi="Arial"/>
                <w:sz w:val="16"/>
                <w:szCs w:val="16"/>
                <w:color w:val="0000FF"/>
              </w:rPr>
            </w:pPr>
            <w:hyperlink w:anchor="page126">
              <w:r>
                <w:rPr>
                  <w:rFonts w:ascii="Arial" w:cs="Arial" w:eastAsia="Arial" w:hAnsi="Arial"/>
                  <w:sz w:val="16"/>
                  <w:szCs w:val="16"/>
                  <w:color w:val="0000FF"/>
                </w:rPr>
                <w:t>SECURITY OWNERSHIP OF CERTAIN BENEFICIAL OWNERS AND MANAGEMENT AND RELATED</w:t>
              </w:r>
            </w:hyperlink>
          </w:p>
        </w:tc>
        <w:tc>
          <w:tcPr>
            <w:tcW w:w="1860" w:type="dxa"/>
            <w:vAlign w:val="bottom"/>
          </w:tcPr>
          <w:p>
            <w:pPr>
              <w:jc w:val="center"/>
              <w:ind w:left="659"/>
              <w:spacing w:after="0" w:line="175" w:lineRule="exact"/>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126</w:t>
              </w:r>
            </w:hyperlink>
          </w:p>
        </w:tc>
      </w:tr>
      <w:tr>
        <w:trPr>
          <w:trHeight w:val="142"/>
        </w:trPr>
        <w:tc>
          <w:tcPr>
            <w:tcW w:w="1720" w:type="dxa"/>
            <w:vAlign w:val="bottom"/>
          </w:tcPr>
          <w:p>
            <w:pPr>
              <w:spacing w:after="0"/>
              <w:rPr>
                <w:sz w:val="12"/>
                <w:szCs w:val="12"/>
                <w:color w:val="auto"/>
              </w:rPr>
            </w:pPr>
          </w:p>
        </w:tc>
        <w:tc>
          <w:tcPr>
            <w:tcW w:w="7400" w:type="dxa"/>
            <w:vAlign w:val="bottom"/>
            <w:gridSpan w:val="11"/>
          </w:tcPr>
          <w:p>
            <w:pPr>
              <w:spacing w:after="0" w:line="142" w:lineRule="exact"/>
              <w:rPr>
                <w:rFonts w:ascii="Arial" w:cs="Arial" w:eastAsia="Arial" w:hAnsi="Arial"/>
                <w:sz w:val="16"/>
                <w:szCs w:val="16"/>
                <w:color w:val="0000FF"/>
              </w:rPr>
            </w:pPr>
            <w:hyperlink w:anchor="page126">
              <w:r>
                <w:rPr>
                  <w:rFonts w:ascii="Arial" w:cs="Arial" w:eastAsia="Arial" w:hAnsi="Arial"/>
                  <w:sz w:val="16"/>
                  <w:szCs w:val="16"/>
                  <w:color w:val="0000FF"/>
                </w:rPr>
                <w:t>STOCKHOLDER MATTERS</w:t>
              </w:r>
            </w:hyperlink>
          </w:p>
        </w:tc>
        <w:tc>
          <w:tcPr>
            <w:tcW w:w="1860" w:type="dxa"/>
            <w:vAlign w:val="bottom"/>
          </w:tcPr>
          <w:p>
            <w:pPr>
              <w:spacing w:after="0"/>
              <w:rPr>
                <w:sz w:val="12"/>
                <w:szCs w:val="12"/>
                <w:color w:val="auto"/>
              </w:rPr>
            </w:pPr>
          </w:p>
        </w:tc>
      </w:tr>
      <w:tr>
        <w:trPr>
          <w:trHeight w:val="20"/>
        </w:trPr>
        <w:tc>
          <w:tcPr>
            <w:tcW w:w="17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1720" w:type="dxa"/>
            <w:vAlign w:val="bottom"/>
            <w:shd w:val="clear" w:color="auto" w:fill="CEFFE7"/>
          </w:tcPr>
          <w:p>
            <w:pPr>
              <w:ind w:left="20"/>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ITEM 13.</w:t>
              </w:r>
            </w:hyperlink>
          </w:p>
        </w:tc>
        <w:tc>
          <w:tcPr>
            <w:tcW w:w="7400" w:type="dxa"/>
            <w:vAlign w:val="bottom"/>
            <w:gridSpan w:val="11"/>
            <w:shd w:val="clear" w:color="auto" w:fill="CEFFE7"/>
          </w:tcPr>
          <w:p>
            <w:pPr>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CERTAIN RELATIONSHIPS AND RELATED TRANSACTIONS, AND DIRECTOR INDEPENDENCE</w:t>
              </w:r>
            </w:hyperlink>
          </w:p>
        </w:tc>
        <w:tc>
          <w:tcPr>
            <w:tcW w:w="1860" w:type="dxa"/>
            <w:vAlign w:val="bottom"/>
            <w:shd w:val="clear" w:color="auto" w:fill="CEFFE7"/>
          </w:tcPr>
          <w:p>
            <w:pPr>
              <w:jc w:val="center"/>
              <w:ind w:left="659"/>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126</w:t>
              </w:r>
            </w:hyperlink>
          </w:p>
        </w:tc>
      </w:tr>
      <w:tr>
        <w:trPr>
          <w:trHeight w:val="213"/>
        </w:trPr>
        <w:tc>
          <w:tcPr>
            <w:tcW w:w="1720" w:type="dxa"/>
            <w:vAlign w:val="bottom"/>
          </w:tcPr>
          <w:p>
            <w:pPr>
              <w:ind w:left="20"/>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ITEM 14.</w:t>
              </w:r>
            </w:hyperlink>
          </w:p>
        </w:tc>
        <w:tc>
          <w:tcPr>
            <w:tcW w:w="7400" w:type="dxa"/>
            <w:vAlign w:val="bottom"/>
            <w:gridSpan w:val="11"/>
          </w:tcPr>
          <w:p>
            <w:pPr>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PRINCIPAL ACCOUNTING FEES AND SERVICES</w:t>
              </w:r>
            </w:hyperlink>
          </w:p>
        </w:tc>
        <w:tc>
          <w:tcPr>
            <w:tcW w:w="1860" w:type="dxa"/>
            <w:vAlign w:val="bottom"/>
          </w:tcPr>
          <w:p>
            <w:pPr>
              <w:jc w:val="center"/>
              <w:ind w:left="659"/>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126</w:t>
              </w:r>
            </w:hyperlink>
          </w:p>
        </w:tc>
      </w:tr>
      <w:tr>
        <w:trPr>
          <w:trHeight w:val="219"/>
        </w:trPr>
        <w:tc>
          <w:tcPr>
            <w:tcW w:w="1720" w:type="dxa"/>
            <w:vAlign w:val="bottom"/>
            <w:shd w:val="clear" w:color="auto" w:fill="CEFFE7"/>
          </w:tcPr>
          <w:p>
            <w:pPr>
              <w:ind w:left="20"/>
              <w:spacing w:after="0"/>
              <w:rPr>
                <w:rFonts w:ascii="Arial" w:cs="Arial" w:eastAsia="Arial" w:hAnsi="Arial"/>
                <w:sz w:val="16"/>
                <w:szCs w:val="16"/>
                <w:b w:val="1"/>
                <w:bCs w:val="1"/>
                <w:u w:val="single" w:color="auto"/>
                <w:color w:val="0000FF"/>
              </w:rPr>
            </w:pPr>
            <w:hyperlink w:anchor="page126">
              <w:r>
                <w:rPr>
                  <w:rFonts w:ascii="Arial" w:cs="Arial" w:eastAsia="Arial" w:hAnsi="Arial"/>
                  <w:sz w:val="16"/>
                  <w:szCs w:val="16"/>
                  <w:b w:val="1"/>
                  <w:bCs w:val="1"/>
                  <w:u w:val="single" w:color="auto"/>
                  <w:color w:val="0000FF"/>
                </w:rPr>
                <w:t>Part IV</w:t>
              </w:r>
            </w:hyperlink>
          </w:p>
        </w:tc>
        <w:tc>
          <w:tcPr>
            <w:tcW w:w="3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44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r>
      <w:tr>
        <w:trPr>
          <w:trHeight w:val="213"/>
        </w:trPr>
        <w:tc>
          <w:tcPr>
            <w:tcW w:w="1720" w:type="dxa"/>
            <w:vAlign w:val="bottom"/>
          </w:tcPr>
          <w:p>
            <w:pPr>
              <w:ind w:left="20"/>
              <w:spacing w:after="0"/>
              <w:rPr>
                <w:rFonts w:ascii="Arial" w:cs="Arial" w:eastAsia="Arial" w:hAnsi="Arial"/>
                <w:sz w:val="16"/>
                <w:szCs w:val="16"/>
                <w:u w:val="single" w:color="auto"/>
                <w:color w:val="0000FF"/>
              </w:rPr>
            </w:pPr>
            <w:hyperlink w:anchor="page127">
              <w:r>
                <w:rPr>
                  <w:rFonts w:ascii="Arial" w:cs="Arial" w:eastAsia="Arial" w:hAnsi="Arial"/>
                  <w:sz w:val="16"/>
                  <w:szCs w:val="16"/>
                  <w:u w:val="single" w:color="auto"/>
                  <w:color w:val="0000FF"/>
                </w:rPr>
                <w:t>ITEM 15.</w:t>
              </w:r>
            </w:hyperlink>
          </w:p>
        </w:tc>
        <w:tc>
          <w:tcPr>
            <w:tcW w:w="7400" w:type="dxa"/>
            <w:vAlign w:val="bottom"/>
            <w:gridSpan w:val="11"/>
          </w:tcPr>
          <w:p>
            <w:pPr>
              <w:spacing w:after="0"/>
              <w:rPr>
                <w:rFonts w:ascii="Arial" w:cs="Arial" w:eastAsia="Arial" w:hAnsi="Arial"/>
                <w:sz w:val="16"/>
                <w:szCs w:val="16"/>
                <w:u w:val="single" w:color="auto"/>
                <w:color w:val="0000FF"/>
              </w:rPr>
            </w:pPr>
            <w:hyperlink w:anchor="page127">
              <w:r>
                <w:rPr>
                  <w:rFonts w:ascii="Arial" w:cs="Arial" w:eastAsia="Arial" w:hAnsi="Arial"/>
                  <w:sz w:val="16"/>
                  <w:szCs w:val="16"/>
                  <w:u w:val="single" w:color="auto"/>
                  <w:color w:val="0000FF"/>
                </w:rPr>
                <w:t>EXHIBITS, FINANCIAL STATEMENT SCHEDULES</w:t>
              </w:r>
            </w:hyperlink>
          </w:p>
        </w:tc>
        <w:tc>
          <w:tcPr>
            <w:tcW w:w="1860" w:type="dxa"/>
            <w:vAlign w:val="bottom"/>
          </w:tcPr>
          <w:p>
            <w:pPr>
              <w:jc w:val="center"/>
              <w:ind w:left="659"/>
              <w:spacing w:after="0"/>
              <w:rPr>
                <w:rFonts w:ascii="Arial" w:cs="Arial" w:eastAsia="Arial" w:hAnsi="Arial"/>
                <w:sz w:val="16"/>
                <w:szCs w:val="16"/>
                <w:u w:val="single" w:color="auto"/>
                <w:color w:val="0000FF"/>
              </w:rPr>
            </w:pPr>
            <w:hyperlink w:anchor="page127">
              <w:r>
                <w:rPr>
                  <w:rFonts w:ascii="Arial" w:cs="Arial" w:eastAsia="Arial" w:hAnsi="Arial"/>
                  <w:sz w:val="16"/>
                  <w:szCs w:val="16"/>
                  <w:u w:val="single" w:color="auto"/>
                  <w:color w:val="0000FF"/>
                </w:rPr>
                <w:t>127</w:t>
              </w:r>
            </w:hyperlink>
          </w:p>
        </w:tc>
      </w:tr>
      <w:tr>
        <w:trPr>
          <w:trHeight w:val="219"/>
        </w:trPr>
        <w:tc>
          <w:tcPr>
            <w:tcW w:w="1720" w:type="dxa"/>
            <w:vAlign w:val="bottom"/>
            <w:shd w:val="clear" w:color="auto" w:fill="CEFFE7"/>
          </w:tcPr>
          <w:p>
            <w:pPr>
              <w:ind w:left="20"/>
              <w:spacing w:after="0"/>
              <w:rPr>
                <w:rFonts w:ascii="Arial" w:cs="Arial" w:eastAsia="Arial" w:hAnsi="Arial"/>
                <w:sz w:val="16"/>
                <w:szCs w:val="16"/>
                <w:u w:val="single" w:color="auto"/>
                <w:color w:val="0000FF"/>
              </w:rPr>
            </w:pPr>
            <w:hyperlink w:anchor="page130">
              <w:r>
                <w:rPr>
                  <w:rFonts w:ascii="Arial" w:cs="Arial" w:eastAsia="Arial" w:hAnsi="Arial"/>
                  <w:sz w:val="16"/>
                  <w:szCs w:val="16"/>
                  <w:u w:val="single" w:color="auto"/>
                  <w:color w:val="0000FF"/>
                </w:rPr>
                <w:t>ITEM 16.</w:t>
              </w:r>
            </w:hyperlink>
          </w:p>
        </w:tc>
        <w:tc>
          <w:tcPr>
            <w:tcW w:w="7400" w:type="dxa"/>
            <w:vAlign w:val="bottom"/>
            <w:gridSpan w:val="11"/>
            <w:shd w:val="clear" w:color="auto" w:fill="CEFFE7"/>
          </w:tcPr>
          <w:p>
            <w:pPr>
              <w:spacing w:after="0"/>
              <w:rPr>
                <w:rFonts w:ascii="Arial" w:cs="Arial" w:eastAsia="Arial" w:hAnsi="Arial"/>
                <w:sz w:val="16"/>
                <w:szCs w:val="16"/>
                <w:u w:val="single" w:color="auto"/>
                <w:color w:val="0000FF"/>
              </w:rPr>
            </w:pPr>
            <w:hyperlink w:anchor="page130">
              <w:r>
                <w:rPr>
                  <w:rFonts w:ascii="Arial" w:cs="Arial" w:eastAsia="Arial" w:hAnsi="Arial"/>
                  <w:sz w:val="16"/>
                  <w:szCs w:val="16"/>
                  <w:u w:val="single" w:color="auto"/>
                  <w:color w:val="0000FF"/>
                </w:rPr>
                <w:t>FORM 10-K SUMMARY</w:t>
              </w:r>
            </w:hyperlink>
          </w:p>
        </w:tc>
        <w:tc>
          <w:tcPr>
            <w:tcW w:w="1860" w:type="dxa"/>
            <w:vAlign w:val="bottom"/>
            <w:shd w:val="clear" w:color="auto" w:fill="CEFFE7"/>
          </w:tcPr>
          <w:p>
            <w:pPr>
              <w:jc w:val="center"/>
              <w:ind w:left="659"/>
              <w:spacing w:after="0"/>
              <w:rPr>
                <w:rFonts w:ascii="Arial" w:cs="Arial" w:eastAsia="Arial" w:hAnsi="Arial"/>
                <w:sz w:val="16"/>
                <w:szCs w:val="16"/>
                <w:u w:val="single" w:color="auto"/>
                <w:color w:val="0000FF"/>
              </w:rPr>
            </w:pPr>
            <w:hyperlink w:anchor="page130">
              <w:r>
                <w:rPr>
                  <w:rFonts w:ascii="Arial" w:cs="Arial" w:eastAsia="Arial" w:hAnsi="Arial"/>
                  <w:sz w:val="16"/>
                  <w:szCs w:val="16"/>
                  <w:u w:val="single" w:color="auto"/>
                  <w:color w:val="0000FF"/>
                </w:rPr>
                <w:t>130</w:t>
              </w:r>
            </w:hyperlink>
          </w:p>
        </w:tc>
      </w:tr>
      <w:tr>
        <w:trPr>
          <w:trHeight w:val="210"/>
        </w:trPr>
        <w:tc>
          <w:tcPr>
            <w:tcW w:w="1720" w:type="dxa"/>
            <w:vAlign w:val="bottom"/>
          </w:tcPr>
          <w:p>
            <w:pPr>
              <w:ind w:left="20"/>
              <w:spacing w:after="0"/>
              <w:rPr>
                <w:rFonts w:ascii="Arial" w:cs="Arial" w:eastAsia="Arial" w:hAnsi="Arial"/>
                <w:sz w:val="16"/>
                <w:szCs w:val="16"/>
                <w:u w:val="single" w:color="auto"/>
                <w:color w:val="0000FF"/>
              </w:rPr>
            </w:pPr>
            <w:hyperlink w:anchor="page130">
              <w:r>
                <w:rPr>
                  <w:rFonts w:ascii="Arial" w:cs="Arial" w:eastAsia="Arial" w:hAnsi="Arial"/>
                  <w:sz w:val="16"/>
                  <w:szCs w:val="16"/>
                  <w:u w:val="single" w:color="auto"/>
                  <w:color w:val="0000FF"/>
                </w:rPr>
                <w:t>SIGNATURES</w:t>
              </w:r>
            </w:hyperlink>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center"/>
              <w:ind w:left="659"/>
              <w:spacing w:after="0"/>
              <w:rPr>
                <w:rFonts w:ascii="Arial" w:cs="Arial" w:eastAsia="Arial" w:hAnsi="Arial"/>
                <w:sz w:val="16"/>
                <w:szCs w:val="16"/>
                <w:u w:val="single" w:color="auto"/>
                <w:color w:val="0000FF"/>
              </w:rPr>
            </w:pPr>
            <w:hyperlink w:anchor="page130">
              <w:r>
                <w:rPr>
                  <w:rFonts w:ascii="Arial" w:cs="Arial" w:eastAsia="Arial" w:hAnsi="Arial"/>
                  <w:sz w:val="16"/>
                  <w:szCs w:val="16"/>
                  <w:u w:val="single" w:color="auto"/>
                  <w:color w:val="0000FF"/>
                </w:rPr>
                <w:t>131</w:t>
              </w:r>
            </w:hyperlink>
          </w:p>
        </w:tc>
      </w:tr>
    </w:tbl>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46" w:right="45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432"/>
        </w:trPr>
        <w:tc>
          <w:tcPr>
            <w:tcW w:w="11220" w:type="dxa"/>
            <w:vAlign w:val="bottom"/>
            <w:gridSpan w:val="3"/>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14"/>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8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AC</w:t>
            </w: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Alternating Current</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AFUDC</w:t>
            </w:r>
          </w:p>
        </w:tc>
        <w:tc>
          <w:tcPr>
            <w:tcW w:w="8080" w:type="dxa"/>
            <w:vAlign w:val="bottom"/>
          </w:tcPr>
          <w:p>
            <w:pPr>
              <w:ind w:left="160"/>
              <w:spacing w:after="0"/>
              <w:rPr>
                <w:sz w:val="20"/>
                <w:szCs w:val="20"/>
                <w:color w:val="auto"/>
              </w:rPr>
            </w:pPr>
            <w:r>
              <w:rPr>
                <w:rFonts w:ascii="Arial" w:cs="Arial" w:eastAsia="Arial" w:hAnsi="Arial"/>
                <w:sz w:val="16"/>
                <w:szCs w:val="16"/>
                <w:color w:val="auto"/>
              </w:rPr>
              <w:t>Allowance for Funds Used During Construction</w:t>
            </w:r>
          </w:p>
        </w:tc>
      </w:tr>
      <w:tr>
        <w:trPr>
          <w:trHeight w:val="219"/>
        </w:trPr>
        <w:tc>
          <w:tcPr>
            <w:tcW w:w="20" w:type="dxa"/>
            <w:vAlign w:val="bottom"/>
          </w:tcPr>
          <w:p>
            <w:pPr>
              <w:spacing w:after="0"/>
              <w:rPr>
                <w:sz w:val="19"/>
                <w:szCs w:val="19"/>
                <w:color w:val="auto"/>
              </w:rPr>
            </w:pPr>
          </w:p>
        </w:tc>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AOCI</w:t>
            </w: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Accumulated Other Comprehensive Income (Loss)</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Aquila Transaction</w:t>
            </w:r>
          </w:p>
        </w:tc>
        <w:tc>
          <w:tcPr>
            <w:tcW w:w="8080" w:type="dxa"/>
            <w:vAlign w:val="bottom"/>
          </w:tcPr>
          <w:p>
            <w:pPr>
              <w:ind w:left="160"/>
              <w:spacing w:after="0"/>
              <w:rPr>
                <w:sz w:val="20"/>
                <w:szCs w:val="20"/>
                <w:color w:val="auto"/>
              </w:rPr>
            </w:pPr>
            <w:r>
              <w:rPr>
                <w:rFonts w:ascii="Arial" w:cs="Arial" w:eastAsia="Arial" w:hAnsi="Arial"/>
                <w:sz w:val="16"/>
                <w:szCs w:val="16"/>
                <w:color w:val="auto"/>
              </w:rPr>
              <w:t>Our July 14, 2008 acquisition of five utilities from Aquila, Inc.</w:t>
            </w:r>
          </w:p>
        </w:tc>
      </w:tr>
      <w:tr>
        <w:trPr>
          <w:trHeight w:val="219"/>
        </w:trPr>
        <w:tc>
          <w:tcPr>
            <w:tcW w:w="20" w:type="dxa"/>
            <w:vAlign w:val="bottom"/>
          </w:tcPr>
          <w:p>
            <w:pPr>
              <w:spacing w:after="0"/>
              <w:rPr>
                <w:sz w:val="19"/>
                <w:szCs w:val="19"/>
                <w:color w:val="auto"/>
              </w:rPr>
            </w:pPr>
          </w:p>
        </w:tc>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APSC</w:t>
            </w: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Arkansas Public Service Commission</w:t>
            </w:r>
          </w:p>
        </w:tc>
      </w:tr>
      <w:tr>
        <w:trPr>
          <w:trHeight w:val="177"/>
        </w:trPr>
        <w:tc>
          <w:tcPr>
            <w:tcW w:w="20" w:type="dxa"/>
            <w:vAlign w:val="bottom"/>
          </w:tcPr>
          <w:p>
            <w:pPr>
              <w:spacing w:after="0"/>
              <w:rPr>
                <w:sz w:val="15"/>
                <w:szCs w:val="15"/>
                <w:color w:val="auto"/>
              </w:rPr>
            </w:pPr>
          </w:p>
        </w:tc>
        <w:tc>
          <w:tcPr>
            <w:tcW w:w="3120" w:type="dxa"/>
            <w:vAlign w:val="bottom"/>
          </w:tcPr>
          <w:p>
            <w:pPr>
              <w:ind w:left="20"/>
              <w:spacing w:after="0" w:line="178" w:lineRule="exact"/>
              <w:rPr>
                <w:sz w:val="20"/>
                <w:szCs w:val="20"/>
                <w:color w:val="auto"/>
              </w:rPr>
            </w:pPr>
            <w:r>
              <w:rPr>
                <w:rFonts w:ascii="Arial" w:cs="Arial" w:eastAsia="Arial" w:hAnsi="Arial"/>
                <w:sz w:val="16"/>
                <w:szCs w:val="16"/>
                <w:color w:val="auto"/>
              </w:rPr>
              <w:t>Arkansas Gas</w:t>
            </w:r>
          </w:p>
        </w:tc>
        <w:tc>
          <w:tcPr>
            <w:tcW w:w="8080" w:type="dxa"/>
            <w:vAlign w:val="bottom"/>
          </w:tcPr>
          <w:p>
            <w:pPr>
              <w:ind w:left="160"/>
              <w:spacing w:after="0" w:line="178"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80" w:type="dxa"/>
            <w:vAlign w:val="bottom"/>
          </w:tcPr>
          <w:p>
            <w:pPr>
              <w:ind w:left="16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19"/>
        </w:trPr>
        <w:tc>
          <w:tcPr>
            <w:tcW w:w="20" w:type="dxa"/>
            <w:vAlign w:val="bottom"/>
          </w:tcPr>
          <w:p>
            <w:pPr>
              <w:spacing w:after="0"/>
              <w:rPr>
                <w:sz w:val="19"/>
                <w:szCs w:val="19"/>
                <w:color w:val="auto"/>
              </w:rPr>
            </w:pPr>
          </w:p>
        </w:tc>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ARO</w:t>
            </w: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Asset Retirement Obligations</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ASC</w:t>
            </w:r>
          </w:p>
        </w:tc>
        <w:tc>
          <w:tcPr>
            <w:tcW w:w="8080" w:type="dxa"/>
            <w:vAlign w:val="bottom"/>
          </w:tcPr>
          <w:p>
            <w:pPr>
              <w:ind w:left="160"/>
              <w:spacing w:after="0"/>
              <w:rPr>
                <w:sz w:val="20"/>
                <w:szCs w:val="20"/>
                <w:color w:val="auto"/>
              </w:rPr>
            </w:pPr>
            <w:r>
              <w:rPr>
                <w:rFonts w:ascii="Arial" w:cs="Arial" w:eastAsia="Arial" w:hAnsi="Arial"/>
                <w:sz w:val="16"/>
                <w:szCs w:val="16"/>
                <w:color w:val="auto"/>
              </w:rPr>
              <w:t>Accounting Standards Codification</w:t>
            </w:r>
          </w:p>
        </w:tc>
      </w:tr>
      <w:tr>
        <w:trPr>
          <w:trHeight w:val="219"/>
        </w:trPr>
        <w:tc>
          <w:tcPr>
            <w:tcW w:w="20" w:type="dxa"/>
            <w:vAlign w:val="bottom"/>
          </w:tcPr>
          <w:p>
            <w:pPr>
              <w:spacing w:after="0"/>
              <w:rPr>
                <w:sz w:val="19"/>
                <w:szCs w:val="19"/>
                <w:color w:val="auto"/>
              </w:rPr>
            </w:pPr>
          </w:p>
        </w:tc>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ASU</w:t>
            </w: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Accounting Standards Update as issued by the FASB</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ATM</w:t>
            </w:r>
          </w:p>
        </w:tc>
        <w:tc>
          <w:tcPr>
            <w:tcW w:w="8080" w:type="dxa"/>
            <w:vAlign w:val="bottom"/>
          </w:tcPr>
          <w:p>
            <w:pPr>
              <w:ind w:left="160"/>
              <w:spacing w:after="0"/>
              <w:rPr>
                <w:sz w:val="20"/>
                <w:szCs w:val="20"/>
                <w:color w:val="auto"/>
              </w:rPr>
            </w:pPr>
            <w:r>
              <w:rPr>
                <w:rFonts w:ascii="Arial" w:cs="Arial" w:eastAsia="Arial" w:hAnsi="Arial"/>
                <w:sz w:val="16"/>
                <w:szCs w:val="16"/>
                <w:color w:val="auto"/>
              </w:rPr>
              <w:t>At-the-market equity offering program</w:t>
            </w:r>
          </w:p>
        </w:tc>
      </w:tr>
      <w:tr>
        <w:trPr>
          <w:trHeight w:val="219"/>
        </w:trPr>
        <w:tc>
          <w:tcPr>
            <w:tcW w:w="20" w:type="dxa"/>
            <w:vAlign w:val="bottom"/>
          </w:tcPr>
          <w:p>
            <w:pPr>
              <w:spacing w:after="0"/>
              <w:rPr>
                <w:sz w:val="19"/>
                <w:szCs w:val="19"/>
                <w:color w:val="auto"/>
              </w:rPr>
            </w:pPr>
          </w:p>
        </w:tc>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Availability</w:t>
            </w: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BHC</w:t>
            </w:r>
          </w:p>
        </w:tc>
        <w:tc>
          <w:tcPr>
            <w:tcW w:w="8080" w:type="dxa"/>
            <w:vAlign w:val="bottom"/>
          </w:tcPr>
          <w:p>
            <w:pPr>
              <w:ind w:left="160"/>
              <w:spacing w:after="0"/>
              <w:rPr>
                <w:sz w:val="20"/>
                <w:szCs w:val="20"/>
                <w:color w:val="auto"/>
              </w:rPr>
            </w:pPr>
            <w:r>
              <w:rPr>
                <w:rFonts w:ascii="Arial" w:cs="Arial" w:eastAsia="Arial" w:hAnsi="Arial"/>
                <w:sz w:val="16"/>
                <w:szCs w:val="16"/>
                <w:color w:val="auto"/>
              </w:rPr>
              <w:t>Black Hills Corporation; the Company</w:t>
            </w:r>
          </w:p>
        </w:tc>
      </w:tr>
      <w:tr>
        <w:trPr>
          <w:trHeight w:val="180"/>
        </w:trPr>
        <w:tc>
          <w:tcPr>
            <w:tcW w:w="20" w:type="dxa"/>
            <w:vAlign w:val="bottom"/>
          </w:tcPr>
          <w:p>
            <w:pPr>
              <w:spacing w:after="0"/>
              <w:rPr>
                <w:sz w:val="15"/>
                <w:szCs w:val="15"/>
                <w:color w:val="auto"/>
              </w:rPr>
            </w:pPr>
          </w:p>
        </w:tc>
        <w:tc>
          <w:tcPr>
            <w:tcW w:w="31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BHSC</w:t>
            </w:r>
          </w:p>
        </w:tc>
        <w:tc>
          <w:tcPr>
            <w:tcW w:w="808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Service Company, LLC, a direct, wholly-owned subsidiary of Black Hills Corporation (doing</w:t>
            </w:r>
          </w:p>
        </w:tc>
      </w:tr>
      <w:tr>
        <w:trPr>
          <w:trHeight w:val="201"/>
        </w:trPr>
        <w:tc>
          <w:tcPr>
            <w:tcW w:w="20" w:type="dxa"/>
            <w:vAlign w:val="bottom"/>
          </w:tcPr>
          <w:p>
            <w:pPr>
              <w:spacing w:after="0"/>
              <w:rPr>
                <w:sz w:val="17"/>
                <w:szCs w:val="17"/>
                <w:color w:val="auto"/>
              </w:rPr>
            </w:pPr>
          </w:p>
        </w:tc>
        <w:tc>
          <w:tcPr>
            <w:tcW w:w="3120" w:type="dxa"/>
            <w:vAlign w:val="bottom"/>
            <w:shd w:val="clear" w:color="auto" w:fill="CEFFE7"/>
          </w:tcPr>
          <w:p>
            <w:pPr>
              <w:spacing w:after="0"/>
              <w:rPr>
                <w:sz w:val="17"/>
                <w:szCs w:val="17"/>
                <w:color w:val="auto"/>
              </w:rPr>
            </w:pP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business as Black Hills Energy)</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Black Hills Colorado IPP</w:t>
            </w:r>
          </w:p>
        </w:tc>
        <w:tc>
          <w:tcPr>
            <w:tcW w:w="8080" w:type="dxa"/>
            <w:vAlign w:val="bottom"/>
          </w:tcPr>
          <w:p>
            <w:pPr>
              <w:ind w:left="1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80"/>
        </w:trPr>
        <w:tc>
          <w:tcPr>
            <w:tcW w:w="20" w:type="dxa"/>
            <w:vAlign w:val="bottom"/>
          </w:tcPr>
          <w:p>
            <w:pPr>
              <w:spacing w:after="0"/>
              <w:rPr>
                <w:sz w:val="15"/>
                <w:szCs w:val="15"/>
                <w:color w:val="auto"/>
              </w:rPr>
            </w:pPr>
          </w:p>
        </w:tc>
        <w:tc>
          <w:tcPr>
            <w:tcW w:w="31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Black Hills Electric Generation</w:t>
            </w:r>
          </w:p>
        </w:tc>
        <w:tc>
          <w:tcPr>
            <w:tcW w:w="808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201"/>
        </w:trPr>
        <w:tc>
          <w:tcPr>
            <w:tcW w:w="20" w:type="dxa"/>
            <w:vAlign w:val="bottom"/>
          </w:tcPr>
          <w:p>
            <w:pPr>
              <w:spacing w:after="0"/>
              <w:rPr>
                <w:sz w:val="17"/>
                <w:szCs w:val="17"/>
                <w:color w:val="auto"/>
              </w:rPr>
            </w:pPr>
          </w:p>
        </w:tc>
        <w:tc>
          <w:tcPr>
            <w:tcW w:w="3120" w:type="dxa"/>
            <w:vAlign w:val="bottom"/>
            <w:shd w:val="clear" w:color="auto" w:fill="CEFFE7"/>
          </w:tcPr>
          <w:p>
            <w:pPr>
              <w:spacing w:after="0"/>
              <w:rPr>
                <w:sz w:val="17"/>
                <w:szCs w:val="17"/>
                <w:color w:val="auto"/>
              </w:rPr>
            </w:pP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Black Hills Energy</w:t>
            </w:r>
          </w:p>
        </w:tc>
        <w:tc>
          <w:tcPr>
            <w:tcW w:w="8080" w:type="dxa"/>
            <w:vAlign w:val="bottom"/>
          </w:tcPr>
          <w:p>
            <w:pPr>
              <w:ind w:left="16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80"/>
        </w:trPr>
        <w:tc>
          <w:tcPr>
            <w:tcW w:w="20" w:type="dxa"/>
            <w:vAlign w:val="bottom"/>
          </w:tcPr>
          <w:p>
            <w:pPr>
              <w:spacing w:after="0"/>
              <w:rPr>
                <w:sz w:val="15"/>
                <w:szCs w:val="15"/>
                <w:color w:val="auto"/>
              </w:rPr>
            </w:pPr>
          </w:p>
        </w:tc>
        <w:tc>
          <w:tcPr>
            <w:tcW w:w="31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Black Hills Energy Services</w:t>
            </w:r>
          </w:p>
        </w:tc>
        <w:tc>
          <w:tcPr>
            <w:tcW w:w="808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Energy Services Company, an indirect, wholly-owned subsidiary of Black Hills Utility Holdings,</w:t>
            </w:r>
          </w:p>
        </w:tc>
      </w:tr>
      <w:tr>
        <w:trPr>
          <w:trHeight w:val="201"/>
        </w:trPr>
        <w:tc>
          <w:tcPr>
            <w:tcW w:w="20" w:type="dxa"/>
            <w:vAlign w:val="bottom"/>
          </w:tcPr>
          <w:p>
            <w:pPr>
              <w:spacing w:after="0"/>
              <w:rPr>
                <w:sz w:val="17"/>
                <w:szCs w:val="17"/>
                <w:color w:val="auto"/>
              </w:rPr>
            </w:pPr>
          </w:p>
        </w:tc>
        <w:tc>
          <w:tcPr>
            <w:tcW w:w="3120" w:type="dxa"/>
            <w:vAlign w:val="bottom"/>
            <w:shd w:val="clear" w:color="auto" w:fill="CEFFE7"/>
          </w:tcPr>
          <w:p>
            <w:pPr>
              <w:spacing w:after="0"/>
              <w:rPr>
                <w:sz w:val="17"/>
                <w:szCs w:val="17"/>
                <w:color w:val="auto"/>
              </w:rPr>
            </w:pP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providing natural gas commodity supply for the Choice Gas Programs (doing business as Black Hills Energy).</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Black Hills Non-regulated Holdings</w:t>
            </w:r>
          </w:p>
        </w:tc>
        <w:tc>
          <w:tcPr>
            <w:tcW w:w="8080" w:type="dxa"/>
            <w:vAlign w:val="bottom"/>
          </w:tcPr>
          <w:p>
            <w:pPr>
              <w:ind w:left="1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80"/>
        </w:trPr>
        <w:tc>
          <w:tcPr>
            <w:tcW w:w="20" w:type="dxa"/>
            <w:vAlign w:val="bottom"/>
          </w:tcPr>
          <w:p>
            <w:pPr>
              <w:spacing w:after="0"/>
              <w:rPr>
                <w:sz w:val="15"/>
                <w:szCs w:val="15"/>
                <w:color w:val="auto"/>
              </w:rPr>
            </w:pPr>
          </w:p>
        </w:tc>
        <w:tc>
          <w:tcPr>
            <w:tcW w:w="31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Black Hills Utility Holdings</w:t>
            </w:r>
          </w:p>
        </w:tc>
        <w:tc>
          <w:tcPr>
            <w:tcW w:w="808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Utility Holdings, Inc., a direct, wholly-owned subsidiary of Black Hills Corporation (doing business</w:t>
            </w:r>
          </w:p>
        </w:tc>
      </w:tr>
      <w:tr>
        <w:trPr>
          <w:trHeight w:val="201"/>
        </w:trPr>
        <w:tc>
          <w:tcPr>
            <w:tcW w:w="20" w:type="dxa"/>
            <w:vAlign w:val="bottom"/>
          </w:tcPr>
          <w:p>
            <w:pPr>
              <w:spacing w:after="0"/>
              <w:rPr>
                <w:sz w:val="17"/>
                <w:szCs w:val="17"/>
                <w:color w:val="auto"/>
              </w:rPr>
            </w:pPr>
          </w:p>
        </w:tc>
        <w:tc>
          <w:tcPr>
            <w:tcW w:w="3120" w:type="dxa"/>
            <w:vAlign w:val="bottom"/>
            <w:shd w:val="clear" w:color="auto" w:fill="CEFFE7"/>
          </w:tcPr>
          <w:p>
            <w:pPr>
              <w:spacing w:after="0"/>
              <w:rPr>
                <w:sz w:val="17"/>
                <w:szCs w:val="17"/>
                <w:color w:val="auto"/>
              </w:rPr>
            </w:pP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as Black Hills Energy)</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8080" w:type="dxa"/>
            <w:vAlign w:val="bottom"/>
          </w:tcPr>
          <w:p>
            <w:pPr>
              <w:ind w:left="1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219"/>
        </w:trPr>
        <w:tc>
          <w:tcPr>
            <w:tcW w:w="20" w:type="dxa"/>
            <w:vAlign w:val="bottom"/>
          </w:tcPr>
          <w:p>
            <w:pPr>
              <w:spacing w:after="0"/>
              <w:rPr>
                <w:sz w:val="19"/>
                <w:szCs w:val="19"/>
                <w:color w:val="auto"/>
              </w:rPr>
            </w:pPr>
          </w:p>
        </w:tc>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BLM</w:t>
            </w: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United States Bureau of Land Management</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Btu</w:t>
            </w:r>
          </w:p>
        </w:tc>
        <w:tc>
          <w:tcPr>
            <w:tcW w:w="8080" w:type="dxa"/>
            <w:vAlign w:val="bottom"/>
          </w:tcPr>
          <w:p>
            <w:pPr>
              <w:ind w:left="160"/>
              <w:spacing w:after="0"/>
              <w:rPr>
                <w:sz w:val="20"/>
                <w:szCs w:val="20"/>
                <w:color w:val="auto"/>
              </w:rPr>
            </w:pPr>
            <w:r>
              <w:rPr>
                <w:rFonts w:ascii="Arial" w:cs="Arial" w:eastAsia="Arial" w:hAnsi="Arial"/>
                <w:sz w:val="16"/>
                <w:szCs w:val="16"/>
                <w:color w:val="auto"/>
              </w:rPr>
              <w:t>British thermal unit</w:t>
            </w:r>
          </w:p>
        </w:tc>
      </w:tr>
      <w:tr>
        <w:trPr>
          <w:trHeight w:val="180"/>
        </w:trPr>
        <w:tc>
          <w:tcPr>
            <w:tcW w:w="20" w:type="dxa"/>
            <w:vAlign w:val="bottom"/>
          </w:tcPr>
          <w:p>
            <w:pPr>
              <w:spacing w:after="0"/>
              <w:rPr>
                <w:sz w:val="15"/>
                <w:szCs w:val="15"/>
                <w:color w:val="auto"/>
              </w:rPr>
            </w:pPr>
          </w:p>
        </w:tc>
        <w:tc>
          <w:tcPr>
            <w:tcW w:w="31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Busch Ranch I</w:t>
            </w:r>
          </w:p>
        </w:tc>
        <w:tc>
          <w:tcPr>
            <w:tcW w:w="808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The 29 MW wind farm near Pueblo, Colorado, jointly owned by Colorado Electric and Black Hills Electric</w:t>
            </w:r>
          </w:p>
        </w:tc>
      </w:tr>
      <w:tr>
        <w:trPr>
          <w:trHeight w:val="162"/>
        </w:trPr>
        <w:tc>
          <w:tcPr>
            <w:tcW w:w="20" w:type="dxa"/>
            <w:vAlign w:val="bottom"/>
          </w:tcPr>
          <w:p>
            <w:pPr>
              <w:spacing w:after="0"/>
              <w:rPr>
                <w:sz w:val="14"/>
                <w:szCs w:val="14"/>
                <w:color w:val="auto"/>
              </w:rPr>
            </w:pPr>
          </w:p>
        </w:tc>
        <w:tc>
          <w:tcPr>
            <w:tcW w:w="3120" w:type="dxa"/>
            <w:vAlign w:val="bottom"/>
            <w:shd w:val="clear" w:color="auto" w:fill="CEFFE7"/>
          </w:tcPr>
          <w:p>
            <w:pPr>
              <w:spacing w:after="0"/>
              <w:rPr>
                <w:sz w:val="14"/>
                <w:szCs w:val="14"/>
                <w:color w:val="auto"/>
              </w:rPr>
            </w:pPr>
          </w:p>
        </w:tc>
        <w:tc>
          <w:tcPr>
            <w:tcW w:w="808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Generation. Colorado Electric and Black Hills Electric Generation each have a 50% ownership interest in the</w:t>
            </w:r>
          </w:p>
        </w:tc>
      </w:tr>
      <w:tr>
        <w:trPr>
          <w:trHeight w:val="201"/>
        </w:trPr>
        <w:tc>
          <w:tcPr>
            <w:tcW w:w="20" w:type="dxa"/>
            <w:vAlign w:val="bottom"/>
          </w:tcPr>
          <w:p>
            <w:pPr>
              <w:spacing w:after="0"/>
              <w:rPr>
                <w:sz w:val="17"/>
                <w:szCs w:val="17"/>
                <w:color w:val="auto"/>
              </w:rPr>
            </w:pPr>
          </w:p>
        </w:tc>
        <w:tc>
          <w:tcPr>
            <w:tcW w:w="3120" w:type="dxa"/>
            <w:vAlign w:val="bottom"/>
            <w:shd w:val="clear" w:color="auto" w:fill="CEFFE7"/>
          </w:tcPr>
          <w:p>
            <w:pPr>
              <w:spacing w:after="0"/>
              <w:rPr>
                <w:sz w:val="17"/>
                <w:szCs w:val="17"/>
                <w:color w:val="auto"/>
              </w:rPr>
            </w:pP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wind farm.</w:t>
            </w:r>
          </w:p>
        </w:tc>
      </w:tr>
      <w:tr>
        <w:trPr>
          <w:trHeight w:val="177"/>
        </w:trPr>
        <w:tc>
          <w:tcPr>
            <w:tcW w:w="20" w:type="dxa"/>
            <w:vAlign w:val="bottom"/>
          </w:tcPr>
          <w:p>
            <w:pPr>
              <w:spacing w:after="0"/>
              <w:rPr>
                <w:sz w:val="15"/>
                <w:szCs w:val="15"/>
                <w:color w:val="auto"/>
              </w:rPr>
            </w:pPr>
          </w:p>
        </w:tc>
        <w:tc>
          <w:tcPr>
            <w:tcW w:w="3120" w:type="dxa"/>
            <w:vAlign w:val="bottom"/>
          </w:tcPr>
          <w:p>
            <w:pPr>
              <w:ind w:left="20"/>
              <w:spacing w:after="0" w:line="178" w:lineRule="exact"/>
              <w:rPr>
                <w:sz w:val="20"/>
                <w:szCs w:val="20"/>
                <w:color w:val="auto"/>
              </w:rPr>
            </w:pPr>
            <w:r>
              <w:rPr>
                <w:rFonts w:ascii="Arial" w:cs="Arial" w:eastAsia="Arial" w:hAnsi="Arial"/>
                <w:sz w:val="16"/>
                <w:szCs w:val="16"/>
                <w:color w:val="auto"/>
              </w:rPr>
              <w:t>Busch Ranch II</w:t>
            </w:r>
          </w:p>
        </w:tc>
        <w:tc>
          <w:tcPr>
            <w:tcW w:w="8080" w:type="dxa"/>
            <w:vAlign w:val="bottom"/>
          </w:tcPr>
          <w:p>
            <w:pPr>
              <w:ind w:left="160"/>
              <w:spacing w:after="0" w:line="178" w:lineRule="exact"/>
              <w:rPr>
                <w:sz w:val="20"/>
                <w:szCs w:val="20"/>
                <w:color w:val="auto"/>
              </w:rPr>
            </w:pPr>
            <w:r>
              <w:rPr>
                <w:rFonts w:ascii="Arial" w:cs="Arial" w:eastAsia="Arial" w:hAnsi="Arial"/>
                <w:sz w:val="16"/>
                <w:szCs w:val="16"/>
                <w:color w:val="auto"/>
              </w:rPr>
              <w:t>The 60 MW wind farm near Pueblo, Colorado owned by Black Hills Electric Generation to provide wind energy</w:t>
            </w: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80" w:type="dxa"/>
            <w:vAlign w:val="bottom"/>
          </w:tcPr>
          <w:p>
            <w:pPr>
              <w:ind w:left="160"/>
              <w:spacing w:after="0"/>
              <w:rPr>
                <w:sz w:val="20"/>
                <w:szCs w:val="20"/>
                <w:color w:val="auto"/>
              </w:rPr>
            </w:pPr>
            <w:r>
              <w:rPr>
                <w:rFonts w:ascii="Arial" w:cs="Arial" w:eastAsia="Arial" w:hAnsi="Arial"/>
                <w:sz w:val="16"/>
                <w:szCs w:val="16"/>
                <w:color w:val="auto"/>
              </w:rPr>
              <w:t>to Colorado Electric through a power purchase agreement expiring in November 2044.</w:t>
            </w:r>
          </w:p>
        </w:tc>
      </w:tr>
      <w:tr>
        <w:trPr>
          <w:trHeight w:val="180"/>
        </w:trPr>
        <w:tc>
          <w:tcPr>
            <w:tcW w:w="20" w:type="dxa"/>
            <w:vAlign w:val="bottom"/>
          </w:tcPr>
          <w:p>
            <w:pPr>
              <w:spacing w:after="0"/>
              <w:rPr>
                <w:sz w:val="15"/>
                <w:szCs w:val="15"/>
                <w:color w:val="auto"/>
              </w:rPr>
            </w:pPr>
          </w:p>
        </w:tc>
        <w:tc>
          <w:tcPr>
            <w:tcW w:w="31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CARES Act</w:t>
            </w:r>
          </w:p>
        </w:tc>
        <w:tc>
          <w:tcPr>
            <w:tcW w:w="808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Coronavirus Aid, Relief, and Economic Security Act, signed on March 27, 2020, which is a tax and spending</w:t>
            </w:r>
          </w:p>
        </w:tc>
      </w:tr>
      <w:tr>
        <w:trPr>
          <w:trHeight w:val="201"/>
        </w:trPr>
        <w:tc>
          <w:tcPr>
            <w:tcW w:w="20" w:type="dxa"/>
            <w:vAlign w:val="bottom"/>
          </w:tcPr>
          <w:p>
            <w:pPr>
              <w:spacing w:after="0"/>
              <w:rPr>
                <w:sz w:val="17"/>
                <w:szCs w:val="17"/>
                <w:color w:val="auto"/>
              </w:rPr>
            </w:pPr>
          </w:p>
        </w:tc>
        <w:tc>
          <w:tcPr>
            <w:tcW w:w="3120" w:type="dxa"/>
            <w:vAlign w:val="bottom"/>
            <w:shd w:val="clear" w:color="auto" w:fill="CEFFE7"/>
          </w:tcPr>
          <w:p>
            <w:pPr>
              <w:spacing w:after="0"/>
              <w:rPr>
                <w:sz w:val="17"/>
                <w:szCs w:val="17"/>
                <w:color w:val="auto"/>
              </w:rPr>
            </w:pP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package intended to provide additional economic relief and address the impact of the COVID-19 pandemic.</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CFTC</w:t>
            </w:r>
          </w:p>
        </w:tc>
        <w:tc>
          <w:tcPr>
            <w:tcW w:w="8080" w:type="dxa"/>
            <w:vAlign w:val="bottom"/>
          </w:tcPr>
          <w:p>
            <w:pPr>
              <w:ind w:left="160"/>
              <w:spacing w:after="0"/>
              <w:rPr>
                <w:sz w:val="20"/>
                <w:szCs w:val="20"/>
                <w:color w:val="auto"/>
              </w:rPr>
            </w:pPr>
            <w:r>
              <w:rPr>
                <w:rFonts w:ascii="Arial" w:cs="Arial" w:eastAsia="Arial" w:hAnsi="Arial"/>
                <w:sz w:val="16"/>
                <w:szCs w:val="16"/>
                <w:color w:val="auto"/>
              </w:rPr>
              <w:t>United States Commodity Futures Trading Commission</w:t>
            </w:r>
          </w:p>
        </w:tc>
      </w:tr>
      <w:tr>
        <w:trPr>
          <w:trHeight w:val="180"/>
        </w:trPr>
        <w:tc>
          <w:tcPr>
            <w:tcW w:w="20" w:type="dxa"/>
            <w:vAlign w:val="bottom"/>
          </w:tcPr>
          <w:p>
            <w:pPr>
              <w:spacing w:after="0"/>
              <w:rPr>
                <w:sz w:val="15"/>
                <w:szCs w:val="15"/>
                <w:color w:val="auto"/>
              </w:rPr>
            </w:pPr>
          </w:p>
        </w:tc>
        <w:tc>
          <w:tcPr>
            <w:tcW w:w="31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Cheyenne Prairie</w:t>
            </w:r>
          </w:p>
        </w:tc>
        <w:tc>
          <w:tcPr>
            <w:tcW w:w="808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Cheyenne Prairie Generating Station serves the utility customers of South Dakota Electric and Wyoming</w:t>
            </w:r>
          </w:p>
        </w:tc>
      </w:tr>
      <w:tr>
        <w:trPr>
          <w:trHeight w:val="162"/>
        </w:trPr>
        <w:tc>
          <w:tcPr>
            <w:tcW w:w="20" w:type="dxa"/>
            <w:vAlign w:val="bottom"/>
          </w:tcPr>
          <w:p>
            <w:pPr>
              <w:spacing w:after="0"/>
              <w:rPr>
                <w:sz w:val="14"/>
                <w:szCs w:val="14"/>
                <w:color w:val="auto"/>
              </w:rPr>
            </w:pPr>
          </w:p>
        </w:tc>
        <w:tc>
          <w:tcPr>
            <w:tcW w:w="3120" w:type="dxa"/>
            <w:vAlign w:val="bottom"/>
            <w:shd w:val="clear" w:color="auto" w:fill="CEFFE7"/>
          </w:tcPr>
          <w:p>
            <w:pPr>
              <w:spacing w:after="0"/>
              <w:rPr>
                <w:sz w:val="14"/>
                <w:szCs w:val="14"/>
                <w:color w:val="auto"/>
              </w:rPr>
            </w:pPr>
          </w:p>
        </w:tc>
        <w:tc>
          <w:tcPr>
            <w:tcW w:w="808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Electric. The facility includes one simple-cycle, 37 MW combustion turbine that is wholly-owned by Wyoming</w:t>
            </w:r>
          </w:p>
        </w:tc>
      </w:tr>
      <w:tr>
        <w:trPr>
          <w:trHeight w:val="162"/>
        </w:trPr>
        <w:tc>
          <w:tcPr>
            <w:tcW w:w="20" w:type="dxa"/>
            <w:vAlign w:val="bottom"/>
          </w:tcPr>
          <w:p>
            <w:pPr>
              <w:spacing w:after="0"/>
              <w:rPr>
                <w:sz w:val="14"/>
                <w:szCs w:val="14"/>
                <w:color w:val="auto"/>
              </w:rPr>
            </w:pPr>
          </w:p>
        </w:tc>
        <w:tc>
          <w:tcPr>
            <w:tcW w:w="3120" w:type="dxa"/>
            <w:vAlign w:val="bottom"/>
            <w:shd w:val="clear" w:color="auto" w:fill="CEFFE7"/>
          </w:tcPr>
          <w:p>
            <w:pPr>
              <w:spacing w:after="0"/>
              <w:rPr>
                <w:sz w:val="14"/>
                <w:szCs w:val="14"/>
                <w:color w:val="auto"/>
              </w:rPr>
            </w:pPr>
          </w:p>
        </w:tc>
        <w:tc>
          <w:tcPr>
            <w:tcW w:w="808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Electric and one combined-cycle, 95 MW unit that is jointly-owned by Wyoming Electric (40 MW) and South</w:t>
            </w:r>
          </w:p>
        </w:tc>
      </w:tr>
      <w:tr>
        <w:trPr>
          <w:trHeight w:val="201"/>
        </w:trPr>
        <w:tc>
          <w:tcPr>
            <w:tcW w:w="20" w:type="dxa"/>
            <w:vAlign w:val="bottom"/>
          </w:tcPr>
          <w:p>
            <w:pPr>
              <w:spacing w:after="0"/>
              <w:rPr>
                <w:sz w:val="17"/>
                <w:szCs w:val="17"/>
                <w:color w:val="auto"/>
              </w:rPr>
            </w:pPr>
          </w:p>
        </w:tc>
        <w:tc>
          <w:tcPr>
            <w:tcW w:w="3120" w:type="dxa"/>
            <w:vAlign w:val="bottom"/>
            <w:shd w:val="clear" w:color="auto" w:fill="CEFFE7"/>
          </w:tcPr>
          <w:p>
            <w:pPr>
              <w:spacing w:after="0"/>
              <w:rPr>
                <w:sz w:val="17"/>
                <w:szCs w:val="17"/>
                <w:color w:val="auto"/>
              </w:rPr>
            </w:pP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Dakota Electric (55 MW).</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Chief Operating Decision Maker (CODM)</w:t>
            </w:r>
          </w:p>
        </w:tc>
        <w:tc>
          <w:tcPr>
            <w:tcW w:w="808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r>
        <w:trPr>
          <w:trHeight w:val="180"/>
        </w:trPr>
        <w:tc>
          <w:tcPr>
            <w:tcW w:w="20" w:type="dxa"/>
            <w:vAlign w:val="bottom"/>
          </w:tcPr>
          <w:p>
            <w:pPr>
              <w:spacing w:after="0"/>
              <w:rPr>
                <w:sz w:val="15"/>
                <w:szCs w:val="15"/>
                <w:color w:val="auto"/>
              </w:rPr>
            </w:pPr>
          </w:p>
        </w:tc>
        <w:tc>
          <w:tcPr>
            <w:tcW w:w="31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Choice Gas Program</w:t>
            </w:r>
          </w:p>
        </w:tc>
        <w:tc>
          <w:tcPr>
            <w:tcW w:w="808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Regulator approved programs in Wyoming and Nebraska that allow certain utility customers to select their</w:t>
            </w:r>
          </w:p>
        </w:tc>
      </w:tr>
      <w:tr>
        <w:trPr>
          <w:trHeight w:val="162"/>
        </w:trPr>
        <w:tc>
          <w:tcPr>
            <w:tcW w:w="20" w:type="dxa"/>
            <w:vAlign w:val="bottom"/>
          </w:tcPr>
          <w:p>
            <w:pPr>
              <w:spacing w:after="0"/>
              <w:rPr>
                <w:sz w:val="14"/>
                <w:szCs w:val="14"/>
                <w:color w:val="auto"/>
              </w:rPr>
            </w:pPr>
          </w:p>
        </w:tc>
        <w:tc>
          <w:tcPr>
            <w:tcW w:w="3120" w:type="dxa"/>
            <w:vAlign w:val="bottom"/>
            <w:shd w:val="clear" w:color="auto" w:fill="CEFFE7"/>
          </w:tcPr>
          <w:p>
            <w:pPr>
              <w:spacing w:after="0"/>
              <w:rPr>
                <w:sz w:val="14"/>
                <w:szCs w:val="14"/>
                <w:color w:val="auto"/>
              </w:rPr>
            </w:pPr>
          </w:p>
        </w:tc>
        <w:tc>
          <w:tcPr>
            <w:tcW w:w="808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natural gas commodity supplier, providing the unbundling of the commodity service from the distribution</w:t>
            </w:r>
          </w:p>
        </w:tc>
      </w:tr>
      <w:tr>
        <w:trPr>
          <w:trHeight w:val="201"/>
        </w:trPr>
        <w:tc>
          <w:tcPr>
            <w:tcW w:w="20" w:type="dxa"/>
            <w:vAlign w:val="bottom"/>
          </w:tcPr>
          <w:p>
            <w:pPr>
              <w:spacing w:after="0"/>
              <w:rPr>
                <w:sz w:val="17"/>
                <w:szCs w:val="17"/>
                <w:color w:val="auto"/>
              </w:rPr>
            </w:pPr>
          </w:p>
        </w:tc>
        <w:tc>
          <w:tcPr>
            <w:tcW w:w="3120" w:type="dxa"/>
            <w:vAlign w:val="bottom"/>
            <w:shd w:val="clear" w:color="auto" w:fill="CEFFE7"/>
          </w:tcPr>
          <w:p>
            <w:pPr>
              <w:spacing w:after="0"/>
              <w:rPr>
                <w:sz w:val="17"/>
                <w:szCs w:val="17"/>
                <w:color w:val="auto"/>
              </w:rPr>
            </w:pP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delivery service.</w:t>
            </w:r>
          </w:p>
        </w:tc>
      </w:tr>
      <w:tr>
        <w:trPr>
          <w:trHeight w:val="213"/>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CIAC</w:t>
            </w:r>
          </w:p>
        </w:tc>
        <w:tc>
          <w:tcPr>
            <w:tcW w:w="8080" w:type="dxa"/>
            <w:vAlign w:val="bottom"/>
          </w:tcPr>
          <w:p>
            <w:pPr>
              <w:ind w:left="160"/>
              <w:spacing w:after="0"/>
              <w:rPr>
                <w:sz w:val="20"/>
                <w:szCs w:val="20"/>
                <w:color w:val="auto"/>
              </w:rPr>
            </w:pPr>
            <w:r>
              <w:rPr>
                <w:rFonts w:ascii="Arial" w:cs="Arial" w:eastAsia="Arial" w:hAnsi="Arial"/>
                <w:sz w:val="16"/>
                <w:szCs w:val="16"/>
                <w:color w:val="auto"/>
              </w:rPr>
              <w:t>Contribution in Aid of Construction</w:t>
            </w:r>
          </w:p>
        </w:tc>
      </w:tr>
      <w:tr>
        <w:trPr>
          <w:trHeight w:val="219"/>
        </w:trPr>
        <w:tc>
          <w:tcPr>
            <w:tcW w:w="20" w:type="dxa"/>
            <w:vAlign w:val="bottom"/>
          </w:tcPr>
          <w:p>
            <w:pPr>
              <w:spacing w:after="0"/>
              <w:rPr>
                <w:sz w:val="19"/>
                <w:szCs w:val="19"/>
                <w:color w:val="auto"/>
              </w:rPr>
            </w:pPr>
          </w:p>
        </w:tc>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City of Cheyenne</w:t>
            </w:r>
          </w:p>
        </w:tc>
        <w:tc>
          <w:tcPr>
            <w:tcW w:w="80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Cheyenne, Wyoming</w:t>
            </w: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5"/>
        </w:trPr>
        <w:tc>
          <w:tcPr>
            <w:tcW w:w="2700" w:type="dxa"/>
            <w:vAlign w:val="bottom"/>
            <w:gridSpan w:val="2"/>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8520" w:type="dxa"/>
            <w:vAlign w:val="bottom"/>
          </w:tcPr>
          <w:p>
            <w:pPr>
              <w:spacing w:after="0"/>
              <w:rPr>
                <w:sz w:val="18"/>
                <w:szCs w:val="18"/>
                <w:color w:val="auto"/>
              </w:rPr>
            </w:pPr>
          </w:p>
        </w:tc>
      </w:tr>
      <w:tr>
        <w:trPr>
          <w:trHeight w:val="786"/>
        </w:trPr>
        <w:tc>
          <w:tcPr>
            <w:tcW w:w="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City of Colorado Springs</w:t>
            </w:r>
          </w:p>
        </w:tc>
        <w:tc>
          <w:tcPr>
            <w:tcW w:w="8520" w:type="dxa"/>
            <w:vAlign w:val="bottom"/>
          </w:tcPr>
          <w:p>
            <w:pPr>
              <w:ind w:left="600"/>
              <w:spacing w:after="0"/>
              <w:rPr>
                <w:sz w:val="20"/>
                <w:szCs w:val="20"/>
                <w:color w:val="auto"/>
              </w:rPr>
            </w:pPr>
            <w:r>
              <w:rPr>
                <w:rFonts w:ascii="Arial" w:cs="Arial" w:eastAsia="Arial" w:hAnsi="Arial"/>
                <w:sz w:val="16"/>
                <w:szCs w:val="16"/>
                <w:color w:val="auto"/>
              </w:rPr>
              <w:t>Colorado Springs, Colorado</w:t>
            </w:r>
          </w:p>
        </w:tc>
      </w:tr>
      <w:tr>
        <w:trPr>
          <w:trHeight w:val="219"/>
        </w:trPr>
        <w:tc>
          <w:tcPr>
            <w:tcW w:w="20" w:type="dxa"/>
            <w:vAlign w:val="bottom"/>
          </w:tcPr>
          <w:p>
            <w:pPr>
              <w:spacing w:after="0"/>
              <w:rPr>
                <w:sz w:val="19"/>
                <w:szCs w:val="19"/>
                <w:color w:val="auto"/>
              </w:rPr>
            </w:pPr>
          </w:p>
        </w:tc>
        <w:tc>
          <w:tcPr>
            <w:tcW w:w="2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City of Gillette</w:t>
            </w:r>
          </w:p>
        </w:tc>
        <w:tc>
          <w:tcPr>
            <w:tcW w:w="8520" w:type="dxa"/>
            <w:vAlign w:val="bottom"/>
            <w:shd w:val="clear" w:color="auto" w:fill="CEFFE7"/>
          </w:tcPr>
          <w:p>
            <w:pPr>
              <w:ind w:left="600"/>
              <w:spacing w:after="0"/>
              <w:rPr>
                <w:sz w:val="20"/>
                <w:szCs w:val="20"/>
                <w:color w:val="auto"/>
              </w:rPr>
            </w:pPr>
            <w:r>
              <w:rPr>
                <w:rFonts w:ascii="Arial" w:cs="Arial" w:eastAsia="Arial" w:hAnsi="Arial"/>
                <w:sz w:val="16"/>
                <w:szCs w:val="16"/>
                <w:color w:val="auto"/>
              </w:rPr>
              <w:t>Gillette, Wyoming</w:t>
            </w:r>
          </w:p>
        </w:tc>
      </w:tr>
      <w:tr>
        <w:trPr>
          <w:trHeight w:val="177"/>
        </w:trPr>
        <w:tc>
          <w:tcPr>
            <w:tcW w:w="20" w:type="dxa"/>
            <w:vAlign w:val="bottom"/>
          </w:tcPr>
          <w:p>
            <w:pPr>
              <w:spacing w:after="0"/>
              <w:rPr>
                <w:sz w:val="15"/>
                <w:szCs w:val="15"/>
                <w:color w:val="auto"/>
              </w:rPr>
            </w:pPr>
          </w:p>
        </w:tc>
        <w:tc>
          <w:tcPr>
            <w:tcW w:w="2680" w:type="dxa"/>
            <w:vAlign w:val="bottom"/>
          </w:tcPr>
          <w:p>
            <w:pPr>
              <w:ind w:left="20"/>
              <w:spacing w:after="0" w:line="178" w:lineRule="exact"/>
              <w:rPr>
                <w:sz w:val="20"/>
                <w:szCs w:val="20"/>
                <w:color w:val="auto"/>
              </w:rPr>
            </w:pPr>
            <w:r>
              <w:rPr>
                <w:rFonts w:ascii="Arial" w:cs="Arial" w:eastAsia="Arial" w:hAnsi="Arial"/>
                <w:sz w:val="16"/>
                <w:szCs w:val="16"/>
                <w:color w:val="auto"/>
              </w:rPr>
              <w:t>Colorado Electric</w:t>
            </w:r>
          </w:p>
        </w:tc>
        <w:tc>
          <w:tcPr>
            <w:tcW w:w="8520" w:type="dxa"/>
            <w:vAlign w:val="bottom"/>
          </w:tcPr>
          <w:p>
            <w:pPr>
              <w:ind w:left="600"/>
              <w:spacing w:after="0" w:line="178" w:lineRule="exact"/>
              <w:rPr>
                <w:sz w:val="20"/>
                <w:szCs w:val="20"/>
                <w:color w:val="auto"/>
              </w:rPr>
            </w:pPr>
            <w:r>
              <w:rPr>
                <w:rFonts w:ascii="Arial" w:cs="Arial" w:eastAsia="Arial" w:hAnsi="Arial"/>
                <w:sz w:val="16"/>
                <w:szCs w:val="16"/>
                <w:color w:val="auto"/>
              </w:rPr>
              <w:t>Black Hills Colorado Electric, LLC, a direct, wholly-owned subsidiary of Black Hills Utility Holdings, providing</w:t>
            </w: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520" w:type="dxa"/>
            <w:vAlign w:val="bottom"/>
          </w:tcPr>
          <w:p>
            <w:pPr>
              <w:ind w:left="600"/>
              <w:spacing w:after="0"/>
              <w:rPr>
                <w:sz w:val="20"/>
                <w:szCs w:val="20"/>
                <w:color w:val="auto"/>
              </w:rPr>
            </w:pPr>
            <w:r>
              <w:rPr>
                <w:rFonts w:ascii="Arial" w:cs="Arial" w:eastAsia="Arial" w:hAnsi="Arial"/>
                <w:sz w:val="16"/>
                <w:szCs w:val="16"/>
                <w:color w:val="auto"/>
              </w:rPr>
              <w:t>electric service to customers in Colorado (doing business as Black Hills Energy).</w:t>
            </w:r>
          </w:p>
        </w:tc>
      </w:tr>
      <w:tr>
        <w:trPr>
          <w:trHeight w:val="180"/>
        </w:trPr>
        <w:tc>
          <w:tcPr>
            <w:tcW w:w="20" w:type="dxa"/>
            <w:vAlign w:val="bottom"/>
          </w:tcPr>
          <w:p>
            <w:pPr>
              <w:spacing w:after="0"/>
              <w:rPr>
                <w:sz w:val="15"/>
                <w:szCs w:val="15"/>
                <w:color w:val="auto"/>
              </w:rPr>
            </w:pPr>
          </w:p>
        </w:tc>
        <w:tc>
          <w:tcPr>
            <w:tcW w:w="268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Colorado Gas</w:t>
            </w:r>
          </w:p>
        </w:tc>
        <w:tc>
          <w:tcPr>
            <w:tcW w:w="8520" w:type="dxa"/>
            <w:vAlign w:val="bottom"/>
            <w:shd w:val="clear" w:color="auto" w:fill="CEFFE7"/>
          </w:tcPr>
          <w:p>
            <w:pPr>
              <w:ind w:left="600"/>
              <w:spacing w:after="0" w:line="181" w:lineRule="exact"/>
              <w:rPr>
                <w:sz w:val="20"/>
                <w:szCs w:val="20"/>
                <w:color w:val="auto"/>
              </w:rPr>
            </w:pPr>
            <w:r>
              <w:rPr>
                <w:rFonts w:ascii="Arial" w:cs="Arial" w:eastAsia="Arial" w:hAnsi="Arial"/>
                <w:sz w:val="16"/>
                <w:szCs w:val="16"/>
                <w:color w:val="auto"/>
              </w:rPr>
              <w:t>Black Hills Colorado Gas, Inc., an indirect, wholly-owned subsidiary of Black Hills Utility Holdings, providing</w:t>
            </w:r>
          </w:p>
        </w:tc>
      </w:tr>
      <w:tr>
        <w:trPr>
          <w:trHeight w:val="201"/>
        </w:trPr>
        <w:tc>
          <w:tcPr>
            <w:tcW w:w="20" w:type="dxa"/>
            <w:vAlign w:val="bottom"/>
          </w:tcPr>
          <w:p>
            <w:pPr>
              <w:spacing w:after="0"/>
              <w:rPr>
                <w:sz w:val="17"/>
                <w:szCs w:val="17"/>
                <w:color w:val="auto"/>
              </w:rPr>
            </w:pPr>
          </w:p>
        </w:tc>
        <w:tc>
          <w:tcPr>
            <w:tcW w:w="2680" w:type="dxa"/>
            <w:vAlign w:val="bottom"/>
            <w:shd w:val="clear" w:color="auto" w:fill="CEFFE7"/>
          </w:tcPr>
          <w:p>
            <w:pPr>
              <w:spacing w:after="0"/>
              <w:rPr>
                <w:sz w:val="17"/>
                <w:szCs w:val="17"/>
                <w:color w:val="auto"/>
              </w:rPr>
            </w:pPr>
          </w:p>
        </w:tc>
        <w:tc>
          <w:tcPr>
            <w:tcW w:w="8520" w:type="dxa"/>
            <w:vAlign w:val="bottom"/>
            <w:shd w:val="clear" w:color="auto" w:fill="CEFFE7"/>
          </w:tcPr>
          <w:p>
            <w:pPr>
              <w:ind w:left="600"/>
              <w:spacing w:after="0"/>
              <w:rPr>
                <w:sz w:val="20"/>
                <w:szCs w:val="20"/>
                <w:color w:val="auto"/>
              </w:rPr>
            </w:pPr>
            <w:r>
              <w:rPr>
                <w:rFonts w:ascii="Arial" w:cs="Arial" w:eastAsia="Arial" w:hAnsi="Arial"/>
                <w:sz w:val="16"/>
                <w:szCs w:val="16"/>
                <w:color w:val="auto"/>
              </w:rPr>
              <w:t>natural gas services to customers in Colorado (doing business as Black Hills Energy).</w:t>
            </w:r>
          </w:p>
        </w:tc>
      </w:tr>
      <w:tr>
        <w:trPr>
          <w:trHeight w:val="177"/>
        </w:trPr>
        <w:tc>
          <w:tcPr>
            <w:tcW w:w="20" w:type="dxa"/>
            <w:vAlign w:val="bottom"/>
          </w:tcPr>
          <w:p>
            <w:pPr>
              <w:spacing w:after="0"/>
              <w:rPr>
                <w:sz w:val="15"/>
                <w:szCs w:val="15"/>
                <w:color w:val="auto"/>
              </w:rPr>
            </w:pPr>
          </w:p>
        </w:tc>
        <w:tc>
          <w:tcPr>
            <w:tcW w:w="2680" w:type="dxa"/>
            <w:vAlign w:val="bottom"/>
          </w:tcPr>
          <w:p>
            <w:pPr>
              <w:ind w:left="20"/>
              <w:spacing w:after="0" w:line="178" w:lineRule="exact"/>
              <w:rPr>
                <w:sz w:val="20"/>
                <w:szCs w:val="20"/>
                <w:color w:val="auto"/>
              </w:rPr>
            </w:pPr>
            <w:r>
              <w:rPr>
                <w:rFonts w:ascii="Arial" w:cs="Arial" w:eastAsia="Arial" w:hAnsi="Arial"/>
                <w:sz w:val="16"/>
                <w:szCs w:val="16"/>
                <w:color w:val="auto"/>
              </w:rPr>
              <w:t>Common Use System (CUS)</w:t>
            </w:r>
          </w:p>
        </w:tc>
        <w:tc>
          <w:tcPr>
            <w:tcW w:w="8520" w:type="dxa"/>
            <w:vAlign w:val="bottom"/>
          </w:tcPr>
          <w:p>
            <w:pPr>
              <w:ind w:left="600"/>
              <w:spacing w:after="0" w:line="178" w:lineRule="exact"/>
              <w:rPr>
                <w:sz w:val="20"/>
                <w:szCs w:val="20"/>
                <w:color w:val="auto"/>
              </w:rPr>
            </w:pPr>
            <w:r>
              <w:rPr>
                <w:rFonts w:ascii="Arial" w:cs="Arial" w:eastAsia="Arial" w:hAnsi="Arial"/>
                <w:sz w:val="16"/>
                <w:szCs w:val="16"/>
                <w:color w:val="auto"/>
              </w:rPr>
              <w:t>The Common Use System is a jointly operated transmission system we participate in with Basin Electric</w:t>
            </w: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520" w:type="dxa"/>
            <w:vAlign w:val="bottom"/>
          </w:tcPr>
          <w:p>
            <w:pPr>
              <w:ind w:left="600"/>
              <w:spacing w:after="0" w:line="162" w:lineRule="exact"/>
              <w:rPr>
                <w:sz w:val="20"/>
                <w:szCs w:val="20"/>
                <w:color w:val="auto"/>
              </w:rPr>
            </w:pPr>
            <w:r>
              <w:rPr>
                <w:rFonts w:ascii="Arial" w:cs="Arial" w:eastAsia="Arial" w:hAnsi="Arial"/>
                <w:sz w:val="16"/>
                <w:szCs w:val="16"/>
                <w:color w:val="auto"/>
              </w:rPr>
              <w:t>Power Cooperative and Powder River Energy Corporation. The Common Use System provides transmission</w:t>
            </w: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520" w:type="dxa"/>
            <w:vAlign w:val="bottom"/>
          </w:tcPr>
          <w:p>
            <w:pPr>
              <w:ind w:left="600"/>
              <w:spacing w:after="0" w:line="162" w:lineRule="exact"/>
              <w:rPr>
                <w:sz w:val="20"/>
                <w:szCs w:val="20"/>
                <w:color w:val="auto"/>
              </w:rPr>
            </w:pPr>
            <w:r>
              <w:rPr>
                <w:rFonts w:ascii="Arial" w:cs="Arial" w:eastAsia="Arial" w:hAnsi="Arial"/>
                <w:sz w:val="16"/>
                <w:szCs w:val="16"/>
                <w:color w:val="auto"/>
              </w:rPr>
              <w:t>service over these utilities' combined 230-kilovolt (kV) and limited 69-kV transmission facilities within areas of</w:t>
            </w:r>
          </w:p>
        </w:tc>
      </w:tr>
      <w:tr>
        <w:trPr>
          <w:trHeight w:val="195"/>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520" w:type="dxa"/>
            <w:vAlign w:val="bottom"/>
          </w:tcPr>
          <w:p>
            <w:pPr>
              <w:ind w:left="600"/>
              <w:spacing w:after="0"/>
              <w:rPr>
                <w:sz w:val="20"/>
                <w:szCs w:val="20"/>
                <w:color w:val="auto"/>
              </w:rPr>
            </w:pPr>
            <w:r>
              <w:rPr>
                <w:rFonts w:ascii="Arial" w:cs="Arial" w:eastAsia="Arial" w:hAnsi="Arial"/>
                <w:sz w:val="16"/>
                <w:szCs w:val="16"/>
                <w:color w:val="auto"/>
              </w:rPr>
              <w:t>southwestern South Dakota and northeastern Wyoming.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3429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Consolidated Indebtedness to Capitalization Any Indebtedness outstanding at such time, divided by capital at such time. Capital being consolidated net-</w:t>
      </w:r>
    </w:p>
    <w:p>
      <w:pPr>
        <w:ind w:left="3300" w:right="60" w:hanging="3259"/>
        <w:spacing w:after="0" w:line="232" w:lineRule="auto"/>
        <w:tabs>
          <w:tab w:leader="none" w:pos="3280" w:val="left"/>
        </w:tabs>
        <w:rPr>
          <w:sz w:val="20"/>
          <w:szCs w:val="20"/>
          <w:color w:val="auto"/>
        </w:rPr>
      </w:pPr>
      <w:r>
        <w:rPr>
          <w:rFonts w:ascii="Arial" w:cs="Arial" w:eastAsia="Arial" w:hAnsi="Arial"/>
          <w:sz w:val="16"/>
          <w:szCs w:val="16"/>
          <w:color w:val="auto"/>
        </w:rPr>
        <w:t>Ratio</w:t>
      </w:r>
      <w:r>
        <w:rPr>
          <w:sz w:val="20"/>
          <w:szCs w:val="20"/>
          <w:color w:val="auto"/>
        </w:rPr>
        <w:tab/>
      </w:r>
      <w:r>
        <w:rPr>
          <w:rFonts w:ascii="Arial" w:cs="Arial" w:eastAsia="Arial" w:hAnsi="Arial"/>
          <w:sz w:val="16"/>
          <w:szCs w:val="16"/>
          <w:color w:val="auto"/>
        </w:rPr>
        <w:t>worth (excluding noncontrolling interest) plus consolidated indebtedness (including letters of credit and certain guarantees issued) as defined within the current Revolving Credit Facility.</w:t>
      </w:r>
    </w:p>
    <w:tbl>
      <w:tblPr>
        <w:tblLayout w:type="fixed"/>
        <w:tblInd w:w="20" w:type="dxa"/>
        <w:tblCellMar>
          <w:top w:w="0" w:type="dxa"/>
          <w:left w:w="0" w:type="dxa"/>
          <w:bottom w:w="0" w:type="dxa"/>
          <w:right w:w="0" w:type="dxa"/>
        </w:tblCellMar>
      </w:tblPr>
      <w:tr>
        <w:trPr>
          <w:trHeight w:val="184"/>
        </w:trPr>
        <w:tc>
          <w:tcPr>
            <w:tcW w:w="2620" w:type="dxa"/>
            <w:vAlign w:val="bottom"/>
          </w:tcPr>
          <w:p>
            <w:pPr>
              <w:ind w:left="20"/>
              <w:spacing w:after="0"/>
              <w:rPr>
                <w:sz w:val="20"/>
                <w:szCs w:val="20"/>
                <w:color w:val="auto"/>
              </w:rPr>
            </w:pPr>
            <w:r>
              <w:rPr>
                <w:rFonts w:ascii="Arial" w:cs="Arial" w:eastAsia="Arial" w:hAnsi="Arial"/>
                <w:sz w:val="16"/>
                <w:szCs w:val="16"/>
                <w:color w:val="auto"/>
              </w:rPr>
              <w:t>Cooling Degree Day (CDD)</w:t>
            </w:r>
          </w:p>
        </w:tc>
        <w:tc>
          <w:tcPr>
            <w:tcW w:w="8580" w:type="dxa"/>
            <w:vAlign w:val="bottom"/>
          </w:tcPr>
          <w:p>
            <w:pPr>
              <w:ind w:left="660"/>
              <w:spacing w:after="0"/>
              <w:rPr>
                <w:sz w:val="20"/>
                <w:szCs w:val="20"/>
                <w:color w:val="auto"/>
              </w:rPr>
            </w:pPr>
            <w:r>
              <w:rPr>
                <w:rFonts w:ascii="Arial" w:cs="Arial" w:eastAsia="Arial" w:hAnsi="Arial"/>
                <w:sz w:val="16"/>
                <w:szCs w:val="16"/>
                <w:color w:val="auto"/>
              </w:rPr>
              <w:t>A cooling degree day is equivalent to each degree that the average of the high and low temperature for a day</w:t>
            </w:r>
          </w:p>
        </w:tc>
      </w:tr>
      <w:tr>
        <w:trPr>
          <w:trHeight w:val="162"/>
        </w:trPr>
        <w:tc>
          <w:tcPr>
            <w:tcW w:w="2620" w:type="dxa"/>
            <w:vAlign w:val="bottom"/>
          </w:tcPr>
          <w:p>
            <w:pPr>
              <w:spacing w:after="0"/>
              <w:rPr>
                <w:sz w:val="14"/>
                <w:szCs w:val="14"/>
                <w:color w:val="auto"/>
              </w:rPr>
            </w:pPr>
          </w:p>
        </w:tc>
        <w:tc>
          <w:tcPr>
            <w:tcW w:w="8580" w:type="dxa"/>
            <w:vAlign w:val="bottom"/>
          </w:tcPr>
          <w:p>
            <w:pPr>
              <w:ind w:left="660"/>
              <w:spacing w:after="0" w:line="162" w:lineRule="exact"/>
              <w:rPr>
                <w:sz w:val="20"/>
                <w:szCs w:val="20"/>
                <w:color w:val="auto"/>
              </w:rPr>
            </w:pPr>
            <w:r>
              <w:rPr>
                <w:rFonts w:ascii="Arial" w:cs="Arial" w:eastAsia="Arial" w:hAnsi="Arial"/>
                <w:sz w:val="16"/>
                <w:szCs w:val="16"/>
                <w:color w:val="auto"/>
              </w:rPr>
              <w:t>is above 65 degrees. The warmer the climate, the greater the number of cooling degree days. Cooling degree</w:t>
            </w:r>
          </w:p>
        </w:tc>
      </w:tr>
      <w:tr>
        <w:trPr>
          <w:trHeight w:val="162"/>
        </w:trPr>
        <w:tc>
          <w:tcPr>
            <w:tcW w:w="2620" w:type="dxa"/>
            <w:vAlign w:val="bottom"/>
          </w:tcPr>
          <w:p>
            <w:pPr>
              <w:spacing w:after="0"/>
              <w:rPr>
                <w:sz w:val="14"/>
                <w:szCs w:val="14"/>
                <w:color w:val="auto"/>
              </w:rPr>
            </w:pPr>
          </w:p>
        </w:tc>
        <w:tc>
          <w:tcPr>
            <w:tcW w:w="8580" w:type="dxa"/>
            <w:vAlign w:val="bottom"/>
          </w:tcPr>
          <w:p>
            <w:pPr>
              <w:ind w:left="660"/>
              <w:spacing w:after="0" w:line="162" w:lineRule="exact"/>
              <w:rPr>
                <w:sz w:val="20"/>
                <w:szCs w:val="20"/>
                <w:color w:val="auto"/>
              </w:rPr>
            </w:pPr>
            <w:r>
              <w:rPr>
                <w:rFonts w:ascii="Arial" w:cs="Arial" w:eastAsia="Arial" w:hAnsi="Arial"/>
                <w:sz w:val="16"/>
                <w:szCs w:val="16"/>
                <w:color w:val="auto"/>
              </w:rPr>
              <w:t>days are used in the utility industry to measure the relative warmth of weather and to compare relative</w:t>
            </w:r>
          </w:p>
        </w:tc>
      </w:tr>
      <w:tr>
        <w:trPr>
          <w:trHeight w:val="162"/>
        </w:trPr>
        <w:tc>
          <w:tcPr>
            <w:tcW w:w="2620" w:type="dxa"/>
            <w:vAlign w:val="bottom"/>
          </w:tcPr>
          <w:p>
            <w:pPr>
              <w:spacing w:after="0"/>
              <w:rPr>
                <w:sz w:val="14"/>
                <w:szCs w:val="14"/>
                <w:color w:val="auto"/>
              </w:rPr>
            </w:pPr>
          </w:p>
        </w:tc>
        <w:tc>
          <w:tcPr>
            <w:tcW w:w="8580" w:type="dxa"/>
            <w:vAlign w:val="bottom"/>
          </w:tcPr>
          <w:p>
            <w:pPr>
              <w:ind w:left="660"/>
              <w:spacing w:after="0" w:line="162" w:lineRule="exact"/>
              <w:rPr>
                <w:sz w:val="20"/>
                <w:szCs w:val="20"/>
                <w:color w:val="auto"/>
              </w:rPr>
            </w:pPr>
            <w:r>
              <w:rPr>
                <w:rFonts w:ascii="Arial" w:cs="Arial" w:eastAsia="Arial" w:hAnsi="Arial"/>
                <w:sz w:val="16"/>
                <w:szCs w:val="16"/>
                <w:color w:val="auto"/>
              </w:rPr>
              <w:t>temperatures between one geographic area and another. Normal degree days are based on the National</w:t>
            </w:r>
          </w:p>
        </w:tc>
      </w:tr>
      <w:tr>
        <w:trPr>
          <w:trHeight w:val="198"/>
        </w:trPr>
        <w:tc>
          <w:tcPr>
            <w:tcW w:w="2620" w:type="dxa"/>
            <w:vAlign w:val="bottom"/>
          </w:tcPr>
          <w:p>
            <w:pPr>
              <w:spacing w:after="0"/>
              <w:rPr>
                <w:sz w:val="17"/>
                <w:szCs w:val="17"/>
                <w:color w:val="auto"/>
              </w:rPr>
            </w:pPr>
          </w:p>
        </w:tc>
        <w:tc>
          <w:tcPr>
            <w:tcW w:w="8580" w:type="dxa"/>
            <w:vAlign w:val="bottom"/>
          </w:tcPr>
          <w:p>
            <w:pPr>
              <w:ind w:left="660"/>
              <w:spacing w:after="0"/>
              <w:rPr>
                <w:sz w:val="20"/>
                <w:szCs w:val="20"/>
                <w:color w:val="auto"/>
              </w:rPr>
            </w:pPr>
            <w:r>
              <w:rPr>
                <w:rFonts w:ascii="Arial" w:cs="Arial" w:eastAsia="Arial" w:hAnsi="Arial"/>
                <w:sz w:val="16"/>
                <w:szCs w:val="16"/>
                <w:color w:val="auto"/>
              </w:rPr>
              <w:t>Weather Service data for selected locations.</w:t>
            </w:r>
          </w:p>
        </w:tc>
      </w:tr>
      <w:tr>
        <w:trPr>
          <w:trHeight w:val="180"/>
        </w:trPr>
        <w:tc>
          <w:tcPr>
            <w:tcW w:w="26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Corriedale</w:t>
            </w:r>
          </w:p>
        </w:tc>
        <w:tc>
          <w:tcPr>
            <w:tcW w:w="8580" w:type="dxa"/>
            <w:vAlign w:val="bottom"/>
            <w:shd w:val="clear" w:color="auto" w:fill="CEFFE7"/>
          </w:tcPr>
          <w:p>
            <w:pPr>
              <w:ind w:left="660"/>
              <w:spacing w:after="0" w:line="181" w:lineRule="exact"/>
              <w:rPr>
                <w:sz w:val="20"/>
                <w:szCs w:val="20"/>
                <w:color w:val="auto"/>
              </w:rPr>
            </w:pPr>
            <w:r>
              <w:rPr>
                <w:rFonts w:ascii="Arial" w:cs="Arial" w:eastAsia="Arial" w:hAnsi="Arial"/>
                <w:sz w:val="16"/>
                <w:szCs w:val="16"/>
                <w:color w:val="auto"/>
              </w:rPr>
              <w:t>The 52.5 MW wind farm near Cheyenne, Wyoming, jointly owned by South Dakota Electric and Wyoming</w:t>
            </w:r>
          </w:p>
        </w:tc>
      </w:tr>
      <w:tr>
        <w:trPr>
          <w:trHeight w:val="201"/>
        </w:trPr>
        <w:tc>
          <w:tcPr>
            <w:tcW w:w="2620" w:type="dxa"/>
            <w:vAlign w:val="bottom"/>
            <w:shd w:val="clear" w:color="auto" w:fill="CEFFE7"/>
          </w:tcPr>
          <w:p>
            <w:pPr>
              <w:spacing w:after="0"/>
              <w:rPr>
                <w:sz w:val="17"/>
                <w:szCs w:val="17"/>
                <w:color w:val="auto"/>
              </w:rPr>
            </w:pP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Electric, serving as the dedicated wind energy supply to the Renewable Ready program.</w:t>
            </w:r>
          </w:p>
        </w:tc>
      </w:tr>
      <w:tr>
        <w:trPr>
          <w:trHeight w:val="177"/>
        </w:trPr>
        <w:tc>
          <w:tcPr>
            <w:tcW w:w="2620" w:type="dxa"/>
            <w:vAlign w:val="bottom"/>
          </w:tcPr>
          <w:p>
            <w:pPr>
              <w:ind w:left="20"/>
              <w:spacing w:after="0" w:line="178" w:lineRule="exact"/>
              <w:rPr>
                <w:sz w:val="20"/>
                <w:szCs w:val="20"/>
                <w:color w:val="auto"/>
              </w:rPr>
            </w:pPr>
            <w:r>
              <w:rPr>
                <w:rFonts w:ascii="Arial" w:cs="Arial" w:eastAsia="Arial" w:hAnsi="Arial"/>
                <w:sz w:val="16"/>
                <w:szCs w:val="16"/>
                <w:color w:val="auto"/>
              </w:rPr>
              <w:t>COVID-19</w:t>
            </w:r>
          </w:p>
        </w:tc>
        <w:tc>
          <w:tcPr>
            <w:tcW w:w="8580" w:type="dxa"/>
            <w:vAlign w:val="bottom"/>
          </w:tcPr>
          <w:p>
            <w:pPr>
              <w:ind w:left="660"/>
              <w:spacing w:after="0" w:line="178" w:lineRule="exact"/>
              <w:rPr>
                <w:sz w:val="20"/>
                <w:szCs w:val="20"/>
                <w:color w:val="auto"/>
              </w:rPr>
            </w:pPr>
            <w:r>
              <w:rPr>
                <w:rFonts w:ascii="Arial" w:cs="Arial" w:eastAsia="Arial" w:hAnsi="Arial"/>
                <w:sz w:val="16"/>
                <w:szCs w:val="16"/>
                <w:color w:val="auto"/>
              </w:rPr>
              <w:t>The official name for the 2019 novel coronavirus disease announced on February 11, 2020, by the World</w:t>
            </w:r>
          </w:p>
        </w:tc>
      </w:tr>
      <w:tr>
        <w:trPr>
          <w:trHeight w:val="198"/>
        </w:trPr>
        <w:tc>
          <w:tcPr>
            <w:tcW w:w="2620" w:type="dxa"/>
            <w:vAlign w:val="bottom"/>
          </w:tcPr>
          <w:p>
            <w:pPr>
              <w:spacing w:after="0"/>
              <w:rPr>
                <w:sz w:val="17"/>
                <w:szCs w:val="17"/>
                <w:color w:val="auto"/>
              </w:rPr>
            </w:pPr>
          </w:p>
        </w:tc>
        <w:tc>
          <w:tcPr>
            <w:tcW w:w="8580" w:type="dxa"/>
            <w:vAlign w:val="bottom"/>
          </w:tcPr>
          <w:p>
            <w:pPr>
              <w:ind w:left="660"/>
              <w:spacing w:after="0"/>
              <w:rPr>
                <w:sz w:val="20"/>
                <w:szCs w:val="20"/>
                <w:color w:val="auto"/>
              </w:rPr>
            </w:pPr>
            <w:r>
              <w:rPr>
                <w:rFonts w:ascii="Arial" w:cs="Arial" w:eastAsia="Arial" w:hAnsi="Arial"/>
                <w:sz w:val="16"/>
                <w:szCs w:val="16"/>
                <w:color w:val="auto"/>
              </w:rPr>
              <w:t>Health Organization, that is causing a global pandemic.</w:t>
            </w:r>
          </w:p>
        </w:tc>
      </w:tr>
      <w:tr>
        <w:trPr>
          <w:trHeight w:val="219"/>
        </w:trPr>
        <w:tc>
          <w:tcPr>
            <w:tcW w:w="2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CPCN</w:t>
            </w: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Certificate of Public Convenience and Necessity</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CPP</w:t>
            </w:r>
          </w:p>
        </w:tc>
        <w:tc>
          <w:tcPr>
            <w:tcW w:w="8580" w:type="dxa"/>
            <w:vAlign w:val="bottom"/>
          </w:tcPr>
          <w:p>
            <w:pPr>
              <w:ind w:left="660"/>
              <w:spacing w:after="0"/>
              <w:rPr>
                <w:sz w:val="20"/>
                <w:szCs w:val="20"/>
                <w:color w:val="auto"/>
              </w:rPr>
            </w:pPr>
            <w:r>
              <w:rPr>
                <w:rFonts w:ascii="Arial" w:cs="Arial" w:eastAsia="Arial" w:hAnsi="Arial"/>
                <w:sz w:val="16"/>
                <w:szCs w:val="16"/>
                <w:color w:val="auto"/>
              </w:rPr>
              <w:t>Clean Power Plan</w:t>
            </w:r>
          </w:p>
        </w:tc>
      </w:tr>
      <w:tr>
        <w:trPr>
          <w:trHeight w:val="219"/>
        </w:trPr>
        <w:tc>
          <w:tcPr>
            <w:tcW w:w="2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Commercial Paper Program</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CPUC</w:t>
            </w:r>
          </w:p>
        </w:tc>
        <w:tc>
          <w:tcPr>
            <w:tcW w:w="8580" w:type="dxa"/>
            <w:vAlign w:val="bottom"/>
          </w:tcPr>
          <w:p>
            <w:pPr>
              <w:ind w:left="660"/>
              <w:spacing w:after="0"/>
              <w:rPr>
                <w:sz w:val="20"/>
                <w:szCs w:val="20"/>
                <w:color w:val="auto"/>
              </w:rPr>
            </w:pPr>
            <w:r>
              <w:rPr>
                <w:rFonts w:ascii="Arial" w:cs="Arial" w:eastAsia="Arial" w:hAnsi="Arial"/>
                <w:sz w:val="16"/>
                <w:szCs w:val="16"/>
                <w:color w:val="auto"/>
              </w:rPr>
              <w:t>Colorado Public Utilities Commission</w:t>
            </w:r>
          </w:p>
        </w:tc>
      </w:tr>
      <w:tr>
        <w:trPr>
          <w:trHeight w:val="219"/>
        </w:trPr>
        <w:tc>
          <w:tcPr>
            <w:tcW w:w="2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CT</w:t>
            </w: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Combustion Turbine</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CTII</w:t>
            </w:r>
          </w:p>
        </w:tc>
        <w:tc>
          <w:tcPr>
            <w:tcW w:w="8580" w:type="dxa"/>
            <w:vAlign w:val="bottom"/>
          </w:tcPr>
          <w:p>
            <w:pPr>
              <w:ind w:left="660"/>
              <w:spacing w:after="0"/>
              <w:rPr>
                <w:sz w:val="20"/>
                <w:szCs w:val="20"/>
                <w:color w:val="auto"/>
              </w:rPr>
            </w:pPr>
            <w:r>
              <w:rPr>
                <w:rFonts w:ascii="Arial" w:cs="Arial" w:eastAsia="Arial" w:hAnsi="Arial"/>
                <w:sz w:val="16"/>
                <w:szCs w:val="16"/>
                <w:color w:val="auto"/>
              </w:rPr>
              <w:t>The 40 MW Gillette CT, a simple-cycle, gas-fired combustion turbine owned by the City of Gillette.</w:t>
            </w:r>
          </w:p>
        </w:tc>
      </w:tr>
      <w:tr>
        <w:trPr>
          <w:trHeight w:val="180"/>
        </w:trPr>
        <w:tc>
          <w:tcPr>
            <w:tcW w:w="26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Cushion Gas</w:t>
            </w:r>
          </w:p>
        </w:tc>
        <w:tc>
          <w:tcPr>
            <w:tcW w:w="8580" w:type="dxa"/>
            <w:vAlign w:val="bottom"/>
            <w:shd w:val="clear" w:color="auto" w:fill="CEFFE7"/>
          </w:tcPr>
          <w:p>
            <w:pPr>
              <w:ind w:left="660"/>
              <w:spacing w:after="0" w:line="181" w:lineRule="exact"/>
              <w:rPr>
                <w:sz w:val="20"/>
                <w:szCs w:val="20"/>
                <w:color w:val="auto"/>
              </w:rPr>
            </w:pPr>
            <w:r>
              <w:rPr>
                <w:rFonts w:ascii="Arial" w:cs="Arial" w:eastAsia="Arial" w:hAnsi="Arial"/>
                <w:sz w:val="16"/>
                <w:szCs w:val="16"/>
                <w:color w:val="auto"/>
              </w:rPr>
              <w:t>The portion of natural gas necessary to force saleable gas from a storage field into the transmission system</w:t>
            </w:r>
          </w:p>
        </w:tc>
      </w:tr>
      <w:tr>
        <w:trPr>
          <w:trHeight w:val="162"/>
        </w:trPr>
        <w:tc>
          <w:tcPr>
            <w:tcW w:w="2620" w:type="dxa"/>
            <w:vAlign w:val="bottom"/>
            <w:shd w:val="clear" w:color="auto" w:fill="CEFFE7"/>
          </w:tcPr>
          <w:p>
            <w:pPr>
              <w:spacing w:after="0"/>
              <w:rPr>
                <w:sz w:val="14"/>
                <w:szCs w:val="14"/>
                <w:color w:val="auto"/>
              </w:rPr>
            </w:pPr>
          </w:p>
        </w:tc>
        <w:tc>
          <w:tcPr>
            <w:tcW w:w="8580" w:type="dxa"/>
            <w:vAlign w:val="bottom"/>
            <w:shd w:val="clear" w:color="auto" w:fill="CEFFE7"/>
          </w:tcPr>
          <w:p>
            <w:pPr>
              <w:ind w:left="660"/>
              <w:spacing w:after="0" w:line="162" w:lineRule="exact"/>
              <w:rPr>
                <w:sz w:val="20"/>
                <w:szCs w:val="20"/>
                <w:color w:val="auto"/>
              </w:rPr>
            </w:pPr>
            <w:r>
              <w:rPr>
                <w:rFonts w:ascii="Arial" w:cs="Arial" w:eastAsia="Arial" w:hAnsi="Arial"/>
                <w:sz w:val="16"/>
                <w:szCs w:val="16"/>
                <w:color w:val="auto"/>
              </w:rPr>
              <w:t>and for system balancing, representing a permanent investment necessary to use storage facilities and</w:t>
            </w:r>
          </w:p>
        </w:tc>
      </w:tr>
      <w:tr>
        <w:trPr>
          <w:trHeight w:val="201"/>
        </w:trPr>
        <w:tc>
          <w:tcPr>
            <w:tcW w:w="2620" w:type="dxa"/>
            <w:vAlign w:val="bottom"/>
            <w:shd w:val="clear" w:color="auto" w:fill="CEFFE7"/>
          </w:tcPr>
          <w:p>
            <w:pPr>
              <w:spacing w:after="0"/>
              <w:rPr>
                <w:sz w:val="17"/>
                <w:szCs w:val="17"/>
                <w:color w:val="auto"/>
              </w:rPr>
            </w:pP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maintain reliability.</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CVA</w:t>
            </w:r>
          </w:p>
        </w:tc>
        <w:tc>
          <w:tcPr>
            <w:tcW w:w="8580" w:type="dxa"/>
            <w:vAlign w:val="bottom"/>
          </w:tcPr>
          <w:p>
            <w:pPr>
              <w:ind w:left="660"/>
              <w:spacing w:after="0"/>
              <w:rPr>
                <w:sz w:val="20"/>
                <w:szCs w:val="20"/>
                <w:color w:val="auto"/>
              </w:rPr>
            </w:pPr>
            <w:r>
              <w:rPr>
                <w:rFonts w:ascii="Arial" w:cs="Arial" w:eastAsia="Arial" w:hAnsi="Arial"/>
                <w:sz w:val="16"/>
                <w:szCs w:val="16"/>
                <w:color w:val="auto"/>
              </w:rPr>
              <w:t>Credit Valuation Adjustment</w:t>
            </w:r>
          </w:p>
        </w:tc>
      </w:tr>
      <w:tr>
        <w:trPr>
          <w:trHeight w:val="219"/>
        </w:trPr>
        <w:tc>
          <w:tcPr>
            <w:tcW w:w="2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DC</w:t>
            </w: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Direct Current</w:t>
            </w:r>
          </w:p>
        </w:tc>
      </w:tr>
      <w:tr>
        <w:trPr>
          <w:trHeight w:val="177"/>
        </w:trPr>
        <w:tc>
          <w:tcPr>
            <w:tcW w:w="2620" w:type="dxa"/>
            <w:vAlign w:val="bottom"/>
          </w:tcPr>
          <w:p>
            <w:pPr>
              <w:ind w:left="20"/>
              <w:spacing w:after="0" w:line="178" w:lineRule="exact"/>
              <w:rPr>
                <w:sz w:val="20"/>
                <w:szCs w:val="20"/>
                <w:color w:val="auto"/>
              </w:rPr>
            </w:pPr>
            <w:r>
              <w:rPr>
                <w:rFonts w:ascii="Arial" w:cs="Arial" w:eastAsia="Arial" w:hAnsi="Arial"/>
                <w:sz w:val="16"/>
                <w:szCs w:val="16"/>
                <w:color w:val="auto"/>
              </w:rPr>
              <w:t>Dividend payout ratio</w:t>
            </w:r>
          </w:p>
        </w:tc>
        <w:tc>
          <w:tcPr>
            <w:tcW w:w="8580" w:type="dxa"/>
            <w:vAlign w:val="bottom"/>
          </w:tcPr>
          <w:p>
            <w:pPr>
              <w:ind w:left="660"/>
              <w:spacing w:after="0" w:line="178" w:lineRule="exact"/>
              <w:rPr>
                <w:sz w:val="20"/>
                <w:szCs w:val="20"/>
                <w:color w:val="auto"/>
              </w:rPr>
            </w:pPr>
            <w:r>
              <w:rPr>
                <w:rFonts w:ascii="Arial" w:cs="Arial" w:eastAsia="Arial" w:hAnsi="Arial"/>
                <w:sz w:val="16"/>
                <w:szCs w:val="16"/>
                <w:color w:val="auto"/>
              </w:rPr>
              <w:t>Annual dividends paid on common stock divided by net income from continuing operations available for</w:t>
            </w:r>
          </w:p>
        </w:tc>
      </w:tr>
      <w:tr>
        <w:trPr>
          <w:trHeight w:val="198"/>
        </w:trPr>
        <w:tc>
          <w:tcPr>
            <w:tcW w:w="2620" w:type="dxa"/>
            <w:vAlign w:val="bottom"/>
          </w:tcPr>
          <w:p>
            <w:pPr>
              <w:spacing w:after="0"/>
              <w:rPr>
                <w:sz w:val="17"/>
                <w:szCs w:val="17"/>
                <w:color w:val="auto"/>
              </w:rPr>
            </w:pPr>
          </w:p>
        </w:tc>
        <w:tc>
          <w:tcPr>
            <w:tcW w:w="8580" w:type="dxa"/>
            <w:vAlign w:val="bottom"/>
          </w:tcPr>
          <w:p>
            <w:pPr>
              <w:ind w:left="660"/>
              <w:spacing w:after="0"/>
              <w:rPr>
                <w:sz w:val="20"/>
                <w:szCs w:val="20"/>
                <w:color w:val="auto"/>
              </w:rPr>
            </w:pPr>
            <w:r>
              <w:rPr>
                <w:rFonts w:ascii="Arial" w:cs="Arial" w:eastAsia="Arial" w:hAnsi="Arial"/>
                <w:sz w:val="16"/>
                <w:szCs w:val="16"/>
                <w:color w:val="auto"/>
              </w:rPr>
              <w:t>common stock</w:t>
            </w:r>
          </w:p>
        </w:tc>
      </w:tr>
      <w:tr>
        <w:trPr>
          <w:trHeight w:val="219"/>
        </w:trPr>
        <w:tc>
          <w:tcPr>
            <w:tcW w:w="2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DRSPP</w:t>
            </w: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Dividend Reinvestment and Stock Purchase Plan</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DSM</w:t>
            </w:r>
          </w:p>
        </w:tc>
        <w:tc>
          <w:tcPr>
            <w:tcW w:w="8580" w:type="dxa"/>
            <w:vAlign w:val="bottom"/>
          </w:tcPr>
          <w:p>
            <w:pPr>
              <w:ind w:left="660"/>
              <w:spacing w:after="0"/>
              <w:rPr>
                <w:sz w:val="20"/>
                <w:szCs w:val="20"/>
                <w:color w:val="auto"/>
              </w:rPr>
            </w:pPr>
            <w:r>
              <w:rPr>
                <w:rFonts w:ascii="Arial" w:cs="Arial" w:eastAsia="Arial" w:hAnsi="Arial"/>
                <w:sz w:val="16"/>
                <w:szCs w:val="16"/>
                <w:color w:val="auto"/>
              </w:rPr>
              <w:t>Demand Side Management</w:t>
            </w:r>
          </w:p>
        </w:tc>
      </w:tr>
      <w:tr>
        <w:trPr>
          <w:trHeight w:val="219"/>
        </w:trPr>
        <w:tc>
          <w:tcPr>
            <w:tcW w:w="2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Dth</w:t>
            </w: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EBITDA</w:t>
            </w:r>
          </w:p>
        </w:tc>
        <w:tc>
          <w:tcPr>
            <w:tcW w:w="8580" w:type="dxa"/>
            <w:vAlign w:val="bottom"/>
          </w:tcPr>
          <w:p>
            <w:pPr>
              <w:ind w:left="660"/>
              <w:spacing w:after="0"/>
              <w:rPr>
                <w:sz w:val="20"/>
                <w:szCs w:val="20"/>
                <w:color w:val="auto"/>
              </w:rPr>
            </w:pPr>
            <w:r>
              <w:rPr>
                <w:rFonts w:ascii="Arial" w:cs="Arial" w:eastAsia="Arial" w:hAnsi="Arial"/>
                <w:sz w:val="16"/>
                <w:szCs w:val="16"/>
                <w:color w:val="auto"/>
              </w:rPr>
              <w:t>Earnings before interest, taxes, depreciation and amortization, a non-GAAP measurement</w:t>
            </w:r>
          </w:p>
        </w:tc>
      </w:tr>
      <w:tr>
        <w:trPr>
          <w:trHeight w:val="180"/>
        </w:trPr>
        <w:tc>
          <w:tcPr>
            <w:tcW w:w="26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ECA</w:t>
            </w:r>
          </w:p>
        </w:tc>
        <w:tc>
          <w:tcPr>
            <w:tcW w:w="8580" w:type="dxa"/>
            <w:vAlign w:val="bottom"/>
            <w:shd w:val="clear" w:color="auto" w:fill="CEFFE7"/>
          </w:tcPr>
          <w:p>
            <w:pPr>
              <w:ind w:left="660"/>
              <w:spacing w:after="0" w:line="181" w:lineRule="exact"/>
              <w:rPr>
                <w:sz w:val="20"/>
                <w:szCs w:val="20"/>
                <w:color w:val="auto"/>
              </w:rPr>
            </w:pPr>
            <w:r>
              <w:rPr>
                <w:rFonts w:ascii="Arial" w:cs="Arial" w:eastAsia="Arial" w:hAnsi="Arial"/>
                <w:sz w:val="16"/>
                <w:szCs w:val="16"/>
                <w:color w:val="auto"/>
              </w:rPr>
              <w:t>Energy Cost Adjustment is an adjustment that allows us to pass the prudently-incurred cost of fuel and</w:t>
            </w:r>
          </w:p>
        </w:tc>
      </w:tr>
      <w:tr>
        <w:trPr>
          <w:trHeight w:val="201"/>
        </w:trPr>
        <w:tc>
          <w:tcPr>
            <w:tcW w:w="2620" w:type="dxa"/>
            <w:vAlign w:val="bottom"/>
            <w:shd w:val="clear" w:color="auto" w:fill="CEFFE7"/>
          </w:tcPr>
          <w:p>
            <w:pPr>
              <w:spacing w:after="0"/>
              <w:rPr>
                <w:sz w:val="17"/>
                <w:szCs w:val="17"/>
                <w:color w:val="auto"/>
              </w:rPr>
            </w:pP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purchased energy through to customers.</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Economy Energy</w:t>
            </w:r>
          </w:p>
        </w:tc>
        <w:tc>
          <w:tcPr>
            <w:tcW w:w="8580" w:type="dxa"/>
            <w:vAlign w:val="bottom"/>
          </w:tcPr>
          <w:p>
            <w:pPr>
              <w:ind w:left="660"/>
              <w:spacing w:after="0"/>
              <w:rPr>
                <w:sz w:val="20"/>
                <w:szCs w:val="20"/>
                <w:color w:val="auto"/>
              </w:rPr>
            </w:pPr>
            <w:r>
              <w:rPr>
                <w:rFonts w:ascii="Arial" w:cs="Arial" w:eastAsia="Arial" w:hAnsi="Arial"/>
                <w:sz w:val="16"/>
                <w:szCs w:val="16"/>
                <w:color w:val="auto"/>
              </w:rPr>
              <w:t>Purchased energy that costs less than that produced with the utilities’ owned generation.</w:t>
            </w:r>
          </w:p>
        </w:tc>
      </w:tr>
      <w:tr>
        <w:trPr>
          <w:trHeight w:val="180"/>
        </w:trPr>
        <w:tc>
          <w:tcPr>
            <w:tcW w:w="26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EECR</w:t>
            </w:r>
          </w:p>
        </w:tc>
        <w:tc>
          <w:tcPr>
            <w:tcW w:w="8580" w:type="dxa"/>
            <w:vAlign w:val="bottom"/>
            <w:shd w:val="clear" w:color="auto" w:fill="CEFFE7"/>
          </w:tcPr>
          <w:p>
            <w:pPr>
              <w:ind w:left="660"/>
              <w:spacing w:after="0" w:line="181" w:lineRule="exact"/>
              <w:rPr>
                <w:sz w:val="20"/>
                <w:szCs w:val="20"/>
                <w:color w:val="auto"/>
              </w:rPr>
            </w:pPr>
            <w:r>
              <w:rPr>
                <w:rFonts w:ascii="Arial" w:cs="Arial" w:eastAsia="Arial" w:hAnsi="Arial"/>
                <w:sz w:val="16"/>
                <w:szCs w:val="16"/>
                <w:color w:val="auto"/>
              </w:rPr>
              <w:t>Energy Efficiency Cost Recovery is an adjustment mechanism that allows us to recover from customers the</w:t>
            </w:r>
          </w:p>
        </w:tc>
      </w:tr>
      <w:tr>
        <w:trPr>
          <w:trHeight w:val="201"/>
        </w:trPr>
        <w:tc>
          <w:tcPr>
            <w:tcW w:w="2620" w:type="dxa"/>
            <w:vAlign w:val="bottom"/>
            <w:shd w:val="clear" w:color="auto" w:fill="CEFFE7"/>
          </w:tcPr>
          <w:p>
            <w:pPr>
              <w:spacing w:after="0"/>
              <w:rPr>
                <w:sz w:val="17"/>
                <w:szCs w:val="17"/>
                <w:color w:val="auto"/>
              </w:rPr>
            </w:pP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costs associated with providing energy efficiency programs.</w:t>
            </w:r>
          </w:p>
        </w:tc>
      </w:tr>
      <w:tr>
        <w:trPr>
          <w:trHeight w:val="177"/>
        </w:trPr>
        <w:tc>
          <w:tcPr>
            <w:tcW w:w="2620" w:type="dxa"/>
            <w:vAlign w:val="bottom"/>
          </w:tcPr>
          <w:p>
            <w:pPr>
              <w:ind w:left="20"/>
              <w:spacing w:after="0" w:line="178" w:lineRule="exact"/>
              <w:rPr>
                <w:sz w:val="20"/>
                <w:szCs w:val="20"/>
                <w:color w:val="auto"/>
              </w:rPr>
            </w:pPr>
            <w:r>
              <w:rPr>
                <w:rFonts w:ascii="Arial" w:cs="Arial" w:eastAsia="Arial" w:hAnsi="Arial"/>
                <w:sz w:val="16"/>
                <w:szCs w:val="16"/>
                <w:color w:val="auto"/>
              </w:rPr>
              <w:t>EIA</w:t>
            </w:r>
          </w:p>
        </w:tc>
        <w:tc>
          <w:tcPr>
            <w:tcW w:w="8580" w:type="dxa"/>
            <w:vAlign w:val="bottom"/>
          </w:tcPr>
          <w:p>
            <w:pPr>
              <w:ind w:left="660"/>
              <w:spacing w:after="0" w:line="178" w:lineRule="exact"/>
              <w:rPr>
                <w:sz w:val="20"/>
                <w:szCs w:val="20"/>
                <w:color w:val="auto"/>
              </w:rPr>
            </w:pPr>
            <w:r>
              <w:rPr>
                <w:rFonts w:ascii="Arial" w:cs="Arial" w:eastAsia="Arial" w:hAnsi="Arial"/>
                <w:sz w:val="16"/>
                <w:szCs w:val="16"/>
                <w:color w:val="auto"/>
              </w:rPr>
              <w:t>Environmental Improvement Adjustment is an annual adjustment mechanism that allows us to recover from</w:t>
            </w:r>
          </w:p>
        </w:tc>
      </w:tr>
      <w:tr>
        <w:trPr>
          <w:trHeight w:val="198"/>
        </w:trPr>
        <w:tc>
          <w:tcPr>
            <w:tcW w:w="2620" w:type="dxa"/>
            <w:vAlign w:val="bottom"/>
          </w:tcPr>
          <w:p>
            <w:pPr>
              <w:spacing w:after="0"/>
              <w:rPr>
                <w:sz w:val="17"/>
                <w:szCs w:val="17"/>
                <w:color w:val="auto"/>
              </w:rPr>
            </w:pPr>
          </w:p>
        </w:tc>
        <w:tc>
          <w:tcPr>
            <w:tcW w:w="8580" w:type="dxa"/>
            <w:vAlign w:val="bottom"/>
          </w:tcPr>
          <w:p>
            <w:pPr>
              <w:ind w:left="660"/>
              <w:spacing w:after="0"/>
              <w:rPr>
                <w:sz w:val="20"/>
                <w:szCs w:val="20"/>
                <w:color w:val="auto"/>
              </w:rPr>
            </w:pPr>
            <w:r>
              <w:rPr>
                <w:rFonts w:ascii="Arial" w:cs="Arial" w:eastAsia="Arial" w:hAnsi="Arial"/>
                <w:sz w:val="16"/>
                <w:szCs w:val="16"/>
                <w:color w:val="auto"/>
              </w:rPr>
              <w:t>customers eligible investments in, and expense related to, new environmental measures.</w:t>
            </w:r>
          </w:p>
        </w:tc>
      </w:tr>
      <w:tr>
        <w:trPr>
          <w:trHeight w:val="219"/>
        </w:trPr>
        <w:tc>
          <w:tcPr>
            <w:tcW w:w="2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EPA</w:t>
            </w:r>
          </w:p>
        </w:tc>
        <w:tc>
          <w:tcPr>
            <w:tcW w:w="8580" w:type="dxa"/>
            <w:vAlign w:val="bottom"/>
            <w:shd w:val="clear" w:color="auto" w:fill="CEFFE7"/>
          </w:tcPr>
          <w:p>
            <w:pPr>
              <w:ind w:left="660"/>
              <w:spacing w:after="0"/>
              <w:rPr>
                <w:sz w:val="20"/>
                <w:szCs w:val="20"/>
                <w:color w:val="auto"/>
              </w:rPr>
            </w:pPr>
            <w:r>
              <w:rPr>
                <w:rFonts w:ascii="Arial" w:cs="Arial" w:eastAsia="Arial" w:hAnsi="Arial"/>
                <w:sz w:val="16"/>
                <w:szCs w:val="16"/>
                <w:color w:val="auto"/>
              </w:rPr>
              <w:t>United States Environmental Protection Agency</w:t>
            </w: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5"/>
        </w:trPr>
        <w:tc>
          <w:tcPr>
            <w:tcW w:w="2660" w:type="dxa"/>
            <w:vAlign w:val="bottom"/>
            <w:gridSpan w:val="2"/>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8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50"/>
        </w:trPr>
        <w:tc>
          <w:tcPr>
            <w:tcW w:w="2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Equity Unit</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Each Equity Unit had a stated amount of $50, consisting of a purchase contract issued by BHC to purchase</w:t>
            </w: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5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shares of BHC common stock and a 1/20, or 5% undivided beneficial ownership interest in $1,000 principal</w:t>
            </w: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5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amount of BHC remarketable junior subordinated notes issued on November 23, 2015 and retired on August</w:t>
            </w: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5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17, 2018. On November 1, 2018, we completed settlement of the stock purchase contracts that are</w:t>
            </w:r>
          </w:p>
        </w:tc>
      </w:tr>
      <w:tr>
        <w:trPr>
          <w:trHeight w:val="198"/>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components of the Equity Units issued in November 2015.</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EWG</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Exempt Wholesale Generator</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FASB</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Financial Accounting Standards Board</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FERC</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United States Federal Energy Regulatory Commission</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Fitch</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Fitch Ratings Inc.</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GAAP</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Accounting principles generally accepted in the United States of America</w:t>
            </w: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640" w:type="dxa"/>
            <w:vAlign w:val="bottom"/>
          </w:tcPr>
          <w:p>
            <w:pPr>
              <w:ind w:left="20"/>
              <w:spacing w:after="0" w:line="178" w:lineRule="exact"/>
              <w:rPr>
                <w:sz w:val="20"/>
                <w:szCs w:val="20"/>
                <w:color w:val="auto"/>
              </w:rPr>
            </w:pPr>
            <w:r>
              <w:rPr>
                <w:rFonts w:ascii="Arial" w:cs="Arial" w:eastAsia="Arial" w:hAnsi="Arial"/>
                <w:sz w:val="16"/>
                <w:szCs w:val="16"/>
                <w:color w:val="auto"/>
              </w:rPr>
              <w:t>GCA</w:t>
            </w:r>
          </w:p>
        </w:tc>
        <w:tc>
          <w:tcPr>
            <w:tcW w:w="8580" w:type="dxa"/>
            <w:vAlign w:val="bottom"/>
            <w:gridSpan w:val="2"/>
          </w:tcPr>
          <w:p>
            <w:pPr>
              <w:ind w:left="640"/>
              <w:spacing w:after="0" w:line="178" w:lineRule="exact"/>
              <w:rPr>
                <w:sz w:val="20"/>
                <w:szCs w:val="20"/>
                <w:color w:val="auto"/>
              </w:rPr>
            </w:pPr>
            <w:r>
              <w:rPr>
                <w:rFonts w:ascii="Arial" w:cs="Arial" w:eastAsia="Arial" w:hAnsi="Arial"/>
                <w:sz w:val="16"/>
                <w:szCs w:val="16"/>
                <w:color w:val="auto"/>
              </w:rPr>
              <w:t>Gas Cost Adjustment is an adjustment that allows us to pass the prudently-incurred cost of gas and certain</w:t>
            </w:r>
          </w:p>
        </w:tc>
      </w:tr>
      <w:tr>
        <w:trPr>
          <w:trHeight w:val="198"/>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services through to customers.</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GHG</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Greenhouse gases</w:t>
            </w: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640" w:type="dxa"/>
            <w:vAlign w:val="bottom"/>
          </w:tcPr>
          <w:p>
            <w:pPr>
              <w:ind w:left="20"/>
              <w:spacing w:after="0" w:line="178" w:lineRule="exact"/>
              <w:rPr>
                <w:sz w:val="20"/>
                <w:szCs w:val="20"/>
                <w:color w:val="auto"/>
              </w:rPr>
            </w:pPr>
            <w:r>
              <w:rPr>
                <w:rFonts w:ascii="Arial" w:cs="Arial" w:eastAsia="Arial" w:hAnsi="Arial"/>
                <w:sz w:val="16"/>
                <w:szCs w:val="16"/>
                <w:color w:val="auto"/>
              </w:rPr>
              <w:t>Global Settlement</w:t>
            </w:r>
          </w:p>
        </w:tc>
        <w:tc>
          <w:tcPr>
            <w:tcW w:w="8580" w:type="dxa"/>
            <w:vAlign w:val="bottom"/>
            <w:gridSpan w:val="2"/>
          </w:tcPr>
          <w:p>
            <w:pPr>
              <w:ind w:left="640"/>
              <w:spacing w:after="0" w:line="178" w:lineRule="exact"/>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198"/>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Happy Jack</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Happy Jack Wind Farm, LLC, owned by Duke Energy Generation Services</w:t>
            </w: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640" w:type="dxa"/>
            <w:vAlign w:val="bottom"/>
          </w:tcPr>
          <w:p>
            <w:pPr>
              <w:ind w:left="20"/>
              <w:spacing w:after="0" w:line="178" w:lineRule="exact"/>
              <w:rPr>
                <w:sz w:val="20"/>
                <w:szCs w:val="20"/>
                <w:color w:val="auto"/>
              </w:rPr>
            </w:pPr>
            <w:r>
              <w:rPr>
                <w:rFonts w:ascii="Arial" w:cs="Arial" w:eastAsia="Arial" w:hAnsi="Arial"/>
                <w:sz w:val="16"/>
                <w:szCs w:val="16"/>
                <w:color w:val="auto"/>
              </w:rPr>
              <w:t>Heating Degree Day (HDD)</w:t>
            </w:r>
          </w:p>
        </w:tc>
        <w:tc>
          <w:tcPr>
            <w:tcW w:w="8580" w:type="dxa"/>
            <w:vAlign w:val="bottom"/>
            <w:gridSpan w:val="2"/>
          </w:tcPr>
          <w:p>
            <w:pPr>
              <w:ind w:left="640"/>
              <w:spacing w:after="0" w:line="178"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 for a</w:t>
            </w: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5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day is below 65 degrees. The colder the climate, the greater the number of heating degree days. Heating</w:t>
            </w: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5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degree days are used in the utility industry to measure the relative coldness of weather and to compare</w:t>
            </w: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5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relative temperatures between one geographic area and another. Normal degree days are based on the</w:t>
            </w:r>
          </w:p>
        </w:tc>
      </w:tr>
      <w:tr>
        <w:trPr>
          <w:trHeight w:val="198"/>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National Weather Service data for selected locations.</w:t>
            </w:r>
          </w:p>
        </w:tc>
      </w:tr>
      <w:tr>
        <w:trPr>
          <w:trHeight w:val="180"/>
        </w:trPr>
        <w:tc>
          <w:tcPr>
            <w:tcW w:w="20" w:type="dxa"/>
            <w:vAlign w:val="bottom"/>
          </w:tcPr>
          <w:p>
            <w:pPr>
              <w:spacing w:after="0"/>
              <w:rPr>
                <w:sz w:val="15"/>
                <w:szCs w:val="15"/>
                <w:color w:val="auto"/>
              </w:rPr>
            </w:pPr>
          </w:p>
        </w:tc>
        <w:tc>
          <w:tcPr>
            <w:tcW w:w="264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HomeServe</w:t>
            </w:r>
          </w:p>
        </w:tc>
        <w:tc>
          <w:tcPr>
            <w:tcW w:w="8560" w:type="dxa"/>
            <w:vAlign w:val="bottom"/>
            <w:shd w:val="clear" w:color="auto" w:fill="CEFFE7"/>
          </w:tcPr>
          <w:p>
            <w:pPr>
              <w:ind w:left="640"/>
              <w:spacing w:after="0" w:line="181" w:lineRule="exact"/>
              <w:rPr>
                <w:sz w:val="20"/>
                <w:szCs w:val="20"/>
                <w:color w:val="auto"/>
              </w:rPr>
            </w:pPr>
            <w:r>
              <w:rPr>
                <w:rFonts w:ascii="Arial" w:cs="Arial" w:eastAsia="Arial" w:hAnsi="Arial"/>
                <w:sz w:val="16"/>
                <w:szCs w:val="16"/>
                <w:color w:val="auto"/>
              </w:rPr>
              <w:t>We offer HomeServe products to our natural gas residential customers interested in purchasing additional</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640" w:type="dxa"/>
            <w:vAlign w:val="bottom"/>
            <w:shd w:val="clear" w:color="auto" w:fill="CEFFE7"/>
          </w:tcPr>
          <w:p>
            <w:pPr>
              <w:spacing w:after="0"/>
              <w:rPr>
                <w:sz w:val="17"/>
                <w:szCs w:val="17"/>
                <w:color w:val="auto"/>
              </w:rPr>
            </w:pP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home repair service plans.</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ICFR</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Internal Controls Over Financial Reporting</w:t>
            </w:r>
          </w:p>
        </w:tc>
      </w:tr>
      <w:tr>
        <w:trPr>
          <w:trHeight w:val="180"/>
        </w:trPr>
        <w:tc>
          <w:tcPr>
            <w:tcW w:w="20" w:type="dxa"/>
            <w:vAlign w:val="bottom"/>
          </w:tcPr>
          <w:p>
            <w:pPr>
              <w:spacing w:after="0"/>
              <w:rPr>
                <w:sz w:val="15"/>
                <w:szCs w:val="15"/>
                <w:color w:val="auto"/>
              </w:rPr>
            </w:pPr>
          </w:p>
        </w:tc>
        <w:tc>
          <w:tcPr>
            <w:tcW w:w="264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Iowa Gas</w:t>
            </w:r>
          </w:p>
        </w:tc>
        <w:tc>
          <w:tcPr>
            <w:tcW w:w="8560" w:type="dxa"/>
            <w:vAlign w:val="bottom"/>
            <w:shd w:val="clear" w:color="auto" w:fill="CEFFE7"/>
          </w:tcPr>
          <w:p>
            <w:pPr>
              <w:ind w:left="640"/>
              <w:spacing w:after="0" w:line="181" w:lineRule="exact"/>
              <w:rPr>
                <w:sz w:val="20"/>
                <w:szCs w:val="20"/>
                <w:color w:val="auto"/>
              </w:rPr>
            </w:pPr>
            <w:r>
              <w:rPr>
                <w:rFonts w:ascii="Arial" w:cs="Arial" w:eastAsia="Arial" w:hAnsi="Arial"/>
                <w:sz w:val="16"/>
                <w:szCs w:val="16"/>
                <w:color w:val="auto"/>
              </w:rPr>
              <w:t>Black Hills Iowa Gas Utility Company, LLC, a direct, wholly-owned subsidiary of Black Hills Utility Holdings,</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640" w:type="dxa"/>
            <w:vAlign w:val="bottom"/>
            <w:shd w:val="clear" w:color="auto" w:fill="CEFFE7"/>
          </w:tcPr>
          <w:p>
            <w:pPr>
              <w:spacing w:after="0"/>
              <w:rPr>
                <w:sz w:val="17"/>
                <w:szCs w:val="17"/>
                <w:color w:val="auto"/>
              </w:rPr>
            </w:pP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providing natural gas services to customers in Iowa (doing business as Black Hills Energy).</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IPP</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Independent Power Producer</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IRC</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Internal Revenue Code</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IRS</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United States Internal Revenue Service</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ITC</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Investment Tax Credit</w:t>
            </w: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640" w:type="dxa"/>
            <w:vAlign w:val="bottom"/>
          </w:tcPr>
          <w:p>
            <w:pPr>
              <w:ind w:left="20"/>
              <w:spacing w:after="0" w:line="178" w:lineRule="exact"/>
              <w:rPr>
                <w:sz w:val="20"/>
                <w:szCs w:val="20"/>
                <w:color w:val="auto"/>
              </w:rPr>
            </w:pPr>
            <w:r>
              <w:rPr>
                <w:rFonts w:ascii="Arial" w:cs="Arial" w:eastAsia="Arial" w:hAnsi="Arial"/>
                <w:sz w:val="16"/>
                <w:szCs w:val="16"/>
                <w:color w:val="auto"/>
              </w:rPr>
              <w:t>Kansas Gas</w:t>
            </w:r>
          </w:p>
        </w:tc>
        <w:tc>
          <w:tcPr>
            <w:tcW w:w="8580" w:type="dxa"/>
            <w:vAlign w:val="bottom"/>
            <w:gridSpan w:val="2"/>
          </w:tcPr>
          <w:p>
            <w:pPr>
              <w:ind w:left="640"/>
              <w:spacing w:after="0" w:line="178" w:lineRule="exact"/>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198"/>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kV</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Kilovolt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LIBOR</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London Interbank Offered Rate</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Mcf</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Thousand cubic feet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Mcfd</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Thousand cubic feet per day</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MDU</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Montana-Dakota Utilities Co., a subsidiary of MDU Resources Group, Inc.</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MEAN</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Municipal Energy Agency of Nebraska</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MISO</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Midcontinent Independent System Operator, Inc.</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MMBtu</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Million British thermal units</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Moody’s</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Moody’s Investors Service, Inc.</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MSHA</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Mine Safety and Health Administration</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MTPSC</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Montana Public Service Commission</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MW</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Megawatts</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MWh</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Megawatt-hours</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N/A</w:t>
            </w: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Not Applicable</w:t>
            </w:r>
          </w:p>
        </w:tc>
      </w:tr>
      <w:tr>
        <w:trPr>
          <w:trHeight w:val="219"/>
        </w:trPr>
        <w:tc>
          <w:tcPr>
            <w:tcW w:w="20" w:type="dxa"/>
            <w:vAlign w:val="bottom"/>
          </w:tcPr>
          <w:p>
            <w:pPr>
              <w:spacing w:after="0"/>
              <w:rPr>
                <w:sz w:val="19"/>
                <w:szCs w:val="19"/>
                <w:color w:val="auto"/>
              </w:rPr>
            </w:pPr>
          </w:p>
        </w:tc>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NAV</w:t>
            </w: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Net Asset Value</w:t>
            </w: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640" w:type="dxa"/>
            <w:vAlign w:val="bottom"/>
          </w:tcPr>
          <w:p>
            <w:pPr>
              <w:ind w:left="20"/>
              <w:spacing w:after="0" w:line="178" w:lineRule="exact"/>
              <w:rPr>
                <w:sz w:val="20"/>
                <w:szCs w:val="20"/>
                <w:color w:val="auto"/>
              </w:rPr>
            </w:pPr>
            <w:r>
              <w:rPr>
                <w:rFonts w:ascii="Arial" w:cs="Arial" w:eastAsia="Arial" w:hAnsi="Arial"/>
                <w:sz w:val="16"/>
                <w:szCs w:val="16"/>
                <w:color w:val="auto"/>
              </w:rPr>
              <w:t>Nebraska Gas</w:t>
            </w:r>
          </w:p>
        </w:tc>
        <w:tc>
          <w:tcPr>
            <w:tcW w:w="8580" w:type="dxa"/>
            <w:vAlign w:val="bottom"/>
            <w:gridSpan w:val="2"/>
          </w:tcPr>
          <w:p>
            <w:pPr>
              <w:ind w:left="640"/>
              <w:spacing w:after="0" w:line="178" w:lineRule="exact"/>
              <w:rPr>
                <w:sz w:val="20"/>
                <w:szCs w:val="20"/>
                <w:color w:val="auto"/>
              </w:rPr>
            </w:pPr>
            <w:r>
              <w:rPr>
                <w:rFonts w:ascii="Arial" w:cs="Arial" w:eastAsia="Arial" w:hAnsi="Arial"/>
                <w:sz w:val="16"/>
                <w:szCs w:val="16"/>
                <w:color w:val="auto"/>
              </w:rPr>
              <w:t>Black Hills Nebraska Gas, LLC, an indirect, wholly-owned subsidiary of Black Hills Utility Holdings, providing</w:t>
            </w:r>
          </w:p>
        </w:tc>
      </w:tr>
      <w:tr>
        <w:trPr>
          <w:trHeight w:val="198"/>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580" w:type="dxa"/>
            <w:vAlign w:val="bottom"/>
            <w:gridSpan w:val="2"/>
          </w:tcPr>
          <w:p>
            <w:pPr>
              <w:ind w:left="640"/>
              <w:spacing w:after="0"/>
              <w:rPr>
                <w:sz w:val="20"/>
                <w:szCs w:val="20"/>
                <w:color w:val="auto"/>
              </w:rPr>
            </w:pPr>
            <w:r>
              <w:rPr>
                <w:rFonts w:ascii="Arial" w:cs="Arial" w:eastAsia="Arial" w:hAnsi="Arial"/>
                <w:sz w:val="16"/>
                <w:szCs w:val="16"/>
                <w:color w:val="auto"/>
              </w:rPr>
              <w:t>natural gas services to customers in Nebraska (doing business as Black Hills Energy).</w:t>
            </w:r>
          </w:p>
        </w:tc>
      </w:tr>
      <w:tr>
        <w:trPr>
          <w:trHeight w:val="180"/>
        </w:trPr>
        <w:tc>
          <w:tcPr>
            <w:tcW w:w="20" w:type="dxa"/>
            <w:vAlign w:val="bottom"/>
          </w:tcPr>
          <w:p>
            <w:pPr>
              <w:spacing w:after="0"/>
              <w:rPr>
                <w:sz w:val="15"/>
                <w:szCs w:val="15"/>
                <w:color w:val="auto"/>
              </w:rPr>
            </w:pPr>
          </w:p>
        </w:tc>
        <w:tc>
          <w:tcPr>
            <w:tcW w:w="264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Neil Simpson II</w:t>
            </w:r>
          </w:p>
        </w:tc>
        <w:tc>
          <w:tcPr>
            <w:tcW w:w="8560" w:type="dxa"/>
            <w:vAlign w:val="bottom"/>
            <w:shd w:val="clear" w:color="auto" w:fill="CEFFE7"/>
          </w:tcPr>
          <w:p>
            <w:pPr>
              <w:ind w:left="640"/>
              <w:spacing w:after="0" w:line="181" w:lineRule="exact"/>
              <w:rPr>
                <w:sz w:val="20"/>
                <w:szCs w:val="20"/>
                <w:color w:val="auto"/>
              </w:rPr>
            </w:pPr>
            <w:r>
              <w:rPr>
                <w:rFonts w:ascii="Arial" w:cs="Arial" w:eastAsia="Arial" w:hAnsi="Arial"/>
                <w:sz w:val="16"/>
                <w:szCs w:val="16"/>
                <w:color w:val="auto"/>
              </w:rPr>
              <w:t>A mine-mouth, coal-fired power plant owned and operated by South Dakota Electric with a total capacity of 90</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640" w:type="dxa"/>
            <w:vAlign w:val="bottom"/>
            <w:shd w:val="clear" w:color="auto" w:fill="CEFFE7"/>
          </w:tcPr>
          <w:p>
            <w:pPr>
              <w:spacing w:after="0"/>
              <w:rPr>
                <w:sz w:val="17"/>
                <w:szCs w:val="17"/>
                <w:color w:val="auto"/>
              </w:rPr>
            </w:pPr>
          </w:p>
        </w:tc>
        <w:tc>
          <w:tcPr>
            <w:tcW w:w="8560" w:type="dxa"/>
            <w:vAlign w:val="bottom"/>
            <w:shd w:val="clear" w:color="auto" w:fill="CEFFE7"/>
          </w:tcPr>
          <w:p>
            <w:pPr>
              <w:ind w:left="640"/>
              <w:spacing w:after="0"/>
              <w:rPr>
                <w:sz w:val="20"/>
                <w:szCs w:val="20"/>
                <w:color w:val="auto"/>
              </w:rPr>
            </w:pPr>
            <w:r>
              <w:rPr>
                <w:rFonts w:ascii="Arial" w:cs="Arial" w:eastAsia="Arial" w:hAnsi="Arial"/>
                <w:sz w:val="16"/>
                <w:szCs w:val="16"/>
                <w:color w:val="auto"/>
              </w:rPr>
              <w:t>MW located at our Gillette, Wyoming energy complex.</w:t>
            </w:r>
          </w:p>
        </w:tc>
        <w:tc>
          <w:tcPr>
            <w:tcW w:w="20" w:type="dxa"/>
            <w:vAlign w:val="bottom"/>
          </w:tcPr>
          <w:p>
            <w:pPr>
              <w:spacing w:after="0"/>
              <w:rPr>
                <w:sz w:val="17"/>
                <w:szCs w:val="17"/>
                <w:color w:val="auto"/>
              </w:rPr>
            </w:pPr>
          </w:p>
        </w:tc>
      </w:tr>
      <w:tr>
        <w:trPr>
          <w:trHeight w:val="72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560" w:type="dxa"/>
            <w:vAlign w:val="bottom"/>
          </w:tcPr>
          <w:p>
            <w:pPr>
              <w:ind w:left="29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8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2680" w:type="dxa"/>
            <w:vAlign w:val="bottom"/>
            <w:gridSpan w:val="2"/>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8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86"/>
        </w:trPr>
        <w:tc>
          <w:tcPr>
            <w:tcW w:w="2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NERC</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North American Electric Reliability Corporation</w:t>
            </w:r>
          </w:p>
        </w:tc>
      </w:tr>
      <w:tr>
        <w:trPr>
          <w:trHeight w:val="219"/>
        </w:trPr>
        <w:tc>
          <w:tcPr>
            <w:tcW w:w="20" w:type="dxa"/>
            <w:vAlign w:val="bottom"/>
          </w:tcPr>
          <w:p>
            <w:pPr>
              <w:spacing w:after="0"/>
              <w:rPr>
                <w:sz w:val="19"/>
                <w:szCs w:val="19"/>
                <w:color w:val="auto"/>
              </w:rPr>
            </w:pPr>
          </w:p>
        </w:tc>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w:t>
            </w:r>
            <w:r>
              <w:rPr>
                <w:rFonts w:ascii="Arial" w:cs="Arial" w:eastAsia="Arial" w:hAnsi="Arial"/>
                <w:sz w:val="10"/>
                <w:szCs w:val="10"/>
                <w:color w:val="auto"/>
              </w:rPr>
              <w:t>x</w:t>
            </w: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Nitrogen oxide</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NOL</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Net Operating Loss</w:t>
            </w:r>
          </w:p>
        </w:tc>
      </w:tr>
      <w:tr>
        <w:trPr>
          <w:trHeight w:val="219"/>
        </w:trPr>
        <w:tc>
          <w:tcPr>
            <w:tcW w:w="20" w:type="dxa"/>
            <w:vAlign w:val="bottom"/>
          </w:tcPr>
          <w:p>
            <w:pPr>
              <w:spacing w:after="0"/>
              <w:rPr>
                <w:sz w:val="19"/>
                <w:szCs w:val="19"/>
                <w:color w:val="auto"/>
              </w:rPr>
            </w:pPr>
          </w:p>
        </w:tc>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NPSC</w:t>
            </w: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Nebraska Public Service Commission</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NYSE</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New York Stock Exchange</w:t>
            </w:r>
          </w:p>
        </w:tc>
      </w:tr>
      <w:tr>
        <w:trPr>
          <w:trHeight w:val="219"/>
        </w:trPr>
        <w:tc>
          <w:tcPr>
            <w:tcW w:w="20" w:type="dxa"/>
            <w:vAlign w:val="bottom"/>
          </w:tcPr>
          <w:p>
            <w:pPr>
              <w:spacing w:after="0"/>
              <w:rPr>
                <w:sz w:val="19"/>
                <w:szCs w:val="19"/>
                <w:color w:val="auto"/>
              </w:rPr>
            </w:pPr>
          </w:p>
        </w:tc>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OCI</w:t>
            </w: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Other Comprehensive Income</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OPEB</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Other Post-Employment Benefits</w:t>
            </w:r>
          </w:p>
        </w:tc>
      </w:tr>
      <w:tr>
        <w:trPr>
          <w:trHeight w:val="219"/>
        </w:trPr>
        <w:tc>
          <w:tcPr>
            <w:tcW w:w="20" w:type="dxa"/>
            <w:vAlign w:val="bottom"/>
          </w:tcPr>
          <w:p>
            <w:pPr>
              <w:spacing w:after="0"/>
              <w:rPr>
                <w:sz w:val="19"/>
                <w:szCs w:val="19"/>
                <w:color w:val="auto"/>
              </w:rPr>
            </w:pPr>
          </w:p>
        </w:tc>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OSHA</w:t>
            </w: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Occupational Safety &amp; Health Administration</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OSM</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United States Department of the Interior’s Office of Surface Mining</w:t>
            </w:r>
          </w:p>
        </w:tc>
      </w:tr>
      <w:tr>
        <w:trPr>
          <w:trHeight w:val="180"/>
        </w:trPr>
        <w:tc>
          <w:tcPr>
            <w:tcW w:w="20" w:type="dxa"/>
            <w:vAlign w:val="bottom"/>
          </w:tcPr>
          <w:p>
            <w:pPr>
              <w:spacing w:after="0"/>
              <w:rPr>
                <w:sz w:val="15"/>
                <w:szCs w:val="15"/>
                <w:color w:val="auto"/>
              </w:rPr>
            </w:pPr>
          </w:p>
        </w:tc>
        <w:tc>
          <w:tcPr>
            <w:tcW w:w="26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PacifiCorp</w:t>
            </w:r>
          </w:p>
        </w:tc>
        <w:tc>
          <w:tcPr>
            <w:tcW w:w="854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PacifiCorp, a wholly owned subsidiary of MidAmerican Energy Holdings Company, itself an affiliate of</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660" w:type="dxa"/>
            <w:vAlign w:val="bottom"/>
            <w:shd w:val="clear" w:color="auto" w:fill="CEFFE7"/>
          </w:tcPr>
          <w:p>
            <w:pPr>
              <w:spacing w:after="0"/>
              <w:rPr>
                <w:sz w:val="17"/>
                <w:szCs w:val="17"/>
                <w:color w:val="auto"/>
              </w:rPr>
            </w:pP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Berkshire Hathaway.</w:t>
            </w:r>
          </w:p>
        </w:tc>
        <w:tc>
          <w:tcPr>
            <w:tcW w:w="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PCA</w:t>
            </w:r>
          </w:p>
        </w:tc>
        <w:tc>
          <w:tcPr>
            <w:tcW w:w="8560" w:type="dxa"/>
            <w:vAlign w:val="bottom"/>
            <w:gridSpan w:val="2"/>
          </w:tcPr>
          <w:p>
            <w:pPr>
              <w:ind w:left="620"/>
              <w:spacing w:after="0" w:line="178" w:lineRule="exact"/>
              <w:rPr>
                <w:sz w:val="20"/>
                <w:szCs w:val="20"/>
                <w:color w:val="auto"/>
              </w:rPr>
            </w:pPr>
            <w:r>
              <w:rPr>
                <w:rFonts w:ascii="Arial" w:cs="Arial" w:eastAsia="Arial" w:hAnsi="Arial"/>
                <w:sz w:val="16"/>
                <w:szCs w:val="16"/>
                <w:color w:val="auto"/>
              </w:rPr>
              <w:t>Power Cost Adjustment is an annual adjustment mechanism that allows us to pass a portion of prudently-</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560" w:type="dxa"/>
            <w:vAlign w:val="bottom"/>
            <w:gridSpan w:val="2"/>
          </w:tcPr>
          <w:p>
            <w:pPr>
              <w:ind w:left="620"/>
              <w:spacing w:after="0" w:line="162" w:lineRule="exact"/>
              <w:rPr>
                <w:sz w:val="20"/>
                <w:szCs w:val="20"/>
                <w:color w:val="auto"/>
              </w:rPr>
            </w:pPr>
            <w:r>
              <w:rPr>
                <w:rFonts w:ascii="Arial" w:cs="Arial" w:eastAsia="Arial" w:hAnsi="Arial"/>
                <w:sz w:val="16"/>
                <w:szCs w:val="16"/>
                <w:color w:val="auto"/>
              </w:rPr>
              <w:t>incurred delivered power costs, including fuel, purchased capacity and energy, and transmission costs,</w:t>
            </w: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through to customers.</w:t>
            </w:r>
          </w:p>
        </w:tc>
      </w:tr>
      <w:tr>
        <w:trPr>
          <w:trHeight w:val="180"/>
        </w:trPr>
        <w:tc>
          <w:tcPr>
            <w:tcW w:w="20" w:type="dxa"/>
            <w:vAlign w:val="bottom"/>
          </w:tcPr>
          <w:p>
            <w:pPr>
              <w:spacing w:after="0"/>
              <w:rPr>
                <w:sz w:val="15"/>
                <w:szCs w:val="15"/>
                <w:color w:val="auto"/>
              </w:rPr>
            </w:pPr>
          </w:p>
        </w:tc>
        <w:tc>
          <w:tcPr>
            <w:tcW w:w="26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PCCA</w:t>
            </w:r>
          </w:p>
        </w:tc>
        <w:tc>
          <w:tcPr>
            <w:tcW w:w="854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Power Capacity Cost Adjustment is an annual adjustment that allows us to pass the prudently-incurred</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660" w:type="dxa"/>
            <w:vAlign w:val="bottom"/>
            <w:shd w:val="clear" w:color="auto" w:fill="CEFFE7"/>
          </w:tcPr>
          <w:p>
            <w:pPr>
              <w:spacing w:after="0"/>
              <w:rPr>
                <w:sz w:val="17"/>
                <w:szCs w:val="17"/>
                <w:color w:val="auto"/>
              </w:rPr>
            </w:pP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purchased capacity costs, incremental to costs included in base rates, through to customers.</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Peak View</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The 60 MW wind farm owned by Colorado Electric.</w:t>
            </w:r>
          </w:p>
        </w:tc>
      </w:tr>
      <w:tr>
        <w:trPr>
          <w:trHeight w:val="219"/>
        </w:trPr>
        <w:tc>
          <w:tcPr>
            <w:tcW w:w="20" w:type="dxa"/>
            <w:vAlign w:val="bottom"/>
          </w:tcPr>
          <w:p>
            <w:pPr>
              <w:spacing w:after="0"/>
              <w:rPr>
                <w:sz w:val="19"/>
                <w:szCs w:val="19"/>
                <w:color w:val="auto"/>
              </w:rPr>
            </w:pPr>
          </w:p>
        </w:tc>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PPA</w:t>
            </w: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Power Purchase Agreement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PRPA</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Platte River Power Authority</w:t>
            </w:r>
          </w:p>
        </w:tc>
      </w:tr>
      <w:tr>
        <w:trPr>
          <w:trHeight w:val="219"/>
        </w:trPr>
        <w:tc>
          <w:tcPr>
            <w:tcW w:w="20" w:type="dxa"/>
            <w:vAlign w:val="bottom"/>
          </w:tcPr>
          <w:p>
            <w:pPr>
              <w:spacing w:after="0"/>
              <w:rPr>
                <w:sz w:val="19"/>
                <w:szCs w:val="19"/>
                <w:color w:val="auto"/>
              </w:rPr>
            </w:pPr>
          </w:p>
        </w:tc>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PSA</w:t>
            </w: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Power Sales Agreement</w:t>
            </w: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Pueblo Airport Generation</w:t>
            </w:r>
          </w:p>
        </w:tc>
        <w:tc>
          <w:tcPr>
            <w:tcW w:w="8560" w:type="dxa"/>
            <w:vAlign w:val="bottom"/>
            <w:gridSpan w:val="2"/>
          </w:tcPr>
          <w:p>
            <w:pPr>
              <w:ind w:left="620"/>
              <w:spacing w:after="0" w:line="178" w:lineRule="exact"/>
              <w:rPr>
                <w:sz w:val="20"/>
                <w:szCs w:val="20"/>
                <w:color w:val="auto"/>
              </w:rPr>
            </w:pPr>
            <w:r>
              <w:rPr>
                <w:rFonts w:ascii="Arial" w:cs="Arial" w:eastAsia="Arial" w:hAnsi="Arial"/>
                <w:sz w:val="16"/>
                <w:szCs w:val="16"/>
                <w:color w:val="auto"/>
              </w:rPr>
              <w:t>The 420 MW combined cycle gas-fired power generation plants jointly owned by Colorado Electric (220 MW)</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560" w:type="dxa"/>
            <w:vAlign w:val="bottom"/>
            <w:gridSpan w:val="2"/>
          </w:tcPr>
          <w:p>
            <w:pPr>
              <w:ind w:left="620"/>
              <w:spacing w:after="0" w:line="162" w:lineRule="exact"/>
              <w:rPr>
                <w:sz w:val="20"/>
                <w:szCs w:val="20"/>
                <w:color w:val="auto"/>
              </w:rPr>
            </w:pPr>
            <w:r>
              <w:rPr>
                <w:rFonts w:ascii="Arial" w:cs="Arial" w:eastAsia="Arial" w:hAnsi="Arial"/>
                <w:sz w:val="16"/>
                <w:szCs w:val="16"/>
                <w:color w:val="auto"/>
              </w:rPr>
              <w:t>and Black Hills Colorado IPP (200 MW). Black Hills Colorado IPP owns and operates this facility. The plants</w:t>
            </w: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commenced operation on January 1, 2012.</w:t>
            </w:r>
          </w:p>
        </w:tc>
      </w:tr>
      <w:tr>
        <w:trPr>
          <w:trHeight w:val="219"/>
        </w:trPr>
        <w:tc>
          <w:tcPr>
            <w:tcW w:w="20" w:type="dxa"/>
            <w:vAlign w:val="bottom"/>
          </w:tcPr>
          <w:p>
            <w:pPr>
              <w:spacing w:after="0"/>
              <w:rPr>
                <w:sz w:val="19"/>
                <w:szCs w:val="19"/>
                <w:color w:val="auto"/>
              </w:rPr>
            </w:pPr>
          </w:p>
        </w:tc>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PTC</w:t>
            </w: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Production Tax Credit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PUHCA 2005</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Public Utility Holding Company Act of 2005</w:t>
            </w:r>
          </w:p>
        </w:tc>
      </w:tr>
      <w:tr>
        <w:trPr>
          <w:trHeight w:val="180"/>
        </w:trPr>
        <w:tc>
          <w:tcPr>
            <w:tcW w:w="20" w:type="dxa"/>
            <w:vAlign w:val="bottom"/>
          </w:tcPr>
          <w:p>
            <w:pPr>
              <w:spacing w:after="0"/>
              <w:rPr>
                <w:sz w:val="15"/>
                <w:szCs w:val="15"/>
                <w:color w:val="auto"/>
              </w:rPr>
            </w:pPr>
          </w:p>
        </w:tc>
        <w:tc>
          <w:tcPr>
            <w:tcW w:w="26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i w:val="1"/>
                <w:iCs w:val="1"/>
                <w:color w:val="auto"/>
              </w:rPr>
              <w:t>Ready</w:t>
            </w:r>
          </w:p>
        </w:tc>
        <w:tc>
          <w:tcPr>
            <w:tcW w:w="854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The Company’s branding platform which emphasizes that we will 1) prioritize our customers; 2) act as a</w:t>
            </w: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EFFE7"/>
          </w:tcPr>
          <w:p>
            <w:pPr>
              <w:spacing w:after="0"/>
              <w:rPr>
                <w:sz w:val="14"/>
                <w:szCs w:val="14"/>
                <w:color w:val="auto"/>
              </w:rPr>
            </w:pPr>
          </w:p>
        </w:tc>
        <w:tc>
          <w:tcPr>
            <w:tcW w:w="8540" w:type="dxa"/>
            <w:vAlign w:val="bottom"/>
            <w:shd w:val="clear" w:color="auto" w:fill="CEFFE7"/>
          </w:tcPr>
          <w:p>
            <w:pPr>
              <w:ind w:left="620"/>
              <w:spacing w:after="0" w:line="162" w:lineRule="exact"/>
              <w:rPr>
                <w:sz w:val="20"/>
                <w:szCs w:val="20"/>
                <w:color w:val="auto"/>
              </w:rPr>
            </w:pPr>
            <w:r>
              <w:rPr>
                <w:rFonts w:ascii="Arial" w:cs="Arial" w:eastAsia="Arial" w:hAnsi="Arial"/>
                <w:sz w:val="16"/>
                <w:szCs w:val="16"/>
                <w:color w:val="auto"/>
              </w:rPr>
              <w:t>thoughtful, responsible leader; 3) listen first and lead with a focus on relationships; and 4) be creative in our</w:t>
            </w:r>
          </w:p>
        </w:tc>
        <w:tc>
          <w:tcPr>
            <w:tcW w:w="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2660" w:type="dxa"/>
            <w:vAlign w:val="bottom"/>
            <w:shd w:val="clear" w:color="auto" w:fill="CEFFE7"/>
          </w:tcPr>
          <w:p>
            <w:pPr>
              <w:spacing w:after="0"/>
              <w:rPr>
                <w:sz w:val="17"/>
                <w:szCs w:val="17"/>
                <w:color w:val="auto"/>
              </w:rPr>
            </w:pP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approach to solutions.</w:t>
            </w:r>
          </w:p>
        </w:tc>
        <w:tc>
          <w:tcPr>
            <w:tcW w:w="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Renewable Advantage</w:t>
            </w:r>
          </w:p>
        </w:tc>
        <w:tc>
          <w:tcPr>
            <w:tcW w:w="8560" w:type="dxa"/>
            <w:vAlign w:val="bottom"/>
            <w:gridSpan w:val="2"/>
          </w:tcPr>
          <w:p>
            <w:pPr>
              <w:ind w:left="620"/>
              <w:spacing w:after="0" w:line="178" w:lineRule="exact"/>
              <w:rPr>
                <w:sz w:val="20"/>
                <w:szCs w:val="20"/>
                <w:color w:val="auto"/>
              </w:rPr>
            </w:pPr>
            <w:r>
              <w:rPr>
                <w:rFonts w:ascii="Arial" w:cs="Arial" w:eastAsia="Arial" w:hAnsi="Arial"/>
                <w:sz w:val="16"/>
                <w:szCs w:val="16"/>
                <w:color w:val="auto"/>
              </w:rPr>
              <w:t>The 200 MW solar facility project to be constructed in Pueblo County, Colorado. The project aims to lower</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560" w:type="dxa"/>
            <w:vAlign w:val="bottom"/>
            <w:gridSpan w:val="2"/>
          </w:tcPr>
          <w:p>
            <w:pPr>
              <w:ind w:left="620"/>
              <w:spacing w:after="0" w:line="162" w:lineRule="exact"/>
              <w:rPr>
                <w:sz w:val="20"/>
                <w:szCs w:val="20"/>
                <w:color w:val="auto"/>
              </w:rPr>
            </w:pPr>
            <w:r>
              <w:rPr>
                <w:rFonts w:ascii="Arial" w:cs="Arial" w:eastAsia="Arial" w:hAnsi="Arial"/>
                <w:sz w:val="16"/>
                <w:szCs w:val="16"/>
                <w:color w:val="auto"/>
              </w:rPr>
              <w:t>customer energy costs and provide economic and environmental benefits to Colorado Electric’s customers</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560" w:type="dxa"/>
            <w:vAlign w:val="bottom"/>
            <w:gridSpan w:val="2"/>
          </w:tcPr>
          <w:p>
            <w:pPr>
              <w:ind w:left="620"/>
              <w:spacing w:after="0" w:line="162" w:lineRule="exact"/>
              <w:rPr>
                <w:sz w:val="20"/>
                <w:szCs w:val="20"/>
                <w:color w:val="auto"/>
              </w:rPr>
            </w:pPr>
            <w:r>
              <w:rPr>
                <w:rFonts w:ascii="Arial" w:cs="Arial" w:eastAsia="Arial" w:hAnsi="Arial"/>
                <w:sz w:val="16"/>
                <w:szCs w:val="16"/>
                <w:color w:val="auto"/>
              </w:rPr>
              <w:t>and communities. This project, which was approved by the CPUC in September 2020, will be owned by a</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560" w:type="dxa"/>
            <w:vAlign w:val="bottom"/>
            <w:gridSpan w:val="2"/>
          </w:tcPr>
          <w:p>
            <w:pPr>
              <w:ind w:left="620"/>
              <w:spacing w:after="0" w:line="162" w:lineRule="exact"/>
              <w:rPr>
                <w:sz w:val="20"/>
                <w:szCs w:val="20"/>
                <w:color w:val="auto"/>
              </w:rPr>
            </w:pPr>
            <w:r>
              <w:rPr>
                <w:rFonts w:ascii="Arial" w:cs="Arial" w:eastAsia="Arial" w:hAnsi="Arial"/>
                <w:sz w:val="16"/>
                <w:szCs w:val="16"/>
                <w:color w:val="auto"/>
              </w:rPr>
              <w:t>third-party renewable energy developer with Colorado Electric purchasing all of the energy generated at the</w:t>
            </w: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facility under the terms of a 15-year PPA. The project is expected to be placed in service in 2023.</w:t>
            </w:r>
          </w:p>
        </w:tc>
      </w:tr>
      <w:tr>
        <w:trPr>
          <w:trHeight w:val="180"/>
        </w:trPr>
        <w:tc>
          <w:tcPr>
            <w:tcW w:w="20" w:type="dxa"/>
            <w:vAlign w:val="bottom"/>
          </w:tcPr>
          <w:p>
            <w:pPr>
              <w:spacing w:after="0"/>
              <w:rPr>
                <w:sz w:val="15"/>
                <w:szCs w:val="15"/>
                <w:color w:val="auto"/>
              </w:rPr>
            </w:pPr>
          </w:p>
        </w:tc>
        <w:tc>
          <w:tcPr>
            <w:tcW w:w="26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Renewable Ready</w:t>
            </w:r>
          </w:p>
        </w:tc>
        <w:tc>
          <w:tcPr>
            <w:tcW w:w="854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Voluntary renewable energy subscription program for large commercial, industrial and governmental agency</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660" w:type="dxa"/>
            <w:vAlign w:val="bottom"/>
            <w:shd w:val="clear" w:color="auto" w:fill="CEFFE7"/>
          </w:tcPr>
          <w:p>
            <w:pPr>
              <w:spacing w:after="0"/>
              <w:rPr>
                <w:sz w:val="17"/>
                <w:szCs w:val="17"/>
                <w:color w:val="auto"/>
              </w:rPr>
            </w:pP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customers in South Dakota and Wyoming.</w:t>
            </w:r>
          </w:p>
        </w:tc>
        <w:tc>
          <w:tcPr>
            <w:tcW w:w="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RESA</w:t>
            </w:r>
          </w:p>
        </w:tc>
        <w:tc>
          <w:tcPr>
            <w:tcW w:w="8560" w:type="dxa"/>
            <w:vAlign w:val="bottom"/>
            <w:gridSpan w:val="2"/>
          </w:tcPr>
          <w:p>
            <w:pPr>
              <w:ind w:left="620"/>
              <w:spacing w:after="0" w:line="178" w:lineRule="exact"/>
              <w:rPr>
                <w:sz w:val="20"/>
                <w:szCs w:val="20"/>
                <w:color w:val="auto"/>
              </w:rPr>
            </w:pPr>
            <w:r>
              <w:rPr>
                <w:rFonts w:ascii="Arial" w:cs="Arial" w:eastAsia="Arial" w:hAnsi="Arial"/>
                <w:sz w:val="16"/>
                <w:szCs w:val="16"/>
                <w:color w:val="auto"/>
              </w:rPr>
              <w:t>Renewable Energy Standard Adjustment is an incremental retail rate limited to 2% for Colorado Electric</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560" w:type="dxa"/>
            <w:vAlign w:val="bottom"/>
            <w:gridSpan w:val="2"/>
          </w:tcPr>
          <w:p>
            <w:pPr>
              <w:ind w:left="620"/>
              <w:spacing w:after="0" w:line="162" w:lineRule="exact"/>
              <w:rPr>
                <w:sz w:val="20"/>
                <w:szCs w:val="20"/>
                <w:color w:val="auto"/>
              </w:rPr>
            </w:pPr>
            <w:r>
              <w:rPr>
                <w:rFonts w:ascii="Arial" w:cs="Arial" w:eastAsia="Arial" w:hAnsi="Arial"/>
                <w:sz w:val="16"/>
                <w:szCs w:val="16"/>
                <w:color w:val="auto"/>
              </w:rPr>
              <w:t>customers that provides funding for renewable energy projects and programs to comply with Colorado’s</w:t>
            </w: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Renewable Energy Standard.</w:t>
            </w:r>
          </w:p>
        </w:tc>
      </w:tr>
      <w:tr>
        <w:trPr>
          <w:trHeight w:val="180"/>
        </w:trPr>
        <w:tc>
          <w:tcPr>
            <w:tcW w:w="20" w:type="dxa"/>
            <w:vAlign w:val="bottom"/>
          </w:tcPr>
          <w:p>
            <w:pPr>
              <w:spacing w:after="0"/>
              <w:rPr>
                <w:sz w:val="15"/>
                <w:szCs w:val="15"/>
                <w:color w:val="auto"/>
              </w:rPr>
            </w:pPr>
          </w:p>
        </w:tc>
        <w:tc>
          <w:tcPr>
            <w:tcW w:w="26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Revolving Credit Facility</w:t>
            </w:r>
          </w:p>
        </w:tc>
        <w:tc>
          <w:tcPr>
            <w:tcW w:w="854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660" w:type="dxa"/>
            <w:vAlign w:val="bottom"/>
            <w:shd w:val="clear" w:color="auto" w:fill="CEFFE7"/>
          </w:tcPr>
          <w:p>
            <w:pPr>
              <w:spacing w:after="0"/>
              <w:rPr>
                <w:sz w:val="17"/>
                <w:szCs w:val="17"/>
                <w:color w:val="auto"/>
              </w:rPr>
            </w:pP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purposes, which was amended and restated on July 30, 2018, and now terminates on July 30, 2023.</w:t>
            </w:r>
          </w:p>
        </w:tc>
        <w:tc>
          <w:tcPr>
            <w:tcW w:w="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RMNG</w:t>
            </w:r>
          </w:p>
        </w:tc>
        <w:tc>
          <w:tcPr>
            <w:tcW w:w="8560" w:type="dxa"/>
            <w:vAlign w:val="bottom"/>
            <w:gridSpan w:val="2"/>
          </w:tcPr>
          <w:p>
            <w:pPr>
              <w:ind w:left="620"/>
              <w:spacing w:after="0" w:line="178" w:lineRule="exact"/>
              <w:rPr>
                <w:sz w:val="20"/>
                <w:szCs w:val="20"/>
                <w:color w:val="auto"/>
              </w:rPr>
            </w:pPr>
            <w:r>
              <w:rPr>
                <w:rFonts w:ascii="Arial" w:cs="Arial" w:eastAsia="Arial" w:hAnsi="Arial"/>
                <w:sz w:val="16"/>
                <w:szCs w:val="16"/>
                <w:color w:val="auto"/>
              </w:rPr>
              <w:t>Rocky Mountain Natural Gas LLC, an indirect, wholly-owned subsidiary of Black Hills Utility Holdings,</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560" w:type="dxa"/>
            <w:vAlign w:val="bottom"/>
            <w:gridSpan w:val="2"/>
          </w:tcPr>
          <w:p>
            <w:pPr>
              <w:ind w:left="620"/>
              <w:spacing w:after="0" w:line="162" w:lineRule="exact"/>
              <w:rPr>
                <w:sz w:val="20"/>
                <w:szCs w:val="20"/>
                <w:color w:val="auto"/>
              </w:rPr>
            </w:pPr>
            <w:r>
              <w:rPr>
                <w:rFonts w:ascii="Arial" w:cs="Arial" w:eastAsia="Arial" w:hAnsi="Arial"/>
                <w:sz w:val="16"/>
                <w:szCs w:val="16"/>
                <w:color w:val="auto"/>
              </w:rPr>
              <w:t>providing natural gas transmission and wholesale services in western Colorado (doing business as Black Hills</w:t>
            </w: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Energy).</w:t>
            </w:r>
          </w:p>
        </w:tc>
      </w:tr>
      <w:tr>
        <w:trPr>
          <w:trHeight w:val="219"/>
        </w:trPr>
        <w:tc>
          <w:tcPr>
            <w:tcW w:w="20" w:type="dxa"/>
            <w:vAlign w:val="bottom"/>
          </w:tcPr>
          <w:p>
            <w:pPr>
              <w:spacing w:after="0"/>
              <w:rPr>
                <w:sz w:val="19"/>
                <w:szCs w:val="19"/>
                <w:color w:val="auto"/>
              </w:rPr>
            </w:pPr>
          </w:p>
        </w:tc>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SDPUC</w:t>
            </w: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South Dakota Public Utilities Commission</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SEC</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United States Securities and Exchange Commission</w:t>
            </w:r>
          </w:p>
        </w:tc>
      </w:tr>
      <w:tr>
        <w:trPr>
          <w:trHeight w:val="180"/>
        </w:trPr>
        <w:tc>
          <w:tcPr>
            <w:tcW w:w="20" w:type="dxa"/>
            <w:vAlign w:val="bottom"/>
          </w:tcPr>
          <w:p>
            <w:pPr>
              <w:spacing w:after="0"/>
              <w:rPr>
                <w:sz w:val="15"/>
                <w:szCs w:val="15"/>
                <w:color w:val="auto"/>
              </w:rPr>
            </w:pPr>
          </w:p>
        </w:tc>
        <w:tc>
          <w:tcPr>
            <w:tcW w:w="26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Service Guard Comfort Plan</w:t>
            </w:r>
          </w:p>
        </w:tc>
        <w:tc>
          <w:tcPr>
            <w:tcW w:w="854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660" w:type="dxa"/>
            <w:vAlign w:val="bottom"/>
            <w:shd w:val="clear" w:color="auto" w:fill="CEFFE7"/>
          </w:tcPr>
          <w:p>
            <w:pPr>
              <w:spacing w:after="0"/>
              <w:rPr>
                <w:sz w:val="17"/>
                <w:szCs w:val="17"/>
                <w:color w:val="auto"/>
              </w:rPr>
            </w:pP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agreements to residential utility customers.</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Silver Sage</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Silver Sage Windpower, LLC, owned by Duke Energy Generation Services</w:t>
            </w:r>
          </w:p>
        </w:tc>
      </w:tr>
      <w:tr>
        <w:trPr>
          <w:trHeight w:val="219"/>
        </w:trPr>
        <w:tc>
          <w:tcPr>
            <w:tcW w:w="20" w:type="dxa"/>
            <w:vAlign w:val="bottom"/>
          </w:tcPr>
          <w:p>
            <w:pPr>
              <w:spacing w:after="0"/>
              <w:rPr>
                <w:sz w:val="19"/>
                <w:szCs w:val="19"/>
                <w:color w:val="auto"/>
              </w:rPr>
            </w:pPr>
          </w:p>
        </w:tc>
        <w:tc>
          <w:tcPr>
            <w:tcW w:w="2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SO</w:t>
            </w:r>
            <w:r>
              <w:rPr>
                <w:rFonts w:ascii="Arial" w:cs="Arial" w:eastAsia="Arial" w:hAnsi="Arial"/>
                <w:sz w:val="10"/>
                <w:szCs w:val="10"/>
                <w:color w:val="auto"/>
              </w:rPr>
              <w:t>2</w:t>
            </w: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Sulfur dioxide</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S&amp;P</w:t>
            </w:r>
          </w:p>
        </w:tc>
        <w:tc>
          <w:tcPr>
            <w:tcW w:w="8560" w:type="dxa"/>
            <w:vAlign w:val="bottom"/>
            <w:gridSpan w:val="2"/>
          </w:tcPr>
          <w:p>
            <w:pPr>
              <w:ind w:left="620"/>
              <w:spacing w:after="0"/>
              <w:rPr>
                <w:sz w:val="20"/>
                <w:szCs w:val="20"/>
                <w:color w:val="auto"/>
              </w:rPr>
            </w:pPr>
            <w:r>
              <w:rPr>
                <w:rFonts w:ascii="Arial" w:cs="Arial" w:eastAsia="Arial" w:hAnsi="Arial"/>
                <w:sz w:val="16"/>
                <w:szCs w:val="16"/>
                <w:color w:val="auto"/>
              </w:rPr>
              <w:t>Standard &amp; Poor’s, a division of The McGraw-Hill Companies, Inc.</w:t>
            </w:r>
          </w:p>
        </w:tc>
      </w:tr>
      <w:tr>
        <w:trPr>
          <w:trHeight w:val="180"/>
        </w:trPr>
        <w:tc>
          <w:tcPr>
            <w:tcW w:w="20" w:type="dxa"/>
            <w:vAlign w:val="bottom"/>
          </w:tcPr>
          <w:p>
            <w:pPr>
              <w:spacing w:after="0"/>
              <w:rPr>
                <w:sz w:val="15"/>
                <w:szCs w:val="15"/>
                <w:color w:val="auto"/>
              </w:rPr>
            </w:pPr>
          </w:p>
        </w:tc>
        <w:tc>
          <w:tcPr>
            <w:tcW w:w="26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SPP</w:t>
            </w:r>
          </w:p>
        </w:tc>
        <w:tc>
          <w:tcPr>
            <w:tcW w:w="8540" w:type="dxa"/>
            <w:vAlign w:val="bottom"/>
            <w:shd w:val="clear" w:color="auto" w:fill="CEFFE7"/>
          </w:tcPr>
          <w:p>
            <w:pPr>
              <w:ind w:left="620"/>
              <w:spacing w:after="0" w:line="181" w:lineRule="exact"/>
              <w:rPr>
                <w:sz w:val="20"/>
                <w:szCs w:val="20"/>
                <w:color w:val="auto"/>
              </w:rPr>
            </w:pPr>
            <w:r>
              <w:rPr>
                <w:rFonts w:ascii="Arial" w:cs="Arial" w:eastAsia="Arial" w:hAnsi="Arial"/>
                <w:sz w:val="16"/>
                <w:szCs w:val="16"/>
                <w:color w:val="auto"/>
              </w:rPr>
              <w:t>Southwest Power Pool, Inc. which oversees the bulk electric grid and wholesale power market in the central</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660" w:type="dxa"/>
            <w:vAlign w:val="bottom"/>
            <w:shd w:val="clear" w:color="auto" w:fill="CEFFE7"/>
          </w:tcPr>
          <w:p>
            <w:pPr>
              <w:spacing w:after="0"/>
              <w:rPr>
                <w:sz w:val="17"/>
                <w:szCs w:val="17"/>
                <w:color w:val="auto"/>
              </w:rPr>
            </w:pPr>
          </w:p>
        </w:tc>
        <w:tc>
          <w:tcPr>
            <w:tcW w:w="8540" w:type="dxa"/>
            <w:vAlign w:val="bottom"/>
            <w:shd w:val="clear" w:color="auto" w:fill="CEFFE7"/>
          </w:tcPr>
          <w:p>
            <w:pPr>
              <w:ind w:left="62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7"/>
                <w:szCs w:val="17"/>
                <w:color w:val="auto"/>
              </w:rPr>
            </w:pPr>
          </w:p>
        </w:tc>
      </w:tr>
      <w:tr>
        <w:trPr>
          <w:trHeight w:val="72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540" w:type="dxa"/>
            <w:vAlign w:val="bottom"/>
          </w:tcPr>
          <w:p>
            <w:pPr>
              <w:ind w:left="29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5"/>
        </w:trPr>
        <w:tc>
          <w:tcPr>
            <w:tcW w:w="2520" w:type="dxa"/>
            <w:vAlign w:val="bottom"/>
            <w:gridSpan w:val="2"/>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8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50"/>
        </w:trPr>
        <w:tc>
          <w:tcPr>
            <w:tcW w:w="2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SourceGas Transaction</w:t>
            </w: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On February 12, 2016, Black Hills Utility Holdings acquired SourceGas pursuant to a purchase and sale</w:t>
            </w: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720" w:type="dxa"/>
            <w:vAlign w:val="bottom"/>
            <w:gridSpan w:val="2"/>
          </w:tcPr>
          <w:p>
            <w:pPr>
              <w:ind w:left="780"/>
              <w:spacing w:after="0" w:line="162" w:lineRule="exact"/>
              <w:rPr>
                <w:sz w:val="20"/>
                <w:szCs w:val="20"/>
                <w:color w:val="auto"/>
              </w:rPr>
            </w:pPr>
            <w:r>
              <w:rPr>
                <w:rFonts w:ascii="Arial" w:cs="Arial" w:eastAsia="Arial" w:hAnsi="Arial"/>
                <w:sz w:val="16"/>
                <w:szCs w:val="16"/>
                <w:color w:val="auto"/>
              </w:rPr>
              <w:t>agreement executed on July 12, 2015 for approximately $1.89 billion, which included the assumption of $760</w:t>
            </w: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million in debt at closing.</w:t>
            </w:r>
          </w:p>
        </w:tc>
      </w:tr>
      <w:tr>
        <w:trPr>
          <w:trHeight w:val="180"/>
        </w:trPr>
        <w:tc>
          <w:tcPr>
            <w:tcW w:w="20" w:type="dxa"/>
            <w:vAlign w:val="bottom"/>
          </w:tcPr>
          <w:p>
            <w:pPr>
              <w:spacing w:after="0"/>
              <w:rPr>
                <w:sz w:val="15"/>
                <w:szCs w:val="15"/>
                <w:color w:val="auto"/>
              </w:rPr>
            </w:pPr>
          </w:p>
        </w:tc>
        <w:tc>
          <w:tcPr>
            <w:tcW w:w="25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South Dakota Electric</w:t>
            </w:r>
          </w:p>
        </w:tc>
        <w:tc>
          <w:tcPr>
            <w:tcW w:w="8700" w:type="dxa"/>
            <w:vAlign w:val="bottom"/>
            <w:shd w:val="clear" w:color="auto" w:fill="CEFFE7"/>
          </w:tcPr>
          <w:p>
            <w:pPr>
              <w:ind w:left="780"/>
              <w:spacing w:after="0" w:line="181"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 service</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500" w:type="dxa"/>
            <w:vAlign w:val="bottom"/>
            <w:shd w:val="clear" w:color="auto" w:fill="CEFFE7"/>
          </w:tcPr>
          <w:p>
            <w:pPr>
              <w:spacing w:after="0"/>
              <w:rPr>
                <w:sz w:val="17"/>
                <w:szCs w:val="17"/>
                <w:color w:val="auto"/>
              </w:rPr>
            </w:pP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to customers in Montana, South Dakota and Wyoming (doing business as Black Hills Energy).</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SSIR</w:t>
            </w: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System Safety and Integrity Rider</w:t>
            </w:r>
          </w:p>
        </w:tc>
      </w:tr>
      <w:tr>
        <w:trPr>
          <w:trHeight w:val="219"/>
        </w:trPr>
        <w:tc>
          <w:tcPr>
            <w:tcW w:w="20" w:type="dxa"/>
            <w:vAlign w:val="bottom"/>
          </w:tcPr>
          <w:p>
            <w:pPr>
              <w:spacing w:after="0"/>
              <w:rPr>
                <w:sz w:val="19"/>
                <w:szCs w:val="19"/>
                <w:color w:val="auto"/>
              </w:rPr>
            </w:pPr>
          </w:p>
        </w:tc>
        <w:tc>
          <w:tcPr>
            <w:tcW w:w="2500" w:type="dxa"/>
            <w:vAlign w:val="bottom"/>
            <w:shd w:val="clear" w:color="auto" w:fill="CEFFE7"/>
          </w:tcPr>
          <w:p>
            <w:pPr>
              <w:ind w:left="20"/>
              <w:spacing w:after="0"/>
              <w:rPr>
                <w:sz w:val="20"/>
                <w:szCs w:val="20"/>
                <w:color w:val="auto"/>
              </w:rPr>
            </w:pPr>
            <w:r>
              <w:rPr>
                <w:rFonts w:ascii="Arial" w:cs="Arial" w:eastAsia="Arial" w:hAnsi="Arial"/>
                <w:sz w:val="16"/>
                <w:szCs w:val="16"/>
                <w:color w:val="auto"/>
              </w:rPr>
              <w:t>System Peak Demand</w:t>
            </w: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Represents the highest point of retail customer usage for a single hour.</w:t>
            </w: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500" w:type="dxa"/>
            <w:vAlign w:val="bottom"/>
          </w:tcPr>
          <w:p>
            <w:pPr>
              <w:ind w:left="20"/>
              <w:spacing w:after="0" w:line="178" w:lineRule="exact"/>
              <w:rPr>
                <w:sz w:val="20"/>
                <w:szCs w:val="20"/>
                <w:color w:val="auto"/>
              </w:rPr>
            </w:pPr>
            <w:r>
              <w:rPr>
                <w:rFonts w:ascii="Arial" w:cs="Arial" w:eastAsia="Arial" w:hAnsi="Arial"/>
                <w:sz w:val="16"/>
                <w:szCs w:val="16"/>
                <w:color w:val="auto"/>
              </w:rPr>
              <w:t>TCA</w:t>
            </w:r>
          </w:p>
        </w:tc>
        <w:tc>
          <w:tcPr>
            <w:tcW w:w="8720" w:type="dxa"/>
            <w:vAlign w:val="bottom"/>
            <w:gridSpan w:val="2"/>
          </w:tcPr>
          <w:p>
            <w:pPr>
              <w:ind w:left="780"/>
              <w:spacing w:after="0" w:line="178" w:lineRule="exact"/>
              <w:rPr>
                <w:sz w:val="20"/>
                <w:szCs w:val="20"/>
                <w:color w:val="auto"/>
              </w:rPr>
            </w:pPr>
            <w:r>
              <w:rPr>
                <w:rFonts w:ascii="Arial" w:cs="Arial" w:eastAsia="Arial" w:hAnsi="Arial"/>
                <w:sz w:val="16"/>
                <w:szCs w:val="16"/>
                <w:color w:val="auto"/>
              </w:rPr>
              <w:t>Transmission Cost Adjustment is an annual adjustment mechanism that allows us to recover from customers</w:t>
            </w: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eligible transmission investments prior to the next rate review.</w:t>
            </w:r>
          </w:p>
        </w:tc>
      </w:tr>
      <w:tr>
        <w:trPr>
          <w:trHeight w:val="219"/>
        </w:trPr>
        <w:tc>
          <w:tcPr>
            <w:tcW w:w="20" w:type="dxa"/>
            <w:vAlign w:val="bottom"/>
          </w:tcPr>
          <w:p>
            <w:pPr>
              <w:spacing w:after="0"/>
              <w:rPr>
                <w:sz w:val="19"/>
                <w:szCs w:val="19"/>
                <w:color w:val="auto"/>
              </w:rPr>
            </w:pPr>
          </w:p>
        </w:tc>
        <w:tc>
          <w:tcPr>
            <w:tcW w:w="2500" w:type="dxa"/>
            <w:vAlign w:val="bottom"/>
            <w:shd w:val="clear" w:color="auto" w:fill="CEFFE7"/>
          </w:tcPr>
          <w:p>
            <w:pPr>
              <w:ind w:left="20"/>
              <w:spacing w:after="0"/>
              <w:rPr>
                <w:sz w:val="20"/>
                <w:szCs w:val="20"/>
                <w:color w:val="auto"/>
              </w:rPr>
            </w:pPr>
            <w:r>
              <w:rPr>
                <w:rFonts w:ascii="Arial" w:cs="Arial" w:eastAsia="Arial" w:hAnsi="Arial"/>
                <w:sz w:val="16"/>
                <w:szCs w:val="16"/>
                <w:color w:val="auto"/>
              </w:rPr>
              <w:t>TCJA</w:t>
            </w: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Tax Cuts and Jobs Act enacted on December 22, 2017</w:t>
            </w: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500" w:type="dxa"/>
            <w:vAlign w:val="bottom"/>
          </w:tcPr>
          <w:p>
            <w:pPr>
              <w:ind w:left="20"/>
              <w:spacing w:after="0" w:line="178" w:lineRule="exact"/>
              <w:rPr>
                <w:sz w:val="20"/>
                <w:szCs w:val="20"/>
                <w:color w:val="auto"/>
              </w:rPr>
            </w:pPr>
            <w:r>
              <w:rPr>
                <w:rFonts w:ascii="Arial" w:cs="Arial" w:eastAsia="Arial" w:hAnsi="Arial"/>
                <w:sz w:val="16"/>
                <w:szCs w:val="16"/>
                <w:color w:val="auto"/>
              </w:rPr>
              <w:t>Tech Services</w:t>
            </w:r>
          </w:p>
        </w:tc>
        <w:tc>
          <w:tcPr>
            <w:tcW w:w="8720" w:type="dxa"/>
            <w:vAlign w:val="bottom"/>
            <w:gridSpan w:val="2"/>
          </w:tcPr>
          <w:p>
            <w:pPr>
              <w:ind w:left="780"/>
              <w:spacing w:after="0" w:line="178"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 services to</w:t>
            </w: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720" w:type="dxa"/>
            <w:vAlign w:val="bottom"/>
            <w:gridSpan w:val="2"/>
          </w:tcPr>
          <w:p>
            <w:pPr>
              <w:ind w:left="780"/>
              <w:spacing w:after="0" w:line="162" w:lineRule="exact"/>
              <w:rPr>
                <w:sz w:val="20"/>
                <w:szCs w:val="20"/>
                <w:color w:val="auto"/>
              </w:rPr>
            </w:pPr>
            <w:r>
              <w:rPr>
                <w:rFonts w:ascii="Arial" w:cs="Arial" w:eastAsia="Arial" w:hAnsi="Arial"/>
                <w:sz w:val="16"/>
                <w:szCs w:val="16"/>
                <w:color w:val="auto"/>
              </w:rPr>
              <w:t>large industrial customers of our electric utilities, and 2) serve gas transportation customers throughout its</w:t>
            </w: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720" w:type="dxa"/>
            <w:vAlign w:val="bottom"/>
            <w:gridSpan w:val="2"/>
          </w:tcPr>
          <w:p>
            <w:pPr>
              <w:ind w:left="780"/>
              <w:spacing w:after="0" w:line="162" w:lineRule="exact"/>
              <w:rPr>
                <w:sz w:val="20"/>
                <w:szCs w:val="20"/>
                <w:color w:val="auto"/>
              </w:rPr>
            </w:pPr>
            <w:r>
              <w:rPr>
                <w:rFonts w:ascii="Arial" w:cs="Arial" w:eastAsia="Arial" w:hAnsi="Arial"/>
                <w:sz w:val="16"/>
                <w:szCs w:val="16"/>
                <w:color w:val="auto"/>
              </w:rPr>
              <w:t>service territory by constructing and maintaining customer-owned gas infrastructure facilities, typically through</w:t>
            </w: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one-time contracts.</w:t>
            </w:r>
          </w:p>
        </w:tc>
      </w:tr>
      <w:tr>
        <w:trPr>
          <w:trHeight w:val="180"/>
        </w:trPr>
        <w:tc>
          <w:tcPr>
            <w:tcW w:w="20" w:type="dxa"/>
            <w:vAlign w:val="bottom"/>
          </w:tcPr>
          <w:p>
            <w:pPr>
              <w:spacing w:after="0"/>
              <w:rPr>
                <w:sz w:val="15"/>
                <w:szCs w:val="15"/>
                <w:color w:val="auto"/>
              </w:rPr>
            </w:pPr>
          </w:p>
        </w:tc>
        <w:tc>
          <w:tcPr>
            <w:tcW w:w="25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Top of Iowa</w:t>
            </w:r>
          </w:p>
        </w:tc>
        <w:tc>
          <w:tcPr>
            <w:tcW w:w="8700" w:type="dxa"/>
            <w:vAlign w:val="bottom"/>
            <w:shd w:val="clear" w:color="auto" w:fill="CEFFE7"/>
          </w:tcPr>
          <w:p>
            <w:pPr>
              <w:ind w:left="780"/>
              <w:spacing w:after="0" w:line="181" w:lineRule="exact"/>
              <w:rPr>
                <w:sz w:val="20"/>
                <w:szCs w:val="20"/>
                <w:color w:val="auto"/>
              </w:rPr>
            </w:pPr>
            <w:r>
              <w:rPr>
                <w:rFonts w:ascii="Arial" w:cs="Arial" w:eastAsia="Arial" w:hAnsi="Arial"/>
                <w:sz w:val="16"/>
                <w:szCs w:val="16"/>
                <w:color w:val="auto"/>
              </w:rPr>
              <w:t>Northern Iowa Windpower, LLC, a 80 MW wind farm located near Joice, Iowa, owned by Black Hills Electric</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500" w:type="dxa"/>
            <w:vAlign w:val="bottom"/>
            <w:shd w:val="clear" w:color="auto" w:fill="CEFFE7"/>
          </w:tcPr>
          <w:p>
            <w:pPr>
              <w:spacing w:after="0"/>
              <w:rPr>
                <w:sz w:val="17"/>
                <w:szCs w:val="17"/>
                <w:color w:val="auto"/>
              </w:rPr>
            </w:pP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Generation and operated by a third-party. We sell the wind energy generated in the MISO market.</w:t>
            </w:r>
          </w:p>
        </w:tc>
        <w:tc>
          <w:tcPr>
            <w:tcW w:w="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500" w:type="dxa"/>
            <w:vAlign w:val="bottom"/>
          </w:tcPr>
          <w:p>
            <w:pPr>
              <w:ind w:left="20"/>
              <w:spacing w:after="0" w:line="178" w:lineRule="exact"/>
              <w:rPr>
                <w:sz w:val="20"/>
                <w:szCs w:val="20"/>
                <w:color w:val="auto"/>
              </w:rPr>
            </w:pPr>
            <w:r>
              <w:rPr>
                <w:rFonts w:ascii="Arial" w:cs="Arial" w:eastAsia="Arial" w:hAnsi="Arial"/>
                <w:sz w:val="16"/>
                <w:szCs w:val="16"/>
                <w:color w:val="auto"/>
              </w:rPr>
              <w:t>TFA</w:t>
            </w:r>
          </w:p>
        </w:tc>
        <w:tc>
          <w:tcPr>
            <w:tcW w:w="8720" w:type="dxa"/>
            <w:vAlign w:val="bottom"/>
            <w:gridSpan w:val="2"/>
          </w:tcPr>
          <w:p>
            <w:pPr>
              <w:ind w:left="780"/>
              <w:spacing w:after="0" w:line="178" w:lineRule="exact"/>
              <w:rPr>
                <w:sz w:val="20"/>
                <w:szCs w:val="20"/>
                <w:color w:val="auto"/>
              </w:rPr>
            </w:pPr>
            <w:r>
              <w:rPr>
                <w:rFonts w:ascii="Arial" w:cs="Arial" w:eastAsia="Arial" w:hAnsi="Arial"/>
                <w:sz w:val="16"/>
                <w:szCs w:val="16"/>
                <w:color w:val="auto"/>
              </w:rPr>
              <w:t>Transmission Facility Adjustment is an annual adjustment mechanism that allows us to recover charges for</w:t>
            </w: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qualifying new and modified transmission facilities from customers.</w:t>
            </w:r>
          </w:p>
        </w:tc>
      </w:tr>
      <w:tr>
        <w:trPr>
          <w:trHeight w:val="180"/>
        </w:trPr>
        <w:tc>
          <w:tcPr>
            <w:tcW w:w="20" w:type="dxa"/>
            <w:vAlign w:val="bottom"/>
          </w:tcPr>
          <w:p>
            <w:pPr>
              <w:spacing w:after="0"/>
              <w:rPr>
                <w:sz w:val="15"/>
                <w:szCs w:val="15"/>
                <w:color w:val="auto"/>
              </w:rPr>
            </w:pPr>
          </w:p>
        </w:tc>
        <w:tc>
          <w:tcPr>
            <w:tcW w:w="25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Transmission Tie</w:t>
            </w:r>
          </w:p>
        </w:tc>
        <w:tc>
          <w:tcPr>
            <w:tcW w:w="8700" w:type="dxa"/>
            <w:vAlign w:val="bottom"/>
            <w:shd w:val="clear" w:color="auto" w:fill="CEFFE7"/>
          </w:tcPr>
          <w:p>
            <w:pPr>
              <w:ind w:left="780"/>
              <w:spacing w:after="0" w:line="181" w:lineRule="exact"/>
              <w:rPr>
                <w:sz w:val="20"/>
                <w:szCs w:val="20"/>
                <w:color w:val="auto"/>
              </w:rPr>
            </w:pPr>
            <w:r>
              <w:rPr>
                <w:rFonts w:ascii="Arial" w:cs="Arial" w:eastAsia="Arial" w:hAnsi="Arial"/>
                <w:sz w:val="16"/>
                <w:szCs w:val="16"/>
                <w:color w:val="auto"/>
              </w:rPr>
              <w:t>South Dakota Electric owns 35% of a DC transmission tie that interconnects the Western and Eastern</w:t>
            </w: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EFFE7"/>
          </w:tcPr>
          <w:p>
            <w:pPr>
              <w:spacing w:after="0"/>
              <w:rPr>
                <w:sz w:val="14"/>
                <w:szCs w:val="14"/>
                <w:color w:val="auto"/>
              </w:rPr>
            </w:pPr>
          </w:p>
        </w:tc>
        <w:tc>
          <w:tcPr>
            <w:tcW w:w="8700" w:type="dxa"/>
            <w:vAlign w:val="bottom"/>
            <w:shd w:val="clear" w:color="auto" w:fill="CEFFE7"/>
          </w:tcPr>
          <w:p>
            <w:pPr>
              <w:ind w:left="780"/>
              <w:spacing w:after="0" w:line="162" w:lineRule="exact"/>
              <w:rPr>
                <w:sz w:val="20"/>
                <w:szCs w:val="20"/>
                <w:color w:val="auto"/>
              </w:rPr>
            </w:pPr>
            <w:r>
              <w:rPr>
                <w:rFonts w:ascii="Arial" w:cs="Arial" w:eastAsia="Arial" w:hAnsi="Arial"/>
                <w:sz w:val="16"/>
                <w:szCs w:val="16"/>
                <w:color w:val="auto"/>
              </w:rPr>
              <w:t>transmission grids, which are independently-operated transmission grids serving the western and eastern</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EFFE7"/>
          </w:tcPr>
          <w:p>
            <w:pPr>
              <w:spacing w:after="0"/>
              <w:rPr>
                <w:sz w:val="14"/>
                <w:szCs w:val="14"/>
                <w:color w:val="auto"/>
              </w:rPr>
            </w:pPr>
          </w:p>
        </w:tc>
        <w:tc>
          <w:tcPr>
            <w:tcW w:w="8700" w:type="dxa"/>
            <w:vAlign w:val="bottom"/>
            <w:shd w:val="clear" w:color="auto" w:fill="CEFFE7"/>
          </w:tcPr>
          <w:p>
            <w:pPr>
              <w:ind w:left="780"/>
              <w:spacing w:after="0" w:line="162" w:lineRule="exact"/>
              <w:rPr>
                <w:sz w:val="20"/>
                <w:szCs w:val="20"/>
                <w:color w:val="auto"/>
              </w:rPr>
            </w:pPr>
            <w:r>
              <w:rPr>
                <w:rFonts w:ascii="Arial" w:cs="Arial" w:eastAsia="Arial" w:hAnsi="Arial"/>
                <w:sz w:val="16"/>
                <w:szCs w:val="16"/>
                <w:color w:val="auto"/>
              </w:rPr>
              <w:t>United States, respectively. Basin Electric Power Cooperative owns the remaining ownership percentage. This</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EFFE7"/>
          </w:tcPr>
          <w:p>
            <w:pPr>
              <w:spacing w:after="0"/>
              <w:rPr>
                <w:sz w:val="14"/>
                <w:szCs w:val="14"/>
                <w:color w:val="auto"/>
              </w:rPr>
            </w:pPr>
          </w:p>
        </w:tc>
        <w:tc>
          <w:tcPr>
            <w:tcW w:w="8700" w:type="dxa"/>
            <w:vAlign w:val="bottom"/>
            <w:shd w:val="clear" w:color="auto" w:fill="CEFFE7"/>
          </w:tcPr>
          <w:p>
            <w:pPr>
              <w:ind w:left="780"/>
              <w:spacing w:after="0" w:line="162" w:lineRule="exact"/>
              <w:rPr>
                <w:sz w:val="20"/>
                <w:szCs w:val="20"/>
                <w:color w:val="auto"/>
              </w:rPr>
            </w:pPr>
            <w:r>
              <w:rPr>
                <w:rFonts w:ascii="Arial" w:cs="Arial" w:eastAsia="Arial" w:hAnsi="Arial"/>
                <w:sz w:val="16"/>
                <w:szCs w:val="16"/>
                <w:color w:val="auto"/>
              </w:rPr>
              <w:t>transmission tie allows us to buy and sell energy in the Eastern grid without having to isolate and physically</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EFFE7"/>
          </w:tcPr>
          <w:p>
            <w:pPr>
              <w:spacing w:after="0"/>
              <w:rPr>
                <w:sz w:val="14"/>
                <w:szCs w:val="14"/>
                <w:color w:val="auto"/>
              </w:rPr>
            </w:pPr>
          </w:p>
        </w:tc>
        <w:tc>
          <w:tcPr>
            <w:tcW w:w="8700" w:type="dxa"/>
            <w:vAlign w:val="bottom"/>
            <w:shd w:val="clear" w:color="auto" w:fill="CEFFE7"/>
          </w:tcPr>
          <w:p>
            <w:pPr>
              <w:ind w:left="780"/>
              <w:spacing w:after="0" w:line="162" w:lineRule="exact"/>
              <w:rPr>
                <w:sz w:val="20"/>
                <w:szCs w:val="20"/>
                <w:color w:val="auto"/>
              </w:rPr>
            </w:pPr>
            <w:r>
              <w:rPr>
                <w:rFonts w:ascii="Arial" w:cs="Arial" w:eastAsia="Arial" w:hAnsi="Arial"/>
                <w:sz w:val="16"/>
                <w:szCs w:val="16"/>
                <w:color w:val="auto"/>
              </w:rPr>
              <w:t>reconnect load or generation between the two transmission grids, thus enhancing the reliability of our system.</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EFFE7"/>
          </w:tcPr>
          <w:p>
            <w:pPr>
              <w:spacing w:after="0"/>
              <w:rPr>
                <w:sz w:val="14"/>
                <w:szCs w:val="14"/>
                <w:color w:val="auto"/>
              </w:rPr>
            </w:pPr>
          </w:p>
        </w:tc>
        <w:tc>
          <w:tcPr>
            <w:tcW w:w="8700" w:type="dxa"/>
            <w:vAlign w:val="bottom"/>
            <w:shd w:val="clear" w:color="auto" w:fill="CEFFE7"/>
          </w:tcPr>
          <w:p>
            <w:pPr>
              <w:ind w:left="780"/>
              <w:spacing w:after="0" w:line="162" w:lineRule="exact"/>
              <w:rPr>
                <w:sz w:val="20"/>
                <w:szCs w:val="20"/>
                <w:color w:val="auto"/>
              </w:rPr>
            </w:pPr>
            <w:r>
              <w:rPr>
                <w:rFonts w:ascii="Arial" w:cs="Arial" w:eastAsia="Arial" w:hAnsi="Arial"/>
                <w:sz w:val="16"/>
                <w:szCs w:val="16"/>
                <w:color w:val="auto"/>
              </w:rPr>
              <w:t>It accommodates scheduling transactions in both directions simultaneously, provides additional opportunities</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EFFE7"/>
          </w:tcPr>
          <w:p>
            <w:pPr>
              <w:spacing w:after="0"/>
              <w:rPr>
                <w:sz w:val="14"/>
                <w:szCs w:val="14"/>
                <w:color w:val="auto"/>
              </w:rPr>
            </w:pPr>
          </w:p>
        </w:tc>
        <w:tc>
          <w:tcPr>
            <w:tcW w:w="8700" w:type="dxa"/>
            <w:vAlign w:val="bottom"/>
            <w:shd w:val="clear" w:color="auto" w:fill="CEFFE7"/>
          </w:tcPr>
          <w:p>
            <w:pPr>
              <w:ind w:left="780"/>
              <w:spacing w:after="0" w:line="162" w:lineRule="exact"/>
              <w:rPr>
                <w:sz w:val="20"/>
                <w:szCs w:val="20"/>
                <w:color w:val="auto"/>
              </w:rPr>
            </w:pPr>
            <w:r>
              <w:rPr>
                <w:rFonts w:ascii="Arial" w:cs="Arial" w:eastAsia="Arial" w:hAnsi="Arial"/>
                <w:sz w:val="16"/>
                <w:szCs w:val="16"/>
                <w:color w:val="auto"/>
              </w:rPr>
              <w:t>to sell excess generation or to make economic purchases to serve our native load and contract obligations,</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EFFE7"/>
          </w:tcPr>
          <w:p>
            <w:pPr>
              <w:spacing w:after="0"/>
              <w:rPr>
                <w:sz w:val="14"/>
                <w:szCs w:val="14"/>
                <w:color w:val="auto"/>
              </w:rPr>
            </w:pPr>
          </w:p>
        </w:tc>
        <w:tc>
          <w:tcPr>
            <w:tcW w:w="8700" w:type="dxa"/>
            <w:vAlign w:val="bottom"/>
            <w:shd w:val="clear" w:color="auto" w:fill="CEFFE7"/>
          </w:tcPr>
          <w:p>
            <w:pPr>
              <w:ind w:left="780"/>
              <w:spacing w:after="0" w:line="162" w:lineRule="exact"/>
              <w:rPr>
                <w:sz w:val="20"/>
                <w:szCs w:val="20"/>
                <w:color w:val="auto"/>
              </w:rPr>
            </w:pPr>
            <w:r>
              <w:rPr>
                <w:rFonts w:ascii="Arial" w:cs="Arial" w:eastAsia="Arial" w:hAnsi="Arial"/>
                <w:sz w:val="16"/>
                <w:szCs w:val="16"/>
                <w:color w:val="auto"/>
              </w:rPr>
              <w:t>and enables us to take advantage of power price differentials between the two grids. The total transfer</w:t>
            </w:r>
          </w:p>
        </w:tc>
        <w:tc>
          <w:tcPr>
            <w:tcW w:w="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2500" w:type="dxa"/>
            <w:vAlign w:val="bottom"/>
            <w:shd w:val="clear" w:color="auto" w:fill="CEFFE7"/>
          </w:tcPr>
          <w:p>
            <w:pPr>
              <w:spacing w:after="0"/>
              <w:rPr>
                <w:sz w:val="17"/>
                <w:szCs w:val="17"/>
                <w:color w:val="auto"/>
              </w:rPr>
            </w:pP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capacity of the tie is 400 MW, including 200 MW from West to East and 200 MW from East to West.</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Utilities</w:t>
            </w: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Black Hills’ Electric and Gas Utilities</w:t>
            </w:r>
          </w:p>
        </w:tc>
      </w:tr>
      <w:tr>
        <w:trPr>
          <w:trHeight w:val="219"/>
        </w:trPr>
        <w:tc>
          <w:tcPr>
            <w:tcW w:w="20" w:type="dxa"/>
            <w:vAlign w:val="bottom"/>
          </w:tcPr>
          <w:p>
            <w:pPr>
              <w:spacing w:after="0"/>
              <w:rPr>
                <w:sz w:val="19"/>
                <w:szCs w:val="19"/>
                <w:color w:val="auto"/>
              </w:rPr>
            </w:pPr>
          </w:p>
        </w:tc>
        <w:tc>
          <w:tcPr>
            <w:tcW w:w="2500" w:type="dxa"/>
            <w:vAlign w:val="bottom"/>
            <w:shd w:val="clear" w:color="auto" w:fill="CEFFE7"/>
          </w:tcPr>
          <w:p>
            <w:pPr>
              <w:ind w:left="20"/>
              <w:spacing w:after="0"/>
              <w:rPr>
                <w:sz w:val="20"/>
                <w:szCs w:val="20"/>
                <w:color w:val="auto"/>
              </w:rPr>
            </w:pPr>
            <w:r>
              <w:rPr>
                <w:rFonts w:ascii="Arial" w:cs="Arial" w:eastAsia="Arial" w:hAnsi="Arial"/>
                <w:sz w:val="16"/>
                <w:szCs w:val="16"/>
                <w:color w:val="auto"/>
              </w:rPr>
              <w:t>VEBA</w:t>
            </w: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Voluntary Employee Benefit Association</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VIE</w:t>
            </w: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Variable Interest Entity</w:t>
            </w:r>
          </w:p>
        </w:tc>
      </w:tr>
      <w:tr>
        <w:trPr>
          <w:trHeight w:val="219"/>
        </w:trPr>
        <w:tc>
          <w:tcPr>
            <w:tcW w:w="20" w:type="dxa"/>
            <w:vAlign w:val="bottom"/>
          </w:tcPr>
          <w:p>
            <w:pPr>
              <w:spacing w:after="0"/>
              <w:rPr>
                <w:sz w:val="19"/>
                <w:szCs w:val="19"/>
                <w:color w:val="auto"/>
              </w:rPr>
            </w:pPr>
          </w:p>
        </w:tc>
        <w:tc>
          <w:tcPr>
            <w:tcW w:w="25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WECC</w:t>
            </w: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Western Electricity Coordinating Council</w:t>
            </w: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500" w:type="dxa"/>
            <w:vAlign w:val="bottom"/>
          </w:tcPr>
          <w:p>
            <w:pPr>
              <w:ind w:left="20"/>
              <w:spacing w:after="0" w:line="178" w:lineRule="exact"/>
              <w:rPr>
                <w:sz w:val="20"/>
                <w:szCs w:val="20"/>
                <w:color w:val="auto"/>
              </w:rPr>
            </w:pPr>
            <w:r>
              <w:rPr>
                <w:rFonts w:ascii="Arial" w:cs="Arial" w:eastAsia="Arial" w:hAnsi="Arial"/>
                <w:sz w:val="16"/>
                <w:szCs w:val="16"/>
                <w:color w:val="auto"/>
              </w:rPr>
              <w:t>Wind Capacity Factor</w:t>
            </w:r>
          </w:p>
        </w:tc>
        <w:tc>
          <w:tcPr>
            <w:tcW w:w="8720" w:type="dxa"/>
            <w:vAlign w:val="bottom"/>
            <w:gridSpan w:val="2"/>
          </w:tcPr>
          <w:p>
            <w:pPr>
              <w:ind w:left="780"/>
              <w:spacing w:after="0" w:line="178" w:lineRule="exact"/>
              <w:rPr>
                <w:sz w:val="20"/>
                <w:szCs w:val="20"/>
                <w:color w:val="auto"/>
              </w:rPr>
            </w:pPr>
            <w:r>
              <w:rPr>
                <w:rFonts w:ascii="Arial" w:cs="Arial" w:eastAsia="Arial" w:hAnsi="Arial"/>
                <w:sz w:val="16"/>
                <w:szCs w:val="16"/>
                <w:color w:val="auto"/>
              </w:rPr>
              <w:t>Measures the amount of electricity a wind turbine produces in a given time period relative to its maximum</w:t>
            </w: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potential</w:t>
            </w:r>
          </w:p>
        </w:tc>
      </w:tr>
      <w:tr>
        <w:trPr>
          <w:trHeight w:val="219"/>
        </w:trPr>
        <w:tc>
          <w:tcPr>
            <w:tcW w:w="20" w:type="dxa"/>
            <w:vAlign w:val="bottom"/>
          </w:tcPr>
          <w:p>
            <w:pPr>
              <w:spacing w:after="0"/>
              <w:rPr>
                <w:sz w:val="19"/>
                <w:szCs w:val="19"/>
                <w:color w:val="auto"/>
              </w:rPr>
            </w:pPr>
          </w:p>
        </w:tc>
        <w:tc>
          <w:tcPr>
            <w:tcW w:w="25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Working Capacity</w:t>
            </w: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Total gas storage capacity minus cushion gas</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WPSC</w:t>
            </w: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Wyoming Public Service Commission</w:t>
            </w:r>
          </w:p>
        </w:tc>
      </w:tr>
      <w:tr>
        <w:trPr>
          <w:trHeight w:val="180"/>
        </w:trPr>
        <w:tc>
          <w:tcPr>
            <w:tcW w:w="20" w:type="dxa"/>
            <w:vAlign w:val="bottom"/>
          </w:tcPr>
          <w:p>
            <w:pPr>
              <w:spacing w:after="0"/>
              <w:rPr>
                <w:sz w:val="15"/>
                <w:szCs w:val="15"/>
                <w:color w:val="auto"/>
              </w:rPr>
            </w:pPr>
          </w:p>
        </w:tc>
        <w:tc>
          <w:tcPr>
            <w:tcW w:w="25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WRDC</w:t>
            </w:r>
          </w:p>
        </w:tc>
        <w:tc>
          <w:tcPr>
            <w:tcW w:w="8700" w:type="dxa"/>
            <w:vAlign w:val="bottom"/>
            <w:shd w:val="clear" w:color="auto" w:fill="CEFFE7"/>
          </w:tcPr>
          <w:p>
            <w:pPr>
              <w:ind w:left="780"/>
              <w:spacing w:after="0" w:line="181" w:lineRule="exact"/>
              <w:rPr>
                <w:sz w:val="20"/>
                <w:szCs w:val="20"/>
                <w:color w:val="auto"/>
              </w:rPr>
            </w:pPr>
            <w:r>
              <w:rPr>
                <w:rFonts w:ascii="Arial" w:cs="Arial" w:eastAsia="Arial" w:hAnsi="Arial"/>
                <w:sz w:val="16"/>
                <w:szCs w:val="16"/>
                <w:color w:val="auto"/>
              </w:rPr>
              <w:t>Wyodak Resources Development Corp., a direct, wholly-owned subsidiary of Black Hills Non-regulated</w:t>
            </w: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EFFE7"/>
          </w:tcPr>
          <w:p>
            <w:pPr>
              <w:spacing w:after="0"/>
              <w:rPr>
                <w:sz w:val="14"/>
                <w:szCs w:val="14"/>
                <w:color w:val="auto"/>
              </w:rPr>
            </w:pPr>
          </w:p>
        </w:tc>
        <w:tc>
          <w:tcPr>
            <w:tcW w:w="8700" w:type="dxa"/>
            <w:vAlign w:val="bottom"/>
            <w:shd w:val="clear" w:color="auto" w:fill="CEFFE7"/>
          </w:tcPr>
          <w:p>
            <w:pPr>
              <w:ind w:left="780"/>
              <w:spacing w:after="0" w:line="162" w:lineRule="exact"/>
              <w:rPr>
                <w:sz w:val="20"/>
                <w:szCs w:val="20"/>
                <w:color w:val="auto"/>
              </w:rPr>
            </w:pPr>
            <w:r>
              <w:rPr>
                <w:rFonts w:ascii="Arial" w:cs="Arial" w:eastAsia="Arial" w:hAnsi="Arial"/>
                <w:sz w:val="16"/>
                <w:szCs w:val="16"/>
                <w:color w:val="auto"/>
              </w:rPr>
              <w:t>Holdings, providing coal supply primarily to five on-site, mine-mouth generating facilities (doing business as</w:t>
            </w:r>
          </w:p>
        </w:tc>
        <w:tc>
          <w:tcPr>
            <w:tcW w:w="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2500" w:type="dxa"/>
            <w:vAlign w:val="bottom"/>
            <w:shd w:val="clear" w:color="auto" w:fill="CEFFE7"/>
          </w:tcPr>
          <w:p>
            <w:pPr>
              <w:spacing w:after="0"/>
              <w:rPr>
                <w:sz w:val="17"/>
                <w:szCs w:val="17"/>
                <w:color w:val="auto"/>
              </w:rPr>
            </w:pP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Black Hills Energy).</w:t>
            </w:r>
          </w:p>
        </w:tc>
        <w:tc>
          <w:tcPr>
            <w:tcW w:w="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500" w:type="dxa"/>
            <w:vAlign w:val="bottom"/>
          </w:tcPr>
          <w:p>
            <w:pPr>
              <w:ind w:left="20"/>
              <w:spacing w:after="0" w:line="178" w:lineRule="exact"/>
              <w:rPr>
                <w:sz w:val="20"/>
                <w:szCs w:val="20"/>
                <w:color w:val="auto"/>
              </w:rPr>
            </w:pPr>
            <w:r>
              <w:rPr>
                <w:rFonts w:ascii="Arial" w:cs="Arial" w:eastAsia="Arial" w:hAnsi="Arial"/>
                <w:sz w:val="16"/>
                <w:szCs w:val="16"/>
                <w:color w:val="auto"/>
              </w:rPr>
              <w:t>Wygen I</w:t>
            </w:r>
          </w:p>
        </w:tc>
        <w:tc>
          <w:tcPr>
            <w:tcW w:w="8720" w:type="dxa"/>
            <w:vAlign w:val="bottom"/>
            <w:gridSpan w:val="2"/>
          </w:tcPr>
          <w:p>
            <w:pPr>
              <w:ind w:left="780"/>
              <w:spacing w:after="0" w:line="178" w:lineRule="exact"/>
              <w:rPr>
                <w:sz w:val="20"/>
                <w:szCs w:val="20"/>
                <w:color w:val="auto"/>
              </w:rPr>
            </w:pPr>
            <w:r>
              <w:rPr>
                <w:rFonts w:ascii="Arial" w:cs="Arial" w:eastAsia="Arial" w:hAnsi="Arial"/>
                <w:sz w:val="16"/>
                <w:szCs w:val="16"/>
                <w:color w:val="auto"/>
              </w:rPr>
              <w:t>A mine-mouth, coal-fired generating facility with a total capacity of 90 MW located at our Gillette, Wyoming</w:t>
            </w: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720" w:type="dxa"/>
            <w:vAlign w:val="bottom"/>
            <w:gridSpan w:val="2"/>
          </w:tcPr>
          <w:p>
            <w:pPr>
              <w:ind w:left="780"/>
              <w:spacing w:after="0" w:line="162" w:lineRule="exact"/>
              <w:rPr>
                <w:sz w:val="20"/>
                <w:szCs w:val="20"/>
                <w:color w:val="auto"/>
              </w:rPr>
            </w:pPr>
            <w:r>
              <w:rPr>
                <w:rFonts w:ascii="Arial" w:cs="Arial" w:eastAsia="Arial" w:hAnsi="Arial"/>
                <w:sz w:val="16"/>
                <w:szCs w:val="16"/>
                <w:color w:val="auto"/>
              </w:rPr>
              <w:t>energy complex. Black Hills Wyoming owns 76.5% of the facility and Municipal Energy Agency of Nebraska</w:t>
            </w: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(MEAN) owns the remaining 23.5%.</w:t>
            </w:r>
          </w:p>
        </w:tc>
      </w:tr>
      <w:tr>
        <w:trPr>
          <w:trHeight w:val="180"/>
        </w:trPr>
        <w:tc>
          <w:tcPr>
            <w:tcW w:w="20" w:type="dxa"/>
            <w:vAlign w:val="bottom"/>
          </w:tcPr>
          <w:p>
            <w:pPr>
              <w:spacing w:after="0"/>
              <w:rPr>
                <w:sz w:val="15"/>
                <w:szCs w:val="15"/>
                <w:color w:val="auto"/>
              </w:rPr>
            </w:pPr>
          </w:p>
        </w:tc>
        <w:tc>
          <w:tcPr>
            <w:tcW w:w="25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Wygen II</w:t>
            </w:r>
          </w:p>
        </w:tc>
        <w:tc>
          <w:tcPr>
            <w:tcW w:w="8700" w:type="dxa"/>
            <w:vAlign w:val="bottom"/>
            <w:shd w:val="clear" w:color="auto" w:fill="CEFFE7"/>
          </w:tcPr>
          <w:p>
            <w:pPr>
              <w:ind w:left="780"/>
              <w:spacing w:after="0" w:line="181" w:lineRule="exact"/>
              <w:rPr>
                <w:sz w:val="20"/>
                <w:szCs w:val="20"/>
                <w:color w:val="auto"/>
              </w:rPr>
            </w:pPr>
            <w:r>
              <w:rPr>
                <w:rFonts w:ascii="Arial" w:cs="Arial" w:eastAsia="Arial" w:hAnsi="Arial"/>
                <w:sz w:val="16"/>
                <w:szCs w:val="16"/>
                <w:color w:val="auto"/>
              </w:rPr>
              <w:t>A mine-mouth, coal-fired power plant owned by Wyoming Electric with a total capacity of 95 MW located at our</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500" w:type="dxa"/>
            <w:vAlign w:val="bottom"/>
            <w:shd w:val="clear" w:color="auto" w:fill="CEFFE7"/>
          </w:tcPr>
          <w:p>
            <w:pPr>
              <w:spacing w:after="0"/>
              <w:rPr>
                <w:sz w:val="17"/>
                <w:szCs w:val="17"/>
                <w:color w:val="auto"/>
              </w:rPr>
            </w:pP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Gillette, Wyoming energy complex.</w:t>
            </w:r>
          </w:p>
        </w:tc>
        <w:tc>
          <w:tcPr>
            <w:tcW w:w="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500" w:type="dxa"/>
            <w:vAlign w:val="bottom"/>
          </w:tcPr>
          <w:p>
            <w:pPr>
              <w:ind w:left="20"/>
              <w:spacing w:after="0" w:line="178" w:lineRule="exact"/>
              <w:rPr>
                <w:sz w:val="20"/>
                <w:szCs w:val="20"/>
                <w:color w:val="auto"/>
              </w:rPr>
            </w:pPr>
            <w:r>
              <w:rPr>
                <w:rFonts w:ascii="Arial" w:cs="Arial" w:eastAsia="Arial" w:hAnsi="Arial"/>
                <w:sz w:val="16"/>
                <w:szCs w:val="16"/>
                <w:color w:val="auto"/>
              </w:rPr>
              <w:t>Wygen III</w:t>
            </w:r>
          </w:p>
        </w:tc>
        <w:tc>
          <w:tcPr>
            <w:tcW w:w="8720" w:type="dxa"/>
            <w:vAlign w:val="bottom"/>
            <w:gridSpan w:val="2"/>
          </w:tcPr>
          <w:p>
            <w:pPr>
              <w:ind w:left="780"/>
              <w:spacing w:after="0" w:line="178" w:lineRule="exact"/>
              <w:rPr>
                <w:sz w:val="20"/>
                <w:szCs w:val="20"/>
                <w:color w:val="auto"/>
              </w:rPr>
            </w:pPr>
            <w:r>
              <w:rPr>
                <w:rFonts w:ascii="Arial" w:cs="Arial" w:eastAsia="Arial" w:hAnsi="Arial"/>
                <w:sz w:val="16"/>
                <w:szCs w:val="16"/>
                <w:color w:val="auto"/>
              </w:rPr>
              <w:t>A mine-mouth, coal-fired power plant operated by South Dakota Electric with a total capacity of 110 MW</w:t>
            </w: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720" w:type="dxa"/>
            <w:vAlign w:val="bottom"/>
            <w:gridSpan w:val="2"/>
          </w:tcPr>
          <w:p>
            <w:pPr>
              <w:ind w:left="780"/>
              <w:spacing w:after="0" w:line="162" w:lineRule="exact"/>
              <w:rPr>
                <w:sz w:val="20"/>
                <w:szCs w:val="20"/>
                <w:color w:val="auto"/>
              </w:rPr>
            </w:pPr>
            <w:r>
              <w:rPr>
                <w:rFonts w:ascii="Arial" w:cs="Arial" w:eastAsia="Arial" w:hAnsi="Arial"/>
                <w:sz w:val="16"/>
                <w:szCs w:val="16"/>
                <w:color w:val="auto"/>
              </w:rPr>
              <w:t>located at our Gillette, Wyoming energy complex. South Dakota Electric owns 52% of the power plant, MDU</w:t>
            </w: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owns 25% and the City of Gillette owns the remaining 23%.</w:t>
            </w:r>
          </w:p>
        </w:tc>
      </w:tr>
      <w:tr>
        <w:trPr>
          <w:trHeight w:val="180"/>
        </w:trPr>
        <w:tc>
          <w:tcPr>
            <w:tcW w:w="20" w:type="dxa"/>
            <w:vAlign w:val="bottom"/>
          </w:tcPr>
          <w:p>
            <w:pPr>
              <w:spacing w:after="0"/>
              <w:rPr>
                <w:sz w:val="15"/>
                <w:szCs w:val="15"/>
                <w:color w:val="auto"/>
              </w:rPr>
            </w:pPr>
          </w:p>
        </w:tc>
        <w:tc>
          <w:tcPr>
            <w:tcW w:w="25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Wyodak Plant</w:t>
            </w:r>
          </w:p>
        </w:tc>
        <w:tc>
          <w:tcPr>
            <w:tcW w:w="8700" w:type="dxa"/>
            <w:vAlign w:val="bottom"/>
            <w:shd w:val="clear" w:color="auto" w:fill="CEFFE7"/>
          </w:tcPr>
          <w:p>
            <w:pPr>
              <w:ind w:left="780"/>
              <w:spacing w:after="0" w:line="181" w:lineRule="exact"/>
              <w:rPr>
                <w:sz w:val="20"/>
                <w:szCs w:val="20"/>
                <w:color w:val="auto"/>
              </w:rPr>
            </w:pPr>
            <w:r>
              <w:rPr>
                <w:rFonts w:ascii="Arial" w:cs="Arial" w:eastAsia="Arial" w:hAnsi="Arial"/>
                <w:sz w:val="16"/>
                <w:szCs w:val="16"/>
                <w:color w:val="auto"/>
              </w:rPr>
              <w:t>The 362 MW mine-mouth, coal-fired generating facility near Gillette, Wyoming, jointly owned by PacifiCorp</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500" w:type="dxa"/>
            <w:vAlign w:val="bottom"/>
            <w:shd w:val="clear" w:color="auto" w:fill="CEFFE7"/>
          </w:tcPr>
          <w:p>
            <w:pPr>
              <w:spacing w:after="0"/>
              <w:rPr>
                <w:sz w:val="17"/>
                <w:szCs w:val="17"/>
                <w:color w:val="auto"/>
              </w:rPr>
            </w:pP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(80%) and South Dakota Electric (20%). Our WRDC mine supplies all of the fuel for the facility.</w:t>
            </w:r>
          </w:p>
        </w:tc>
        <w:tc>
          <w:tcPr>
            <w:tcW w:w="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500" w:type="dxa"/>
            <w:vAlign w:val="bottom"/>
          </w:tcPr>
          <w:p>
            <w:pPr>
              <w:ind w:left="20"/>
              <w:spacing w:after="0" w:line="178" w:lineRule="exact"/>
              <w:rPr>
                <w:sz w:val="20"/>
                <w:szCs w:val="20"/>
                <w:color w:val="auto"/>
              </w:rPr>
            </w:pPr>
            <w:r>
              <w:rPr>
                <w:rFonts w:ascii="Arial" w:cs="Arial" w:eastAsia="Arial" w:hAnsi="Arial"/>
                <w:sz w:val="16"/>
                <w:szCs w:val="16"/>
                <w:color w:val="auto"/>
              </w:rPr>
              <w:t>Wyoming Electric</w:t>
            </w:r>
          </w:p>
        </w:tc>
        <w:tc>
          <w:tcPr>
            <w:tcW w:w="8720" w:type="dxa"/>
            <w:vAlign w:val="bottom"/>
            <w:gridSpan w:val="2"/>
          </w:tcPr>
          <w:p>
            <w:pPr>
              <w:ind w:left="780"/>
              <w:spacing w:after="0" w:line="178" w:lineRule="exact"/>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720" w:type="dxa"/>
            <w:vAlign w:val="bottom"/>
            <w:gridSpan w:val="2"/>
          </w:tcPr>
          <w:p>
            <w:pPr>
              <w:ind w:left="780"/>
              <w:spacing w:after="0" w:line="162" w:lineRule="exact"/>
              <w:rPr>
                <w:sz w:val="20"/>
                <w:szCs w:val="20"/>
                <w:color w:val="auto"/>
              </w:rPr>
            </w:pPr>
            <w:r>
              <w:rPr>
                <w:rFonts w:ascii="Arial" w:cs="Arial" w:eastAsia="Arial" w:hAnsi="Arial"/>
                <w:sz w:val="16"/>
                <w:szCs w:val="16"/>
                <w:color w:val="auto"/>
              </w:rPr>
              <w:t>providing electric service to customers in the Cheyenne, Wyoming area (doing business as Black Hills</w:t>
            </w: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720" w:type="dxa"/>
            <w:vAlign w:val="bottom"/>
            <w:gridSpan w:val="2"/>
          </w:tcPr>
          <w:p>
            <w:pPr>
              <w:ind w:left="780"/>
              <w:spacing w:after="0"/>
              <w:rPr>
                <w:sz w:val="20"/>
                <w:szCs w:val="20"/>
                <w:color w:val="auto"/>
              </w:rPr>
            </w:pPr>
            <w:r>
              <w:rPr>
                <w:rFonts w:ascii="Arial" w:cs="Arial" w:eastAsia="Arial" w:hAnsi="Arial"/>
                <w:sz w:val="16"/>
                <w:szCs w:val="16"/>
                <w:color w:val="auto"/>
              </w:rPr>
              <w:t>Energy).</w:t>
            </w:r>
          </w:p>
        </w:tc>
      </w:tr>
      <w:tr>
        <w:trPr>
          <w:trHeight w:val="180"/>
        </w:trPr>
        <w:tc>
          <w:tcPr>
            <w:tcW w:w="20" w:type="dxa"/>
            <w:vAlign w:val="bottom"/>
          </w:tcPr>
          <w:p>
            <w:pPr>
              <w:spacing w:after="0"/>
              <w:rPr>
                <w:sz w:val="15"/>
                <w:szCs w:val="15"/>
                <w:color w:val="auto"/>
              </w:rPr>
            </w:pPr>
          </w:p>
        </w:tc>
        <w:tc>
          <w:tcPr>
            <w:tcW w:w="25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Wyoming Gas</w:t>
            </w:r>
          </w:p>
        </w:tc>
        <w:tc>
          <w:tcPr>
            <w:tcW w:w="8700" w:type="dxa"/>
            <w:vAlign w:val="bottom"/>
            <w:shd w:val="clear" w:color="auto" w:fill="CEFFE7"/>
          </w:tcPr>
          <w:p>
            <w:pPr>
              <w:ind w:left="780"/>
              <w:spacing w:after="0" w:line="181" w:lineRule="exact"/>
              <w:rPr>
                <w:sz w:val="20"/>
                <w:szCs w:val="20"/>
                <w:color w:val="auto"/>
              </w:rPr>
            </w:pPr>
            <w:r>
              <w:rPr>
                <w:rFonts w:ascii="Arial" w:cs="Arial" w:eastAsia="Arial" w:hAnsi="Arial"/>
                <w:sz w:val="16"/>
                <w:szCs w:val="16"/>
                <w:color w:val="auto"/>
              </w:rPr>
              <w:t>Black Hills Wyoming Gas, LLC, an indirect, wholly-owned subsidiary of Black Hills Utility Holdings, providing</w:t>
            </w: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500" w:type="dxa"/>
            <w:vAlign w:val="bottom"/>
            <w:shd w:val="clear" w:color="auto" w:fill="CEFFE7"/>
          </w:tcPr>
          <w:p>
            <w:pPr>
              <w:spacing w:after="0"/>
              <w:rPr>
                <w:sz w:val="17"/>
                <w:szCs w:val="17"/>
                <w:color w:val="auto"/>
              </w:rPr>
            </w:pPr>
          </w:p>
        </w:tc>
        <w:tc>
          <w:tcPr>
            <w:tcW w:w="8700" w:type="dxa"/>
            <w:vAlign w:val="bottom"/>
            <w:shd w:val="clear" w:color="auto" w:fill="CEFFE7"/>
          </w:tcPr>
          <w:p>
            <w:pPr>
              <w:ind w:left="78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c>
          <w:tcPr>
            <w:tcW w:w="20" w:type="dxa"/>
            <w:vAlign w:val="bottom"/>
          </w:tcPr>
          <w:p>
            <w:pPr>
              <w:spacing w:after="0"/>
              <w:rPr>
                <w:sz w:val="17"/>
                <w:szCs w:val="17"/>
                <w:color w:val="auto"/>
              </w:rPr>
            </w:pPr>
          </w:p>
        </w:tc>
      </w:tr>
      <w:tr>
        <w:trPr>
          <w:trHeight w:val="729"/>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700" w:type="dxa"/>
            <w:vAlign w:val="bottom"/>
          </w:tcPr>
          <w:p>
            <w:pPr>
              <w:ind w:left="30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8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Website Access to Reports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reports we file with the SEC are available free of charge at our website www.blackhillscorp.com as soon as reasonably practicable after they are filed. In addition, the charters of our Audit, Governance and Compensation Committees are located on our website along with our Code of Business Conduct, Code of Ethics for our Chief Executive Officer and Senior Finance Officers, Corporate Governance Guidelines of the Board of Directors and Policy for Director Independence. The information contained on our website is not part of this document.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Forward-Looking Information</w:t>
      </w:r>
    </w:p>
    <w:p>
      <w:pPr>
        <w:spacing w:after="0" w:line="268" w:lineRule="exact"/>
        <w:rPr>
          <w:sz w:val="20"/>
          <w:szCs w:val="20"/>
          <w:color w:val="auto"/>
        </w:rPr>
      </w:pPr>
    </w:p>
    <w:p>
      <w:pPr>
        <w:spacing w:after="0" w:line="249" w:lineRule="auto"/>
        <w:rPr>
          <w:rFonts w:ascii="Arial" w:cs="Arial" w:eastAsia="Arial" w:hAnsi="Arial"/>
          <w:sz w:val="16"/>
          <w:szCs w:val="16"/>
          <w:color w:val="0000FF"/>
        </w:rPr>
      </w:pPr>
      <w:r>
        <w:rPr>
          <w:rFonts w:ascii="Arial" w:cs="Arial" w:eastAsia="Arial" w:hAnsi="Arial"/>
          <w:sz w:val="16"/>
          <w:szCs w:val="16"/>
          <w:color w:val="auto"/>
        </w:rPr>
        <w:t>This Form 10-K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w:t>
      </w:r>
      <w:hyperlink w:anchor="page33">
        <w:r>
          <w:rPr>
            <w:rFonts w:ascii="Arial" w:cs="Arial" w:eastAsia="Arial" w:hAnsi="Arial"/>
            <w:sz w:val="16"/>
            <w:szCs w:val="16"/>
            <w:color w:val="auto"/>
          </w:rPr>
          <w:t xml:space="preserve">looking statements of this nature, including statements contained within </w:t>
        </w:r>
        <w:r>
          <w:rPr>
            <w:rFonts w:ascii="Arial" w:cs="Arial" w:eastAsia="Arial" w:hAnsi="Arial"/>
            <w:sz w:val="16"/>
            <w:szCs w:val="16"/>
            <w:u w:val="single" w:color="auto"/>
            <w:color w:val="0000FF"/>
          </w:rPr>
          <w:t>Item 7 - Management’s Discussion &amp; Analysis of Financial Condition and Results of</w:t>
        </w:r>
      </w:hyperlink>
      <w:r>
        <w:rPr>
          <w:rFonts w:ascii="Arial" w:cs="Arial" w:eastAsia="Arial" w:hAnsi="Arial"/>
          <w:sz w:val="16"/>
          <w:szCs w:val="16"/>
          <w:color w:val="auto"/>
        </w:rPr>
        <w:t xml:space="preserve"> </w:t>
      </w:r>
      <w:hyperlink w:anchor="page33">
        <w:r>
          <w:rPr>
            <w:rFonts w:ascii="Arial" w:cs="Arial" w:eastAsia="Arial" w:hAnsi="Arial"/>
            <w:sz w:val="16"/>
            <w:szCs w:val="16"/>
            <w:u w:val="single" w:color="auto"/>
            <w:color w:val="0000FF"/>
          </w:rPr>
          <w:t>Operations</w:t>
        </w:r>
        <w:r>
          <w:rPr>
            <w:rFonts w:ascii="Arial" w:cs="Arial" w:eastAsia="Arial" w:hAnsi="Arial"/>
            <w:sz w:val="16"/>
            <w:szCs w:val="16"/>
            <w:color w:val="000000"/>
          </w:rPr>
          <w:t>.</w:t>
        </w:r>
      </w:hyperlink>
    </w:p>
    <w:p>
      <w:pPr>
        <w:spacing w:after="0" w:line="232"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229" w:lineRule="exact"/>
        <w:rPr>
          <w:sz w:val="20"/>
          <w:szCs w:val="20"/>
          <w:color w:val="auto"/>
        </w:rPr>
      </w:pPr>
    </w:p>
    <w:p>
      <w:pPr>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Any forward-looking statement contained in this document speaks only as of the date on which the statement is made and the Company undertakes no obligation to update any forward-looking statement or statements to reflect events or circumstances that occur after the date on which the statement is made or to reflect the occurrence of unanticipated events. New factors emerge from time to time, such as the COVID-19 pandemic,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in this Form 10-K, including statements contained within </w:t>
      </w:r>
      <w:hyperlink w:anchor="page24">
        <w:r>
          <w:rPr>
            <w:rFonts w:ascii="Arial" w:cs="Arial" w:eastAsia="Arial" w:hAnsi="Arial"/>
            <w:sz w:val="16"/>
            <w:szCs w:val="16"/>
            <w:u w:val="single" w:color="auto"/>
            <w:color w:val="0000FF"/>
          </w:rPr>
          <w:t>Item 1A - Risk Factors</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8"/>
          <w:szCs w:val="18"/>
          <w:b w:val="1"/>
          <w:bCs w:val="1"/>
          <w:color w:val="auto"/>
        </w:rPr>
        <w:t>BUSINESS AND PROPERTIES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History and Organization</w:t>
      </w:r>
    </w:p>
    <w:p>
      <w:pPr>
        <w:spacing w:after="0" w:line="26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Black Hills Corporation, a South Dakota corporation (together with its subsidiaries, referred to herein as the “Company,” “we,” “us” or “our”), is a customer-focused, growth-oriented utility company headquartered in Rapid City, South Dakota (incorporated in South Dakota in 1941).</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We operate our business in the United States, reporting our operating results through our regulated Electric Utilities, regulated Gas Utilities, Power Generation and Mining segments. Certain unallocated corporate expenses that support our operating segments are presented as Corporate and Other.</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Electric Utilities segment generates, transmits and distributes electricity to approximately 216,000 electric utility customers in Colorado, Montana, South Dakota and Wyoming. Our Electric Utilities own 992 MW of generation and 8,892 miles of electric transmission and distribution lines.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Gas Utilities segment serves approximately 1,083,000 natural gas utility customers in Arkansas, Colorado, Iowa, Kansas, Nebraska, and Wyoming. Our Gas Utilities own and operate 4,774 miles of intrastate gas transmission pipelines and 41,838 miles of gas distribution mains and service lines, seven natural gas storage sites, nearly 49,000 horsepower of compression and over 560 miles of gathering lines.</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Power Generation segment produces electric power from its wind, natural gas and coal-fired generating plants and sells the electric capacity and energy primarily to our utilities under long-term contracts. Our Mining segment produces coal at our mine near Gillette, Wyoming, and sells and delivers primarily under long-term contracts to adjacent mine-mouth electric generation facilities owned by our Electric Utilities and Power Generation businesses.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Electric Utilities</w:t>
      </w:r>
    </w:p>
    <w:p>
      <w:pPr>
        <w:spacing w:after="0" w:line="26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conduct electric utility operations through our Colorado, South Dakota and Wyoming subsidiaries. Our electric generating facilities and power purchase agreements provide for the supply of electricity principally to our retail customers. Additionally, we sell excess power to other utilities and marketing companies, including our affiliates. We also provide non-regulated services under the Service Guard Comfort Plan and Tech Services.</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0" w:type="dxa"/>
            <w:vAlign w:val="bottom"/>
          </w:tcPr>
          <w:p>
            <w:pPr>
              <w:jc w:val="center"/>
              <w:ind w:right="179"/>
              <w:spacing w:after="0"/>
              <w:rPr>
                <w:sz w:val="20"/>
                <w:szCs w:val="20"/>
                <w:color w:val="auto"/>
              </w:rPr>
            </w:pPr>
            <w:r>
              <w:rPr>
                <w:rFonts w:ascii="Arial" w:cs="Arial" w:eastAsia="Arial" w:hAnsi="Arial"/>
                <w:sz w:val="16"/>
                <w:szCs w:val="16"/>
                <w:color w:val="auto"/>
              </w:rPr>
              <w:t>As of December 31,</w:t>
            </w:r>
          </w:p>
        </w:tc>
        <w:tc>
          <w:tcPr>
            <w:tcW w:w="1260" w:type="dxa"/>
            <w:vAlign w:val="bottom"/>
          </w:tcPr>
          <w:p>
            <w:pPr>
              <w:spacing w:after="0"/>
              <w:rPr>
                <w:sz w:val="16"/>
                <w:szCs w:val="16"/>
                <w:color w:val="auto"/>
              </w:rPr>
            </w:pPr>
          </w:p>
        </w:tc>
      </w:tr>
      <w:tr>
        <w:trPr>
          <w:trHeight w:val="219"/>
        </w:trPr>
        <w:tc>
          <w:tcPr>
            <w:tcW w:w="6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Customers at End of Year</w:t>
            </w: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1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2019</w:t>
            </w: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210"/>
        </w:trPr>
        <w:tc>
          <w:tcPr>
            <w:tcW w:w="6600" w:type="dxa"/>
            <w:vAlign w:val="bottom"/>
          </w:tcPr>
          <w:p>
            <w:pPr>
              <w:spacing w:after="0"/>
              <w:rPr>
                <w:sz w:val="20"/>
                <w:szCs w:val="20"/>
                <w:color w:val="auto"/>
              </w:rPr>
            </w:pPr>
            <w:r>
              <w:rPr>
                <w:rFonts w:ascii="Arial" w:cs="Arial" w:eastAsia="Arial" w:hAnsi="Arial"/>
                <w:sz w:val="16"/>
                <w:szCs w:val="16"/>
                <w:color w:val="auto"/>
              </w:rPr>
              <w:t>Residential</w:t>
            </w:r>
          </w:p>
        </w:tc>
        <w:tc>
          <w:tcPr>
            <w:tcW w:w="1520" w:type="dxa"/>
            <w:vAlign w:val="bottom"/>
          </w:tcPr>
          <w:p>
            <w:pPr>
              <w:jc w:val="right"/>
              <w:spacing w:after="0"/>
              <w:rPr>
                <w:sz w:val="20"/>
                <w:szCs w:val="20"/>
                <w:color w:val="auto"/>
              </w:rPr>
            </w:pPr>
            <w:r>
              <w:rPr>
                <w:rFonts w:ascii="Arial" w:cs="Arial" w:eastAsia="Arial" w:hAnsi="Arial"/>
                <w:sz w:val="16"/>
                <w:szCs w:val="16"/>
                <w:color w:val="auto"/>
              </w:rPr>
              <w:t>184,872</w:t>
            </w:r>
          </w:p>
        </w:tc>
        <w:tc>
          <w:tcPr>
            <w:tcW w:w="1800" w:type="dxa"/>
            <w:vAlign w:val="bottom"/>
          </w:tcPr>
          <w:p>
            <w:pPr>
              <w:jc w:val="right"/>
              <w:ind w:right="259"/>
              <w:spacing w:after="0"/>
              <w:rPr>
                <w:sz w:val="20"/>
                <w:szCs w:val="20"/>
                <w:color w:val="auto"/>
              </w:rPr>
            </w:pPr>
            <w:r>
              <w:rPr>
                <w:rFonts w:ascii="Arial" w:cs="Arial" w:eastAsia="Arial" w:hAnsi="Arial"/>
                <w:sz w:val="16"/>
                <w:szCs w:val="16"/>
                <w:color w:val="auto"/>
              </w:rPr>
              <w:t>183,232</w:t>
            </w:r>
          </w:p>
        </w:tc>
        <w:tc>
          <w:tcPr>
            <w:tcW w:w="1260" w:type="dxa"/>
            <w:vAlign w:val="bottom"/>
          </w:tcPr>
          <w:p>
            <w:pPr>
              <w:jc w:val="right"/>
              <w:spacing w:after="0"/>
              <w:rPr>
                <w:sz w:val="20"/>
                <w:szCs w:val="20"/>
                <w:color w:val="auto"/>
              </w:rPr>
            </w:pPr>
            <w:r>
              <w:rPr>
                <w:rFonts w:ascii="Arial" w:cs="Arial" w:eastAsia="Arial" w:hAnsi="Arial"/>
                <w:sz w:val="16"/>
                <w:szCs w:val="16"/>
                <w:color w:val="auto"/>
              </w:rPr>
              <w:t>181,459</w:t>
            </w:r>
          </w:p>
        </w:tc>
      </w:tr>
      <w:tr>
        <w:trPr>
          <w:trHeight w:val="219"/>
        </w:trPr>
        <w:tc>
          <w:tcPr>
            <w:tcW w:w="6600" w:type="dxa"/>
            <w:vAlign w:val="bottom"/>
            <w:shd w:val="clear" w:color="auto" w:fill="CEFFE7"/>
          </w:tcPr>
          <w:p>
            <w:pPr>
              <w:spacing w:after="0"/>
              <w:rPr>
                <w:sz w:val="20"/>
                <w:szCs w:val="20"/>
                <w:color w:val="auto"/>
              </w:rPr>
            </w:pPr>
            <w:r>
              <w:rPr>
                <w:rFonts w:ascii="Arial" w:cs="Arial" w:eastAsia="Arial" w:hAnsi="Arial"/>
                <w:sz w:val="16"/>
                <w:szCs w:val="16"/>
                <w:color w:val="auto"/>
              </w:rPr>
              <w:t>Commercial</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30,225</w:t>
            </w:r>
          </w:p>
        </w:tc>
        <w:tc>
          <w:tcPr>
            <w:tcW w:w="180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29,921</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29,299</w:t>
            </w: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Industrial</w:t>
            </w:r>
          </w:p>
        </w:tc>
        <w:tc>
          <w:tcPr>
            <w:tcW w:w="1520" w:type="dxa"/>
            <w:vAlign w:val="bottom"/>
          </w:tcPr>
          <w:p>
            <w:pPr>
              <w:jc w:val="right"/>
              <w:spacing w:after="0"/>
              <w:rPr>
                <w:sz w:val="20"/>
                <w:szCs w:val="20"/>
                <w:color w:val="auto"/>
              </w:rPr>
            </w:pPr>
            <w:r>
              <w:rPr>
                <w:rFonts w:ascii="Arial" w:cs="Arial" w:eastAsia="Arial" w:hAnsi="Arial"/>
                <w:sz w:val="16"/>
                <w:szCs w:val="16"/>
                <w:color w:val="auto"/>
              </w:rPr>
              <w:t>83</w:t>
            </w:r>
          </w:p>
        </w:tc>
        <w:tc>
          <w:tcPr>
            <w:tcW w:w="1800" w:type="dxa"/>
            <w:vAlign w:val="bottom"/>
          </w:tcPr>
          <w:p>
            <w:pPr>
              <w:jc w:val="right"/>
              <w:ind w:right="259"/>
              <w:spacing w:after="0"/>
              <w:rPr>
                <w:sz w:val="20"/>
                <w:szCs w:val="20"/>
                <w:color w:val="auto"/>
              </w:rPr>
            </w:pPr>
            <w:r>
              <w:rPr>
                <w:rFonts w:ascii="Arial" w:cs="Arial" w:eastAsia="Arial" w:hAnsi="Arial"/>
                <w:sz w:val="16"/>
                <w:szCs w:val="16"/>
                <w:color w:val="auto"/>
              </w:rPr>
              <w:t>83</w:t>
            </w:r>
          </w:p>
        </w:tc>
        <w:tc>
          <w:tcPr>
            <w:tcW w:w="12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6600" w:type="dxa"/>
            <w:vAlign w:val="bottom"/>
            <w:shd w:val="clear" w:color="auto" w:fill="CEFFE7"/>
          </w:tcPr>
          <w:p>
            <w:pPr>
              <w:spacing w:after="0"/>
              <w:rPr>
                <w:sz w:val="20"/>
                <w:szCs w:val="20"/>
                <w:color w:val="auto"/>
              </w:rPr>
            </w:pPr>
            <w:r>
              <w:rPr>
                <w:rFonts w:ascii="Arial" w:cs="Arial" w:eastAsia="Arial" w:hAnsi="Arial"/>
                <w:sz w:val="16"/>
                <w:szCs w:val="16"/>
                <w:color w:val="auto"/>
              </w:rPr>
              <w:t>Other</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1,017</w:t>
            </w:r>
          </w:p>
        </w:tc>
        <w:tc>
          <w:tcPr>
            <w:tcW w:w="180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1,024</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1,030</w:t>
            </w:r>
          </w:p>
        </w:tc>
      </w:tr>
      <w:tr>
        <w:trPr>
          <w:trHeight w:val="213"/>
        </w:trPr>
        <w:tc>
          <w:tcPr>
            <w:tcW w:w="6600" w:type="dxa"/>
            <w:vAlign w:val="bottom"/>
          </w:tcPr>
          <w:p>
            <w:pPr>
              <w:ind w:left="200"/>
              <w:spacing w:after="0"/>
              <w:rPr>
                <w:sz w:val="20"/>
                <w:szCs w:val="20"/>
                <w:color w:val="auto"/>
              </w:rPr>
            </w:pPr>
            <w:r>
              <w:rPr>
                <w:rFonts w:ascii="Arial" w:cs="Arial" w:eastAsia="Arial" w:hAnsi="Arial"/>
                <w:sz w:val="16"/>
                <w:szCs w:val="16"/>
                <w:color w:val="auto"/>
              </w:rPr>
              <w:t>Total Electric Customers at End of Year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216,197</w:t>
            </w:r>
          </w:p>
        </w:tc>
        <w:tc>
          <w:tcPr>
            <w:tcW w:w="1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214,260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211,872</w:t>
            </w:r>
          </w:p>
        </w:tc>
      </w:tr>
      <w:tr>
        <w:trPr>
          <w:trHeight w:val="20"/>
        </w:trPr>
        <w:tc>
          <w:tcPr>
            <w:tcW w:w="6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6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jc w:val="center"/>
              <w:ind w:right="179"/>
              <w:spacing w:after="0"/>
              <w:rPr>
                <w:sz w:val="20"/>
                <w:szCs w:val="20"/>
                <w:color w:val="auto"/>
              </w:rPr>
            </w:pPr>
            <w:r>
              <w:rPr>
                <w:rFonts w:ascii="Arial" w:cs="Arial" w:eastAsia="Arial" w:hAnsi="Arial"/>
                <w:sz w:val="16"/>
                <w:szCs w:val="16"/>
                <w:color w:val="auto"/>
              </w:rPr>
              <w:t>As of December 31,</w:t>
            </w:r>
          </w:p>
        </w:tc>
        <w:tc>
          <w:tcPr>
            <w:tcW w:w="1260" w:type="dxa"/>
            <w:vAlign w:val="bottom"/>
          </w:tcPr>
          <w:p>
            <w:pPr>
              <w:spacing w:after="0"/>
              <w:rPr>
                <w:sz w:val="24"/>
                <w:szCs w:val="24"/>
                <w:color w:val="auto"/>
              </w:rPr>
            </w:pPr>
          </w:p>
        </w:tc>
      </w:tr>
      <w:tr>
        <w:trPr>
          <w:trHeight w:val="219"/>
        </w:trPr>
        <w:tc>
          <w:tcPr>
            <w:tcW w:w="6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Customers at End of Year</w:t>
            </w: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1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2019</w:t>
            </w: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210"/>
        </w:trPr>
        <w:tc>
          <w:tcPr>
            <w:tcW w:w="6600" w:type="dxa"/>
            <w:vAlign w:val="bottom"/>
          </w:tcPr>
          <w:p>
            <w:pPr>
              <w:spacing w:after="0"/>
              <w:rPr>
                <w:sz w:val="20"/>
                <w:szCs w:val="20"/>
                <w:color w:val="auto"/>
              </w:rPr>
            </w:pPr>
            <w:r>
              <w:rPr>
                <w:rFonts w:ascii="Arial" w:cs="Arial" w:eastAsia="Arial" w:hAnsi="Arial"/>
                <w:sz w:val="16"/>
                <w:szCs w:val="16"/>
                <w:color w:val="auto"/>
              </w:rPr>
              <w:t>Colorado Electric</w:t>
            </w:r>
          </w:p>
        </w:tc>
        <w:tc>
          <w:tcPr>
            <w:tcW w:w="1520" w:type="dxa"/>
            <w:vAlign w:val="bottom"/>
          </w:tcPr>
          <w:p>
            <w:pPr>
              <w:jc w:val="right"/>
              <w:spacing w:after="0"/>
              <w:rPr>
                <w:sz w:val="20"/>
                <w:szCs w:val="20"/>
                <w:color w:val="auto"/>
              </w:rPr>
            </w:pPr>
            <w:r>
              <w:rPr>
                <w:rFonts w:ascii="Arial" w:cs="Arial" w:eastAsia="Arial" w:hAnsi="Arial"/>
                <w:sz w:val="16"/>
                <w:szCs w:val="16"/>
                <w:color w:val="auto"/>
              </w:rPr>
              <w:t>98,735</w:t>
            </w:r>
          </w:p>
        </w:tc>
        <w:tc>
          <w:tcPr>
            <w:tcW w:w="1800" w:type="dxa"/>
            <w:vAlign w:val="bottom"/>
          </w:tcPr>
          <w:p>
            <w:pPr>
              <w:jc w:val="right"/>
              <w:ind w:right="259"/>
              <w:spacing w:after="0"/>
              <w:rPr>
                <w:sz w:val="20"/>
                <w:szCs w:val="20"/>
                <w:color w:val="auto"/>
              </w:rPr>
            </w:pPr>
            <w:r>
              <w:rPr>
                <w:rFonts w:ascii="Arial" w:cs="Arial" w:eastAsia="Arial" w:hAnsi="Arial"/>
                <w:sz w:val="16"/>
                <w:szCs w:val="16"/>
                <w:color w:val="auto"/>
              </w:rPr>
              <w:t>97,890</w:t>
            </w:r>
          </w:p>
        </w:tc>
        <w:tc>
          <w:tcPr>
            <w:tcW w:w="1260" w:type="dxa"/>
            <w:vAlign w:val="bottom"/>
          </w:tcPr>
          <w:p>
            <w:pPr>
              <w:jc w:val="right"/>
              <w:spacing w:after="0"/>
              <w:rPr>
                <w:sz w:val="20"/>
                <w:szCs w:val="20"/>
                <w:color w:val="auto"/>
              </w:rPr>
            </w:pPr>
            <w:r>
              <w:rPr>
                <w:rFonts w:ascii="Arial" w:cs="Arial" w:eastAsia="Arial" w:hAnsi="Arial"/>
                <w:sz w:val="16"/>
                <w:szCs w:val="16"/>
                <w:color w:val="auto"/>
              </w:rPr>
              <w:t>96,645</w:t>
            </w:r>
          </w:p>
        </w:tc>
      </w:tr>
      <w:tr>
        <w:trPr>
          <w:trHeight w:val="219"/>
        </w:trPr>
        <w:tc>
          <w:tcPr>
            <w:tcW w:w="6600" w:type="dxa"/>
            <w:vAlign w:val="bottom"/>
            <w:shd w:val="clear" w:color="auto" w:fill="CEFFE7"/>
          </w:tcPr>
          <w:p>
            <w:pPr>
              <w:spacing w:after="0"/>
              <w:rPr>
                <w:sz w:val="20"/>
                <w:szCs w:val="20"/>
                <w:color w:val="auto"/>
              </w:rPr>
            </w:pPr>
            <w:r>
              <w:rPr>
                <w:rFonts w:ascii="Arial" w:cs="Arial" w:eastAsia="Arial" w:hAnsi="Arial"/>
                <w:sz w:val="16"/>
                <w:szCs w:val="16"/>
                <w:color w:val="auto"/>
              </w:rPr>
              <w:t>South Dakota Electric</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73,700</w:t>
            </w:r>
          </w:p>
        </w:tc>
        <w:tc>
          <w:tcPr>
            <w:tcW w:w="180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73,052</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72,533</w:t>
            </w:r>
          </w:p>
        </w:tc>
      </w:tr>
      <w:tr>
        <w:trPr>
          <w:trHeight w:val="213"/>
        </w:trPr>
        <w:tc>
          <w:tcPr>
            <w:tcW w:w="6600" w:type="dxa"/>
            <w:vAlign w:val="bottom"/>
            <w:tcBorders>
              <w:bottom w:val="single" w:sz="8" w:color="CEFFE7"/>
            </w:tcBorders>
          </w:tcPr>
          <w:p>
            <w:pPr>
              <w:spacing w:after="0"/>
              <w:rPr>
                <w:sz w:val="20"/>
                <w:szCs w:val="20"/>
                <w:color w:val="auto"/>
              </w:rPr>
            </w:pPr>
            <w:r>
              <w:rPr>
                <w:rFonts w:ascii="Arial" w:cs="Arial" w:eastAsia="Arial" w:hAnsi="Arial"/>
                <w:sz w:val="16"/>
                <w:szCs w:val="16"/>
                <w:color w:val="auto"/>
              </w:rPr>
              <w:t>Wyoming Electric</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43,762</w:t>
            </w:r>
          </w:p>
        </w:tc>
        <w:tc>
          <w:tcPr>
            <w:tcW w:w="1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43,318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42,694</w:t>
            </w:r>
          </w:p>
        </w:tc>
      </w:tr>
      <w:tr>
        <w:trPr>
          <w:trHeight w:val="238"/>
        </w:trPr>
        <w:tc>
          <w:tcPr>
            <w:tcW w:w="66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Total Electric Customers at End of Year</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216,197</w:t>
            </w:r>
          </w:p>
        </w:tc>
        <w:tc>
          <w:tcPr>
            <w:tcW w:w="180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214,260</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211,872</w:t>
            </w:r>
          </w:p>
        </w:tc>
      </w:tr>
      <w:tr>
        <w:trPr>
          <w:trHeight w:val="20"/>
        </w:trPr>
        <w:tc>
          <w:tcPr>
            <w:tcW w:w="6600" w:type="dxa"/>
            <w:vAlign w:val="bottom"/>
            <w:tcBorders>
              <w:top w:val="single" w:sz="8" w:color="CEFFE7"/>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Capacity and Demand. </w:t>
      </w:r>
      <w:r>
        <w:rPr>
          <w:rFonts w:ascii="Arial" w:cs="Arial" w:eastAsia="Arial" w:hAnsi="Arial"/>
          <w:sz w:val="16"/>
          <w:szCs w:val="16"/>
          <w:color w:val="auto"/>
        </w:rPr>
        <w:t>System peak demand for the Electric Utilities’ retail customers for each of the last three years are listed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System Peak Demand (in MW)</w:t>
            </w:r>
          </w:p>
        </w:tc>
        <w:tc>
          <w:tcPr>
            <w:tcW w:w="8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09"/>
        </w:trPr>
        <w:tc>
          <w:tcPr>
            <w:tcW w:w="44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2018</w:t>
            </w:r>
          </w:p>
        </w:tc>
      </w:tr>
      <w:tr>
        <w:trPr>
          <w:trHeight w:val="209"/>
        </w:trPr>
        <w:tc>
          <w:tcPr>
            <w:tcW w:w="4400" w:type="dxa"/>
            <w:vAlign w:val="bottom"/>
            <w:tcBorders>
              <w:bottom w:val="single" w:sz="8" w:color="CEFFE7"/>
            </w:tcBorders>
          </w:tcPr>
          <w:p>
            <w:pPr>
              <w:spacing w:after="0"/>
              <w:rPr>
                <w:sz w:val="18"/>
                <w:szCs w:val="18"/>
                <w:color w:val="auto"/>
              </w:rPr>
            </w:pPr>
          </w:p>
        </w:tc>
        <w:tc>
          <w:tcPr>
            <w:tcW w:w="8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99"/>
              </w:rPr>
              <w:t>Summer</w:t>
            </w:r>
          </w:p>
        </w:tc>
        <w:tc>
          <w:tcPr>
            <w:tcW w:w="12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99"/>
              </w:rPr>
              <w:t>Winter</w:t>
            </w:r>
          </w:p>
        </w:tc>
        <w:tc>
          <w:tcPr>
            <w:tcW w:w="220" w:type="dxa"/>
            <w:vAlign w:val="bottom"/>
            <w:tcBorders>
              <w:bottom w:val="single" w:sz="8" w:color="CEFFE7"/>
            </w:tcBorders>
          </w:tcPr>
          <w:p>
            <w:pPr>
              <w:spacing w:after="0"/>
              <w:rPr>
                <w:sz w:val="18"/>
                <w:szCs w:val="18"/>
                <w:color w:val="auto"/>
              </w:rPr>
            </w:pPr>
          </w:p>
        </w:tc>
        <w:tc>
          <w:tcPr>
            <w:tcW w:w="8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Summer</w:t>
            </w:r>
          </w:p>
        </w:tc>
        <w:tc>
          <w:tcPr>
            <w:tcW w:w="12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Winter</w:t>
            </w:r>
          </w:p>
        </w:tc>
        <w:tc>
          <w:tcPr>
            <w:tcW w:w="200" w:type="dxa"/>
            <w:vAlign w:val="bottom"/>
            <w:tcBorders>
              <w:bottom w:val="single" w:sz="8" w:color="CEFFE7"/>
            </w:tcBorders>
          </w:tcPr>
          <w:p>
            <w:pPr>
              <w:spacing w:after="0"/>
              <w:rPr>
                <w:sz w:val="18"/>
                <w:szCs w:val="18"/>
                <w:color w:val="auto"/>
              </w:rPr>
            </w:pPr>
          </w:p>
        </w:tc>
        <w:tc>
          <w:tcPr>
            <w:tcW w:w="8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9"/>
              </w:rPr>
              <w:t>Summer</w:t>
            </w:r>
          </w:p>
        </w:tc>
        <w:tc>
          <w:tcPr>
            <w:tcW w:w="12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9"/>
              </w:rPr>
              <w:t>Winter</w:t>
            </w:r>
          </w:p>
        </w:tc>
      </w:tr>
      <w:tr>
        <w:trPr>
          <w:trHeight w:val="213"/>
        </w:trPr>
        <w:tc>
          <w:tcPr>
            <w:tcW w:w="4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88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401</w:t>
            </w:r>
          </w:p>
        </w:tc>
        <w:tc>
          <w:tcPr>
            <w:tcW w:w="12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w w:val="97"/>
              </w:rPr>
              <w:t>297</w:t>
            </w:r>
          </w:p>
        </w:tc>
        <w:tc>
          <w:tcPr>
            <w:tcW w:w="1080" w:type="dxa"/>
            <w:vAlign w:val="bottom"/>
            <w:gridSpan w:val="2"/>
            <w:shd w:val="clear" w:color="auto" w:fill="CEFFE7"/>
          </w:tcPr>
          <w:p>
            <w:pPr>
              <w:jc w:val="center"/>
              <w:ind w:left="339"/>
              <w:spacing w:after="0"/>
              <w:rPr>
                <w:sz w:val="20"/>
                <w:szCs w:val="20"/>
                <w:color w:val="auto"/>
              </w:rPr>
            </w:pPr>
            <w:r>
              <w:rPr>
                <w:rFonts w:ascii="Arial" w:cs="Arial" w:eastAsia="Arial" w:hAnsi="Arial"/>
                <w:sz w:val="16"/>
                <w:szCs w:val="16"/>
                <w:color w:val="auto"/>
                <w:w w:val="97"/>
              </w:rPr>
              <w:t>422</w:t>
            </w:r>
          </w:p>
        </w:tc>
        <w:tc>
          <w:tcPr>
            <w:tcW w:w="128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297</w:t>
            </w:r>
          </w:p>
        </w:tc>
        <w:tc>
          <w:tcPr>
            <w:tcW w:w="200" w:type="dxa"/>
            <w:vAlign w:val="bottom"/>
            <w:shd w:val="clear" w:color="auto" w:fill="CEFFE7"/>
          </w:tcPr>
          <w:p>
            <w:pPr>
              <w:spacing w:after="0"/>
              <w:rPr>
                <w:sz w:val="18"/>
                <w:szCs w:val="18"/>
                <w:color w:val="auto"/>
              </w:rPr>
            </w:pPr>
          </w:p>
        </w:tc>
        <w:tc>
          <w:tcPr>
            <w:tcW w:w="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413</w:t>
            </w:r>
          </w:p>
        </w:tc>
        <w:tc>
          <w:tcPr>
            <w:tcW w:w="128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w w:val="97"/>
              </w:rPr>
              <w:t>313</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880" w:type="dxa"/>
            <w:vAlign w:val="bottom"/>
          </w:tcPr>
          <w:p>
            <w:pPr>
              <w:jc w:val="center"/>
              <w:ind w:left="119"/>
              <w:spacing w:after="0"/>
              <w:rPr>
                <w:sz w:val="20"/>
                <w:szCs w:val="20"/>
                <w:color w:val="auto"/>
              </w:rPr>
            </w:pPr>
            <w:r>
              <w:rPr>
                <w:rFonts w:ascii="Arial" w:cs="Arial" w:eastAsia="Arial" w:hAnsi="Arial"/>
                <w:sz w:val="16"/>
                <w:szCs w:val="16"/>
                <w:color w:val="auto"/>
              </w:rPr>
              <w:t>378</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w w:val="97"/>
              </w:rPr>
              <w:t>304</w:t>
            </w:r>
          </w:p>
        </w:tc>
        <w:tc>
          <w:tcPr>
            <w:tcW w:w="1080" w:type="dxa"/>
            <w:vAlign w:val="bottom"/>
            <w:gridSpan w:val="2"/>
          </w:tcPr>
          <w:p>
            <w:pPr>
              <w:jc w:val="center"/>
              <w:ind w:left="339"/>
              <w:spacing w:after="0"/>
              <w:rPr>
                <w:sz w:val="20"/>
                <w:szCs w:val="20"/>
                <w:color w:val="auto"/>
              </w:rPr>
            </w:pPr>
            <w:r>
              <w:rPr>
                <w:rFonts w:ascii="Arial" w:cs="Arial" w:eastAsia="Arial" w:hAnsi="Arial"/>
                <w:sz w:val="16"/>
                <w:szCs w:val="16"/>
                <w:color w:val="auto"/>
                <w:w w:val="97"/>
              </w:rPr>
              <w:t>335</w:t>
            </w:r>
          </w:p>
        </w:tc>
        <w:tc>
          <w:tcPr>
            <w:tcW w:w="1280" w:type="dxa"/>
            <w:vAlign w:val="bottom"/>
          </w:tcPr>
          <w:p>
            <w:pPr>
              <w:jc w:val="center"/>
              <w:ind w:left="119"/>
              <w:spacing w:after="0"/>
              <w:rPr>
                <w:sz w:val="20"/>
                <w:szCs w:val="20"/>
                <w:color w:val="auto"/>
              </w:rPr>
            </w:pPr>
            <w:r>
              <w:rPr>
                <w:rFonts w:ascii="Arial" w:cs="Arial" w:eastAsia="Arial" w:hAnsi="Arial"/>
                <w:sz w:val="16"/>
                <w:szCs w:val="16"/>
                <w:color w:val="auto"/>
              </w:rPr>
              <w:t>320</w:t>
            </w:r>
          </w:p>
        </w:tc>
        <w:tc>
          <w:tcPr>
            <w:tcW w:w="200" w:type="dxa"/>
            <w:vAlign w:val="bottom"/>
          </w:tcPr>
          <w:p>
            <w:pPr>
              <w:spacing w:after="0"/>
              <w:rPr>
                <w:sz w:val="18"/>
                <w:szCs w:val="18"/>
                <w:color w:val="auto"/>
              </w:rPr>
            </w:pPr>
          </w:p>
        </w:tc>
        <w:tc>
          <w:tcPr>
            <w:tcW w:w="860" w:type="dxa"/>
            <w:vAlign w:val="bottom"/>
          </w:tcPr>
          <w:p>
            <w:pPr>
              <w:jc w:val="center"/>
              <w:ind w:left="139"/>
              <w:spacing w:after="0"/>
              <w:rPr>
                <w:sz w:val="20"/>
                <w:szCs w:val="20"/>
                <w:color w:val="auto"/>
              </w:rPr>
            </w:pPr>
            <w:r>
              <w:rPr>
                <w:rFonts w:ascii="Arial" w:cs="Arial" w:eastAsia="Arial" w:hAnsi="Arial"/>
                <w:sz w:val="16"/>
                <w:szCs w:val="16"/>
                <w:color w:val="auto"/>
              </w:rPr>
              <w:t>355</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w w:val="97"/>
              </w:rPr>
              <w:t>314</w:t>
            </w:r>
          </w:p>
        </w:tc>
      </w:tr>
      <w:tr>
        <w:trPr>
          <w:trHeight w:val="219"/>
        </w:trPr>
        <w:tc>
          <w:tcPr>
            <w:tcW w:w="4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88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271</w:t>
            </w:r>
          </w:p>
        </w:tc>
        <w:tc>
          <w:tcPr>
            <w:tcW w:w="12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w w:val="97"/>
              </w:rPr>
              <w:t>246</w:t>
            </w:r>
          </w:p>
        </w:tc>
        <w:tc>
          <w:tcPr>
            <w:tcW w:w="1080" w:type="dxa"/>
            <w:vAlign w:val="bottom"/>
            <w:gridSpan w:val="2"/>
            <w:shd w:val="clear" w:color="auto" w:fill="CEFFE7"/>
          </w:tcPr>
          <w:p>
            <w:pPr>
              <w:jc w:val="center"/>
              <w:ind w:left="339"/>
              <w:spacing w:after="0"/>
              <w:rPr>
                <w:sz w:val="20"/>
                <w:szCs w:val="20"/>
                <w:color w:val="auto"/>
              </w:rPr>
            </w:pPr>
            <w:r>
              <w:rPr>
                <w:rFonts w:ascii="Arial" w:cs="Arial" w:eastAsia="Arial" w:hAnsi="Arial"/>
                <w:sz w:val="16"/>
                <w:szCs w:val="16"/>
                <w:color w:val="auto"/>
                <w:w w:val="97"/>
              </w:rPr>
              <w:t>265</w:t>
            </w:r>
          </w:p>
        </w:tc>
        <w:tc>
          <w:tcPr>
            <w:tcW w:w="128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247</w:t>
            </w:r>
          </w:p>
        </w:tc>
        <w:tc>
          <w:tcPr>
            <w:tcW w:w="200" w:type="dxa"/>
            <w:vAlign w:val="bottom"/>
            <w:shd w:val="clear" w:color="auto" w:fill="CEFFE7"/>
          </w:tcPr>
          <w:p>
            <w:pPr>
              <w:spacing w:after="0"/>
              <w:rPr>
                <w:sz w:val="19"/>
                <w:szCs w:val="19"/>
                <w:color w:val="auto"/>
              </w:rPr>
            </w:pPr>
          </w:p>
        </w:tc>
        <w:tc>
          <w:tcPr>
            <w:tcW w:w="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254</w:t>
            </w:r>
          </w:p>
        </w:tc>
        <w:tc>
          <w:tcPr>
            <w:tcW w:w="128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w w:val="97"/>
              </w:rPr>
              <w:t>238</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Regulated Power Plants. </w:t>
      </w:r>
      <w:r>
        <w:rPr>
          <w:rFonts w:ascii="Arial" w:cs="Arial" w:eastAsia="Arial" w:hAnsi="Arial"/>
          <w:sz w:val="16"/>
          <w:szCs w:val="16"/>
          <w:color w:val="auto"/>
        </w:rPr>
        <w:t>As of December 31, 2020, our Electric Utilities’ ownership interests in electric generating plants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w:t>
            </w:r>
          </w:p>
        </w:tc>
        <w:tc>
          <w:tcPr>
            <w:tcW w:w="1280" w:type="dxa"/>
            <w:vAlign w:val="bottom"/>
          </w:tcPr>
          <w:p>
            <w:pPr>
              <w:jc w:val="center"/>
              <w:ind w:left="139"/>
              <w:spacing w:after="0"/>
              <w:rPr>
                <w:sz w:val="20"/>
                <w:szCs w:val="20"/>
                <w:color w:val="auto"/>
              </w:rPr>
            </w:pPr>
            <w:r>
              <w:rPr>
                <w:rFonts w:ascii="Arial" w:cs="Arial" w:eastAsia="Arial" w:hAnsi="Arial"/>
                <w:sz w:val="16"/>
                <w:szCs w:val="16"/>
                <w:b w:val="1"/>
                <w:bCs w:val="1"/>
                <w:color w:val="auto"/>
              </w:rPr>
              <w:t>Fuel</w:t>
            </w: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Location</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Ownership</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Owned Capacity</w:t>
            </w:r>
          </w:p>
        </w:tc>
        <w:tc>
          <w:tcPr>
            <w:tcW w:w="15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In Service Date</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6"/>
              </w:rPr>
              <w:t>Type</w:t>
            </w:r>
          </w:p>
        </w:tc>
        <w:tc>
          <w:tcPr>
            <w:tcW w:w="238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 xml:space="preserve">Interest % </w:t>
            </w:r>
            <w:r>
              <w:rPr>
                <w:rFonts w:ascii="Arial" w:cs="Arial" w:eastAsia="Arial" w:hAnsi="Arial"/>
                <w:sz w:val="21"/>
                <w:szCs w:val="21"/>
                <w:b w:val="1"/>
                <w:bCs w:val="1"/>
                <w:color w:val="auto"/>
                <w:w w:val="97"/>
                <w:vertAlign w:val="superscript"/>
              </w:rPr>
              <w:t>(d)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(MW)</w:t>
            </w: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tcPr>
          <w:p>
            <w:pPr>
              <w:ind w:left="20"/>
              <w:spacing w:after="0"/>
              <w:rPr>
                <w:sz w:val="20"/>
                <w:szCs w:val="20"/>
                <w:color w:val="auto"/>
              </w:rPr>
            </w:pPr>
            <w:r>
              <w:rPr>
                <w:rFonts w:ascii="Arial" w:cs="Arial" w:eastAsia="Arial" w:hAnsi="Arial"/>
                <w:sz w:val="16"/>
                <w:szCs w:val="16"/>
                <w:color w:val="auto"/>
              </w:rPr>
              <w:t>Colorado Electric:</w:t>
            </w:r>
          </w:p>
        </w:tc>
        <w:tc>
          <w:tcPr>
            <w:tcW w:w="1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EFEE7"/>
          </w:tcPr>
          <w:p>
            <w:pPr>
              <w:ind w:left="220"/>
              <w:spacing w:after="0" w:line="219" w:lineRule="exact"/>
              <w:rPr>
                <w:sz w:val="20"/>
                <w:szCs w:val="20"/>
                <w:color w:val="auto"/>
              </w:rPr>
            </w:pPr>
            <w:r>
              <w:rPr>
                <w:rFonts w:ascii="Arial" w:cs="Arial" w:eastAsia="Arial" w:hAnsi="Arial"/>
                <w:sz w:val="16"/>
                <w:szCs w:val="16"/>
                <w:color w:val="auto"/>
              </w:rPr>
              <w:t xml:space="preserve">Busch Ranch I </w:t>
            </w:r>
            <w:r>
              <w:rPr>
                <w:rFonts w:ascii="Arial" w:cs="Arial" w:eastAsia="Arial" w:hAnsi="Arial"/>
                <w:sz w:val="21"/>
                <w:szCs w:val="21"/>
                <w:color w:val="auto"/>
                <w:vertAlign w:val="superscript"/>
              </w:rPr>
              <w:t>(a)</w:t>
            </w:r>
          </w:p>
        </w:tc>
        <w:tc>
          <w:tcPr>
            <w:tcW w:w="1280" w:type="dxa"/>
            <w:vAlign w:val="bottom"/>
            <w:shd w:val="clear" w:color="auto" w:fill="CEFEE7"/>
          </w:tcPr>
          <w:p>
            <w:pPr>
              <w:jc w:val="center"/>
              <w:ind w:left="139"/>
              <w:spacing w:after="0"/>
              <w:rPr>
                <w:sz w:val="20"/>
                <w:szCs w:val="20"/>
                <w:color w:val="auto"/>
              </w:rPr>
            </w:pPr>
            <w:r>
              <w:rPr>
                <w:rFonts w:ascii="Arial" w:cs="Arial" w:eastAsia="Arial" w:hAnsi="Arial"/>
                <w:sz w:val="16"/>
                <w:szCs w:val="16"/>
                <w:color w:val="auto"/>
              </w:rPr>
              <w:t>Wind</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Pueblo, Colorado</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50%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14.5</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Peak View </w:t>
            </w:r>
            <w:r>
              <w:rPr>
                <w:rFonts w:ascii="Arial" w:cs="Arial" w:eastAsia="Arial" w:hAnsi="Arial"/>
                <w:sz w:val="21"/>
                <w:szCs w:val="21"/>
                <w:color w:val="auto"/>
                <w:vertAlign w:val="superscript"/>
              </w:rPr>
              <w:t>(b)</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Wind</w:t>
            </w:r>
          </w:p>
        </w:tc>
        <w:tc>
          <w:tcPr>
            <w:tcW w:w="238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60.0</w:t>
            </w:r>
          </w:p>
        </w:tc>
        <w:tc>
          <w:tcPr>
            <w:tcW w:w="1520" w:type="dxa"/>
            <w:vAlign w:val="bottom"/>
          </w:tcPr>
          <w:p>
            <w:pPr>
              <w:jc w:val="center"/>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16"/>
        </w:trPr>
        <w:tc>
          <w:tcPr>
            <w:tcW w:w="2840" w:type="dxa"/>
            <w:vAlign w:val="bottom"/>
            <w:shd w:val="clear" w:color="auto" w:fill="CEFEE7"/>
          </w:tcPr>
          <w:p>
            <w:pPr>
              <w:ind w:left="220"/>
              <w:spacing w:after="0"/>
              <w:rPr>
                <w:sz w:val="20"/>
                <w:szCs w:val="20"/>
                <w:color w:val="auto"/>
              </w:rPr>
            </w:pPr>
            <w:r>
              <w:rPr>
                <w:rFonts w:ascii="Arial" w:cs="Arial" w:eastAsia="Arial" w:hAnsi="Arial"/>
                <w:sz w:val="16"/>
                <w:szCs w:val="16"/>
                <w:color w:val="auto"/>
              </w:rPr>
              <w:t>Pueblo Airport Generation</w:t>
            </w:r>
          </w:p>
        </w:tc>
        <w:tc>
          <w:tcPr>
            <w:tcW w:w="1280" w:type="dxa"/>
            <w:vAlign w:val="bottom"/>
            <w:shd w:val="clear" w:color="auto" w:fill="CEFEE7"/>
          </w:tcPr>
          <w:p>
            <w:pPr>
              <w:jc w:val="center"/>
              <w:ind w:left="139"/>
              <w:spacing w:after="0"/>
              <w:rPr>
                <w:sz w:val="20"/>
                <w:szCs w:val="20"/>
                <w:color w:val="auto"/>
              </w:rPr>
            </w:pPr>
            <w:r>
              <w:rPr>
                <w:rFonts w:ascii="Arial" w:cs="Arial" w:eastAsia="Arial" w:hAnsi="Arial"/>
                <w:sz w:val="16"/>
                <w:szCs w:val="16"/>
                <w:color w:val="auto"/>
              </w:rPr>
              <w:t>Gas</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Pueblo, Colorado</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180.0</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13"/>
        </w:trPr>
        <w:tc>
          <w:tcPr>
            <w:tcW w:w="2840" w:type="dxa"/>
            <w:vAlign w:val="bottom"/>
          </w:tcPr>
          <w:p>
            <w:pPr>
              <w:ind w:left="220"/>
              <w:spacing w:after="0"/>
              <w:rPr>
                <w:sz w:val="20"/>
                <w:szCs w:val="20"/>
                <w:color w:val="auto"/>
              </w:rPr>
            </w:pPr>
            <w:r>
              <w:rPr>
                <w:rFonts w:ascii="Arial" w:cs="Arial" w:eastAsia="Arial" w:hAnsi="Arial"/>
                <w:sz w:val="16"/>
                <w:szCs w:val="16"/>
                <w:color w:val="auto"/>
              </w:rPr>
              <w:t>Pueblo Airport Generation CT</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Gas</w:t>
            </w:r>
          </w:p>
        </w:tc>
        <w:tc>
          <w:tcPr>
            <w:tcW w:w="238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40.0</w:t>
            </w:r>
          </w:p>
        </w:tc>
        <w:tc>
          <w:tcPr>
            <w:tcW w:w="1520" w:type="dxa"/>
            <w:vAlign w:val="bottom"/>
          </w:tcPr>
          <w:p>
            <w:pPr>
              <w:jc w:val="center"/>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19"/>
        </w:trPr>
        <w:tc>
          <w:tcPr>
            <w:tcW w:w="2840" w:type="dxa"/>
            <w:vAlign w:val="bottom"/>
            <w:shd w:val="clear" w:color="auto" w:fill="CEFEE7"/>
          </w:tcPr>
          <w:p>
            <w:pPr>
              <w:ind w:left="220"/>
              <w:spacing w:after="0"/>
              <w:rPr>
                <w:sz w:val="20"/>
                <w:szCs w:val="20"/>
                <w:color w:val="auto"/>
              </w:rPr>
            </w:pPr>
            <w:r>
              <w:rPr>
                <w:rFonts w:ascii="Arial" w:cs="Arial" w:eastAsia="Arial" w:hAnsi="Arial"/>
                <w:sz w:val="16"/>
                <w:szCs w:val="16"/>
                <w:color w:val="auto"/>
              </w:rPr>
              <w:t>AIP Diesel</w:t>
            </w:r>
          </w:p>
        </w:tc>
        <w:tc>
          <w:tcPr>
            <w:tcW w:w="128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Oil</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Pueblo, Colorado</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10.0</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13"/>
        </w:trPr>
        <w:tc>
          <w:tcPr>
            <w:tcW w:w="2840" w:type="dxa"/>
            <w:vAlign w:val="bottom"/>
          </w:tcPr>
          <w:p>
            <w:pPr>
              <w:ind w:left="220"/>
              <w:spacing w:after="0"/>
              <w:rPr>
                <w:sz w:val="20"/>
                <w:szCs w:val="20"/>
                <w:color w:val="auto"/>
              </w:rPr>
            </w:pPr>
            <w:r>
              <w:rPr>
                <w:rFonts w:ascii="Arial" w:cs="Arial" w:eastAsia="Arial" w:hAnsi="Arial"/>
                <w:sz w:val="16"/>
                <w:szCs w:val="16"/>
                <w:color w:val="auto"/>
              </w:rPr>
              <w:t>Diesel #1 and #3-5</w:t>
            </w:r>
          </w:p>
        </w:tc>
        <w:tc>
          <w:tcPr>
            <w:tcW w:w="1280" w:type="dxa"/>
            <w:vAlign w:val="bottom"/>
          </w:tcPr>
          <w:p>
            <w:pPr>
              <w:jc w:val="center"/>
              <w:ind w:left="119"/>
              <w:spacing w:after="0"/>
              <w:rPr>
                <w:sz w:val="20"/>
                <w:szCs w:val="20"/>
                <w:color w:val="auto"/>
              </w:rPr>
            </w:pPr>
            <w:r>
              <w:rPr>
                <w:rFonts w:ascii="Arial" w:cs="Arial" w:eastAsia="Arial" w:hAnsi="Arial"/>
                <w:sz w:val="16"/>
                <w:szCs w:val="16"/>
                <w:color w:val="auto"/>
              </w:rPr>
              <w:t>Oil</w:t>
            </w:r>
          </w:p>
        </w:tc>
        <w:tc>
          <w:tcPr>
            <w:tcW w:w="238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8.0</w:t>
            </w:r>
          </w:p>
        </w:tc>
        <w:tc>
          <w:tcPr>
            <w:tcW w:w="1520" w:type="dxa"/>
            <w:vAlign w:val="bottom"/>
          </w:tcPr>
          <w:p>
            <w:pPr>
              <w:jc w:val="center"/>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219"/>
        </w:trPr>
        <w:tc>
          <w:tcPr>
            <w:tcW w:w="2840" w:type="dxa"/>
            <w:vAlign w:val="bottom"/>
            <w:shd w:val="clear" w:color="auto" w:fill="CEFEE7"/>
          </w:tcPr>
          <w:p>
            <w:pPr>
              <w:ind w:left="220"/>
              <w:spacing w:after="0"/>
              <w:rPr>
                <w:sz w:val="20"/>
                <w:szCs w:val="20"/>
                <w:color w:val="auto"/>
              </w:rPr>
            </w:pPr>
            <w:r>
              <w:rPr>
                <w:rFonts w:ascii="Arial" w:cs="Arial" w:eastAsia="Arial" w:hAnsi="Arial"/>
                <w:sz w:val="16"/>
                <w:szCs w:val="16"/>
                <w:color w:val="auto"/>
              </w:rPr>
              <w:t>Diesel #1-5</w:t>
            </w:r>
          </w:p>
        </w:tc>
        <w:tc>
          <w:tcPr>
            <w:tcW w:w="1280" w:type="dxa"/>
            <w:vAlign w:val="bottom"/>
            <w:shd w:val="clear" w:color="auto" w:fill="CEFEE7"/>
          </w:tcPr>
          <w:p>
            <w:pPr>
              <w:jc w:val="center"/>
              <w:ind w:left="119"/>
              <w:spacing w:after="0"/>
              <w:rPr>
                <w:sz w:val="20"/>
                <w:szCs w:val="20"/>
                <w:color w:val="auto"/>
              </w:rPr>
            </w:pPr>
            <w:r>
              <w:rPr>
                <w:rFonts w:ascii="Arial" w:cs="Arial" w:eastAsia="Arial" w:hAnsi="Arial"/>
                <w:sz w:val="16"/>
                <w:szCs w:val="16"/>
                <w:color w:val="auto"/>
              </w:rPr>
              <w:t>Oil</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Rocky Ford, Colorado</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10.0</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EFEE7"/>
          </w:tcPr>
          <w:p>
            <w:pPr>
              <w:ind w:left="220"/>
              <w:spacing w:after="0"/>
              <w:rPr>
                <w:sz w:val="20"/>
                <w:szCs w:val="20"/>
                <w:color w:val="auto"/>
              </w:rPr>
            </w:pPr>
            <w:r>
              <w:rPr>
                <w:rFonts w:ascii="Arial" w:cs="Arial" w:eastAsia="Arial" w:hAnsi="Arial"/>
                <w:sz w:val="16"/>
                <w:szCs w:val="16"/>
                <w:color w:val="auto"/>
              </w:rPr>
              <w:t>Cheyenne Prairie</w:t>
            </w:r>
          </w:p>
        </w:tc>
        <w:tc>
          <w:tcPr>
            <w:tcW w:w="1280" w:type="dxa"/>
            <w:vAlign w:val="bottom"/>
            <w:shd w:val="clear" w:color="auto" w:fill="CEFEE7"/>
          </w:tcPr>
          <w:p>
            <w:pPr>
              <w:jc w:val="center"/>
              <w:ind w:left="139"/>
              <w:spacing w:after="0"/>
              <w:rPr>
                <w:sz w:val="20"/>
                <w:szCs w:val="20"/>
                <w:color w:val="auto"/>
              </w:rPr>
            </w:pPr>
            <w:r>
              <w:rPr>
                <w:rFonts w:ascii="Arial" w:cs="Arial" w:eastAsia="Arial" w:hAnsi="Arial"/>
                <w:sz w:val="16"/>
                <w:szCs w:val="16"/>
                <w:color w:val="auto"/>
              </w:rPr>
              <w:t>Gas</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Cheyenne, Wyoming</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58%</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55.0</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(c)</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Wind</w:t>
            </w:r>
          </w:p>
        </w:tc>
        <w:tc>
          <w:tcPr>
            <w:tcW w:w="238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700" w:type="dxa"/>
            <w:vAlign w:val="bottom"/>
          </w:tcPr>
          <w:p>
            <w:pPr>
              <w:jc w:val="center"/>
              <w:spacing w:after="0"/>
              <w:rPr>
                <w:sz w:val="20"/>
                <w:szCs w:val="20"/>
                <w:color w:val="auto"/>
              </w:rPr>
            </w:pPr>
            <w:r>
              <w:rPr>
                <w:rFonts w:ascii="Arial" w:cs="Arial" w:eastAsia="Arial" w:hAnsi="Arial"/>
                <w:sz w:val="16"/>
                <w:szCs w:val="16"/>
                <w:color w:val="auto"/>
              </w:rPr>
              <w:t>32.5</w:t>
            </w:r>
          </w:p>
        </w:tc>
        <w:tc>
          <w:tcPr>
            <w:tcW w:w="1520" w:type="dxa"/>
            <w:vAlign w:val="bottom"/>
          </w:tcPr>
          <w:p>
            <w:pPr>
              <w:jc w:val="center"/>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6"/>
        </w:trPr>
        <w:tc>
          <w:tcPr>
            <w:tcW w:w="2840" w:type="dxa"/>
            <w:vAlign w:val="bottom"/>
            <w:shd w:val="clear" w:color="auto" w:fill="CEFEE7"/>
          </w:tcPr>
          <w:p>
            <w:pPr>
              <w:ind w:left="220"/>
              <w:spacing w:after="0"/>
              <w:rPr>
                <w:sz w:val="20"/>
                <w:szCs w:val="20"/>
                <w:color w:val="auto"/>
              </w:rPr>
            </w:pPr>
            <w:r>
              <w:rPr>
                <w:rFonts w:ascii="Arial" w:cs="Arial" w:eastAsia="Arial" w:hAnsi="Arial"/>
                <w:sz w:val="16"/>
                <w:szCs w:val="16"/>
                <w:color w:val="auto"/>
              </w:rPr>
              <w:t>Wygen III</w:t>
            </w:r>
          </w:p>
        </w:tc>
        <w:tc>
          <w:tcPr>
            <w:tcW w:w="1280" w:type="dxa"/>
            <w:vAlign w:val="bottom"/>
            <w:shd w:val="clear" w:color="auto" w:fill="CEFEE7"/>
          </w:tcPr>
          <w:p>
            <w:pPr>
              <w:jc w:val="center"/>
              <w:ind w:left="139"/>
              <w:spacing w:after="0"/>
              <w:rPr>
                <w:sz w:val="20"/>
                <w:szCs w:val="20"/>
                <w:color w:val="auto"/>
              </w:rPr>
            </w:pPr>
            <w:r>
              <w:rPr>
                <w:rFonts w:ascii="Arial" w:cs="Arial" w:eastAsia="Arial" w:hAnsi="Arial"/>
                <w:sz w:val="16"/>
                <w:szCs w:val="16"/>
                <w:color w:val="auto"/>
              </w:rPr>
              <w:t>Coal</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Gillette, Wyoming</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52%</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57.2</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13"/>
        </w:trPr>
        <w:tc>
          <w:tcPr>
            <w:tcW w:w="2840" w:type="dxa"/>
            <w:vAlign w:val="bottom"/>
          </w:tcPr>
          <w:p>
            <w:pPr>
              <w:ind w:left="220"/>
              <w:spacing w:after="0"/>
              <w:rPr>
                <w:sz w:val="20"/>
                <w:szCs w:val="20"/>
                <w:color w:val="auto"/>
              </w:rPr>
            </w:pPr>
            <w:r>
              <w:rPr>
                <w:rFonts w:ascii="Arial" w:cs="Arial" w:eastAsia="Arial" w:hAnsi="Arial"/>
                <w:sz w:val="16"/>
                <w:szCs w:val="16"/>
                <w:color w:val="auto"/>
              </w:rPr>
              <w:t>Neil Simpson II</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Coal</w:t>
            </w:r>
          </w:p>
        </w:tc>
        <w:tc>
          <w:tcPr>
            <w:tcW w:w="238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90.0</w:t>
            </w:r>
          </w:p>
        </w:tc>
        <w:tc>
          <w:tcPr>
            <w:tcW w:w="1520" w:type="dxa"/>
            <w:vAlign w:val="bottom"/>
          </w:tcPr>
          <w:p>
            <w:pPr>
              <w:jc w:val="center"/>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9"/>
        </w:trPr>
        <w:tc>
          <w:tcPr>
            <w:tcW w:w="2840" w:type="dxa"/>
            <w:vAlign w:val="bottom"/>
            <w:shd w:val="clear" w:color="auto" w:fill="CEFEE7"/>
          </w:tcPr>
          <w:p>
            <w:pPr>
              <w:ind w:left="220"/>
              <w:spacing w:after="0"/>
              <w:rPr>
                <w:sz w:val="20"/>
                <w:szCs w:val="20"/>
                <w:color w:val="auto"/>
              </w:rPr>
            </w:pPr>
            <w:r>
              <w:rPr>
                <w:rFonts w:ascii="Arial" w:cs="Arial" w:eastAsia="Arial" w:hAnsi="Arial"/>
                <w:sz w:val="16"/>
                <w:szCs w:val="16"/>
                <w:color w:val="auto"/>
              </w:rPr>
              <w:t>Wyodak Plant</w:t>
            </w:r>
          </w:p>
        </w:tc>
        <w:tc>
          <w:tcPr>
            <w:tcW w:w="1280" w:type="dxa"/>
            <w:vAlign w:val="bottom"/>
            <w:shd w:val="clear" w:color="auto" w:fill="CEFEE7"/>
          </w:tcPr>
          <w:p>
            <w:pPr>
              <w:jc w:val="center"/>
              <w:ind w:left="139"/>
              <w:spacing w:after="0"/>
              <w:rPr>
                <w:sz w:val="20"/>
                <w:szCs w:val="20"/>
                <w:color w:val="auto"/>
              </w:rPr>
            </w:pPr>
            <w:r>
              <w:rPr>
                <w:rFonts w:ascii="Arial" w:cs="Arial" w:eastAsia="Arial" w:hAnsi="Arial"/>
                <w:sz w:val="16"/>
                <w:szCs w:val="16"/>
                <w:color w:val="auto"/>
              </w:rPr>
              <w:t>Coal</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Gillette, Wyoming</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20%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72.4</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213"/>
        </w:trPr>
        <w:tc>
          <w:tcPr>
            <w:tcW w:w="2840" w:type="dxa"/>
            <w:vAlign w:val="bottom"/>
          </w:tcPr>
          <w:p>
            <w:pPr>
              <w:ind w:left="220"/>
              <w:spacing w:after="0"/>
              <w:rPr>
                <w:sz w:val="20"/>
                <w:szCs w:val="20"/>
                <w:color w:val="auto"/>
              </w:rPr>
            </w:pPr>
            <w:r>
              <w:rPr>
                <w:rFonts w:ascii="Arial" w:cs="Arial" w:eastAsia="Arial" w:hAnsi="Arial"/>
                <w:sz w:val="16"/>
                <w:szCs w:val="16"/>
                <w:color w:val="auto"/>
              </w:rPr>
              <w:t>Neil Simpson CT</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Gas</w:t>
            </w:r>
          </w:p>
        </w:tc>
        <w:tc>
          <w:tcPr>
            <w:tcW w:w="238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40.0</w:t>
            </w:r>
          </w:p>
        </w:tc>
        <w:tc>
          <w:tcPr>
            <w:tcW w:w="1520" w:type="dxa"/>
            <w:vAlign w:val="bottom"/>
          </w:tcPr>
          <w:p>
            <w:pPr>
              <w:jc w:val="center"/>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9"/>
        </w:trPr>
        <w:tc>
          <w:tcPr>
            <w:tcW w:w="2840" w:type="dxa"/>
            <w:vAlign w:val="bottom"/>
            <w:shd w:val="clear" w:color="auto" w:fill="CEFEE7"/>
          </w:tcPr>
          <w:p>
            <w:pPr>
              <w:ind w:left="220"/>
              <w:spacing w:after="0"/>
              <w:rPr>
                <w:sz w:val="20"/>
                <w:szCs w:val="20"/>
                <w:color w:val="auto"/>
              </w:rPr>
            </w:pPr>
            <w:r>
              <w:rPr>
                <w:rFonts w:ascii="Arial" w:cs="Arial" w:eastAsia="Arial" w:hAnsi="Arial"/>
                <w:sz w:val="16"/>
                <w:szCs w:val="16"/>
                <w:color w:val="auto"/>
              </w:rPr>
              <w:t>Lange CT</w:t>
            </w:r>
          </w:p>
        </w:tc>
        <w:tc>
          <w:tcPr>
            <w:tcW w:w="1280" w:type="dxa"/>
            <w:vAlign w:val="bottom"/>
            <w:shd w:val="clear" w:color="auto" w:fill="CEFEE7"/>
          </w:tcPr>
          <w:p>
            <w:pPr>
              <w:jc w:val="center"/>
              <w:ind w:left="139"/>
              <w:spacing w:after="0"/>
              <w:rPr>
                <w:sz w:val="20"/>
                <w:szCs w:val="20"/>
                <w:color w:val="auto"/>
              </w:rPr>
            </w:pPr>
            <w:r>
              <w:rPr>
                <w:rFonts w:ascii="Arial" w:cs="Arial" w:eastAsia="Arial" w:hAnsi="Arial"/>
                <w:sz w:val="16"/>
                <w:szCs w:val="16"/>
                <w:color w:val="auto"/>
              </w:rPr>
              <w:t>Gas</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Rapid City, South Dakota</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40.0</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213"/>
        </w:trPr>
        <w:tc>
          <w:tcPr>
            <w:tcW w:w="2840" w:type="dxa"/>
            <w:vAlign w:val="bottom"/>
          </w:tcPr>
          <w:p>
            <w:pPr>
              <w:ind w:left="220"/>
              <w:spacing w:after="0"/>
              <w:rPr>
                <w:sz w:val="20"/>
                <w:szCs w:val="20"/>
                <w:color w:val="auto"/>
              </w:rPr>
            </w:pPr>
            <w:r>
              <w:rPr>
                <w:rFonts w:ascii="Arial" w:cs="Arial" w:eastAsia="Arial" w:hAnsi="Arial"/>
                <w:sz w:val="16"/>
                <w:szCs w:val="16"/>
                <w:color w:val="auto"/>
              </w:rPr>
              <w:t>Ben French Diesel #1-5</w:t>
            </w:r>
          </w:p>
        </w:tc>
        <w:tc>
          <w:tcPr>
            <w:tcW w:w="1280" w:type="dxa"/>
            <w:vAlign w:val="bottom"/>
          </w:tcPr>
          <w:p>
            <w:pPr>
              <w:jc w:val="center"/>
              <w:ind w:left="119"/>
              <w:spacing w:after="0"/>
              <w:rPr>
                <w:sz w:val="20"/>
                <w:szCs w:val="20"/>
                <w:color w:val="auto"/>
              </w:rPr>
            </w:pPr>
            <w:r>
              <w:rPr>
                <w:rFonts w:ascii="Arial" w:cs="Arial" w:eastAsia="Arial" w:hAnsi="Arial"/>
                <w:sz w:val="16"/>
                <w:szCs w:val="16"/>
                <w:color w:val="auto"/>
              </w:rPr>
              <w:t>Oil</w:t>
            </w:r>
          </w:p>
        </w:tc>
        <w:tc>
          <w:tcPr>
            <w:tcW w:w="2380" w:type="dxa"/>
            <w:vAlign w:val="bottom"/>
          </w:tcPr>
          <w:p>
            <w:pPr>
              <w:jc w:val="center"/>
              <w:spacing w:after="0"/>
              <w:rPr>
                <w:sz w:val="20"/>
                <w:szCs w:val="20"/>
                <w:color w:val="auto"/>
              </w:rPr>
            </w:pPr>
            <w:r>
              <w:rPr>
                <w:rFonts w:ascii="Arial" w:cs="Arial" w:eastAsia="Arial" w:hAnsi="Arial"/>
                <w:sz w:val="16"/>
                <w:szCs w:val="16"/>
                <w:color w:val="auto"/>
              </w:rPr>
              <w:t>Rapid City, South Dakota</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10.0</w:t>
            </w:r>
          </w:p>
        </w:tc>
        <w:tc>
          <w:tcPr>
            <w:tcW w:w="1520" w:type="dxa"/>
            <w:vAlign w:val="bottom"/>
          </w:tcPr>
          <w:p>
            <w:pPr>
              <w:jc w:val="center"/>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19"/>
        </w:trPr>
        <w:tc>
          <w:tcPr>
            <w:tcW w:w="2840" w:type="dxa"/>
            <w:vAlign w:val="bottom"/>
            <w:shd w:val="clear" w:color="auto" w:fill="CEFEE7"/>
          </w:tcPr>
          <w:p>
            <w:pPr>
              <w:ind w:left="220"/>
              <w:spacing w:after="0"/>
              <w:rPr>
                <w:sz w:val="20"/>
                <w:szCs w:val="20"/>
                <w:color w:val="auto"/>
              </w:rPr>
            </w:pPr>
            <w:r>
              <w:rPr>
                <w:rFonts w:ascii="Arial" w:cs="Arial" w:eastAsia="Arial" w:hAnsi="Arial"/>
                <w:sz w:val="16"/>
                <w:szCs w:val="16"/>
                <w:color w:val="auto"/>
              </w:rPr>
              <w:t>Ben French CTs #1-4</w:t>
            </w:r>
          </w:p>
        </w:tc>
        <w:tc>
          <w:tcPr>
            <w:tcW w:w="1280" w:type="dxa"/>
            <w:vAlign w:val="bottom"/>
            <w:shd w:val="clear" w:color="auto" w:fill="CEFEE7"/>
          </w:tcPr>
          <w:p>
            <w:pPr>
              <w:jc w:val="center"/>
              <w:ind w:left="139"/>
              <w:spacing w:after="0"/>
              <w:rPr>
                <w:sz w:val="20"/>
                <w:szCs w:val="20"/>
                <w:color w:val="auto"/>
              </w:rPr>
            </w:pPr>
            <w:r>
              <w:rPr>
                <w:rFonts w:ascii="Arial" w:cs="Arial" w:eastAsia="Arial" w:hAnsi="Arial"/>
                <w:sz w:val="16"/>
                <w:szCs w:val="16"/>
                <w:color w:val="auto"/>
              </w:rPr>
              <w:t>Gas/Oil</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Rapid City, South Dakota</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80.0</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1977-1979</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Wyoming Electric:</w:t>
            </w:r>
          </w:p>
        </w:tc>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EFEE7"/>
          </w:tcPr>
          <w:p>
            <w:pPr>
              <w:ind w:left="220"/>
              <w:spacing w:after="0"/>
              <w:rPr>
                <w:sz w:val="20"/>
                <w:szCs w:val="20"/>
                <w:color w:val="auto"/>
              </w:rPr>
            </w:pPr>
            <w:r>
              <w:rPr>
                <w:rFonts w:ascii="Arial" w:cs="Arial" w:eastAsia="Arial" w:hAnsi="Arial"/>
                <w:sz w:val="16"/>
                <w:szCs w:val="16"/>
                <w:color w:val="auto"/>
              </w:rPr>
              <w:t>Cheyenne Prairie</w:t>
            </w:r>
          </w:p>
        </w:tc>
        <w:tc>
          <w:tcPr>
            <w:tcW w:w="1280" w:type="dxa"/>
            <w:vAlign w:val="bottom"/>
            <w:shd w:val="clear" w:color="auto" w:fill="CEFEE7"/>
          </w:tcPr>
          <w:p>
            <w:pPr>
              <w:jc w:val="center"/>
              <w:ind w:left="139"/>
              <w:spacing w:after="0"/>
              <w:rPr>
                <w:sz w:val="20"/>
                <w:szCs w:val="20"/>
                <w:color w:val="auto"/>
              </w:rPr>
            </w:pPr>
            <w:r>
              <w:rPr>
                <w:rFonts w:ascii="Arial" w:cs="Arial" w:eastAsia="Arial" w:hAnsi="Arial"/>
                <w:sz w:val="16"/>
                <w:szCs w:val="16"/>
                <w:color w:val="auto"/>
              </w:rPr>
              <w:t>Gas</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Cheyenne, Wyoming</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42%</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40.0</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13"/>
        </w:trPr>
        <w:tc>
          <w:tcPr>
            <w:tcW w:w="2840" w:type="dxa"/>
            <w:vAlign w:val="bottom"/>
          </w:tcPr>
          <w:p>
            <w:pPr>
              <w:ind w:left="220"/>
              <w:spacing w:after="0"/>
              <w:rPr>
                <w:sz w:val="20"/>
                <w:szCs w:val="20"/>
                <w:color w:val="auto"/>
              </w:rPr>
            </w:pPr>
            <w:r>
              <w:rPr>
                <w:rFonts w:ascii="Arial" w:cs="Arial" w:eastAsia="Arial" w:hAnsi="Arial"/>
                <w:sz w:val="16"/>
                <w:szCs w:val="16"/>
                <w:color w:val="auto"/>
              </w:rPr>
              <w:t>Cheyenne Prairie CT</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Gas</w:t>
            </w:r>
          </w:p>
        </w:tc>
        <w:tc>
          <w:tcPr>
            <w:tcW w:w="238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rPr>
              <w:t>37.0</w:t>
            </w:r>
          </w:p>
        </w:tc>
        <w:tc>
          <w:tcPr>
            <w:tcW w:w="1520" w:type="dxa"/>
            <w:vAlign w:val="bottom"/>
          </w:tcPr>
          <w:p>
            <w:pPr>
              <w:jc w:val="center"/>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19"/>
        </w:trPr>
        <w:tc>
          <w:tcPr>
            <w:tcW w:w="2840" w:type="dxa"/>
            <w:vAlign w:val="bottom"/>
            <w:shd w:val="clear" w:color="auto" w:fill="CEFEE7"/>
          </w:tcPr>
          <w:p>
            <w:pPr>
              <w:ind w:left="220"/>
              <w:spacing w:after="0" w:line="219"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(c)</w:t>
            </w:r>
          </w:p>
        </w:tc>
        <w:tc>
          <w:tcPr>
            <w:tcW w:w="1280" w:type="dxa"/>
            <w:vAlign w:val="bottom"/>
            <w:shd w:val="clear" w:color="auto" w:fill="CEFEE7"/>
          </w:tcPr>
          <w:p>
            <w:pPr>
              <w:jc w:val="center"/>
              <w:ind w:left="139"/>
              <w:spacing w:after="0"/>
              <w:rPr>
                <w:sz w:val="20"/>
                <w:szCs w:val="20"/>
                <w:color w:val="auto"/>
              </w:rPr>
            </w:pPr>
            <w:r>
              <w:rPr>
                <w:rFonts w:ascii="Arial" w:cs="Arial" w:eastAsia="Arial" w:hAnsi="Arial"/>
                <w:sz w:val="16"/>
                <w:szCs w:val="16"/>
                <w:color w:val="auto"/>
              </w:rPr>
              <w:t>Wind</w:t>
            </w:r>
          </w:p>
        </w:tc>
        <w:tc>
          <w:tcPr>
            <w:tcW w:w="23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Cheyenne, Wyoming</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38%</w:t>
            </w:r>
          </w:p>
        </w:tc>
        <w:tc>
          <w:tcPr>
            <w:tcW w:w="17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20.0</w:t>
            </w:r>
          </w:p>
        </w:tc>
        <w:tc>
          <w:tcPr>
            <w:tcW w:w="15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EFEE7"/>
            </w:tcBorders>
          </w:tcPr>
          <w:p>
            <w:pPr>
              <w:ind w:left="220"/>
              <w:spacing w:after="0"/>
              <w:rPr>
                <w:sz w:val="20"/>
                <w:szCs w:val="20"/>
                <w:color w:val="auto"/>
              </w:rPr>
            </w:pPr>
            <w:r>
              <w:rPr>
                <w:rFonts w:ascii="Arial" w:cs="Arial" w:eastAsia="Arial" w:hAnsi="Arial"/>
                <w:sz w:val="16"/>
                <w:szCs w:val="16"/>
                <w:color w:val="auto"/>
              </w:rPr>
              <w:t>Wygen II</w:t>
            </w:r>
          </w:p>
        </w:tc>
        <w:tc>
          <w:tcPr>
            <w:tcW w:w="1280" w:type="dxa"/>
            <w:vAlign w:val="bottom"/>
            <w:tcBorders>
              <w:bottom w:val="single" w:sz="8" w:color="CEFEE7"/>
            </w:tcBorders>
          </w:tcPr>
          <w:p>
            <w:pPr>
              <w:jc w:val="center"/>
              <w:ind w:left="139"/>
              <w:spacing w:after="0"/>
              <w:rPr>
                <w:sz w:val="20"/>
                <w:szCs w:val="20"/>
                <w:color w:val="auto"/>
              </w:rPr>
            </w:pPr>
            <w:r>
              <w:rPr>
                <w:rFonts w:ascii="Arial" w:cs="Arial" w:eastAsia="Arial" w:hAnsi="Arial"/>
                <w:sz w:val="16"/>
                <w:szCs w:val="16"/>
                <w:color w:val="auto"/>
              </w:rPr>
              <w:t>Coal</w:t>
            </w:r>
          </w:p>
        </w:tc>
        <w:tc>
          <w:tcPr>
            <w:tcW w:w="2380" w:type="dxa"/>
            <w:vAlign w:val="bottom"/>
            <w:tcBorders>
              <w:bottom w:val="single" w:sz="8" w:color="CEFEE7"/>
            </w:tcBorders>
          </w:tcPr>
          <w:p>
            <w:pPr>
              <w:jc w:val="center"/>
              <w:spacing w:after="0"/>
              <w:rPr>
                <w:sz w:val="20"/>
                <w:szCs w:val="20"/>
                <w:color w:val="auto"/>
              </w:rPr>
            </w:pPr>
            <w:r>
              <w:rPr>
                <w:rFonts w:ascii="Arial" w:cs="Arial" w:eastAsia="Arial" w:hAnsi="Arial"/>
                <w:sz w:val="16"/>
                <w:szCs w:val="16"/>
                <w:color w:val="auto"/>
              </w:rPr>
              <w:t>Gillette, Wyoming</w:t>
            </w:r>
          </w:p>
        </w:tc>
        <w:tc>
          <w:tcPr>
            <w:tcW w:w="1520" w:type="dxa"/>
            <w:vAlign w:val="bottom"/>
            <w:tcBorders>
              <w:bottom w:val="single" w:sz="8" w:color="CEFEE7"/>
            </w:tcBorders>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95.0</w:t>
            </w:r>
          </w:p>
        </w:tc>
        <w:tc>
          <w:tcPr>
            <w:tcW w:w="1520" w:type="dxa"/>
            <w:vAlign w:val="bottom"/>
            <w:tcBorders>
              <w:bottom w:val="single" w:sz="8" w:color="CEFEE7"/>
            </w:tcBorders>
          </w:tcPr>
          <w:p>
            <w:pPr>
              <w:jc w:val="center"/>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38"/>
        </w:trPr>
        <w:tc>
          <w:tcPr>
            <w:tcW w:w="284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Total MW Capacity</w:t>
            </w:r>
          </w:p>
        </w:tc>
        <w:tc>
          <w:tcPr>
            <w:tcW w:w="1280" w:type="dxa"/>
            <w:vAlign w:val="bottom"/>
            <w:tcBorders>
              <w:bottom w:val="single" w:sz="8" w:color="CEFEE7"/>
            </w:tcBorders>
            <w:shd w:val="clear" w:color="auto" w:fill="CEFEE7"/>
          </w:tcPr>
          <w:p>
            <w:pPr>
              <w:spacing w:after="0"/>
              <w:rPr>
                <w:sz w:val="20"/>
                <w:szCs w:val="20"/>
                <w:color w:val="auto"/>
              </w:rPr>
            </w:pPr>
          </w:p>
        </w:tc>
        <w:tc>
          <w:tcPr>
            <w:tcW w:w="2380" w:type="dxa"/>
            <w:vAlign w:val="bottom"/>
            <w:tcBorders>
              <w:bottom w:val="single" w:sz="8" w:color="CEFEE7"/>
            </w:tcBorders>
            <w:shd w:val="clear" w:color="auto" w:fill="CEFEE7"/>
          </w:tcPr>
          <w:p>
            <w:pPr>
              <w:spacing w:after="0"/>
              <w:rPr>
                <w:sz w:val="20"/>
                <w:szCs w:val="20"/>
                <w:color w:val="auto"/>
              </w:rPr>
            </w:pPr>
          </w:p>
        </w:tc>
        <w:tc>
          <w:tcPr>
            <w:tcW w:w="1520" w:type="dxa"/>
            <w:vAlign w:val="bottom"/>
            <w:tcBorders>
              <w:bottom w:val="single" w:sz="8" w:color="CEFEE7"/>
            </w:tcBorders>
            <w:shd w:val="clear" w:color="auto" w:fill="CEFEE7"/>
          </w:tcPr>
          <w:p>
            <w:pPr>
              <w:spacing w:after="0"/>
              <w:rPr>
                <w:sz w:val="20"/>
                <w:szCs w:val="20"/>
                <w:color w:val="auto"/>
              </w:rPr>
            </w:pPr>
          </w:p>
        </w:tc>
        <w:tc>
          <w:tcPr>
            <w:tcW w:w="1700" w:type="dxa"/>
            <w:vAlign w:val="bottom"/>
            <w:tcBorders>
              <w:bottom w:val="single" w:sz="8" w:color="auto"/>
            </w:tcBorders>
            <w:shd w:val="clear" w:color="auto" w:fill="CEFEE7"/>
          </w:tcPr>
          <w:p>
            <w:pPr>
              <w:jc w:val="center"/>
              <w:spacing w:after="0"/>
              <w:rPr>
                <w:sz w:val="20"/>
                <w:szCs w:val="20"/>
                <w:color w:val="auto"/>
              </w:rPr>
            </w:pPr>
            <w:r>
              <w:rPr>
                <w:rFonts w:ascii="Arial" w:cs="Arial" w:eastAsia="Arial" w:hAnsi="Arial"/>
                <w:sz w:val="16"/>
                <w:szCs w:val="16"/>
                <w:color w:val="auto"/>
                <w:w w:val="99"/>
              </w:rPr>
              <w:t>991.6</w:t>
            </w:r>
          </w:p>
        </w:tc>
        <w:tc>
          <w:tcPr>
            <w:tcW w:w="1520" w:type="dxa"/>
            <w:vAlign w:val="bottom"/>
            <w:tcBorders>
              <w:bottom w:val="single" w:sz="8" w:color="CEFEE7"/>
            </w:tcBorders>
            <w:shd w:val="clear" w:color="auto" w:fill="CEFE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EFEE7"/>
            </w:tcBorders>
          </w:tcPr>
          <w:p>
            <w:pPr>
              <w:spacing w:after="0" w:line="20" w:lineRule="exact"/>
              <w:rPr>
                <w:sz w:val="1"/>
                <w:szCs w:val="1"/>
                <w:color w:val="auto"/>
              </w:rPr>
            </w:pPr>
          </w:p>
        </w:tc>
        <w:tc>
          <w:tcPr>
            <w:tcW w:w="1280" w:type="dxa"/>
            <w:vAlign w:val="bottom"/>
            <w:tcBorders>
              <w:top w:val="single" w:sz="8" w:color="CEFEE7"/>
            </w:tcBorders>
          </w:tcPr>
          <w:p>
            <w:pPr>
              <w:spacing w:after="0" w:line="20" w:lineRule="exact"/>
              <w:rPr>
                <w:sz w:val="1"/>
                <w:szCs w:val="1"/>
                <w:color w:val="auto"/>
              </w:rPr>
            </w:pPr>
          </w:p>
        </w:tc>
        <w:tc>
          <w:tcPr>
            <w:tcW w:w="2380" w:type="dxa"/>
            <w:vAlign w:val="bottom"/>
            <w:tcBorders>
              <w:top w:val="single" w:sz="8" w:color="CEFEE7"/>
            </w:tcBorders>
          </w:tcPr>
          <w:p>
            <w:pPr>
              <w:spacing w:after="0" w:line="20" w:lineRule="exact"/>
              <w:rPr>
                <w:sz w:val="1"/>
                <w:szCs w:val="1"/>
                <w:color w:val="auto"/>
              </w:rPr>
            </w:pPr>
          </w:p>
        </w:tc>
        <w:tc>
          <w:tcPr>
            <w:tcW w:w="1520" w:type="dxa"/>
            <w:vAlign w:val="bottom"/>
            <w:tcBorders>
              <w:top w:val="single" w:sz="8" w:color="CEFEE7"/>
            </w:tcBorders>
          </w:tcPr>
          <w:p>
            <w:pPr>
              <w:spacing w:after="0" w:line="20" w:lineRule="exact"/>
              <w:rPr>
                <w:sz w:val="1"/>
                <w:szCs w:val="1"/>
                <w:color w:val="auto"/>
              </w:rPr>
            </w:pPr>
          </w:p>
        </w:tc>
        <w:tc>
          <w:tcPr>
            <w:tcW w:w="1700" w:type="dxa"/>
            <w:vAlign w:val="bottom"/>
            <w:tcBorders>
              <w:top w:val="single" w:sz="8" w:color="CEFEE7"/>
              <w:bottom w:val="single" w:sz="8" w:color="auto"/>
            </w:tcBorders>
          </w:tcPr>
          <w:p>
            <w:pPr>
              <w:spacing w:after="0" w:line="20" w:lineRule="exact"/>
              <w:rPr>
                <w:sz w:val="1"/>
                <w:szCs w:val="1"/>
                <w:color w:val="auto"/>
              </w:rPr>
            </w:pPr>
          </w:p>
        </w:tc>
        <w:tc>
          <w:tcPr>
            <w:tcW w:w="1520" w:type="dxa"/>
            <w:vAlign w:val="bottom"/>
            <w:tcBorders>
              <w:top w:val="single" w:sz="8" w:color="CEFE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2013, Busch Ranch I was awarded a one-time cash grant in lieu of ITCs under the Section 1603 program created under the American Recovery and Reinvestment Act.</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49"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Peak View facility qualifies for PTCs at $25/MWh under IRC 45 during the 10-year period beginning November 2016. The PTCs for this facility flow back to customers through a rider mechanism as a reduction to Colorado Electric’s margins.</w:t>
      </w:r>
    </w:p>
    <w:p>
      <w:pPr>
        <w:ind w:left="340" w:right="360" w:hanging="332"/>
        <w:spacing w:after="0" w:line="241" w:lineRule="auto"/>
        <w:tabs>
          <w:tab w:leader="none" w:pos="344" w:val="left"/>
        </w:tabs>
        <w:numPr>
          <w:ilvl w:val="0"/>
          <w:numId w:val="3"/>
        </w:numPr>
        <w:rPr>
          <w:rFonts w:ascii="Arial" w:cs="Arial" w:eastAsia="Arial" w:hAnsi="Arial"/>
          <w:sz w:val="14"/>
          <w:szCs w:val="14"/>
          <w:color w:val="auto"/>
        </w:rPr>
      </w:pPr>
      <w:r>
        <w:rPr>
          <w:rFonts w:ascii="Arial" w:cs="Arial" w:eastAsia="Arial" w:hAnsi="Arial"/>
          <w:sz w:val="14"/>
          <w:szCs w:val="14"/>
          <w:color w:val="auto"/>
        </w:rPr>
        <w:t>Corriedale was completed and placed in service on November 30, 2020. This facility qualifies for PTCs at $25/MWh under IRC 45 during the 10-year period beginning November 2020.</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Jointly owned facilities are discussed in </w:t>
      </w:r>
      <w:hyperlink w:anchor="page93">
        <w:r>
          <w:rPr>
            <w:rFonts w:ascii="Arial" w:cs="Arial" w:eastAsia="Arial" w:hAnsi="Arial"/>
            <w:sz w:val="14"/>
            <w:szCs w:val="14"/>
            <w:u w:val="single" w:color="auto"/>
            <w:color w:val="0000FF"/>
          </w:rPr>
          <w:t>Note 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Electric Utilities’ power supply by resource as a percent of the total power supply for our energy needs for the years ended December 31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Power Supply</w:t>
            </w:r>
          </w:p>
        </w:tc>
        <w:tc>
          <w:tcPr>
            <w:tcW w:w="19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2020</w:t>
            </w: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2019</w:t>
            </w: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2018</w:t>
            </w:r>
          </w:p>
        </w:tc>
      </w:tr>
      <w:tr>
        <w:trPr>
          <w:trHeight w:val="213"/>
        </w:trPr>
        <w:tc>
          <w:tcPr>
            <w:tcW w:w="63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Coal</w:t>
            </w:r>
          </w:p>
        </w:tc>
        <w:tc>
          <w:tcPr>
            <w:tcW w:w="19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32.7 %</w:t>
            </w:r>
          </w:p>
        </w:tc>
        <w:tc>
          <w:tcPr>
            <w:tcW w:w="16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30.1 %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32.1 %</w:t>
            </w:r>
          </w:p>
        </w:tc>
      </w:tr>
      <w:tr>
        <w:trPr>
          <w:trHeight w:val="216"/>
        </w:trPr>
        <w:tc>
          <w:tcPr>
            <w:tcW w:w="6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(a)</w:t>
            </w:r>
          </w:p>
        </w:tc>
        <w:tc>
          <w:tcPr>
            <w:tcW w:w="1920" w:type="dxa"/>
            <w:vAlign w:val="bottom"/>
          </w:tcPr>
          <w:p>
            <w:pPr>
              <w:jc w:val="right"/>
              <w:ind w:right="419"/>
              <w:spacing w:after="0"/>
              <w:rPr>
                <w:sz w:val="20"/>
                <w:szCs w:val="20"/>
                <w:color w:val="auto"/>
              </w:rPr>
            </w:pPr>
            <w:r>
              <w:rPr>
                <w:rFonts w:ascii="Arial" w:cs="Arial" w:eastAsia="Arial" w:hAnsi="Arial"/>
                <w:sz w:val="16"/>
                <w:szCs w:val="16"/>
                <w:color w:val="auto"/>
              </w:rPr>
              <w:t>8.4</w:t>
            </w:r>
          </w:p>
        </w:tc>
        <w:tc>
          <w:tcPr>
            <w:tcW w:w="1620" w:type="dxa"/>
            <w:vAlign w:val="bottom"/>
          </w:tcPr>
          <w:p>
            <w:pPr>
              <w:jc w:val="right"/>
              <w:ind w:right="419"/>
              <w:spacing w:after="0"/>
              <w:rPr>
                <w:sz w:val="20"/>
                <w:szCs w:val="20"/>
                <w:color w:val="auto"/>
              </w:rPr>
            </w:pPr>
            <w:r>
              <w:rPr>
                <w:rFonts w:ascii="Arial" w:cs="Arial" w:eastAsia="Arial" w:hAnsi="Arial"/>
                <w:sz w:val="16"/>
                <w:szCs w:val="16"/>
                <w:color w:val="auto"/>
              </w:rPr>
              <w:t>8.2</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6.1</w:t>
            </w:r>
          </w:p>
        </w:tc>
      </w:tr>
      <w:tr>
        <w:trPr>
          <w:trHeight w:val="213"/>
        </w:trPr>
        <w:tc>
          <w:tcPr>
            <w:tcW w:w="63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920" w:type="dxa"/>
            <w:vAlign w:val="bottom"/>
            <w:tcBorders>
              <w:bottom w:val="single" w:sz="8" w:color="auto"/>
            </w:tcBorders>
            <w:shd w:val="clear" w:color="auto" w:fill="CEFFE7"/>
          </w:tcPr>
          <w:p>
            <w:pPr>
              <w:jc w:val="right"/>
              <w:ind w:right="419"/>
              <w:spacing w:after="0"/>
              <w:rPr>
                <w:sz w:val="20"/>
                <w:szCs w:val="20"/>
                <w:color w:val="auto"/>
              </w:rPr>
            </w:pPr>
            <w:r>
              <w:rPr>
                <w:rFonts w:ascii="Arial" w:cs="Arial" w:eastAsia="Arial" w:hAnsi="Arial"/>
                <w:sz w:val="16"/>
                <w:szCs w:val="16"/>
                <w:color w:val="auto"/>
              </w:rPr>
              <w:t>3.8</w:t>
            </w:r>
          </w:p>
        </w:tc>
        <w:tc>
          <w:tcPr>
            <w:tcW w:w="1620" w:type="dxa"/>
            <w:vAlign w:val="bottom"/>
            <w:tcBorders>
              <w:bottom w:val="single" w:sz="8" w:color="auto"/>
            </w:tcBorders>
            <w:shd w:val="clear" w:color="auto" w:fill="CEFFE7"/>
          </w:tcPr>
          <w:p>
            <w:pPr>
              <w:jc w:val="right"/>
              <w:ind w:right="419"/>
              <w:spacing w:after="0"/>
              <w:rPr>
                <w:sz w:val="20"/>
                <w:szCs w:val="20"/>
                <w:color w:val="auto"/>
              </w:rPr>
            </w:pPr>
            <w:r>
              <w:rPr>
                <w:rFonts w:ascii="Arial" w:cs="Arial" w:eastAsia="Arial" w:hAnsi="Arial"/>
                <w:sz w:val="16"/>
                <w:szCs w:val="16"/>
                <w:color w:val="auto"/>
              </w:rPr>
              <w:t>3.2</w:t>
            </w:r>
          </w:p>
        </w:tc>
        <w:tc>
          <w:tcPr>
            <w:tcW w:w="1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3.4</w:t>
            </w:r>
          </w:p>
        </w:tc>
      </w:tr>
      <w:tr>
        <w:trPr>
          <w:trHeight w:val="209"/>
        </w:trPr>
        <w:tc>
          <w:tcPr>
            <w:tcW w:w="6380" w:type="dxa"/>
            <w:vAlign w:val="bottom"/>
            <w:tcBorders>
              <w:bottom w:val="single" w:sz="8" w:color="CEFFE7"/>
            </w:tcBorders>
          </w:tcPr>
          <w:p>
            <w:pPr>
              <w:ind w:left="480"/>
              <w:spacing w:after="0"/>
              <w:rPr>
                <w:sz w:val="20"/>
                <w:szCs w:val="20"/>
                <w:color w:val="auto"/>
              </w:rPr>
            </w:pPr>
            <w:r>
              <w:rPr>
                <w:rFonts w:ascii="Arial" w:cs="Arial" w:eastAsia="Arial" w:hAnsi="Arial"/>
                <w:sz w:val="16"/>
                <w:szCs w:val="16"/>
                <w:color w:val="auto"/>
              </w:rPr>
              <w:t>Total Generated</w:t>
            </w:r>
          </w:p>
        </w:tc>
        <w:tc>
          <w:tcPr>
            <w:tcW w:w="1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44.9</w:t>
            </w: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41.5</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41.6</w:t>
            </w:r>
          </w:p>
        </w:tc>
      </w:tr>
      <w:tr>
        <w:trPr>
          <w:trHeight w:val="213"/>
        </w:trPr>
        <w:tc>
          <w:tcPr>
            <w:tcW w:w="63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Coal, Natural Gas, Oil and Other Market Purchases</w:t>
            </w:r>
          </w:p>
        </w:tc>
        <w:tc>
          <w:tcPr>
            <w:tcW w:w="1920" w:type="dxa"/>
            <w:vAlign w:val="bottom"/>
            <w:shd w:val="clear" w:color="auto" w:fill="CEFFE7"/>
          </w:tcPr>
          <w:p>
            <w:pPr>
              <w:jc w:val="right"/>
              <w:ind w:right="419"/>
              <w:spacing w:after="0"/>
              <w:rPr>
                <w:sz w:val="20"/>
                <w:szCs w:val="20"/>
                <w:color w:val="auto"/>
              </w:rPr>
            </w:pPr>
            <w:r>
              <w:rPr>
                <w:rFonts w:ascii="Arial" w:cs="Arial" w:eastAsia="Arial" w:hAnsi="Arial"/>
                <w:sz w:val="16"/>
                <w:szCs w:val="16"/>
                <w:color w:val="auto"/>
              </w:rPr>
              <w:t>43.3</w:t>
            </w:r>
          </w:p>
        </w:tc>
        <w:tc>
          <w:tcPr>
            <w:tcW w:w="1620" w:type="dxa"/>
            <w:vAlign w:val="bottom"/>
            <w:shd w:val="clear" w:color="auto" w:fill="CEFFE7"/>
          </w:tcPr>
          <w:p>
            <w:pPr>
              <w:jc w:val="right"/>
              <w:ind w:right="419"/>
              <w:spacing w:after="0"/>
              <w:rPr>
                <w:sz w:val="20"/>
                <w:szCs w:val="20"/>
                <w:color w:val="auto"/>
              </w:rPr>
            </w:pPr>
            <w:r>
              <w:rPr>
                <w:rFonts w:ascii="Arial" w:cs="Arial" w:eastAsia="Arial" w:hAnsi="Arial"/>
                <w:sz w:val="16"/>
                <w:szCs w:val="16"/>
                <w:color w:val="auto"/>
              </w:rPr>
              <w:t>52.5</w:t>
            </w:r>
          </w:p>
        </w:tc>
        <w:tc>
          <w:tcPr>
            <w:tcW w:w="1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52.4</w:t>
            </w:r>
          </w:p>
        </w:tc>
      </w:tr>
      <w:tr>
        <w:trPr>
          <w:trHeight w:val="213"/>
        </w:trPr>
        <w:tc>
          <w:tcPr>
            <w:tcW w:w="63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Wind</w:t>
            </w:r>
          </w:p>
        </w:tc>
        <w:tc>
          <w:tcPr>
            <w:tcW w:w="1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11.8</w:t>
            </w: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6.0</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w:t>
            </w:r>
          </w:p>
        </w:tc>
      </w:tr>
      <w:tr>
        <w:trPr>
          <w:trHeight w:val="209"/>
        </w:trPr>
        <w:tc>
          <w:tcPr>
            <w:tcW w:w="638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1920" w:type="dxa"/>
            <w:vAlign w:val="bottom"/>
            <w:tcBorders>
              <w:bottom w:val="single" w:sz="8" w:color="auto"/>
            </w:tcBorders>
            <w:shd w:val="clear" w:color="auto" w:fill="CEFFE7"/>
          </w:tcPr>
          <w:p>
            <w:pPr>
              <w:jc w:val="right"/>
              <w:ind w:right="419"/>
              <w:spacing w:after="0"/>
              <w:rPr>
                <w:sz w:val="20"/>
                <w:szCs w:val="20"/>
                <w:color w:val="auto"/>
              </w:rPr>
            </w:pPr>
            <w:r>
              <w:rPr>
                <w:rFonts w:ascii="Arial" w:cs="Arial" w:eastAsia="Arial" w:hAnsi="Arial"/>
                <w:sz w:val="16"/>
                <w:szCs w:val="16"/>
                <w:color w:val="auto"/>
              </w:rPr>
              <w:t>55.1</w:t>
            </w:r>
          </w:p>
        </w:tc>
        <w:tc>
          <w:tcPr>
            <w:tcW w:w="1620" w:type="dxa"/>
            <w:vAlign w:val="bottom"/>
            <w:tcBorders>
              <w:bottom w:val="single" w:sz="8" w:color="auto"/>
            </w:tcBorders>
            <w:shd w:val="clear" w:color="auto" w:fill="CEFFE7"/>
          </w:tcPr>
          <w:p>
            <w:pPr>
              <w:jc w:val="right"/>
              <w:ind w:right="419"/>
              <w:spacing w:after="0"/>
              <w:rPr>
                <w:sz w:val="20"/>
                <w:szCs w:val="20"/>
                <w:color w:val="auto"/>
              </w:rPr>
            </w:pPr>
            <w:r>
              <w:rPr>
                <w:rFonts w:ascii="Arial" w:cs="Arial" w:eastAsia="Arial" w:hAnsi="Arial"/>
                <w:sz w:val="16"/>
                <w:szCs w:val="16"/>
                <w:color w:val="auto"/>
              </w:rPr>
              <w:t>58.5</w:t>
            </w:r>
          </w:p>
        </w:tc>
        <w:tc>
          <w:tcPr>
            <w:tcW w:w="1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58.4</w:t>
            </w: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100.0 %</w:t>
            </w: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100.0 %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1"/>
        </w:trPr>
        <w:tc>
          <w:tcPr>
            <w:tcW w:w="63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80" w:hanging="332"/>
        <w:spacing w:after="0" w:line="258" w:lineRule="auto"/>
        <w:tabs>
          <w:tab w:leader="none" w:pos="349"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diesel-fueled generating units are generally used as supplemental peaking units. Power generated from these units, as a percentage of total power supply, was 0.2%, 0.1% and 0.0% for the years ended December 31, 2020, 2019, and 2018, respectively.</w:t>
      </w:r>
    </w:p>
    <w:p>
      <w:pPr>
        <w:spacing w:after="0" w:line="21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Our Electric Utilities’ weighted average cost of fuel utilized to generate electricity and the average price paid for purchased power (excluding contracted capacity) per MWh for the years ended December 31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Fuel and Purchased Power (dollars per MWh)</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213"/>
        </w:trPr>
        <w:tc>
          <w:tcPr>
            <w:tcW w:w="6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Coal</w:t>
            </w:r>
          </w:p>
        </w:tc>
        <w:tc>
          <w:tcPr>
            <w:tcW w:w="1000" w:type="dxa"/>
            <w:vAlign w:val="bottom"/>
            <w:shd w:val="clear" w:color="auto" w:fill="CEFFE7"/>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11.00</w:t>
            </w:r>
          </w:p>
        </w:tc>
        <w:tc>
          <w:tcPr>
            <w:tcW w:w="1020" w:type="dxa"/>
            <w:vAlign w:val="bottom"/>
            <w:shd w:val="clear" w:color="auto" w:fill="CEFFE7"/>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11.46</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11.10</w:t>
            </w:r>
          </w:p>
        </w:tc>
      </w:tr>
      <w:tr>
        <w:trPr>
          <w:trHeight w:val="213"/>
        </w:trPr>
        <w:tc>
          <w:tcPr>
            <w:tcW w:w="66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Natural Gas and Diesel Oil</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28.26</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w:t>
            </w:r>
          </w:p>
        </w:tc>
      </w:tr>
      <w:tr>
        <w:trPr>
          <w:trHeight w:val="209"/>
        </w:trPr>
        <w:tc>
          <w:tcPr>
            <w:tcW w:w="662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Generated Weighted Average Fuel Cost</w:t>
            </w:r>
          </w:p>
        </w:tc>
        <w:tc>
          <w:tcPr>
            <w:tcW w:w="100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12.07</w:t>
            </w:r>
          </w:p>
        </w:tc>
        <w:tc>
          <w:tcPr>
            <w:tcW w:w="102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13.86</w:t>
            </w:r>
          </w:p>
        </w:tc>
        <w:tc>
          <w:tcPr>
            <w:tcW w:w="36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13.53</w:t>
            </w:r>
          </w:p>
        </w:tc>
      </w:tr>
      <w:tr>
        <w:trPr>
          <w:trHeight w:val="210"/>
        </w:trPr>
        <w:tc>
          <w:tcPr>
            <w:tcW w:w="6620" w:type="dxa"/>
            <w:vAlign w:val="bottom"/>
          </w:tcPr>
          <w:p>
            <w:pPr>
              <w:ind w:left="20"/>
              <w:spacing w:after="0"/>
              <w:rPr>
                <w:sz w:val="20"/>
                <w:szCs w:val="20"/>
                <w:color w:val="auto"/>
              </w:rPr>
            </w:pPr>
            <w:r>
              <w:rPr>
                <w:rFonts w:ascii="Arial" w:cs="Arial" w:eastAsia="Arial" w:hAnsi="Arial"/>
                <w:sz w:val="16"/>
                <w:szCs w:val="16"/>
                <w:color w:val="auto"/>
              </w:rPr>
              <w:t>Coal, Natural Gas, Oil and Other Market Purchases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44.61</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43.73</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45.62</w:t>
            </w:r>
          </w:p>
        </w:tc>
      </w:tr>
      <w:tr>
        <w:trPr>
          <w:trHeight w:val="216"/>
        </w:trPr>
        <w:tc>
          <w:tcPr>
            <w:tcW w:w="6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 Purchases</w:t>
            </w:r>
          </w:p>
        </w:tc>
        <w:tc>
          <w:tcPr>
            <w:tcW w:w="100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32.01</w:t>
            </w:r>
          </w:p>
        </w:tc>
        <w:tc>
          <w:tcPr>
            <w:tcW w:w="102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48.61</w:t>
            </w:r>
          </w:p>
        </w:tc>
        <w:tc>
          <w:tcPr>
            <w:tcW w:w="36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54.31</w:t>
            </w:r>
          </w:p>
        </w:tc>
      </w:tr>
      <w:tr>
        <w:trPr>
          <w:trHeight w:val="209"/>
        </w:trPr>
        <w:tc>
          <w:tcPr>
            <w:tcW w:w="6620" w:type="dxa"/>
            <w:vAlign w:val="bottom"/>
            <w:tcBorders>
              <w:bottom w:val="single" w:sz="8" w:color="CEFFE7"/>
            </w:tcBorders>
          </w:tcPr>
          <w:p>
            <w:pPr>
              <w:ind w:left="480"/>
              <w:spacing w:after="0"/>
              <w:rPr>
                <w:sz w:val="20"/>
                <w:szCs w:val="20"/>
                <w:color w:val="auto"/>
              </w:rPr>
            </w:pPr>
            <w:r>
              <w:rPr>
                <w:rFonts w:ascii="Arial" w:cs="Arial" w:eastAsia="Arial" w:hAnsi="Arial"/>
                <w:sz w:val="16"/>
                <w:szCs w:val="16"/>
                <w:color w:val="auto"/>
              </w:rPr>
              <w:t>Total Purchased Power Weighted Average Cost</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44.23</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46.51</w:t>
            </w:r>
          </w:p>
        </w:tc>
      </w:tr>
      <w:tr>
        <w:trPr>
          <w:trHeight w:val="238"/>
        </w:trPr>
        <w:tc>
          <w:tcPr>
            <w:tcW w:w="66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 Weighted Average Fuel and Purchased Power Cost</w:t>
            </w:r>
          </w:p>
        </w:tc>
        <w:tc>
          <w:tcPr>
            <w:tcW w:w="1000" w:type="dxa"/>
            <w:vAlign w:val="bottom"/>
            <w:tcBorders>
              <w:bottom w:val="single" w:sz="8" w:color="auto"/>
            </w:tcBorders>
            <w:shd w:val="clear" w:color="auto" w:fill="CEFFE7"/>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28.52</w:t>
            </w:r>
          </w:p>
        </w:tc>
        <w:tc>
          <w:tcPr>
            <w:tcW w:w="1020" w:type="dxa"/>
            <w:vAlign w:val="bottom"/>
            <w:tcBorders>
              <w:bottom w:val="single" w:sz="8" w:color="auto"/>
            </w:tcBorders>
            <w:shd w:val="clear" w:color="auto" w:fill="CEFFE7"/>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31.62</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32.79</w:t>
            </w:r>
          </w:p>
        </w:tc>
      </w:tr>
      <w:tr>
        <w:trPr>
          <w:trHeight w:val="20"/>
        </w:trPr>
        <w:tc>
          <w:tcPr>
            <w:tcW w:w="662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Power Purchase and Power Sales Agreements. </w:t>
      </w:r>
      <w:r>
        <w:rPr>
          <w:rFonts w:ascii="Arial" w:cs="Arial" w:eastAsia="Arial" w:hAnsi="Arial"/>
          <w:sz w:val="16"/>
          <w:szCs w:val="16"/>
          <w:color w:val="auto"/>
        </w:rPr>
        <w:t>We have executed various PPAs to support our Electric Utilities’ capacity and energy needs beyond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regulated power plants’ generation. Our Electric Utilities also have various long-term PSAs. Key contracts are disclosed in </w:t>
      </w:r>
      <w:hyperlink w:anchor="page85">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198" w:lineRule="exact"/>
        <w:rPr>
          <w:sz w:val="20"/>
          <w:szCs w:val="20"/>
          <w:color w:val="auto"/>
        </w:rPr>
      </w:pPr>
    </w:p>
    <w:p>
      <w:pPr>
        <w:spacing w:after="0" w:line="255"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Transmission and Distribution. </w:t>
      </w:r>
      <w:r>
        <w:rPr>
          <w:rFonts w:ascii="Arial" w:cs="Arial" w:eastAsia="Arial" w:hAnsi="Arial"/>
          <w:sz w:val="16"/>
          <w:szCs w:val="16"/>
          <w:color w:val="auto"/>
        </w:rPr>
        <w:t>Through our Electric Utilities, we own electric transmission and distribution systems composed of high voltage 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(greater than 69 kV) and low voltage lines (69 kV or less). We also jointly operate an electric transmission system, referred to as the Common Use System, with Basin Electric Power Cooperative and Powder River Energy Corporation. Each participant in the Common Use System individually owns assets that are operated together for a single system. The Common Use System also provides transmission service to our Transmission Tie. South Dakota Electric owns 35% of the Transmission Tie. The Transmission Tie is further discussed in </w:t>
      </w:r>
      <w:hyperlink w:anchor="page93">
        <w:r>
          <w:rPr>
            <w:rFonts w:ascii="Arial" w:cs="Arial" w:eastAsia="Arial" w:hAnsi="Arial"/>
            <w:sz w:val="16"/>
            <w:szCs w:val="16"/>
            <w:u w:val="single" w:color="auto"/>
            <w:color w:val="0000FF"/>
          </w:rPr>
          <w:t>Note 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our Electric Utilities owned the electric transmission and distribution lines shown below:</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 xml:space="preserve">Transmission </w:t>
            </w:r>
            <w:r>
              <w:rPr>
                <w:rFonts w:ascii="Arial" w:cs="Arial" w:eastAsia="Arial" w:hAnsi="Arial"/>
                <w:sz w:val="21"/>
                <w:szCs w:val="21"/>
                <w:color w:val="auto"/>
                <w:vertAlign w:val="superscript"/>
              </w:rPr>
              <w:t>(a)</w:t>
            </w: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Distribution</w:t>
            </w:r>
          </w:p>
        </w:tc>
      </w:tr>
      <w:tr>
        <w:trPr>
          <w:trHeight w:val="19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Utility</w:t>
            </w:r>
          </w:p>
        </w:tc>
        <w:tc>
          <w:tcPr>
            <w:tcW w:w="4360" w:type="dxa"/>
            <w:vAlign w:val="bottom"/>
            <w:tcBorders>
              <w:bottom w:val="single" w:sz="8" w:color="auto"/>
            </w:tcBorders>
          </w:tcPr>
          <w:p>
            <w:pPr>
              <w:jc w:val="center"/>
              <w:ind w:left="1259"/>
              <w:spacing w:after="0"/>
              <w:rPr>
                <w:sz w:val="20"/>
                <w:szCs w:val="20"/>
                <w:color w:val="auto"/>
              </w:rPr>
            </w:pPr>
            <w:r>
              <w:rPr>
                <w:rFonts w:ascii="Arial" w:cs="Arial" w:eastAsia="Arial" w:hAnsi="Arial"/>
                <w:sz w:val="16"/>
                <w:szCs w:val="16"/>
                <w:color w:val="auto"/>
              </w:rPr>
              <w:t>State</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(in Line Miles)</w:t>
            </w: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(in Line Miles)</w:t>
            </w:r>
          </w:p>
        </w:tc>
      </w:tr>
      <w:tr>
        <w:trPr>
          <w:trHeight w:val="212"/>
        </w:trPr>
        <w:tc>
          <w:tcPr>
            <w:tcW w:w="3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4360" w:type="dxa"/>
            <w:vAlign w:val="bottom"/>
            <w:shd w:val="clear" w:color="auto" w:fill="CEFFE7"/>
          </w:tcPr>
          <w:p>
            <w:pPr>
              <w:jc w:val="center"/>
              <w:ind w:left="1259"/>
              <w:spacing w:after="0"/>
              <w:rPr>
                <w:sz w:val="20"/>
                <w:szCs w:val="20"/>
                <w:color w:val="auto"/>
              </w:rPr>
            </w:pPr>
            <w:r>
              <w:rPr>
                <w:rFonts w:ascii="Arial" w:cs="Arial" w:eastAsia="Arial" w:hAnsi="Arial"/>
                <w:sz w:val="16"/>
                <w:szCs w:val="16"/>
                <w:color w:val="auto"/>
              </w:rPr>
              <w:t>Colorado</w:t>
            </w:r>
          </w:p>
        </w:tc>
        <w:tc>
          <w:tcPr>
            <w:tcW w:w="17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572</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3,135</w:t>
            </w: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4360" w:type="dxa"/>
            <w:vAlign w:val="bottom"/>
          </w:tcPr>
          <w:p>
            <w:pPr>
              <w:jc w:val="center"/>
              <w:ind w:left="1259"/>
              <w:spacing w:after="0"/>
              <w:rPr>
                <w:sz w:val="20"/>
                <w:szCs w:val="20"/>
                <w:color w:val="auto"/>
              </w:rPr>
            </w:pPr>
            <w:r>
              <w:rPr>
                <w:rFonts w:ascii="Arial" w:cs="Arial" w:eastAsia="Arial" w:hAnsi="Arial"/>
                <w:sz w:val="16"/>
                <w:szCs w:val="16"/>
                <w:color w:val="auto"/>
              </w:rPr>
              <w:t>South Dakota, Wyoming</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1,242</w:t>
            </w:r>
          </w:p>
        </w:tc>
        <w:tc>
          <w:tcPr>
            <w:tcW w:w="1520" w:type="dxa"/>
            <w:vAlign w:val="bottom"/>
          </w:tcPr>
          <w:p>
            <w:pPr>
              <w:jc w:val="right"/>
              <w:spacing w:after="0"/>
              <w:rPr>
                <w:sz w:val="20"/>
                <w:szCs w:val="20"/>
                <w:color w:val="auto"/>
              </w:rPr>
            </w:pPr>
            <w:r>
              <w:rPr>
                <w:rFonts w:ascii="Arial" w:cs="Arial" w:eastAsia="Arial" w:hAnsi="Arial"/>
                <w:sz w:val="16"/>
                <w:szCs w:val="16"/>
                <w:color w:val="auto"/>
              </w:rPr>
              <w:t>2,565</w:t>
            </w:r>
          </w:p>
        </w:tc>
      </w:tr>
      <w:tr>
        <w:trPr>
          <w:trHeight w:val="216"/>
        </w:trPr>
        <w:tc>
          <w:tcPr>
            <w:tcW w:w="3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4360" w:type="dxa"/>
            <w:vAlign w:val="bottom"/>
            <w:shd w:val="clear" w:color="auto" w:fill="CEFFE7"/>
          </w:tcPr>
          <w:p>
            <w:pPr>
              <w:jc w:val="center"/>
              <w:ind w:left="1259"/>
              <w:spacing w:after="0"/>
              <w:rPr>
                <w:sz w:val="20"/>
                <w:szCs w:val="20"/>
                <w:color w:val="auto"/>
              </w:rPr>
            </w:pPr>
            <w:r>
              <w:rPr>
                <w:rFonts w:ascii="Arial" w:cs="Arial" w:eastAsia="Arial" w:hAnsi="Arial"/>
                <w:sz w:val="16"/>
                <w:szCs w:val="16"/>
                <w:color w:val="auto"/>
                <w:w w:val="98"/>
              </w:rPr>
              <w:t>Wyoming</w:t>
            </w:r>
          </w:p>
        </w:tc>
        <w:tc>
          <w:tcPr>
            <w:tcW w:w="176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58</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1,320</w:t>
            </w:r>
          </w:p>
        </w:tc>
      </w:tr>
      <w:tr>
        <w:trPr>
          <w:trHeight w:val="210"/>
        </w:trPr>
        <w:tc>
          <w:tcPr>
            <w:tcW w:w="35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1,872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7,020</w:t>
            </w:r>
          </w:p>
        </w:tc>
      </w:tr>
      <w:tr>
        <w:trPr>
          <w:trHeight w:val="23"/>
        </w:trPr>
        <w:tc>
          <w:tcPr>
            <w:tcW w:w="3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Electric transmission line miles include voltages of 69 kV and above.</w:t>
      </w:r>
    </w:p>
    <w:p>
      <w:pPr>
        <w:spacing w:after="0" w:line="24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Material transmission services agreements are disclosed in </w:t>
      </w:r>
      <w:hyperlink w:anchor="page85">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2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Electric Utilities are seasonal businesses and weather patterns may impact their operating performance. Demand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electricity is sensitive to seasonal cooling, heating and industrial load requirements, as well as market price. In particular, cooling demand is often greater in the summer and heating demand in often greater in the winter.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generation and distribution of electricity in our service areas. Various legislative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restructuring and competitive initiatives have been discussed in several of the states in which our utilities operate. These initiatives would be aimed at increasing competition or providing for distributed generation. To date, these initiatives have not had a material impact on our utilities. In Colorado, our electric utility is subject to rules which may require competitive bidding for generation supply. Because of these rules, we face competition from other utilities and non-affiliated IPPs for the right to supply electric energy and capacity for Colorado Electric when resource plans require additional resources. Additionally, electrification initiatives in our service territories could increase demand for electricity and increase customer growth.</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b w:val="1"/>
          <w:bCs w:val="1"/>
          <w:i w:val="1"/>
          <w:iCs w:val="1"/>
          <w:color w:val="auto"/>
        </w:rPr>
        <w:t xml:space="preserve">Rates and Regulation. </w:t>
      </w:r>
      <w:r>
        <w:rPr>
          <w:rFonts w:ascii="Arial" w:cs="Arial" w:eastAsia="Arial" w:hAnsi="Arial"/>
          <w:sz w:val="16"/>
          <w:szCs w:val="16"/>
          <w:color w:val="auto"/>
        </w:rPr>
        <w:t>Our Electric Utilities are subject to the jurisdiction of the public utilities commissions in the states where they operate and the FERC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certain assets. These commissions oversee services and facilities, rates and charges, accounting, valuation of property, depreciation rates and various other matters. The public utility commissions determine the rates we are allowed to charge for our utility services.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Electric Utilities: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Authorized Rate</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Authorized</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Authorized</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Authorized</w:t>
            </w:r>
          </w:p>
        </w:tc>
        <w:tc>
          <w:tcPr>
            <w:tcW w:w="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Effective</w:t>
            </w:r>
          </w:p>
        </w:tc>
        <w:tc>
          <w:tcPr>
            <w:tcW w:w="28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color w:val="auto"/>
              </w:rPr>
              <w:t>Power Marketing</w:t>
            </w:r>
          </w:p>
        </w:tc>
        <w:tc>
          <w:tcPr>
            <w:tcW w:w="0" w:type="dxa"/>
            <w:vAlign w:val="bottom"/>
          </w:tcPr>
          <w:p>
            <w:pPr>
              <w:spacing w:after="0"/>
              <w:rPr>
                <w:sz w:val="1"/>
                <w:szCs w:val="1"/>
                <w:color w:val="auto"/>
              </w:rPr>
            </w:pPr>
          </w:p>
        </w:tc>
      </w:tr>
      <w:tr>
        <w:trPr>
          <w:trHeight w:val="135"/>
        </w:trPr>
        <w:tc>
          <w:tcPr>
            <w:tcW w:w="940" w:type="dxa"/>
            <w:vAlign w:val="bottom"/>
            <w:gridSpan w:val="2"/>
            <w:vMerge w:val="restart"/>
          </w:tcPr>
          <w:p>
            <w:pPr>
              <w:ind w:left="160"/>
              <w:spacing w:after="0"/>
              <w:rPr>
                <w:sz w:val="20"/>
                <w:szCs w:val="20"/>
                <w:color w:val="auto"/>
              </w:rPr>
            </w:pPr>
            <w:r>
              <w:rPr>
                <w:rFonts w:ascii="Arial" w:cs="Arial" w:eastAsia="Arial" w:hAnsi="Arial"/>
                <w:sz w:val="14"/>
                <w:szCs w:val="14"/>
                <w:color w:val="auto"/>
              </w:rPr>
              <w:t>Subsidiary</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Jurisdic-tion</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rPr>
              <w:t>of Return on</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rPr>
              <w:t>Return on Rate</w:t>
            </w:r>
          </w:p>
        </w:tc>
        <w:tc>
          <w:tcPr>
            <w:tcW w:w="1200" w:type="dxa"/>
            <w:vAlign w:val="bottom"/>
          </w:tcPr>
          <w:p>
            <w:pPr>
              <w:jc w:val="center"/>
              <w:spacing w:after="0" w:line="135" w:lineRule="exact"/>
              <w:rPr>
                <w:sz w:val="20"/>
                <w:szCs w:val="20"/>
                <w:color w:val="auto"/>
              </w:rPr>
            </w:pPr>
            <w:r>
              <w:rPr>
                <w:rFonts w:ascii="Arial" w:cs="Arial" w:eastAsia="Arial" w:hAnsi="Arial"/>
                <w:sz w:val="14"/>
                <w:szCs w:val="14"/>
                <w:color w:val="auto"/>
              </w:rPr>
              <w:t>Capital Structure</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rPr>
              <w:t>Rate Base (in</w:t>
            </w:r>
          </w:p>
        </w:tc>
        <w:tc>
          <w:tcPr>
            <w:tcW w:w="820" w:type="dxa"/>
            <w:vAlign w:val="bottom"/>
            <w:vMerge w:val="continue"/>
          </w:tcPr>
          <w:p>
            <w:pPr>
              <w:spacing w:after="0"/>
              <w:rPr>
                <w:sz w:val="11"/>
                <w:szCs w:val="11"/>
                <w:color w:val="auto"/>
              </w:rPr>
            </w:pPr>
          </w:p>
        </w:tc>
        <w:tc>
          <w:tcPr>
            <w:tcW w:w="2820" w:type="dxa"/>
            <w:vAlign w:val="bottom"/>
            <w:vMerge w:val="restart"/>
          </w:tcPr>
          <w:p>
            <w:pPr>
              <w:ind w:left="440"/>
              <w:spacing w:after="0"/>
              <w:rPr>
                <w:sz w:val="20"/>
                <w:szCs w:val="20"/>
                <w:color w:val="auto"/>
              </w:rPr>
            </w:pPr>
            <w:r>
              <w:rPr>
                <w:rFonts w:ascii="Arial" w:cs="Arial" w:eastAsia="Arial" w:hAnsi="Arial"/>
                <w:sz w:val="14"/>
                <w:szCs w:val="14"/>
                <w:color w:val="auto"/>
              </w:rPr>
              <w:t>Additional Tariffed Mechanisms</w:t>
            </w:r>
          </w:p>
        </w:tc>
        <w:tc>
          <w:tcPr>
            <w:tcW w:w="1320" w:type="dxa"/>
            <w:vAlign w:val="bottom"/>
          </w:tcPr>
          <w:p>
            <w:pPr>
              <w:jc w:val="center"/>
              <w:spacing w:after="0" w:line="135" w:lineRule="exact"/>
              <w:rPr>
                <w:sz w:val="20"/>
                <w:szCs w:val="20"/>
                <w:color w:val="auto"/>
              </w:rPr>
            </w:pPr>
            <w:r>
              <w:rPr>
                <w:rFonts w:ascii="Arial" w:cs="Arial" w:eastAsia="Arial" w:hAnsi="Arial"/>
                <w:sz w:val="14"/>
                <w:szCs w:val="14"/>
                <w:color w:val="auto"/>
              </w:rPr>
              <w:t>Profit Shared with</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gridSpan w:val="2"/>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Base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Debt/Equity</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28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Customers</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940" w:type="dxa"/>
            <w:vAlign w:val="bottom"/>
            <w:gridSpan w:val="2"/>
            <w:shd w:val="clear" w:color="auto" w:fill="CEFEE7"/>
          </w:tcPr>
          <w:p>
            <w:pPr>
              <w:ind w:left="20"/>
              <w:spacing w:after="0" w:line="162" w:lineRule="exact"/>
              <w:rPr>
                <w:sz w:val="20"/>
                <w:szCs w:val="20"/>
                <w:color w:val="auto"/>
              </w:rPr>
            </w:pPr>
            <w:r>
              <w:rPr>
                <w:rFonts w:ascii="Arial" w:cs="Arial" w:eastAsia="Arial" w:hAnsi="Arial"/>
                <w:sz w:val="16"/>
                <w:szCs w:val="16"/>
                <w:color w:val="auto"/>
              </w:rPr>
              <w:t>Colorado</w:t>
            </w:r>
          </w:p>
        </w:tc>
        <w:tc>
          <w:tcPr>
            <w:tcW w:w="90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w w:val="99"/>
              </w:rPr>
              <w:t>CO</w:t>
            </w:r>
          </w:p>
        </w:tc>
        <w:tc>
          <w:tcPr>
            <w:tcW w:w="110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9.37%</w:t>
            </w:r>
          </w:p>
        </w:tc>
        <w:tc>
          <w:tcPr>
            <w:tcW w:w="106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7.43%</w:t>
            </w:r>
          </w:p>
        </w:tc>
        <w:tc>
          <w:tcPr>
            <w:tcW w:w="120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48%/52%</w:t>
            </w:r>
          </w:p>
        </w:tc>
        <w:tc>
          <w:tcPr>
            <w:tcW w:w="108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$539.6</w:t>
            </w:r>
          </w:p>
        </w:tc>
        <w:tc>
          <w:tcPr>
            <w:tcW w:w="82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1/2017</w:t>
            </w:r>
          </w:p>
        </w:tc>
        <w:tc>
          <w:tcPr>
            <w:tcW w:w="2820" w:type="dxa"/>
            <w:vAlign w:val="bottom"/>
            <w:shd w:val="clear" w:color="auto" w:fill="CEFEE7"/>
          </w:tcPr>
          <w:p>
            <w:pPr>
              <w:ind w:left="80"/>
              <w:spacing w:after="0" w:line="162" w:lineRule="exact"/>
              <w:rPr>
                <w:sz w:val="20"/>
                <w:szCs w:val="20"/>
                <w:color w:val="auto"/>
              </w:rPr>
            </w:pPr>
            <w:r>
              <w:rPr>
                <w:rFonts w:ascii="Arial" w:cs="Arial" w:eastAsia="Arial" w:hAnsi="Arial"/>
                <w:sz w:val="16"/>
                <w:szCs w:val="16"/>
                <w:color w:val="auto"/>
              </w:rPr>
              <w:t>ECA, TCA, PCCA, EECR/DSM,</w:t>
            </w:r>
          </w:p>
        </w:tc>
        <w:tc>
          <w:tcPr>
            <w:tcW w:w="1320" w:type="dxa"/>
            <w:vAlign w:val="bottom"/>
            <w:vMerge w:val="restart"/>
            <w:shd w:val="clear" w:color="auto" w:fill="CEFEE7"/>
          </w:tcPr>
          <w:p>
            <w:pPr>
              <w:jc w:val="center"/>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6"/>
        </w:trPr>
        <w:tc>
          <w:tcPr>
            <w:tcW w:w="580" w:type="dxa"/>
            <w:vAlign w:val="bottom"/>
            <w:shd w:val="clear" w:color="auto" w:fill="CEFEE7"/>
          </w:tcPr>
          <w:p>
            <w:pPr>
              <w:ind w:left="20"/>
              <w:spacing w:after="0"/>
              <w:rPr>
                <w:sz w:val="20"/>
                <w:szCs w:val="20"/>
                <w:color w:val="auto"/>
              </w:rPr>
            </w:pPr>
            <w:r>
              <w:rPr>
                <w:rFonts w:ascii="Arial" w:cs="Arial" w:eastAsia="Arial" w:hAnsi="Arial"/>
                <w:sz w:val="16"/>
                <w:szCs w:val="16"/>
                <w:color w:val="auto"/>
              </w:rPr>
              <w:t>Electric</w:t>
            </w:r>
          </w:p>
        </w:tc>
        <w:tc>
          <w:tcPr>
            <w:tcW w:w="360" w:type="dxa"/>
            <w:vAlign w:val="bottom"/>
            <w:shd w:val="clear" w:color="auto" w:fill="CEFEE7"/>
          </w:tcPr>
          <w:p>
            <w:pPr>
              <w:spacing w:after="0" w:line="125" w:lineRule="exact"/>
              <w:rPr>
                <w:sz w:val="20"/>
                <w:szCs w:val="20"/>
                <w:color w:val="auto"/>
              </w:rPr>
            </w:pPr>
            <w:r>
              <w:rPr>
                <w:rFonts w:ascii="Arial" w:cs="Arial" w:eastAsia="Arial" w:hAnsi="Arial"/>
                <w:sz w:val="11"/>
                <w:szCs w:val="11"/>
                <w:color w:val="auto"/>
              </w:rPr>
              <w:t>(a)</w:t>
            </w:r>
          </w:p>
        </w:tc>
        <w:tc>
          <w:tcPr>
            <w:tcW w:w="900" w:type="dxa"/>
            <w:vAlign w:val="bottom"/>
            <w:vMerge w:val="continue"/>
            <w:shd w:val="clear" w:color="auto" w:fill="CEFEE7"/>
          </w:tcPr>
          <w:p>
            <w:pPr>
              <w:spacing w:after="0"/>
              <w:rPr>
                <w:sz w:val="18"/>
                <w:szCs w:val="18"/>
                <w:color w:val="auto"/>
              </w:rPr>
            </w:pPr>
          </w:p>
        </w:tc>
        <w:tc>
          <w:tcPr>
            <w:tcW w:w="1100" w:type="dxa"/>
            <w:vAlign w:val="bottom"/>
            <w:vMerge w:val="continue"/>
            <w:shd w:val="clear" w:color="auto" w:fill="CEFEE7"/>
          </w:tcPr>
          <w:p>
            <w:pPr>
              <w:spacing w:after="0"/>
              <w:rPr>
                <w:sz w:val="18"/>
                <w:szCs w:val="18"/>
                <w:color w:val="auto"/>
              </w:rPr>
            </w:pPr>
          </w:p>
        </w:tc>
        <w:tc>
          <w:tcPr>
            <w:tcW w:w="1060" w:type="dxa"/>
            <w:vAlign w:val="bottom"/>
            <w:vMerge w:val="continue"/>
            <w:shd w:val="clear" w:color="auto" w:fill="CEFEE7"/>
          </w:tcPr>
          <w:p>
            <w:pPr>
              <w:spacing w:after="0"/>
              <w:rPr>
                <w:sz w:val="18"/>
                <w:szCs w:val="18"/>
                <w:color w:val="auto"/>
              </w:rPr>
            </w:pPr>
          </w:p>
        </w:tc>
        <w:tc>
          <w:tcPr>
            <w:tcW w:w="1200" w:type="dxa"/>
            <w:vAlign w:val="bottom"/>
            <w:vMerge w:val="continue"/>
            <w:shd w:val="clear" w:color="auto" w:fill="CEFEE7"/>
          </w:tcPr>
          <w:p>
            <w:pPr>
              <w:spacing w:after="0"/>
              <w:rPr>
                <w:sz w:val="18"/>
                <w:szCs w:val="18"/>
                <w:color w:val="auto"/>
              </w:rPr>
            </w:pPr>
          </w:p>
        </w:tc>
        <w:tc>
          <w:tcPr>
            <w:tcW w:w="1080" w:type="dxa"/>
            <w:vAlign w:val="bottom"/>
            <w:vMerge w:val="continue"/>
            <w:shd w:val="clear" w:color="auto" w:fill="CEFEE7"/>
          </w:tcPr>
          <w:p>
            <w:pPr>
              <w:spacing w:after="0"/>
              <w:rPr>
                <w:sz w:val="18"/>
                <w:szCs w:val="18"/>
                <w:color w:val="auto"/>
              </w:rPr>
            </w:pPr>
          </w:p>
        </w:tc>
        <w:tc>
          <w:tcPr>
            <w:tcW w:w="820" w:type="dxa"/>
            <w:vAlign w:val="bottom"/>
            <w:vMerge w:val="continue"/>
            <w:shd w:val="clear" w:color="auto" w:fill="CEFEE7"/>
          </w:tcPr>
          <w:p>
            <w:pPr>
              <w:spacing w:after="0"/>
              <w:rPr>
                <w:sz w:val="18"/>
                <w:szCs w:val="18"/>
                <w:color w:val="auto"/>
              </w:rPr>
            </w:pPr>
          </w:p>
        </w:tc>
        <w:tc>
          <w:tcPr>
            <w:tcW w:w="2820" w:type="dxa"/>
            <w:vAlign w:val="bottom"/>
            <w:shd w:val="clear" w:color="auto" w:fill="CEFEE7"/>
          </w:tcPr>
          <w:p>
            <w:pPr>
              <w:ind w:left="80"/>
              <w:spacing w:after="0"/>
              <w:rPr>
                <w:sz w:val="20"/>
                <w:szCs w:val="20"/>
                <w:color w:val="auto"/>
              </w:rPr>
            </w:pPr>
            <w:r>
              <w:rPr>
                <w:rFonts w:ascii="Arial" w:cs="Arial" w:eastAsia="Arial" w:hAnsi="Arial"/>
                <w:sz w:val="16"/>
                <w:szCs w:val="16"/>
                <w:color w:val="auto"/>
              </w:rPr>
              <w:t>RESA</w:t>
            </w:r>
          </w:p>
        </w:tc>
        <w:tc>
          <w:tcPr>
            <w:tcW w:w="1320" w:type="dxa"/>
            <w:vAlign w:val="bottom"/>
            <w:vMerge w:val="continue"/>
            <w:shd w:val="clear" w:color="auto" w:fill="CEFEE7"/>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9"/>
              </w:rPr>
              <w:t>CO</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9.37%</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6.02%</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67%/33%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$57.9</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1/2017</w:t>
            </w:r>
          </w:p>
        </w:tc>
        <w:tc>
          <w:tcPr>
            <w:tcW w:w="2820" w:type="dxa"/>
            <w:vAlign w:val="bottom"/>
          </w:tcPr>
          <w:p>
            <w:pPr>
              <w:ind w:left="80"/>
              <w:spacing w:after="0" w:line="178" w:lineRule="exact"/>
              <w:rPr>
                <w:sz w:val="20"/>
                <w:szCs w:val="20"/>
                <w:color w:val="auto"/>
              </w:rPr>
            </w:pPr>
            <w:r>
              <w:rPr>
                <w:rFonts w:ascii="Arial" w:cs="Arial" w:eastAsia="Arial" w:hAnsi="Arial"/>
                <w:sz w:val="16"/>
                <w:szCs w:val="16"/>
                <w:color w:val="auto"/>
              </w:rPr>
              <w:t>Clean Air Clean Jobs Act Adjustment</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820" w:type="dxa"/>
            <w:vAlign w:val="bottom"/>
            <w:vMerge w:val="restart"/>
          </w:tcPr>
          <w:p>
            <w:pPr>
              <w:ind w:left="80"/>
              <w:spacing w:after="0"/>
              <w:rPr>
                <w:sz w:val="20"/>
                <w:szCs w:val="20"/>
                <w:color w:val="auto"/>
              </w:rPr>
            </w:pPr>
            <w:r>
              <w:rPr>
                <w:rFonts w:ascii="Arial" w:cs="Arial" w:eastAsia="Arial" w:hAnsi="Arial"/>
                <w:sz w:val="16"/>
                <w:szCs w:val="16"/>
                <w:color w:val="auto"/>
              </w:rPr>
              <w:t>Rider</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80" w:type="dxa"/>
            <w:vAlign w:val="bottom"/>
            <w:shd w:val="clear" w:color="auto" w:fill="CEFEE7"/>
          </w:tcPr>
          <w:p>
            <w:pPr>
              <w:ind w:left="20"/>
              <w:spacing w:after="0" w:line="181" w:lineRule="exact"/>
              <w:rPr>
                <w:sz w:val="20"/>
                <w:szCs w:val="20"/>
                <w:color w:val="auto"/>
              </w:rPr>
            </w:pPr>
            <w:r>
              <w:rPr>
                <w:rFonts w:ascii="Arial" w:cs="Arial" w:eastAsia="Arial" w:hAnsi="Arial"/>
                <w:sz w:val="16"/>
                <w:szCs w:val="16"/>
                <w:color w:val="auto"/>
              </w:rPr>
              <w:t>South</w:t>
            </w:r>
          </w:p>
        </w:tc>
        <w:tc>
          <w:tcPr>
            <w:tcW w:w="360" w:type="dxa"/>
            <w:vAlign w:val="bottom"/>
            <w:shd w:val="clear" w:color="auto" w:fill="CEFEE7"/>
          </w:tcPr>
          <w:p>
            <w:pPr>
              <w:spacing w:after="0"/>
              <w:rPr>
                <w:sz w:val="15"/>
                <w:szCs w:val="15"/>
                <w:color w:val="auto"/>
              </w:rPr>
            </w:pPr>
          </w:p>
        </w:tc>
        <w:tc>
          <w:tcPr>
            <w:tcW w:w="900" w:type="dxa"/>
            <w:vAlign w:val="bottom"/>
            <w:shd w:val="clear" w:color="auto" w:fill="CEFEE7"/>
          </w:tcPr>
          <w:p>
            <w:pPr>
              <w:spacing w:after="0"/>
              <w:rPr>
                <w:sz w:val="15"/>
                <w:szCs w:val="15"/>
                <w:color w:val="auto"/>
              </w:rPr>
            </w:pPr>
          </w:p>
        </w:tc>
        <w:tc>
          <w:tcPr>
            <w:tcW w:w="1100" w:type="dxa"/>
            <w:vAlign w:val="bottom"/>
            <w:shd w:val="clear" w:color="auto" w:fill="CEFEE7"/>
          </w:tcPr>
          <w:p>
            <w:pPr>
              <w:spacing w:after="0"/>
              <w:rPr>
                <w:sz w:val="15"/>
                <w:szCs w:val="15"/>
                <w:color w:val="auto"/>
              </w:rPr>
            </w:pPr>
          </w:p>
        </w:tc>
        <w:tc>
          <w:tcPr>
            <w:tcW w:w="1060" w:type="dxa"/>
            <w:vAlign w:val="bottom"/>
            <w:shd w:val="clear" w:color="auto" w:fill="CEFEE7"/>
          </w:tcPr>
          <w:p>
            <w:pPr>
              <w:spacing w:after="0"/>
              <w:rPr>
                <w:sz w:val="15"/>
                <w:szCs w:val="15"/>
                <w:color w:val="auto"/>
              </w:rPr>
            </w:pPr>
          </w:p>
        </w:tc>
        <w:tc>
          <w:tcPr>
            <w:tcW w:w="1200" w:type="dxa"/>
            <w:vAlign w:val="bottom"/>
            <w:shd w:val="clear" w:color="auto" w:fill="CEFEE7"/>
          </w:tcPr>
          <w:p>
            <w:pPr>
              <w:spacing w:after="0"/>
              <w:rPr>
                <w:sz w:val="15"/>
                <w:szCs w:val="15"/>
                <w:color w:val="auto"/>
              </w:rPr>
            </w:pPr>
          </w:p>
        </w:tc>
        <w:tc>
          <w:tcPr>
            <w:tcW w:w="1080" w:type="dxa"/>
            <w:vAlign w:val="bottom"/>
            <w:shd w:val="clear" w:color="auto" w:fill="CEFEE7"/>
          </w:tcPr>
          <w:p>
            <w:pPr>
              <w:spacing w:after="0"/>
              <w:rPr>
                <w:sz w:val="15"/>
                <w:szCs w:val="15"/>
                <w:color w:val="auto"/>
              </w:rPr>
            </w:pPr>
          </w:p>
        </w:tc>
        <w:tc>
          <w:tcPr>
            <w:tcW w:w="820" w:type="dxa"/>
            <w:vAlign w:val="bottom"/>
            <w:shd w:val="clear" w:color="auto" w:fill="CEFEE7"/>
          </w:tcPr>
          <w:p>
            <w:pPr>
              <w:spacing w:after="0"/>
              <w:rPr>
                <w:sz w:val="15"/>
                <w:szCs w:val="15"/>
                <w:color w:val="auto"/>
              </w:rPr>
            </w:pPr>
          </w:p>
        </w:tc>
        <w:tc>
          <w:tcPr>
            <w:tcW w:w="2820" w:type="dxa"/>
            <w:vAlign w:val="bottom"/>
            <w:shd w:val="clear" w:color="auto" w:fill="CEFEE7"/>
          </w:tcPr>
          <w:p>
            <w:pPr>
              <w:spacing w:after="0"/>
              <w:rPr>
                <w:sz w:val="15"/>
                <w:szCs w:val="15"/>
                <w:color w:val="auto"/>
              </w:rPr>
            </w:pPr>
          </w:p>
        </w:tc>
        <w:tc>
          <w:tcPr>
            <w:tcW w:w="1320" w:type="dxa"/>
            <w:vAlign w:val="bottom"/>
            <w:shd w:val="clear" w:color="auto" w:fill="CEFEE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0" w:type="dxa"/>
            <w:vAlign w:val="bottom"/>
            <w:shd w:val="clear" w:color="auto" w:fill="CEFEE7"/>
          </w:tcPr>
          <w:p>
            <w:pPr>
              <w:ind w:left="20"/>
              <w:spacing w:after="0" w:line="162" w:lineRule="exact"/>
              <w:rPr>
                <w:sz w:val="20"/>
                <w:szCs w:val="20"/>
                <w:color w:val="auto"/>
              </w:rPr>
            </w:pPr>
            <w:r>
              <w:rPr>
                <w:rFonts w:ascii="Arial" w:cs="Arial" w:eastAsia="Arial" w:hAnsi="Arial"/>
                <w:sz w:val="16"/>
                <w:szCs w:val="16"/>
                <w:color w:val="auto"/>
              </w:rPr>
              <w:t>Dakota</w:t>
            </w:r>
          </w:p>
        </w:tc>
        <w:tc>
          <w:tcPr>
            <w:tcW w:w="360" w:type="dxa"/>
            <w:vAlign w:val="bottom"/>
            <w:shd w:val="clear" w:color="auto" w:fill="CEFEE7"/>
          </w:tcPr>
          <w:p>
            <w:pPr>
              <w:spacing w:after="0"/>
              <w:rPr>
                <w:sz w:val="14"/>
                <w:szCs w:val="14"/>
                <w:color w:val="auto"/>
              </w:rPr>
            </w:pPr>
          </w:p>
        </w:tc>
        <w:tc>
          <w:tcPr>
            <w:tcW w:w="90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WY</w:t>
            </w:r>
          </w:p>
        </w:tc>
        <w:tc>
          <w:tcPr>
            <w:tcW w:w="110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9.90%</w:t>
            </w:r>
          </w:p>
        </w:tc>
        <w:tc>
          <w:tcPr>
            <w:tcW w:w="106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8.13%</w:t>
            </w:r>
          </w:p>
        </w:tc>
        <w:tc>
          <w:tcPr>
            <w:tcW w:w="120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47%/53%</w:t>
            </w:r>
          </w:p>
        </w:tc>
        <w:tc>
          <w:tcPr>
            <w:tcW w:w="108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w w:val="99"/>
              </w:rPr>
              <w:t>$46.8</w:t>
            </w:r>
          </w:p>
        </w:tc>
        <w:tc>
          <w:tcPr>
            <w:tcW w:w="82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10/2014</w:t>
            </w:r>
          </w:p>
        </w:tc>
        <w:tc>
          <w:tcPr>
            <w:tcW w:w="2820" w:type="dxa"/>
            <w:vAlign w:val="bottom"/>
            <w:shd w:val="clear" w:color="auto" w:fill="CEFEE7"/>
          </w:tcPr>
          <w:p>
            <w:pPr>
              <w:ind w:left="80"/>
              <w:spacing w:after="0" w:line="162" w:lineRule="exact"/>
              <w:rPr>
                <w:sz w:val="20"/>
                <w:szCs w:val="20"/>
                <w:color w:val="auto"/>
              </w:rPr>
            </w:pPr>
            <w:r>
              <w:rPr>
                <w:rFonts w:ascii="Arial" w:cs="Arial" w:eastAsia="Arial" w:hAnsi="Arial"/>
                <w:sz w:val="16"/>
                <w:szCs w:val="16"/>
                <w:color w:val="auto"/>
              </w:rPr>
              <w:t>ECA</w:t>
            </w:r>
          </w:p>
        </w:tc>
        <w:tc>
          <w:tcPr>
            <w:tcW w:w="1320" w:type="dxa"/>
            <w:vAlign w:val="bottom"/>
            <w:shd w:val="clear" w:color="auto" w:fill="CEFEE7"/>
          </w:tcPr>
          <w:p>
            <w:pPr>
              <w:jc w:val="center"/>
              <w:spacing w:after="0" w:line="162"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1"/>
        </w:trPr>
        <w:tc>
          <w:tcPr>
            <w:tcW w:w="580" w:type="dxa"/>
            <w:vAlign w:val="bottom"/>
            <w:shd w:val="clear" w:color="auto" w:fill="CEFEE7"/>
          </w:tcPr>
          <w:p>
            <w:pPr>
              <w:ind w:left="20"/>
              <w:spacing w:after="0"/>
              <w:rPr>
                <w:sz w:val="20"/>
                <w:szCs w:val="20"/>
                <w:color w:val="auto"/>
              </w:rPr>
            </w:pPr>
            <w:r>
              <w:rPr>
                <w:rFonts w:ascii="Arial" w:cs="Arial" w:eastAsia="Arial" w:hAnsi="Arial"/>
                <w:sz w:val="16"/>
                <w:szCs w:val="16"/>
                <w:color w:val="auto"/>
              </w:rPr>
              <w:t>Electric</w:t>
            </w:r>
          </w:p>
        </w:tc>
        <w:tc>
          <w:tcPr>
            <w:tcW w:w="360" w:type="dxa"/>
            <w:vAlign w:val="bottom"/>
            <w:shd w:val="clear" w:color="auto" w:fill="CEFEE7"/>
          </w:tcPr>
          <w:p>
            <w:pPr>
              <w:spacing w:after="0"/>
              <w:rPr>
                <w:sz w:val="17"/>
                <w:szCs w:val="17"/>
                <w:color w:val="auto"/>
              </w:rPr>
            </w:pPr>
          </w:p>
        </w:tc>
        <w:tc>
          <w:tcPr>
            <w:tcW w:w="900" w:type="dxa"/>
            <w:vAlign w:val="bottom"/>
            <w:shd w:val="clear" w:color="auto" w:fill="CEFEE7"/>
          </w:tcPr>
          <w:p>
            <w:pPr>
              <w:spacing w:after="0"/>
              <w:rPr>
                <w:sz w:val="17"/>
                <w:szCs w:val="17"/>
                <w:color w:val="auto"/>
              </w:rPr>
            </w:pPr>
          </w:p>
        </w:tc>
        <w:tc>
          <w:tcPr>
            <w:tcW w:w="1100" w:type="dxa"/>
            <w:vAlign w:val="bottom"/>
            <w:shd w:val="clear" w:color="auto" w:fill="CEFEE7"/>
          </w:tcPr>
          <w:p>
            <w:pPr>
              <w:spacing w:after="0"/>
              <w:rPr>
                <w:sz w:val="17"/>
                <w:szCs w:val="17"/>
                <w:color w:val="auto"/>
              </w:rPr>
            </w:pPr>
          </w:p>
        </w:tc>
        <w:tc>
          <w:tcPr>
            <w:tcW w:w="1060" w:type="dxa"/>
            <w:vAlign w:val="bottom"/>
            <w:shd w:val="clear" w:color="auto" w:fill="CEFEE7"/>
          </w:tcPr>
          <w:p>
            <w:pPr>
              <w:spacing w:after="0"/>
              <w:rPr>
                <w:sz w:val="17"/>
                <w:szCs w:val="17"/>
                <w:color w:val="auto"/>
              </w:rPr>
            </w:pPr>
          </w:p>
        </w:tc>
        <w:tc>
          <w:tcPr>
            <w:tcW w:w="1200" w:type="dxa"/>
            <w:vAlign w:val="bottom"/>
            <w:shd w:val="clear" w:color="auto" w:fill="CEFEE7"/>
          </w:tcPr>
          <w:p>
            <w:pPr>
              <w:spacing w:after="0"/>
              <w:rPr>
                <w:sz w:val="17"/>
                <w:szCs w:val="17"/>
                <w:color w:val="auto"/>
              </w:rPr>
            </w:pPr>
          </w:p>
        </w:tc>
        <w:tc>
          <w:tcPr>
            <w:tcW w:w="1080" w:type="dxa"/>
            <w:vAlign w:val="bottom"/>
            <w:shd w:val="clear" w:color="auto" w:fill="CEFEE7"/>
          </w:tcPr>
          <w:p>
            <w:pPr>
              <w:spacing w:after="0"/>
              <w:rPr>
                <w:sz w:val="17"/>
                <w:szCs w:val="17"/>
                <w:color w:val="auto"/>
              </w:rPr>
            </w:pPr>
          </w:p>
        </w:tc>
        <w:tc>
          <w:tcPr>
            <w:tcW w:w="820" w:type="dxa"/>
            <w:vAlign w:val="bottom"/>
            <w:shd w:val="clear" w:color="auto" w:fill="CEFEE7"/>
          </w:tcPr>
          <w:p>
            <w:pPr>
              <w:spacing w:after="0"/>
              <w:rPr>
                <w:sz w:val="17"/>
                <w:szCs w:val="17"/>
                <w:color w:val="auto"/>
              </w:rPr>
            </w:pPr>
          </w:p>
        </w:tc>
        <w:tc>
          <w:tcPr>
            <w:tcW w:w="2820" w:type="dxa"/>
            <w:vAlign w:val="bottom"/>
            <w:shd w:val="clear" w:color="auto" w:fill="CEFEE7"/>
          </w:tcPr>
          <w:p>
            <w:pPr>
              <w:spacing w:after="0"/>
              <w:rPr>
                <w:sz w:val="17"/>
                <w:szCs w:val="17"/>
                <w:color w:val="auto"/>
              </w:rPr>
            </w:pPr>
          </w:p>
        </w:tc>
        <w:tc>
          <w:tcPr>
            <w:tcW w:w="1320" w:type="dxa"/>
            <w:vAlign w:val="bottom"/>
            <w:shd w:val="clear" w:color="auto" w:fill="CEFEE7"/>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8"/>
              </w:rPr>
              <w:t>SD</w:t>
            </w:r>
          </w:p>
        </w:tc>
        <w:tc>
          <w:tcPr>
            <w:tcW w:w="1100" w:type="dxa"/>
            <w:vAlign w:val="bottom"/>
          </w:tcPr>
          <w:p>
            <w:pPr>
              <w:jc w:val="center"/>
              <w:spacing w:after="0" w:line="178" w:lineRule="exact"/>
              <w:rPr>
                <w:sz w:val="20"/>
                <w:szCs w:val="20"/>
                <w:color w:val="auto"/>
              </w:rPr>
            </w:pPr>
            <w:r>
              <w:rPr>
                <w:rFonts w:ascii="Arial" w:cs="Arial" w:eastAsia="Arial" w:hAnsi="Arial"/>
                <w:sz w:val="16"/>
                <w:szCs w:val="16"/>
                <w:color w:val="auto"/>
                <w:w w:val="99"/>
              </w:rPr>
              <w:t>Global</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7.76%</w:t>
            </w:r>
          </w:p>
        </w:tc>
        <w:tc>
          <w:tcPr>
            <w:tcW w:w="1200" w:type="dxa"/>
            <w:vAlign w:val="bottom"/>
          </w:tcPr>
          <w:p>
            <w:pPr>
              <w:jc w:val="center"/>
              <w:spacing w:after="0" w:line="178" w:lineRule="exact"/>
              <w:rPr>
                <w:sz w:val="20"/>
                <w:szCs w:val="20"/>
                <w:color w:val="auto"/>
              </w:rPr>
            </w:pPr>
            <w:r>
              <w:rPr>
                <w:rFonts w:ascii="Arial" w:cs="Arial" w:eastAsia="Arial" w:hAnsi="Arial"/>
                <w:sz w:val="16"/>
                <w:szCs w:val="16"/>
                <w:color w:val="auto"/>
                <w:w w:val="99"/>
              </w:rPr>
              <w:t>Global</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$543.9</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10/2014</w:t>
            </w:r>
          </w:p>
        </w:tc>
        <w:tc>
          <w:tcPr>
            <w:tcW w:w="2820" w:type="dxa"/>
            <w:vAlign w:val="bottom"/>
            <w:vMerge w:val="restart"/>
          </w:tcPr>
          <w:p>
            <w:pPr>
              <w:ind w:left="80"/>
              <w:spacing w:after="0"/>
              <w:rPr>
                <w:sz w:val="20"/>
                <w:szCs w:val="20"/>
                <w:color w:val="auto"/>
              </w:rPr>
            </w:pPr>
            <w:r>
              <w:rPr>
                <w:rFonts w:ascii="Arial" w:cs="Arial" w:eastAsia="Arial" w:hAnsi="Arial"/>
                <w:sz w:val="16"/>
                <w:szCs w:val="16"/>
                <w:color w:val="auto"/>
              </w:rPr>
              <w:t>ECA, TFA, EIA</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Settlement</w:t>
            </w:r>
          </w:p>
        </w:tc>
        <w:tc>
          <w:tcPr>
            <w:tcW w:w="10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Settlement</w:t>
            </w: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80" w:type="dxa"/>
            <w:vAlign w:val="bottom"/>
            <w:shd w:val="clear" w:color="auto" w:fill="CEFEE7"/>
          </w:tcPr>
          <w:p>
            <w:pPr>
              <w:spacing w:after="0"/>
              <w:rPr>
                <w:sz w:val="19"/>
                <w:szCs w:val="19"/>
                <w:color w:val="auto"/>
              </w:rPr>
            </w:pPr>
          </w:p>
        </w:tc>
        <w:tc>
          <w:tcPr>
            <w:tcW w:w="360" w:type="dxa"/>
            <w:vAlign w:val="bottom"/>
            <w:shd w:val="clear" w:color="auto" w:fill="CEFEE7"/>
          </w:tcPr>
          <w:p>
            <w:pPr>
              <w:spacing w:after="0"/>
              <w:rPr>
                <w:sz w:val="19"/>
                <w:szCs w:val="19"/>
                <w:color w:val="auto"/>
              </w:rPr>
            </w:pPr>
          </w:p>
        </w:tc>
        <w:tc>
          <w:tcPr>
            <w:tcW w:w="9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FERC</w:t>
            </w:r>
          </w:p>
        </w:tc>
        <w:tc>
          <w:tcPr>
            <w:tcW w:w="11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10.80%</w:t>
            </w:r>
          </w:p>
        </w:tc>
        <w:tc>
          <w:tcPr>
            <w:tcW w:w="106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8.76%</w:t>
            </w:r>
          </w:p>
        </w:tc>
        <w:tc>
          <w:tcPr>
            <w:tcW w:w="12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43%/57%</w:t>
            </w:r>
          </w:p>
        </w:tc>
        <w:tc>
          <w:tcPr>
            <w:tcW w:w="1080" w:type="dxa"/>
            <w:vAlign w:val="bottom"/>
            <w:shd w:val="clear" w:color="auto" w:fill="CEFEE7"/>
          </w:tcPr>
          <w:p>
            <w:pPr>
              <w:jc w:val="center"/>
              <w:spacing w:after="0" w:line="219" w:lineRule="exact"/>
              <w:rPr>
                <w:sz w:val="20"/>
                <w:szCs w:val="20"/>
                <w:color w:val="auto"/>
              </w:rPr>
            </w:pPr>
            <w:r>
              <w:rPr>
                <w:rFonts w:ascii="Arial" w:cs="Arial" w:eastAsia="Arial" w:hAnsi="Arial"/>
                <w:sz w:val="16"/>
                <w:szCs w:val="16"/>
                <w:color w:val="auto"/>
                <w:w w:val="93"/>
              </w:rPr>
              <w:t xml:space="preserve">$154.0 </w:t>
            </w:r>
            <w:r>
              <w:rPr>
                <w:rFonts w:ascii="Arial" w:cs="Arial" w:eastAsia="Arial" w:hAnsi="Arial"/>
                <w:sz w:val="21"/>
                <w:szCs w:val="21"/>
                <w:color w:val="auto"/>
                <w:w w:val="93"/>
                <w:vertAlign w:val="superscript"/>
              </w:rPr>
              <w:t>(b)</w:t>
            </w:r>
          </w:p>
        </w:tc>
        <w:tc>
          <w:tcPr>
            <w:tcW w:w="82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2/2009</w:t>
            </w:r>
          </w:p>
        </w:tc>
        <w:tc>
          <w:tcPr>
            <w:tcW w:w="2820" w:type="dxa"/>
            <w:vAlign w:val="bottom"/>
            <w:shd w:val="clear" w:color="auto" w:fill="CEFEE7"/>
          </w:tcPr>
          <w:p>
            <w:pPr>
              <w:ind w:left="80"/>
              <w:spacing w:after="0"/>
              <w:rPr>
                <w:sz w:val="20"/>
                <w:szCs w:val="20"/>
                <w:color w:val="auto"/>
              </w:rPr>
            </w:pPr>
            <w:r>
              <w:rPr>
                <w:rFonts w:ascii="Arial" w:cs="Arial" w:eastAsia="Arial" w:hAnsi="Arial"/>
                <w:sz w:val="16"/>
                <w:szCs w:val="16"/>
                <w:color w:val="auto"/>
              </w:rPr>
              <w:t>FERC Transmission Tariff</w:t>
            </w:r>
          </w:p>
        </w:tc>
        <w:tc>
          <w:tcPr>
            <w:tcW w:w="132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62"/>
        </w:trPr>
        <w:tc>
          <w:tcPr>
            <w:tcW w:w="9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Wyoming</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rPr>
              <w:t>WY</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9.90%</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7.98%</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46%/54%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$376.8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10/2014</w:t>
            </w:r>
          </w:p>
        </w:tc>
        <w:tc>
          <w:tcPr>
            <w:tcW w:w="2820" w:type="dxa"/>
            <w:vAlign w:val="bottom"/>
          </w:tcPr>
          <w:p>
            <w:pPr>
              <w:ind w:left="80"/>
              <w:spacing w:after="0" w:line="162" w:lineRule="exact"/>
              <w:rPr>
                <w:sz w:val="20"/>
                <w:szCs w:val="20"/>
                <w:color w:val="auto"/>
              </w:rPr>
            </w:pPr>
            <w:r>
              <w:rPr>
                <w:rFonts w:ascii="Arial" w:cs="Arial" w:eastAsia="Arial" w:hAnsi="Arial"/>
                <w:sz w:val="16"/>
                <w:szCs w:val="16"/>
                <w:color w:val="auto"/>
              </w:rPr>
              <w:t>PCA, EECR/DSM, Rate Base</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10"/>
        </w:trPr>
        <w:tc>
          <w:tcPr>
            <w:tcW w:w="580" w:type="dxa"/>
            <w:vAlign w:val="bottom"/>
          </w:tcPr>
          <w:p>
            <w:pPr>
              <w:ind w:left="20"/>
              <w:spacing w:after="0"/>
              <w:rPr>
                <w:sz w:val="20"/>
                <w:szCs w:val="20"/>
                <w:color w:val="auto"/>
              </w:rPr>
            </w:pPr>
            <w:r>
              <w:rPr>
                <w:rFonts w:ascii="Arial" w:cs="Arial" w:eastAsia="Arial" w:hAnsi="Arial"/>
                <w:sz w:val="16"/>
                <w:szCs w:val="16"/>
                <w:color w:val="auto"/>
              </w:rPr>
              <w:t>Electric</w:t>
            </w:r>
          </w:p>
        </w:tc>
        <w:tc>
          <w:tcPr>
            <w:tcW w:w="360" w:type="dxa"/>
            <w:vAlign w:val="bottom"/>
          </w:tcPr>
          <w:p>
            <w:pPr>
              <w:spacing w:after="0" w:line="125" w:lineRule="exact"/>
              <w:rPr>
                <w:sz w:val="20"/>
                <w:szCs w:val="20"/>
                <w:color w:val="auto"/>
              </w:rPr>
            </w:pPr>
            <w:r>
              <w:rPr>
                <w:rFonts w:ascii="Arial" w:cs="Arial" w:eastAsia="Arial" w:hAnsi="Arial"/>
                <w:sz w:val="11"/>
                <w:szCs w:val="11"/>
                <w:color w:val="auto"/>
              </w:rPr>
              <w:t>(a)</w:t>
            </w:r>
          </w:p>
        </w:tc>
        <w:tc>
          <w:tcPr>
            <w:tcW w:w="9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20" w:type="dxa"/>
            <w:vAlign w:val="bottom"/>
          </w:tcPr>
          <w:p>
            <w:pPr>
              <w:ind w:left="80"/>
              <w:spacing w:after="0"/>
              <w:rPr>
                <w:sz w:val="20"/>
                <w:szCs w:val="20"/>
                <w:color w:val="auto"/>
              </w:rPr>
            </w:pPr>
            <w:r>
              <w:rPr>
                <w:rFonts w:ascii="Arial" w:cs="Arial" w:eastAsia="Arial" w:hAnsi="Arial"/>
                <w:sz w:val="16"/>
                <w:szCs w:val="16"/>
                <w:color w:val="auto"/>
              </w:rPr>
              <w:t>Recovery on Acquisition Adjustment</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both Colorado Electric and Wyoming Electric, transmission investments are recovered through retail rates rather than FERC Transmission Tariffs.</w:t>
      </w:r>
    </w:p>
    <w:p>
      <w:pPr>
        <w:spacing w:after="0" w:line="1" w:lineRule="exact"/>
        <w:rPr>
          <w:rFonts w:ascii="Arial" w:cs="Arial" w:eastAsia="Arial" w:hAnsi="Arial"/>
          <w:sz w:val="14"/>
          <w:szCs w:val="14"/>
          <w:color w:val="auto"/>
        </w:rPr>
      </w:pPr>
    </w:p>
    <w:p>
      <w:pPr>
        <w:ind w:left="340" w:right="660" w:hanging="332"/>
        <w:spacing w:after="0" w:line="258" w:lineRule="auto"/>
        <w:tabs>
          <w:tab w:leader="none" w:pos="35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$136.9 million in 2020 rate base for the 2020 Projected Common Use System formula rate that is updated annually and $17.1 million in rate base for the Transmission Tie that is based on the approved stated rate from 2005.</w:t>
      </w: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regulatory provisions for recovering the costs to supply electricity vary by state. We have cost adjustment mechanisms for our Electric Utilities, subject to thresholds noted above, that allow us to pass the prudently-incurred cost of fuel and purchased power to customers. These mechanisms allow the utility operating in that state to collect, or refund the difference between the cost of commodities and certain services embedded in our base rates and the actual cost of the commodities and certain services without filing a general rate review. In addition, some states allow for recovery of new capital investment placed in service between base rate reviews through approved rider tariffs. These tariffs allow the utility a return on the investment.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 summary of mechanisms we have in place are shown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color w:val="auto"/>
              </w:rPr>
              <w:t>Cost Recovery Mechanisms</w:t>
            </w:r>
          </w:p>
        </w:tc>
        <w:tc>
          <w:tcPr>
            <w:tcW w:w="1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120" w:type="dxa"/>
            <w:vAlign w:val="bottom"/>
          </w:tcPr>
          <w:p>
            <w:pPr>
              <w:ind w:left="20"/>
              <w:spacing w:after="0"/>
              <w:rPr>
                <w:sz w:val="20"/>
                <w:szCs w:val="20"/>
                <w:color w:val="auto"/>
              </w:rPr>
            </w:pPr>
            <w:r>
              <w:rPr>
                <w:rFonts w:ascii="Arial" w:cs="Arial" w:eastAsia="Arial" w:hAnsi="Arial"/>
                <w:sz w:val="16"/>
                <w:szCs w:val="16"/>
                <w:color w:val="auto"/>
              </w:rPr>
              <w:t>Electric Utility Jurisdiction</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9"/>
              </w:rPr>
              <w:t>Environmental</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Energy</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Transmission</w:t>
            </w:r>
          </w:p>
        </w:tc>
        <w:tc>
          <w:tcPr>
            <w:tcW w:w="100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Transmission</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Purchased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Cost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Efficiency</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Expense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Fuel Cost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Capital</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Power</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RESA</w:t>
            </w:r>
          </w:p>
        </w:tc>
        <w:tc>
          <w:tcPr>
            <w:tcW w:w="0" w:type="dxa"/>
            <w:vAlign w:val="bottom"/>
          </w:tcPr>
          <w:p>
            <w:pPr>
              <w:spacing w:after="0"/>
              <w:rPr>
                <w:sz w:val="1"/>
                <w:szCs w:val="1"/>
                <w:color w:val="auto"/>
              </w:rPr>
            </w:pPr>
          </w:p>
        </w:tc>
      </w:tr>
      <w:tr>
        <w:trPr>
          <w:trHeight w:val="226"/>
        </w:trPr>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1420" w:type="dxa"/>
            <w:vAlign w:val="bottom"/>
            <w:shd w:val="clear" w:color="auto" w:fill="CEFFE7"/>
          </w:tcPr>
          <w:p>
            <w:pPr>
              <w:spacing w:after="0"/>
              <w:rPr>
                <w:sz w:val="19"/>
                <w:szCs w:val="19"/>
                <w:color w:val="auto"/>
              </w:rPr>
            </w:pPr>
          </w:p>
        </w:tc>
        <w:tc>
          <w:tcPr>
            <w:tcW w:w="11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South Dakota Electric (SD) </w:t>
            </w:r>
            <w:r>
              <w:rPr>
                <w:rFonts w:ascii="Arial" w:cs="Arial" w:eastAsia="Arial" w:hAnsi="Arial"/>
                <w:sz w:val="21"/>
                <w:szCs w:val="21"/>
                <w:color w:val="auto"/>
                <w:vertAlign w:val="superscript"/>
              </w:rPr>
              <w:t>(a)</w:t>
            </w:r>
          </w:p>
        </w:tc>
        <w:tc>
          <w:tcPr>
            <w:tcW w:w="1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spacing w:after="0"/>
              <w:rPr>
                <w:sz w:val="19"/>
                <w:szCs w:val="19"/>
                <w:color w:val="auto"/>
              </w:rPr>
            </w:pP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South Dakota Electric (WY)</w:t>
            </w:r>
          </w:p>
        </w:tc>
        <w:tc>
          <w:tcPr>
            <w:tcW w:w="1420" w:type="dxa"/>
            <w:vAlign w:val="bottom"/>
            <w:shd w:val="clear" w:color="auto" w:fill="CEFFE7"/>
          </w:tcPr>
          <w:p>
            <w:pPr>
              <w:spacing w:after="0"/>
              <w:rPr>
                <w:sz w:val="19"/>
                <w:szCs w:val="19"/>
                <w:color w:val="auto"/>
              </w:rPr>
            </w:pPr>
          </w:p>
        </w:tc>
        <w:tc>
          <w:tcPr>
            <w:tcW w:w="11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spacing w:after="0"/>
              <w:rPr>
                <w:sz w:val="19"/>
                <w:szCs w:val="19"/>
                <w:color w:val="auto"/>
              </w:rPr>
            </w:pPr>
          </w:p>
        </w:tc>
        <w:tc>
          <w:tcPr>
            <w:tcW w:w="114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South Dakota Electric (FERC) </w:t>
            </w:r>
            <w:r>
              <w:rPr>
                <w:rFonts w:ascii="Arial" w:cs="Arial" w:eastAsia="Arial" w:hAnsi="Arial"/>
                <w:sz w:val="21"/>
                <w:szCs w:val="21"/>
                <w:color w:val="auto"/>
                <w:vertAlign w:val="superscript"/>
              </w:rPr>
              <w:t>(b)</w:t>
            </w:r>
          </w:p>
        </w:tc>
        <w:tc>
          <w:tcPr>
            <w:tcW w:w="1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1420" w:type="dxa"/>
            <w:vAlign w:val="bottom"/>
            <w:shd w:val="clear" w:color="auto" w:fill="CEFFE7"/>
          </w:tcPr>
          <w:p>
            <w:pPr>
              <w:spacing w:after="0"/>
              <w:rPr>
                <w:sz w:val="19"/>
                <w:szCs w:val="19"/>
                <w:color w:val="auto"/>
              </w:rPr>
            </w:pPr>
          </w:p>
        </w:tc>
        <w:tc>
          <w:tcPr>
            <w:tcW w:w="11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spacing w:after="0"/>
              <w:rPr>
                <w:sz w:val="19"/>
                <w:szCs w:val="19"/>
                <w:color w:val="auto"/>
              </w:rPr>
            </w:pPr>
          </w:p>
        </w:tc>
        <w:tc>
          <w:tcPr>
            <w:tcW w:w="114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right="260" w:hanging="332"/>
        <w:spacing w:after="0" w:line="241" w:lineRule="auto"/>
        <w:tabs>
          <w:tab w:leader="none" w:pos="352"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South Dakota Electric’s Environmental Cost (EIA) and Transmission Capital (TFA) tariffs were suspended for a six-year moratorium period effective July 1, 2017. On January 7, 2020, South Dakota Electric received approval from the SDPUC to extend the 6-year moratorium period by an additional 3 years whereby these recovery mechanisms will not be effective prior to July 1, 2026. For additional information, see </w:t>
      </w:r>
      <w:hyperlink w:anchor="page81">
        <w:r>
          <w:rPr>
            <w:rFonts w:ascii="Arial" w:cs="Arial" w:eastAsia="Arial" w:hAnsi="Arial"/>
            <w:sz w:val="14"/>
            <w:szCs w:val="14"/>
            <w:u w:val="single" w:color="auto"/>
            <w:color w:val="0000FF"/>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 On December 1, 2020, South Dakota Electric (SD) terminated its Energy Efficiency program.</w:t>
      </w:r>
    </w:p>
    <w:p>
      <w:pPr>
        <w:spacing w:after="0" w:line="1" w:lineRule="exact"/>
        <w:rPr>
          <w:rFonts w:ascii="Arial" w:cs="Arial" w:eastAsia="Arial" w:hAnsi="Arial"/>
          <w:sz w:val="14"/>
          <w:szCs w:val="14"/>
          <w:color w:val="auto"/>
        </w:rPr>
      </w:pPr>
    </w:p>
    <w:p>
      <w:pPr>
        <w:ind w:left="340" w:right="80" w:hanging="332"/>
        <w:spacing w:after="0" w:line="258" w:lineRule="auto"/>
        <w:tabs>
          <w:tab w:leader="none" w:pos="352" w:val="left"/>
        </w:tabs>
        <w:numPr>
          <w:ilvl w:val="0"/>
          <w:numId w:val="7"/>
        </w:numPr>
        <w:rPr>
          <w:rFonts w:ascii="Arial" w:cs="Arial" w:eastAsia="Arial" w:hAnsi="Arial"/>
          <w:sz w:val="14"/>
          <w:szCs w:val="14"/>
          <w:color w:val="auto"/>
        </w:rPr>
      </w:pPr>
      <w:r>
        <w:rPr>
          <w:rFonts w:ascii="Arial" w:cs="Arial" w:eastAsia="Arial" w:hAnsi="Arial"/>
          <w:sz w:val="14"/>
          <w:szCs w:val="14"/>
          <w:color w:val="auto"/>
        </w:rPr>
        <w:t>South Dakota Electric has an approved FERC Transmission Tariff based on a formulaic approach that determines the revenue component of South Dakota Electric’s open access transmission tariff.</w:t>
      </w:r>
    </w:p>
    <w:p>
      <w:pPr>
        <w:spacing w:after="0" w:line="198" w:lineRule="exact"/>
        <w:rPr>
          <w:sz w:val="20"/>
          <w:szCs w:val="20"/>
          <w:color w:val="auto"/>
        </w:rPr>
      </w:pPr>
    </w:p>
    <w:p>
      <w:pPr>
        <w:ind w:right="180"/>
        <w:spacing w:after="0" w:line="286"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Tariff Filings. </w:t>
      </w:r>
      <w:r>
        <w:rPr>
          <w:rFonts w:ascii="Arial" w:cs="Arial" w:eastAsia="Arial" w:hAnsi="Arial"/>
          <w:sz w:val="16"/>
          <w:szCs w:val="16"/>
          <w:color w:val="auto"/>
        </w:rPr>
        <w:t>See</w:t>
      </w:r>
      <w:r>
        <w:rPr>
          <w:rFonts w:ascii="Arial" w:cs="Arial" w:eastAsia="Arial" w:hAnsi="Arial"/>
          <w:sz w:val="16"/>
          <w:szCs w:val="16"/>
          <w:b w:val="1"/>
          <w:bCs w:val="1"/>
          <w:i w:val="1"/>
          <w:iCs w:val="1"/>
          <w:color w:val="auto"/>
        </w:rPr>
        <w:t xml:space="preserve"> </w:t>
      </w:r>
      <w:hyperlink w:anchor="page81">
        <w:r>
          <w:rPr>
            <w:rFonts w:ascii="Arial" w:cs="Arial" w:eastAsia="Arial" w:hAnsi="Arial"/>
            <w:sz w:val="16"/>
            <w:szCs w:val="16"/>
            <w:u w:val="single" w:color="auto"/>
            <w:color w:val="0000FF"/>
          </w:rPr>
          <w:t>Note 2</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to Consolidated Financial Statements in this Annual Report on Form 10-K for tariff filings and additional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regarding current electric regulatory activity.</w:t>
      </w:r>
    </w:p>
    <w:p>
      <w:pPr>
        <w:spacing w:after="0" w:line="183" w:lineRule="exact"/>
        <w:rPr>
          <w:sz w:val="20"/>
          <w:szCs w:val="20"/>
          <w:color w:val="auto"/>
        </w:rPr>
      </w:pPr>
    </w:p>
    <w:p>
      <w:pPr>
        <w:ind w:right="420"/>
        <w:spacing w:after="0" w:line="286" w:lineRule="auto"/>
        <w:rPr>
          <w:rFonts w:ascii="Arial" w:cs="Arial" w:eastAsia="Arial" w:hAnsi="Arial"/>
          <w:sz w:val="16"/>
          <w:szCs w:val="16"/>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a summary of key operating statistics in the</w:t>
      </w:r>
      <w:r>
        <w:rPr>
          <w:rFonts w:ascii="Arial" w:cs="Arial" w:eastAsia="Arial" w:hAnsi="Arial"/>
          <w:sz w:val="16"/>
          <w:szCs w:val="16"/>
          <w:b w:val="1"/>
          <w:bCs w:val="1"/>
          <w:i w:val="1"/>
          <w:iCs w:val="1"/>
          <w:color w:val="auto"/>
        </w:rPr>
        <w:t xml:space="preserve"> </w:t>
      </w:r>
      <w:hyperlink w:anchor="page42">
        <w:r>
          <w:rPr>
            <w:rFonts w:ascii="Arial" w:cs="Arial" w:eastAsia="Arial" w:hAnsi="Arial"/>
            <w:sz w:val="16"/>
            <w:szCs w:val="16"/>
            <w:u w:val="single" w:color="auto"/>
            <w:color w:val="0000FF"/>
          </w:rPr>
          <w:t>Electric Utilities</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results within Management’s Discussion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Analysis of Financial Condition and Results of Operations in </w:t>
      </w:r>
      <w:hyperlink w:anchor="page33">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 Utilities</w:t>
      </w:r>
    </w:p>
    <w:p>
      <w:pPr>
        <w:spacing w:after="0" w:line="26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conduct natural gas utility operations through our Arkansas, Colorado, Iowa, Kansas, Nebraska and Wyoming subsidiaries. Our Gas Utilities transport and distribute natural gas through our distribution network to approximately 1,083,000 customers. Additionally, we sell contractual pipeline capacity and gas commodities to other utilities and marketing companies, including our affiliates, on an as-available basis.</w:t>
      </w:r>
    </w:p>
    <w:p>
      <w:pPr>
        <w:spacing w:after="0" w:line="22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also provide non-regulated services to our regulated customers. Black Hills Energy Services provides natural gas supply to approximately 52,000 retail distribution customers under the Choice Gas Program in Nebraska and Wyoming. Additionally, we provide services under the Service Guard Comfort Plan, Tech Services and HomeServe.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40" w:type="dxa"/>
            <w:vAlign w:val="bottom"/>
          </w:tcPr>
          <w:p>
            <w:pPr>
              <w:jc w:val="center"/>
              <w:ind w:right="159"/>
              <w:spacing w:after="0"/>
              <w:rPr>
                <w:sz w:val="20"/>
                <w:szCs w:val="20"/>
                <w:color w:val="auto"/>
              </w:rPr>
            </w:pPr>
            <w:r>
              <w:rPr>
                <w:rFonts w:ascii="Arial" w:cs="Arial" w:eastAsia="Arial" w:hAnsi="Arial"/>
                <w:sz w:val="16"/>
                <w:szCs w:val="16"/>
                <w:color w:val="auto"/>
              </w:rPr>
              <w:t>As of December 31,</w:t>
            </w:r>
          </w:p>
        </w:tc>
        <w:tc>
          <w:tcPr>
            <w:tcW w:w="1160" w:type="dxa"/>
            <w:vAlign w:val="bottom"/>
          </w:tcPr>
          <w:p>
            <w:pPr>
              <w:spacing w:after="0"/>
              <w:rPr>
                <w:sz w:val="16"/>
                <w:szCs w:val="16"/>
                <w:color w:val="auto"/>
              </w:rPr>
            </w:pPr>
          </w:p>
        </w:tc>
      </w:tr>
      <w:tr>
        <w:trPr>
          <w:trHeight w:val="21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Customers at End of Year</w:t>
            </w: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17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2019</w:t>
            </w: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2018</w:t>
            </w:r>
          </w:p>
        </w:tc>
      </w:tr>
      <w:tr>
        <w:trPr>
          <w:trHeight w:val="213"/>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844,999</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831,351</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821,624</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400" w:type="dxa"/>
            <w:vAlign w:val="bottom"/>
          </w:tcPr>
          <w:p>
            <w:pPr>
              <w:jc w:val="right"/>
              <w:spacing w:after="0"/>
              <w:rPr>
                <w:sz w:val="20"/>
                <w:szCs w:val="20"/>
                <w:color w:val="auto"/>
              </w:rPr>
            </w:pPr>
            <w:r>
              <w:rPr>
                <w:rFonts w:ascii="Arial" w:cs="Arial" w:eastAsia="Arial" w:hAnsi="Arial"/>
                <w:sz w:val="16"/>
                <w:szCs w:val="16"/>
                <w:color w:val="auto"/>
              </w:rPr>
              <w:t>83,135</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82,912</w:t>
            </w:r>
          </w:p>
        </w:tc>
        <w:tc>
          <w:tcPr>
            <w:tcW w:w="1160" w:type="dxa"/>
            <w:vAlign w:val="bottom"/>
          </w:tcPr>
          <w:p>
            <w:pPr>
              <w:jc w:val="right"/>
              <w:spacing w:after="0"/>
              <w:rPr>
                <w:sz w:val="20"/>
                <w:szCs w:val="20"/>
                <w:color w:val="auto"/>
              </w:rPr>
            </w:pPr>
            <w:r>
              <w:rPr>
                <w:rFonts w:ascii="Arial" w:cs="Arial" w:eastAsia="Arial" w:hAnsi="Arial"/>
                <w:sz w:val="16"/>
                <w:szCs w:val="16"/>
                <w:color w:val="auto"/>
              </w:rPr>
              <w:t>82,498</w:t>
            </w:r>
          </w:p>
        </w:tc>
      </w:tr>
      <w:tr>
        <w:trPr>
          <w:trHeight w:val="219"/>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2,235</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2,208</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2,221</w:t>
            </w:r>
          </w:p>
        </w:tc>
      </w:tr>
      <w:tr>
        <w:trPr>
          <w:trHeight w:val="213"/>
        </w:trPr>
        <w:tc>
          <w:tcPr>
            <w:tcW w:w="69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Transportation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152,568</w:t>
            </w: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149,971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147,550</w:t>
            </w:r>
          </w:p>
        </w:tc>
      </w:tr>
      <w:tr>
        <w:trPr>
          <w:trHeight w:val="238"/>
        </w:trPr>
        <w:tc>
          <w:tcPr>
            <w:tcW w:w="69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Total Natural Gas Customers at End of Year</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1,082,937</w:t>
            </w:r>
          </w:p>
        </w:tc>
        <w:tc>
          <w:tcPr>
            <w:tcW w:w="17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1,066,442</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1,053,893</w:t>
            </w:r>
          </w:p>
        </w:tc>
      </w:tr>
      <w:tr>
        <w:trPr>
          <w:trHeight w:val="20"/>
        </w:trPr>
        <w:tc>
          <w:tcPr>
            <w:tcW w:w="6940" w:type="dxa"/>
            <w:vAlign w:val="bottom"/>
            <w:tcBorders>
              <w:top w:val="single" w:sz="8" w:color="CEFFE7"/>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17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r>
        <w:trPr>
          <w:trHeight w:val="629"/>
        </w:trPr>
        <w:tc>
          <w:tcPr>
            <w:tcW w:w="6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jc w:val="center"/>
              <w:ind w:right="159"/>
              <w:spacing w:after="0"/>
              <w:rPr>
                <w:sz w:val="20"/>
                <w:szCs w:val="20"/>
                <w:color w:val="auto"/>
              </w:rPr>
            </w:pPr>
            <w:r>
              <w:rPr>
                <w:rFonts w:ascii="Arial" w:cs="Arial" w:eastAsia="Arial" w:hAnsi="Arial"/>
                <w:sz w:val="16"/>
                <w:szCs w:val="16"/>
                <w:color w:val="auto"/>
              </w:rPr>
              <w:t>As of December 31,</w:t>
            </w:r>
          </w:p>
        </w:tc>
        <w:tc>
          <w:tcPr>
            <w:tcW w:w="1160" w:type="dxa"/>
            <w:vAlign w:val="bottom"/>
          </w:tcPr>
          <w:p>
            <w:pPr>
              <w:spacing w:after="0"/>
              <w:rPr>
                <w:sz w:val="24"/>
                <w:szCs w:val="24"/>
                <w:color w:val="auto"/>
              </w:rPr>
            </w:pPr>
          </w:p>
        </w:tc>
      </w:tr>
      <w:tr>
        <w:trPr>
          <w:trHeight w:val="21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Customers at End of Year</w:t>
            </w: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17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2019</w:t>
            </w: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2018</w:t>
            </w:r>
          </w:p>
        </w:tc>
      </w:tr>
      <w:tr>
        <w:trPr>
          <w:trHeight w:val="213"/>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Arkansas</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178,281</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174,447</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171,978</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Colorado</w:t>
            </w:r>
          </w:p>
        </w:tc>
        <w:tc>
          <w:tcPr>
            <w:tcW w:w="1400" w:type="dxa"/>
            <w:vAlign w:val="bottom"/>
          </w:tcPr>
          <w:p>
            <w:pPr>
              <w:jc w:val="right"/>
              <w:spacing w:after="0"/>
              <w:rPr>
                <w:sz w:val="20"/>
                <w:szCs w:val="20"/>
                <w:color w:val="auto"/>
              </w:rPr>
            </w:pPr>
            <w:r>
              <w:rPr>
                <w:rFonts w:ascii="Arial" w:cs="Arial" w:eastAsia="Arial" w:hAnsi="Arial"/>
                <w:sz w:val="16"/>
                <w:szCs w:val="16"/>
                <w:color w:val="auto"/>
              </w:rPr>
              <w:t>197,817</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191,950</w:t>
            </w:r>
          </w:p>
        </w:tc>
        <w:tc>
          <w:tcPr>
            <w:tcW w:w="1160" w:type="dxa"/>
            <w:vAlign w:val="bottom"/>
          </w:tcPr>
          <w:p>
            <w:pPr>
              <w:jc w:val="right"/>
              <w:spacing w:after="0"/>
              <w:rPr>
                <w:sz w:val="20"/>
                <w:szCs w:val="20"/>
                <w:color w:val="auto"/>
              </w:rPr>
            </w:pPr>
            <w:r>
              <w:rPr>
                <w:rFonts w:ascii="Arial" w:cs="Arial" w:eastAsia="Arial" w:hAnsi="Arial"/>
                <w:sz w:val="16"/>
                <w:szCs w:val="16"/>
                <w:color w:val="auto"/>
              </w:rPr>
              <w:t>186,759</w:t>
            </w:r>
          </w:p>
        </w:tc>
      </w:tr>
      <w:tr>
        <w:trPr>
          <w:trHeight w:val="219"/>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Iowa</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160,952</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159,641</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158,485</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Kansas</w:t>
            </w:r>
          </w:p>
        </w:tc>
        <w:tc>
          <w:tcPr>
            <w:tcW w:w="1400" w:type="dxa"/>
            <w:vAlign w:val="bottom"/>
          </w:tcPr>
          <w:p>
            <w:pPr>
              <w:jc w:val="right"/>
              <w:spacing w:after="0"/>
              <w:rPr>
                <w:sz w:val="20"/>
                <w:szCs w:val="20"/>
                <w:color w:val="auto"/>
              </w:rPr>
            </w:pPr>
            <w:r>
              <w:rPr>
                <w:rFonts w:ascii="Arial" w:cs="Arial" w:eastAsia="Arial" w:hAnsi="Arial"/>
                <w:sz w:val="16"/>
                <w:szCs w:val="16"/>
                <w:color w:val="auto"/>
              </w:rPr>
              <w:t>116,973</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115,846</w:t>
            </w:r>
          </w:p>
        </w:tc>
        <w:tc>
          <w:tcPr>
            <w:tcW w:w="1160" w:type="dxa"/>
            <w:vAlign w:val="bottom"/>
          </w:tcPr>
          <w:p>
            <w:pPr>
              <w:jc w:val="right"/>
              <w:spacing w:after="0"/>
              <w:rPr>
                <w:sz w:val="20"/>
                <w:szCs w:val="20"/>
                <w:color w:val="auto"/>
              </w:rPr>
            </w:pPr>
            <w:r>
              <w:rPr>
                <w:rFonts w:ascii="Arial" w:cs="Arial" w:eastAsia="Arial" w:hAnsi="Arial"/>
                <w:sz w:val="16"/>
                <w:szCs w:val="16"/>
                <w:color w:val="auto"/>
              </w:rPr>
              <w:t>114,840</w:t>
            </w:r>
          </w:p>
        </w:tc>
      </w:tr>
      <w:tr>
        <w:trPr>
          <w:trHeight w:val="219"/>
        </w:trPr>
        <w:tc>
          <w:tcPr>
            <w:tcW w:w="6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Nebraska</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296,778</w:t>
            </w:r>
          </w:p>
        </w:tc>
        <w:tc>
          <w:tcPr>
            <w:tcW w:w="17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293,576</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291,723</w:t>
            </w:r>
          </w:p>
        </w:tc>
      </w:tr>
      <w:tr>
        <w:trPr>
          <w:trHeight w:val="213"/>
        </w:trPr>
        <w:tc>
          <w:tcPr>
            <w:tcW w:w="69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Wyoming</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132,136</w:t>
            </w: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130,982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130,108</w:t>
            </w:r>
          </w:p>
        </w:tc>
      </w:tr>
      <w:tr>
        <w:trPr>
          <w:trHeight w:val="238"/>
        </w:trPr>
        <w:tc>
          <w:tcPr>
            <w:tcW w:w="69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Total Natural Gas Customers at End of Year</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1,082,937</w:t>
            </w:r>
          </w:p>
        </w:tc>
        <w:tc>
          <w:tcPr>
            <w:tcW w:w="17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1,066,442</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1,053,893</w:t>
            </w:r>
          </w:p>
        </w:tc>
      </w:tr>
      <w:tr>
        <w:trPr>
          <w:trHeight w:val="20"/>
        </w:trPr>
        <w:tc>
          <w:tcPr>
            <w:tcW w:w="6940" w:type="dxa"/>
            <w:vAlign w:val="bottom"/>
            <w:tcBorders>
              <w:top w:val="single" w:sz="8" w:color="CEFFE7"/>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17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procure natural gas for our distribution customers from a diverse mix of producers, processors and marketers and generally use hedging, physical fixed-price purchases and market-based price purchases to achieve dollar-cost averaging within our natural gas portfolio. The majority of our procured natural gas is transported in interstate pipelines under firm transportation service agreements.</w:t>
      </w:r>
    </w:p>
    <w:p>
      <w:pPr>
        <w:spacing w:after="0" w:line="22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addition to company-owned natural gas storage assets in Arkansas, Colorado and Wyoming, we also contract with third-party transportation providers for natural gas storage service to provide gas supply during the winter heating season and to meet peak day customer demand for natural gas.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regulated underground gas storage facilities as of December 31, 2020:</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Maximum Daily Withdrawal</w:t>
            </w:r>
          </w:p>
        </w:tc>
      </w:tr>
      <w:tr>
        <w:trPr>
          <w:trHeight w:val="19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State</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Working Capacity (Mcf)</w:t>
            </w: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Cushion Gas (Mcf)</w:t>
            </w:r>
          </w:p>
        </w:tc>
        <w:tc>
          <w:tcPr>
            <w:tcW w:w="1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Total Capacity (Mcf)</w:t>
            </w:r>
          </w:p>
        </w:tc>
        <w:tc>
          <w:tcPr>
            <w:tcW w:w="2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Capability (Mcfd)</w:t>
            </w:r>
          </w:p>
        </w:tc>
      </w:tr>
      <w:tr>
        <w:trPr>
          <w:trHeight w:val="212"/>
        </w:trPr>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Arkansas</w:t>
            </w:r>
          </w:p>
        </w:tc>
        <w:tc>
          <w:tcPr>
            <w:tcW w:w="184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8,442,700</w:t>
            </w:r>
          </w:p>
        </w:tc>
        <w:tc>
          <w:tcPr>
            <w:tcW w:w="17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13,149,040</w:t>
            </w: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21,591,740</w:t>
            </w:r>
          </w:p>
        </w:tc>
        <w:tc>
          <w:tcPr>
            <w:tcW w:w="2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196,000</w:t>
            </w: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Colorado</w:t>
            </w: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2,360,895</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6,165,315</w:t>
            </w:r>
          </w:p>
        </w:tc>
        <w:tc>
          <w:tcPr>
            <w:tcW w:w="1700" w:type="dxa"/>
            <w:vAlign w:val="bottom"/>
          </w:tcPr>
          <w:p>
            <w:pPr>
              <w:jc w:val="right"/>
              <w:spacing w:after="0"/>
              <w:rPr>
                <w:sz w:val="20"/>
                <w:szCs w:val="20"/>
                <w:color w:val="auto"/>
              </w:rPr>
            </w:pPr>
            <w:r>
              <w:rPr>
                <w:rFonts w:ascii="Arial" w:cs="Arial" w:eastAsia="Arial" w:hAnsi="Arial"/>
                <w:sz w:val="16"/>
                <w:szCs w:val="16"/>
                <w:color w:val="auto"/>
              </w:rPr>
              <w:t>8,526,210</w:t>
            </w:r>
          </w:p>
        </w:tc>
        <w:tc>
          <w:tcPr>
            <w:tcW w:w="212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16"/>
        </w:trPr>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w:t>
            </w:r>
          </w:p>
        </w:tc>
        <w:tc>
          <w:tcPr>
            <w:tcW w:w="184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5,733,900</w:t>
            </w:r>
          </w:p>
        </w:tc>
        <w:tc>
          <w:tcPr>
            <w:tcW w:w="17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17,145,600</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22,879,500</w:t>
            </w:r>
          </w:p>
        </w:tc>
        <w:tc>
          <w:tcPr>
            <w:tcW w:w="2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36,000</w:t>
            </w: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16,537,495</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36,459,955</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52,997,450</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262,000</w:t>
            </w:r>
          </w:p>
        </w:tc>
      </w:tr>
      <w:tr>
        <w:trPr>
          <w:trHeight w:val="21"/>
        </w:trPr>
        <w:tc>
          <w:tcPr>
            <w:tcW w:w="38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system infrastructure as of December 31, 2020:</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660" w:type="dxa"/>
            <w:vAlign w:val="bottom"/>
          </w:tcPr>
          <w:p>
            <w:pPr>
              <w:jc w:val="center"/>
              <w:ind w:right="239"/>
              <w:spacing w:after="0"/>
              <w:rPr>
                <w:sz w:val="20"/>
                <w:szCs w:val="20"/>
                <w:color w:val="auto"/>
              </w:rPr>
            </w:pPr>
            <w:r>
              <w:rPr>
                <w:rFonts w:ascii="Arial" w:cs="Arial" w:eastAsia="Arial" w:hAnsi="Arial"/>
                <w:sz w:val="16"/>
                <w:szCs w:val="16"/>
                <w:color w:val="auto"/>
              </w:rPr>
              <w:t>Intrastate Gas</w:t>
            </w:r>
          </w:p>
        </w:tc>
        <w:tc>
          <w:tcPr>
            <w:tcW w:w="2380" w:type="dxa"/>
            <w:vAlign w:val="bottom"/>
          </w:tcPr>
          <w:p>
            <w:pPr>
              <w:jc w:val="center"/>
              <w:ind w:right="459"/>
              <w:spacing w:after="0"/>
              <w:rPr>
                <w:sz w:val="20"/>
                <w:szCs w:val="20"/>
                <w:color w:val="auto"/>
              </w:rPr>
            </w:pPr>
            <w:r>
              <w:rPr>
                <w:rFonts w:ascii="Arial" w:cs="Arial" w:eastAsia="Arial" w:hAnsi="Arial"/>
                <w:sz w:val="16"/>
                <w:szCs w:val="16"/>
                <w:color w:val="auto"/>
              </w:rPr>
              <w:t>Gas Distribution</w:t>
            </w:r>
          </w:p>
        </w:tc>
        <w:tc>
          <w:tcPr>
            <w:tcW w:w="2120" w:type="dxa"/>
            <w:vAlign w:val="bottom"/>
          </w:tcPr>
          <w:p>
            <w:pPr>
              <w:jc w:val="center"/>
              <w:ind w:right="239"/>
              <w:spacing w:after="0"/>
              <w:rPr>
                <w:sz w:val="20"/>
                <w:szCs w:val="20"/>
                <w:color w:val="auto"/>
              </w:rPr>
            </w:pPr>
            <w:r>
              <w:rPr>
                <w:rFonts w:ascii="Arial" w:cs="Arial" w:eastAsia="Arial" w:hAnsi="Arial"/>
                <w:sz w:val="16"/>
                <w:szCs w:val="16"/>
                <w:color w:val="auto"/>
              </w:rPr>
              <w:t>Gas Distribution</w:t>
            </w:r>
          </w:p>
        </w:tc>
      </w:tr>
      <w:tr>
        <w:trPr>
          <w:trHeight w:val="162"/>
        </w:trPr>
        <w:tc>
          <w:tcPr>
            <w:tcW w:w="4020" w:type="dxa"/>
            <w:vAlign w:val="bottom"/>
          </w:tcPr>
          <w:p>
            <w:pPr>
              <w:spacing w:after="0"/>
              <w:rPr>
                <w:sz w:val="14"/>
                <w:szCs w:val="14"/>
                <w:color w:val="auto"/>
              </w:rPr>
            </w:pPr>
          </w:p>
        </w:tc>
        <w:tc>
          <w:tcPr>
            <w:tcW w:w="2660" w:type="dxa"/>
            <w:vAlign w:val="bottom"/>
          </w:tcPr>
          <w:p>
            <w:pPr>
              <w:jc w:val="center"/>
              <w:ind w:right="199"/>
              <w:spacing w:after="0" w:line="162" w:lineRule="exact"/>
              <w:rPr>
                <w:sz w:val="20"/>
                <w:szCs w:val="20"/>
                <w:color w:val="auto"/>
              </w:rPr>
            </w:pPr>
            <w:r>
              <w:rPr>
                <w:rFonts w:ascii="Arial" w:cs="Arial" w:eastAsia="Arial" w:hAnsi="Arial"/>
                <w:sz w:val="16"/>
                <w:szCs w:val="16"/>
                <w:color w:val="auto"/>
              </w:rPr>
              <w:t>Transmission Pipelines</w:t>
            </w:r>
          </w:p>
        </w:tc>
        <w:tc>
          <w:tcPr>
            <w:tcW w:w="2380" w:type="dxa"/>
            <w:vAlign w:val="bottom"/>
          </w:tcPr>
          <w:p>
            <w:pPr>
              <w:jc w:val="center"/>
              <w:ind w:right="459"/>
              <w:spacing w:after="0" w:line="162" w:lineRule="exact"/>
              <w:rPr>
                <w:sz w:val="20"/>
                <w:szCs w:val="20"/>
                <w:color w:val="auto"/>
              </w:rPr>
            </w:pPr>
            <w:r>
              <w:rPr>
                <w:rFonts w:ascii="Arial" w:cs="Arial" w:eastAsia="Arial" w:hAnsi="Arial"/>
                <w:sz w:val="16"/>
                <w:szCs w:val="16"/>
                <w:color w:val="auto"/>
              </w:rPr>
              <w:t>Mains</w:t>
            </w:r>
          </w:p>
        </w:tc>
        <w:tc>
          <w:tcPr>
            <w:tcW w:w="2120" w:type="dxa"/>
            <w:vAlign w:val="bottom"/>
          </w:tcPr>
          <w:p>
            <w:pPr>
              <w:jc w:val="center"/>
              <w:ind w:right="179"/>
              <w:spacing w:after="0" w:line="162" w:lineRule="exact"/>
              <w:rPr>
                <w:sz w:val="20"/>
                <w:szCs w:val="20"/>
                <w:color w:val="auto"/>
              </w:rPr>
            </w:pPr>
            <w:r>
              <w:rPr>
                <w:rFonts w:ascii="Arial" w:cs="Arial" w:eastAsia="Arial" w:hAnsi="Arial"/>
                <w:sz w:val="16"/>
                <w:szCs w:val="16"/>
                <w:color w:val="auto"/>
              </w:rPr>
              <w:t>Service Lines</w:t>
            </w:r>
          </w:p>
        </w:tc>
      </w:tr>
      <w:tr>
        <w:trPr>
          <w:trHeight w:val="198"/>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State</w:t>
            </w:r>
          </w:p>
        </w:tc>
        <w:tc>
          <w:tcPr>
            <w:tcW w:w="26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(in line miles)</w:t>
            </w: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color w:val="auto"/>
              </w:rPr>
              <w:t>(in line miles)</w:t>
            </w:r>
          </w:p>
        </w:tc>
        <w:tc>
          <w:tcPr>
            <w:tcW w:w="21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(in line miles)</w:t>
            </w:r>
          </w:p>
        </w:tc>
      </w:tr>
      <w:tr>
        <w:trPr>
          <w:trHeight w:val="213"/>
        </w:trPr>
        <w:tc>
          <w:tcPr>
            <w:tcW w:w="4020" w:type="dxa"/>
            <w:vAlign w:val="bottom"/>
            <w:shd w:val="clear" w:color="auto" w:fill="CEFFE7"/>
          </w:tcPr>
          <w:p>
            <w:pPr>
              <w:spacing w:after="0"/>
              <w:rPr>
                <w:sz w:val="20"/>
                <w:szCs w:val="20"/>
                <w:color w:val="auto"/>
              </w:rPr>
            </w:pPr>
            <w:r>
              <w:rPr>
                <w:rFonts w:ascii="Arial" w:cs="Arial" w:eastAsia="Arial" w:hAnsi="Arial"/>
                <w:sz w:val="16"/>
                <w:szCs w:val="16"/>
                <w:color w:val="auto"/>
              </w:rPr>
              <w:t>Arkansas</w:t>
            </w:r>
          </w:p>
        </w:tc>
        <w:tc>
          <w:tcPr>
            <w:tcW w:w="26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935</w:t>
            </w:r>
          </w:p>
        </w:tc>
        <w:tc>
          <w:tcPr>
            <w:tcW w:w="238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5,090</w:t>
            </w:r>
          </w:p>
        </w:tc>
        <w:tc>
          <w:tcPr>
            <w:tcW w:w="2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1,223</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Colorado</w:t>
            </w:r>
          </w:p>
        </w:tc>
        <w:tc>
          <w:tcPr>
            <w:tcW w:w="2660" w:type="dxa"/>
            <w:vAlign w:val="bottom"/>
          </w:tcPr>
          <w:p>
            <w:pPr>
              <w:jc w:val="right"/>
              <w:ind w:right="279"/>
              <w:spacing w:after="0"/>
              <w:rPr>
                <w:sz w:val="20"/>
                <w:szCs w:val="20"/>
                <w:color w:val="auto"/>
              </w:rPr>
            </w:pPr>
            <w:r>
              <w:rPr>
                <w:rFonts w:ascii="Arial" w:cs="Arial" w:eastAsia="Arial" w:hAnsi="Arial"/>
                <w:sz w:val="16"/>
                <w:szCs w:val="16"/>
                <w:color w:val="auto"/>
              </w:rPr>
              <w:t>693</w:t>
            </w:r>
          </w:p>
        </w:tc>
        <w:tc>
          <w:tcPr>
            <w:tcW w:w="2380" w:type="dxa"/>
            <w:vAlign w:val="bottom"/>
          </w:tcPr>
          <w:p>
            <w:pPr>
              <w:jc w:val="right"/>
              <w:ind w:right="259"/>
              <w:spacing w:after="0"/>
              <w:rPr>
                <w:sz w:val="20"/>
                <w:szCs w:val="20"/>
                <w:color w:val="auto"/>
              </w:rPr>
            </w:pPr>
            <w:r>
              <w:rPr>
                <w:rFonts w:ascii="Arial" w:cs="Arial" w:eastAsia="Arial" w:hAnsi="Arial"/>
                <w:sz w:val="16"/>
                <w:szCs w:val="16"/>
                <w:color w:val="auto"/>
              </w:rPr>
              <w:t>6,879</w:t>
            </w:r>
          </w:p>
        </w:tc>
        <w:tc>
          <w:tcPr>
            <w:tcW w:w="2120" w:type="dxa"/>
            <w:vAlign w:val="bottom"/>
          </w:tcPr>
          <w:p>
            <w:pPr>
              <w:jc w:val="right"/>
              <w:spacing w:after="0"/>
              <w:rPr>
                <w:sz w:val="20"/>
                <w:szCs w:val="20"/>
                <w:color w:val="auto"/>
              </w:rPr>
            </w:pPr>
            <w:r>
              <w:rPr>
                <w:rFonts w:ascii="Arial" w:cs="Arial" w:eastAsia="Arial" w:hAnsi="Arial"/>
                <w:sz w:val="16"/>
                <w:szCs w:val="16"/>
                <w:color w:val="auto"/>
              </w:rPr>
              <w:t>2,618</w:t>
            </w:r>
          </w:p>
        </w:tc>
      </w:tr>
      <w:tr>
        <w:trPr>
          <w:trHeight w:val="219"/>
        </w:trPr>
        <w:tc>
          <w:tcPr>
            <w:tcW w:w="4020" w:type="dxa"/>
            <w:vAlign w:val="bottom"/>
            <w:shd w:val="clear" w:color="auto" w:fill="CEFFE7"/>
          </w:tcPr>
          <w:p>
            <w:pPr>
              <w:spacing w:after="0"/>
              <w:rPr>
                <w:sz w:val="20"/>
                <w:szCs w:val="20"/>
                <w:color w:val="auto"/>
              </w:rPr>
            </w:pPr>
            <w:r>
              <w:rPr>
                <w:rFonts w:ascii="Arial" w:cs="Arial" w:eastAsia="Arial" w:hAnsi="Arial"/>
                <w:sz w:val="16"/>
                <w:szCs w:val="16"/>
                <w:color w:val="auto"/>
              </w:rPr>
              <w:t>Iowa</w:t>
            </w:r>
          </w:p>
        </w:tc>
        <w:tc>
          <w:tcPr>
            <w:tcW w:w="26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165</w:t>
            </w:r>
          </w:p>
        </w:tc>
        <w:tc>
          <w:tcPr>
            <w:tcW w:w="238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2,839</w:t>
            </w:r>
          </w:p>
        </w:tc>
        <w:tc>
          <w:tcPr>
            <w:tcW w:w="2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2,151</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Kansas</w:t>
            </w:r>
          </w:p>
        </w:tc>
        <w:tc>
          <w:tcPr>
            <w:tcW w:w="2660" w:type="dxa"/>
            <w:vAlign w:val="bottom"/>
          </w:tcPr>
          <w:p>
            <w:pPr>
              <w:jc w:val="right"/>
              <w:ind w:right="279"/>
              <w:spacing w:after="0"/>
              <w:rPr>
                <w:sz w:val="20"/>
                <w:szCs w:val="20"/>
                <w:color w:val="auto"/>
              </w:rPr>
            </w:pPr>
            <w:r>
              <w:rPr>
                <w:rFonts w:ascii="Arial" w:cs="Arial" w:eastAsia="Arial" w:hAnsi="Arial"/>
                <w:sz w:val="16"/>
                <w:szCs w:val="16"/>
                <w:color w:val="auto"/>
              </w:rPr>
              <w:t>330</w:t>
            </w:r>
          </w:p>
        </w:tc>
        <w:tc>
          <w:tcPr>
            <w:tcW w:w="2380" w:type="dxa"/>
            <w:vAlign w:val="bottom"/>
          </w:tcPr>
          <w:p>
            <w:pPr>
              <w:jc w:val="right"/>
              <w:ind w:right="259"/>
              <w:spacing w:after="0"/>
              <w:rPr>
                <w:sz w:val="20"/>
                <w:szCs w:val="20"/>
                <w:color w:val="auto"/>
              </w:rPr>
            </w:pPr>
            <w:r>
              <w:rPr>
                <w:rFonts w:ascii="Arial" w:cs="Arial" w:eastAsia="Arial" w:hAnsi="Arial"/>
                <w:sz w:val="16"/>
                <w:szCs w:val="16"/>
                <w:color w:val="auto"/>
              </w:rPr>
              <w:t>2,961</w:t>
            </w:r>
          </w:p>
        </w:tc>
        <w:tc>
          <w:tcPr>
            <w:tcW w:w="2120" w:type="dxa"/>
            <w:vAlign w:val="bottom"/>
          </w:tcPr>
          <w:p>
            <w:pPr>
              <w:jc w:val="right"/>
              <w:spacing w:after="0"/>
              <w:rPr>
                <w:sz w:val="20"/>
                <w:szCs w:val="20"/>
                <w:color w:val="auto"/>
              </w:rPr>
            </w:pPr>
            <w:r>
              <w:rPr>
                <w:rFonts w:ascii="Arial" w:cs="Arial" w:eastAsia="Arial" w:hAnsi="Arial"/>
                <w:sz w:val="16"/>
                <w:szCs w:val="16"/>
                <w:color w:val="auto"/>
              </w:rPr>
              <w:t>1,366</w:t>
            </w:r>
          </w:p>
        </w:tc>
      </w:tr>
      <w:tr>
        <w:trPr>
          <w:trHeight w:val="219"/>
        </w:trPr>
        <w:tc>
          <w:tcPr>
            <w:tcW w:w="4020" w:type="dxa"/>
            <w:vAlign w:val="bottom"/>
            <w:shd w:val="clear" w:color="auto" w:fill="CEFFE7"/>
          </w:tcPr>
          <w:p>
            <w:pPr>
              <w:spacing w:after="0"/>
              <w:rPr>
                <w:sz w:val="20"/>
                <w:szCs w:val="20"/>
                <w:color w:val="auto"/>
              </w:rPr>
            </w:pPr>
            <w:r>
              <w:rPr>
                <w:rFonts w:ascii="Arial" w:cs="Arial" w:eastAsia="Arial" w:hAnsi="Arial"/>
                <w:sz w:val="16"/>
                <w:szCs w:val="16"/>
                <w:color w:val="auto"/>
              </w:rPr>
              <w:t>Nebraska</w:t>
            </w:r>
          </w:p>
        </w:tc>
        <w:tc>
          <w:tcPr>
            <w:tcW w:w="26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1,312</w:t>
            </w:r>
          </w:p>
        </w:tc>
        <w:tc>
          <w:tcPr>
            <w:tcW w:w="238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8,739</w:t>
            </w:r>
          </w:p>
        </w:tc>
        <w:tc>
          <w:tcPr>
            <w:tcW w:w="2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3,252</w:t>
            </w:r>
          </w:p>
        </w:tc>
      </w:tr>
      <w:tr>
        <w:trPr>
          <w:trHeight w:val="213"/>
        </w:trPr>
        <w:tc>
          <w:tcPr>
            <w:tcW w:w="4020" w:type="dxa"/>
            <w:vAlign w:val="bottom"/>
            <w:tcBorders>
              <w:bottom w:val="single" w:sz="8" w:color="CEFFE7"/>
            </w:tcBorders>
          </w:tcPr>
          <w:p>
            <w:pPr>
              <w:spacing w:after="0"/>
              <w:rPr>
                <w:sz w:val="20"/>
                <w:szCs w:val="20"/>
                <w:color w:val="auto"/>
              </w:rPr>
            </w:pPr>
            <w:r>
              <w:rPr>
                <w:rFonts w:ascii="Arial" w:cs="Arial" w:eastAsia="Arial" w:hAnsi="Arial"/>
                <w:sz w:val="16"/>
                <w:szCs w:val="16"/>
                <w:color w:val="auto"/>
              </w:rPr>
              <w:t>Wyoming</w:t>
            </w:r>
          </w:p>
        </w:tc>
        <w:tc>
          <w:tcPr>
            <w:tcW w:w="2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1,339</w:t>
            </w:r>
          </w:p>
        </w:tc>
        <w:tc>
          <w:tcPr>
            <w:tcW w:w="2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3,495</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r>
      <w:tr>
        <w:trPr>
          <w:trHeight w:val="238"/>
        </w:trPr>
        <w:tc>
          <w:tcPr>
            <w:tcW w:w="40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Total</w:t>
            </w:r>
          </w:p>
        </w:tc>
        <w:tc>
          <w:tcPr>
            <w:tcW w:w="266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4,774</w:t>
            </w:r>
          </w:p>
        </w:tc>
        <w:tc>
          <w:tcPr>
            <w:tcW w:w="23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30,003</w:t>
            </w:r>
          </w:p>
        </w:tc>
        <w:tc>
          <w:tcPr>
            <w:tcW w:w="2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11,835</w:t>
            </w:r>
          </w:p>
        </w:tc>
      </w:tr>
      <w:tr>
        <w:trPr>
          <w:trHeight w:val="20"/>
        </w:trPr>
        <w:tc>
          <w:tcPr>
            <w:tcW w:w="4020" w:type="dxa"/>
            <w:vAlign w:val="bottom"/>
            <w:tcBorders>
              <w:top w:val="single" w:sz="8" w:color="CEFFE7"/>
            </w:tcBorders>
          </w:tcPr>
          <w:p>
            <w:pPr>
              <w:spacing w:after="0" w:line="20" w:lineRule="exact"/>
              <w:rPr>
                <w:sz w:val="1"/>
                <w:szCs w:val="1"/>
                <w:color w:val="auto"/>
              </w:rPr>
            </w:pPr>
          </w:p>
        </w:tc>
        <w:tc>
          <w:tcPr>
            <w:tcW w:w="2660" w:type="dxa"/>
            <w:vAlign w:val="bottom"/>
            <w:tcBorders>
              <w:top w:val="single" w:sz="8" w:color="CEFFE7"/>
              <w:bottom w:val="single" w:sz="8" w:color="auto"/>
            </w:tcBorders>
          </w:tcPr>
          <w:p>
            <w:pPr>
              <w:spacing w:after="0" w:line="20" w:lineRule="exact"/>
              <w:rPr>
                <w:sz w:val="1"/>
                <w:szCs w:val="1"/>
                <w:color w:val="auto"/>
              </w:rPr>
            </w:pPr>
          </w:p>
        </w:tc>
        <w:tc>
          <w:tcPr>
            <w:tcW w:w="2380" w:type="dxa"/>
            <w:vAlign w:val="bottom"/>
            <w:tcBorders>
              <w:top w:val="single" w:sz="8" w:color="CEFFE7"/>
              <w:bottom w:val="single" w:sz="8" w:color="auto"/>
            </w:tcBorders>
          </w:tcPr>
          <w:p>
            <w:pPr>
              <w:spacing w:after="0" w:line="20" w:lineRule="exact"/>
              <w:rPr>
                <w:sz w:val="1"/>
                <w:szCs w:val="1"/>
                <w:color w:val="auto"/>
              </w:rPr>
            </w:pPr>
          </w:p>
        </w:tc>
        <w:tc>
          <w:tcPr>
            <w:tcW w:w="2120" w:type="dxa"/>
            <w:vAlign w:val="bottom"/>
            <w:tcBorders>
              <w:top w:val="single" w:sz="8" w:color="CEFFE7"/>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Gas Utilities are seasonal businesses and weather patterns may impact their operating performance. Demand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natural gas is sensitive to seasonal heating and industrial load requirements, as well as market price. In particular, demand is often greater in the winter months for heating. Natural gas is used primarily for residential and commercial heating, so the demand for this product depends heavily upon weather throughout our service territories. As a result, a significant amount of natural gas revenue is normally recognized in the heating season consisting of the first and fourth quarters. Demand for natural gas can also be impacted by summer temperatures and precipitation, which can affect demand for irrigation.</w:t>
      </w:r>
    </w:p>
    <w:p>
      <w:pPr>
        <w:spacing w:after="0" w:line="207"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distribution of natural gas in our service areas. Various restructuring and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have been discussed in several of the states in which our utilities operate. These initiatives are aimed at increasing competition. Additionally, electrification initiatives in our service territories could negatively impact demand for natural gas and decrease customer growth. To date, these initiatives have not had a material impact on our utilities. Although we face competition from independent marketers for the sale of natural gas to our industrial and commercial customers, in instances where independent marketers displace us as the seller of natural gas, we still collect a charge for transporting the gas through our distribution network.</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i w:val="1"/>
          <w:iCs w:val="1"/>
          <w:color w:val="auto"/>
        </w:rPr>
        <w:t xml:space="preserve">Rates and Regulation. </w:t>
      </w:r>
      <w:r>
        <w:rPr>
          <w:rFonts w:ascii="Arial" w:cs="Arial" w:eastAsia="Arial" w:hAnsi="Arial"/>
          <w:sz w:val="16"/>
          <w:szCs w:val="16"/>
          <w:color w:val="auto"/>
        </w:rPr>
        <w:t>Our Gas Utilities are subject to the jurisdiction of the public utility commissions in the states where they operate. These commissions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oversee services and facilities, rates and charges, accounting, valuation of property, depreciation rates and various other matters. The public utility commissions determine the rates we are allowed to charge for our utility services.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Gas Utilities are authorized to use natural gas cost recovery mechanisms allowing rate adjustments reflecting changes in the wholesale cost of natural gas and recovery of all the costs prudently incurred in purchasing gas for customers. In addition to natural gas cost recovery mechanisms, other recovery mechanisms, which vary by utility, allow us to recover certain costs or earn a return on capital investments, such as energy efficiency plan costs and system safety and integrity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natural gas utilities: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4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20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160" w:type="dxa"/>
            <w:vAlign w:val="bottom"/>
          </w:tcPr>
          <w:p>
            <w:pPr>
              <w:jc w:val="center"/>
              <w:spacing w:after="0"/>
              <w:rPr>
                <w:sz w:val="20"/>
                <w:szCs w:val="20"/>
                <w:color w:val="auto"/>
              </w:rPr>
            </w:pPr>
            <w:r>
              <w:rPr>
                <w:rFonts w:ascii="Arial" w:cs="Arial" w:eastAsia="Arial" w:hAnsi="Arial"/>
                <w:sz w:val="14"/>
                <w:szCs w:val="14"/>
                <w:color w:val="auto"/>
              </w:rPr>
              <w:t>Authorized Rate</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Effective</w:t>
            </w: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0" w:type="dxa"/>
            <w:vAlign w:val="bottom"/>
            <w:vMerge w:val="restart"/>
          </w:tcPr>
          <w:p>
            <w:pPr>
              <w:ind w:left="200"/>
              <w:spacing w:after="0"/>
              <w:rPr>
                <w:sz w:val="20"/>
                <w:szCs w:val="20"/>
                <w:color w:val="auto"/>
              </w:rPr>
            </w:pPr>
            <w:r>
              <w:rPr>
                <w:rFonts w:ascii="Arial" w:cs="Arial" w:eastAsia="Arial" w:hAnsi="Arial"/>
                <w:sz w:val="14"/>
                <w:szCs w:val="14"/>
                <w:color w:val="auto"/>
              </w:rPr>
              <w:t>Subsidiary</w:t>
            </w:r>
          </w:p>
        </w:tc>
        <w:tc>
          <w:tcPr>
            <w:tcW w:w="900" w:type="dxa"/>
            <w:vAlign w:val="bottom"/>
            <w:vMerge w:val="restart"/>
          </w:tcPr>
          <w:p>
            <w:pPr>
              <w:ind w:left="80"/>
              <w:spacing w:after="0"/>
              <w:rPr>
                <w:sz w:val="20"/>
                <w:szCs w:val="20"/>
                <w:color w:val="auto"/>
              </w:rPr>
            </w:pPr>
            <w:r>
              <w:rPr>
                <w:rFonts w:ascii="Arial" w:cs="Arial" w:eastAsia="Arial" w:hAnsi="Arial"/>
                <w:sz w:val="14"/>
                <w:szCs w:val="14"/>
                <w:color w:val="auto"/>
              </w:rPr>
              <w:t>Jurisdic-tion</w:t>
            </w:r>
          </w:p>
        </w:tc>
        <w:tc>
          <w:tcPr>
            <w:tcW w:w="1040" w:type="dxa"/>
            <w:vAlign w:val="bottom"/>
          </w:tcPr>
          <w:p>
            <w:pPr>
              <w:jc w:val="center"/>
              <w:spacing w:after="0" w:line="135" w:lineRule="exact"/>
              <w:rPr>
                <w:sz w:val="20"/>
                <w:szCs w:val="20"/>
                <w:color w:val="auto"/>
              </w:rPr>
            </w:pPr>
            <w:r>
              <w:rPr>
                <w:rFonts w:ascii="Arial" w:cs="Arial" w:eastAsia="Arial" w:hAnsi="Arial"/>
                <w:sz w:val="14"/>
                <w:szCs w:val="14"/>
                <w:color w:val="auto"/>
              </w:rPr>
              <w:t>Rate of Return</w:t>
            </w:r>
          </w:p>
        </w:tc>
        <w:tc>
          <w:tcPr>
            <w:tcW w:w="1040" w:type="dxa"/>
            <w:vAlign w:val="bottom"/>
          </w:tcPr>
          <w:p>
            <w:pPr>
              <w:jc w:val="center"/>
              <w:spacing w:after="0" w:line="135" w:lineRule="exact"/>
              <w:rPr>
                <w:sz w:val="20"/>
                <w:szCs w:val="20"/>
                <w:color w:val="auto"/>
              </w:rPr>
            </w:pPr>
            <w:r>
              <w:rPr>
                <w:rFonts w:ascii="Arial" w:cs="Arial" w:eastAsia="Arial" w:hAnsi="Arial"/>
                <w:sz w:val="14"/>
                <w:szCs w:val="14"/>
                <w:color w:val="auto"/>
              </w:rPr>
              <w:t>Return on Rate</w:t>
            </w:r>
          </w:p>
        </w:tc>
        <w:tc>
          <w:tcPr>
            <w:tcW w:w="1200" w:type="dxa"/>
            <w:vAlign w:val="bottom"/>
          </w:tcPr>
          <w:p>
            <w:pPr>
              <w:jc w:val="center"/>
              <w:spacing w:after="0" w:line="135" w:lineRule="exact"/>
              <w:rPr>
                <w:sz w:val="20"/>
                <w:szCs w:val="20"/>
                <w:color w:val="auto"/>
              </w:rPr>
            </w:pPr>
            <w:r>
              <w:rPr>
                <w:rFonts w:ascii="Arial" w:cs="Arial" w:eastAsia="Arial" w:hAnsi="Arial"/>
                <w:sz w:val="14"/>
                <w:szCs w:val="14"/>
                <w:color w:val="auto"/>
              </w:rPr>
              <w:t>Capital Structure</w:t>
            </w: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rPr>
              <w:t>Base (in</w:t>
            </w:r>
          </w:p>
        </w:tc>
        <w:tc>
          <w:tcPr>
            <w:tcW w:w="740" w:type="dxa"/>
            <w:vAlign w:val="bottom"/>
            <w:vMerge w:val="continue"/>
          </w:tcPr>
          <w:p>
            <w:pPr>
              <w:spacing w:after="0"/>
              <w:rPr>
                <w:sz w:val="11"/>
                <w:szCs w:val="11"/>
                <w:color w:val="auto"/>
              </w:rPr>
            </w:pPr>
          </w:p>
        </w:tc>
        <w:tc>
          <w:tcPr>
            <w:tcW w:w="4140" w:type="dxa"/>
            <w:vAlign w:val="bottom"/>
            <w:vMerge w:val="restart"/>
          </w:tcPr>
          <w:p>
            <w:pPr>
              <w:ind w:left="1100"/>
              <w:spacing w:after="0"/>
              <w:rPr>
                <w:sz w:val="20"/>
                <w:szCs w:val="20"/>
                <w:color w:val="auto"/>
              </w:rPr>
            </w:pPr>
            <w:r>
              <w:rPr>
                <w:rFonts w:ascii="Arial" w:cs="Arial" w:eastAsia="Arial" w:hAnsi="Arial"/>
                <w:sz w:val="14"/>
                <w:szCs w:val="14"/>
                <w:color w:val="auto"/>
              </w:rPr>
              <w:t>Additional Tariffed Mechanisms</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on Equity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Base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Debt/Equity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4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EFEE7"/>
          </w:tcPr>
          <w:p>
            <w:pPr>
              <w:ind w:left="20"/>
              <w:spacing w:after="0" w:line="147" w:lineRule="exact"/>
              <w:rPr>
                <w:sz w:val="20"/>
                <w:szCs w:val="20"/>
                <w:color w:val="auto"/>
              </w:rPr>
            </w:pPr>
            <w:r>
              <w:rPr>
                <w:rFonts w:ascii="Arial" w:cs="Arial" w:eastAsia="Arial" w:hAnsi="Arial"/>
                <w:sz w:val="14"/>
                <w:szCs w:val="14"/>
                <w:color w:val="auto"/>
              </w:rPr>
              <w:t>Arkansas Gas</w:t>
            </w:r>
          </w:p>
        </w:tc>
        <w:tc>
          <w:tcPr>
            <w:tcW w:w="900" w:type="dxa"/>
            <w:vAlign w:val="bottom"/>
            <w:shd w:val="clear" w:color="auto" w:fill="CEFEE7"/>
          </w:tcPr>
          <w:p>
            <w:pPr>
              <w:ind w:left="60"/>
              <w:spacing w:after="0" w:line="147" w:lineRule="exact"/>
              <w:rPr>
                <w:sz w:val="20"/>
                <w:szCs w:val="20"/>
                <w:color w:val="auto"/>
              </w:rPr>
            </w:pPr>
            <w:r>
              <w:rPr>
                <w:rFonts w:ascii="Arial" w:cs="Arial" w:eastAsia="Arial" w:hAnsi="Arial"/>
                <w:sz w:val="14"/>
                <w:szCs w:val="14"/>
                <w:color w:val="auto"/>
              </w:rPr>
              <w:t>AR</w:t>
            </w:r>
          </w:p>
        </w:tc>
        <w:tc>
          <w:tcPr>
            <w:tcW w:w="1040" w:type="dxa"/>
            <w:vAlign w:val="bottom"/>
            <w:shd w:val="clear" w:color="auto" w:fill="CEFEE7"/>
          </w:tcPr>
          <w:p>
            <w:pPr>
              <w:jc w:val="center"/>
              <w:spacing w:after="0" w:line="147" w:lineRule="exact"/>
              <w:rPr>
                <w:sz w:val="20"/>
                <w:szCs w:val="20"/>
                <w:color w:val="auto"/>
              </w:rPr>
            </w:pPr>
            <w:r>
              <w:rPr>
                <w:rFonts w:ascii="Arial" w:cs="Arial" w:eastAsia="Arial" w:hAnsi="Arial"/>
                <w:sz w:val="14"/>
                <w:szCs w:val="14"/>
                <w:color w:val="auto"/>
              </w:rPr>
              <w:t>9.61%</w:t>
            </w:r>
          </w:p>
        </w:tc>
        <w:tc>
          <w:tcPr>
            <w:tcW w:w="1040" w:type="dxa"/>
            <w:vAlign w:val="bottom"/>
            <w:shd w:val="clear" w:color="auto" w:fill="CEFFE7"/>
          </w:tcPr>
          <w:p>
            <w:pPr>
              <w:jc w:val="center"/>
              <w:spacing w:after="0" w:line="147" w:lineRule="exact"/>
              <w:rPr>
                <w:sz w:val="20"/>
                <w:szCs w:val="20"/>
                <w:color w:val="auto"/>
              </w:rPr>
            </w:pPr>
            <w:r>
              <w:rPr>
                <w:rFonts w:ascii="Arial" w:cs="Arial" w:eastAsia="Arial" w:hAnsi="Arial"/>
                <w:sz w:val="14"/>
                <w:szCs w:val="14"/>
                <w:color w:val="auto"/>
                <w:w w:val="97"/>
              </w:rPr>
              <w:t xml:space="preserve">6.82% </w:t>
            </w:r>
            <w:r>
              <w:rPr>
                <w:rFonts w:ascii="Arial" w:cs="Arial" w:eastAsia="Arial" w:hAnsi="Arial"/>
                <w:sz w:val="17"/>
                <w:szCs w:val="17"/>
                <w:color w:val="auto"/>
                <w:w w:val="97"/>
                <w:vertAlign w:val="superscript"/>
              </w:rPr>
              <w:t>(a)</w:t>
            </w:r>
          </w:p>
        </w:tc>
        <w:tc>
          <w:tcPr>
            <w:tcW w:w="1200" w:type="dxa"/>
            <w:vAlign w:val="bottom"/>
            <w:shd w:val="clear" w:color="auto" w:fill="CEFEE7"/>
          </w:tcPr>
          <w:p>
            <w:pPr>
              <w:jc w:val="center"/>
              <w:spacing w:after="0" w:line="147" w:lineRule="exact"/>
              <w:rPr>
                <w:sz w:val="20"/>
                <w:szCs w:val="20"/>
                <w:color w:val="auto"/>
              </w:rPr>
            </w:pPr>
            <w:r>
              <w:rPr>
                <w:rFonts w:ascii="Arial" w:cs="Arial" w:eastAsia="Arial" w:hAnsi="Arial"/>
                <w:sz w:val="14"/>
                <w:szCs w:val="14"/>
                <w:color w:val="auto"/>
              </w:rPr>
              <w:t>51%/49%</w:t>
            </w:r>
          </w:p>
        </w:tc>
        <w:tc>
          <w:tcPr>
            <w:tcW w:w="1160" w:type="dxa"/>
            <w:vAlign w:val="bottom"/>
            <w:shd w:val="clear" w:color="auto" w:fill="CEFEE7"/>
          </w:tcPr>
          <w:p>
            <w:pPr>
              <w:jc w:val="center"/>
              <w:spacing w:after="0" w:line="147" w:lineRule="exact"/>
              <w:rPr>
                <w:sz w:val="20"/>
                <w:szCs w:val="20"/>
                <w:color w:val="auto"/>
              </w:rPr>
            </w:pPr>
            <w:r>
              <w:rPr>
                <w:rFonts w:ascii="Arial" w:cs="Arial" w:eastAsia="Arial" w:hAnsi="Arial"/>
                <w:sz w:val="14"/>
                <w:szCs w:val="14"/>
                <w:color w:val="auto"/>
                <w:w w:val="95"/>
              </w:rPr>
              <w:t xml:space="preserve">$451.5 </w:t>
            </w:r>
            <w:r>
              <w:rPr>
                <w:rFonts w:ascii="Arial" w:cs="Arial" w:eastAsia="Arial" w:hAnsi="Arial"/>
                <w:sz w:val="17"/>
                <w:szCs w:val="17"/>
                <w:color w:val="auto"/>
                <w:w w:val="95"/>
                <w:vertAlign w:val="superscript"/>
              </w:rPr>
              <w:t>(b)</w:t>
            </w:r>
          </w:p>
        </w:tc>
        <w:tc>
          <w:tcPr>
            <w:tcW w:w="740" w:type="dxa"/>
            <w:vAlign w:val="bottom"/>
            <w:shd w:val="clear" w:color="auto" w:fill="CEFEE7"/>
          </w:tcPr>
          <w:p>
            <w:pPr>
              <w:jc w:val="center"/>
              <w:spacing w:after="0" w:line="147" w:lineRule="exact"/>
              <w:rPr>
                <w:sz w:val="20"/>
                <w:szCs w:val="20"/>
                <w:color w:val="auto"/>
              </w:rPr>
            </w:pPr>
            <w:r>
              <w:rPr>
                <w:rFonts w:ascii="Arial" w:cs="Arial" w:eastAsia="Arial" w:hAnsi="Arial"/>
                <w:sz w:val="14"/>
                <w:szCs w:val="14"/>
                <w:color w:val="auto"/>
              </w:rPr>
              <w:t>10/2018</w:t>
            </w:r>
          </w:p>
        </w:tc>
        <w:tc>
          <w:tcPr>
            <w:tcW w:w="4140" w:type="dxa"/>
            <w:vAlign w:val="bottom"/>
            <w:shd w:val="clear" w:color="auto" w:fill="CEFEE7"/>
          </w:tcPr>
          <w:p>
            <w:pPr>
              <w:ind w:left="80"/>
              <w:spacing w:after="0" w:line="147" w:lineRule="exact"/>
              <w:rPr>
                <w:sz w:val="20"/>
                <w:szCs w:val="20"/>
                <w:color w:val="auto"/>
              </w:rPr>
            </w:pPr>
            <w:r>
              <w:rPr>
                <w:rFonts w:ascii="Arial" w:cs="Arial" w:eastAsia="Arial" w:hAnsi="Arial"/>
                <w:sz w:val="14"/>
                <w:szCs w:val="14"/>
                <w:color w:val="auto"/>
              </w:rPr>
              <w:t>GCA, Main Replacement Program, At-Risk Meter Relocation</w:t>
            </w:r>
          </w:p>
        </w:tc>
        <w:tc>
          <w:tcPr>
            <w:tcW w:w="0" w:type="dxa"/>
            <w:vAlign w:val="bottom"/>
          </w:tcPr>
          <w:p>
            <w:pPr>
              <w:spacing w:after="0"/>
              <w:rPr>
                <w:sz w:val="1"/>
                <w:szCs w:val="1"/>
                <w:color w:val="auto"/>
              </w:rPr>
            </w:pPr>
          </w:p>
        </w:tc>
      </w:tr>
      <w:tr>
        <w:trPr>
          <w:trHeight w:val="135"/>
        </w:trPr>
        <w:tc>
          <w:tcPr>
            <w:tcW w:w="1000" w:type="dxa"/>
            <w:vAlign w:val="bottom"/>
            <w:shd w:val="clear" w:color="auto" w:fill="CEFEE7"/>
          </w:tcPr>
          <w:p>
            <w:pPr>
              <w:spacing w:after="0"/>
              <w:rPr>
                <w:sz w:val="11"/>
                <w:szCs w:val="11"/>
                <w:color w:val="auto"/>
              </w:rPr>
            </w:pPr>
          </w:p>
        </w:tc>
        <w:tc>
          <w:tcPr>
            <w:tcW w:w="900" w:type="dxa"/>
            <w:vAlign w:val="bottom"/>
            <w:shd w:val="clear" w:color="auto" w:fill="CEFEE7"/>
          </w:tcPr>
          <w:p>
            <w:pPr>
              <w:spacing w:after="0"/>
              <w:rPr>
                <w:sz w:val="11"/>
                <w:szCs w:val="11"/>
                <w:color w:val="auto"/>
              </w:rPr>
            </w:pPr>
          </w:p>
        </w:tc>
        <w:tc>
          <w:tcPr>
            <w:tcW w:w="1040" w:type="dxa"/>
            <w:vAlign w:val="bottom"/>
            <w:shd w:val="clear" w:color="auto" w:fill="CEFEE7"/>
          </w:tcPr>
          <w:p>
            <w:pPr>
              <w:spacing w:after="0"/>
              <w:rPr>
                <w:sz w:val="11"/>
                <w:szCs w:val="11"/>
                <w:color w:val="auto"/>
              </w:rPr>
            </w:pPr>
          </w:p>
        </w:tc>
        <w:tc>
          <w:tcPr>
            <w:tcW w:w="1040" w:type="dxa"/>
            <w:vAlign w:val="bottom"/>
            <w:shd w:val="clear" w:color="auto" w:fill="CEFFE7"/>
          </w:tcPr>
          <w:p>
            <w:pPr>
              <w:spacing w:after="0"/>
              <w:rPr>
                <w:sz w:val="11"/>
                <w:szCs w:val="11"/>
                <w:color w:val="auto"/>
              </w:rPr>
            </w:pPr>
          </w:p>
        </w:tc>
        <w:tc>
          <w:tcPr>
            <w:tcW w:w="1200" w:type="dxa"/>
            <w:vAlign w:val="bottom"/>
            <w:shd w:val="clear" w:color="auto" w:fill="CEFEE7"/>
          </w:tcPr>
          <w:p>
            <w:pPr>
              <w:spacing w:after="0"/>
              <w:rPr>
                <w:sz w:val="11"/>
                <w:szCs w:val="11"/>
                <w:color w:val="auto"/>
              </w:rPr>
            </w:pPr>
          </w:p>
        </w:tc>
        <w:tc>
          <w:tcPr>
            <w:tcW w:w="1160" w:type="dxa"/>
            <w:vAlign w:val="bottom"/>
            <w:shd w:val="clear" w:color="auto" w:fill="CEFEE7"/>
          </w:tcPr>
          <w:p>
            <w:pPr>
              <w:spacing w:after="0"/>
              <w:rPr>
                <w:sz w:val="11"/>
                <w:szCs w:val="11"/>
                <w:color w:val="auto"/>
              </w:rPr>
            </w:pPr>
          </w:p>
        </w:tc>
        <w:tc>
          <w:tcPr>
            <w:tcW w:w="740" w:type="dxa"/>
            <w:vAlign w:val="bottom"/>
            <w:shd w:val="clear" w:color="auto" w:fill="CEFEE7"/>
          </w:tcPr>
          <w:p>
            <w:pPr>
              <w:spacing w:after="0"/>
              <w:rPr>
                <w:sz w:val="11"/>
                <w:szCs w:val="11"/>
                <w:color w:val="auto"/>
              </w:rPr>
            </w:pPr>
          </w:p>
        </w:tc>
        <w:tc>
          <w:tcPr>
            <w:tcW w:w="4140" w:type="dxa"/>
            <w:vAlign w:val="bottom"/>
            <w:shd w:val="clear" w:color="auto" w:fill="CEFEE7"/>
          </w:tcPr>
          <w:p>
            <w:pPr>
              <w:ind w:left="80"/>
              <w:spacing w:after="0" w:line="135" w:lineRule="exact"/>
              <w:rPr>
                <w:sz w:val="20"/>
                <w:szCs w:val="20"/>
                <w:color w:val="auto"/>
              </w:rPr>
            </w:pPr>
            <w:r>
              <w:rPr>
                <w:rFonts w:ascii="Arial" w:cs="Arial" w:eastAsia="Arial" w:hAnsi="Arial"/>
                <w:sz w:val="14"/>
                <w:szCs w:val="14"/>
                <w:color w:val="auto"/>
              </w:rPr>
              <w:t>Program, Legislative or Regulatory Mandated Expenditures,</w:t>
            </w:r>
          </w:p>
        </w:tc>
        <w:tc>
          <w:tcPr>
            <w:tcW w:w="0" w:type="dxa"/>
            <w:vAlign w:val="bottom"/>
          </w:tcPr>
          <w:p>
            <w:pPr>
              <w:spacing w:after="0"/>
              <w:rPr>
                <w:sz w:val="1"/>
                <w:szCs w:val="1"/>
                <w:color w:val="auto"/>
              </w:rPr>
            </w:pPr>
          </w:p>
        </w:tc>
      </w:tr>
      <w:tr>
        <w:trPr>
          <w:trHeight w:val="135"/>
        </w:trPr>
        <w:tc>
          <w:tcPr>
            <w:tcW w:w="1000" w:type="dxa"/>
            <w:vAlign w:val="bottom"/>
            <w:shd w:val="clear" w:color="auto" w:fill="CEFEE7"/>
          </w:tcPr>
          <w:p>
            <w:pPr>
              <w:spacing w:after="0"/>
              <w:rPr>
                <w:sz w:val="11"/>
                <w:szCs w:val="11"/>
                <w:color w:val="auto"/>
              </w:rPr>
            </w:pPr>
          </w:p>
        </w:tc>
        <w:tc>
          <w:tcPr>
            <w:tcW w:w="900" w:type="dxa"/>
            <w:vAlign w:val="bottom"/>
            <w:shd w:val="clear" w:color="auto" w:fill="CEFEE7"/>
          </w:tcPr>
          <w:p>
            <w:pPr>
              <w:spacing w:after="0"/>
              <w:rPr>
                <w:sz w:val="11"/>
                <w:szCs w:val="11"/>
                <w:color w:val="auto"/>
              </w:rPr>
            </w:pPr>
          </w:p>
        </w:tc>
        <w:tc>
          <w:tcPr>
            <w:tcW w:w="1040" w:type="dxa"/>
            <w:vAlign w:val="bottom"/>
            <w:shd w:val="clear" w:color="auto" w:fill="CEFEE7"/>
          </w:tcPr>
          <w:p>
            <w:pPr>
              <w:spacing w:after="0"/>
              <w:rPr>
                <w:sz w:val="11"/>
                <w:szCs w:val="11"/>
                <w:color w:val="auto"/>
              </w:rPr>
            </w:pPr>
          </w:p>
        </w:tc>
        <w:tc>
          <w:tcPr>
            <w:tcW w:w="1040" w:type="dxa"/>
            <w:vAlign w:val="bottom"/>
            <w:shd w:val="clear" w:color="auto" w:fill="CEFFE7"/>
          </w:tcPr>
          <w:p>
            <w:pPr>
              <w:spacing w:after="0"/>
              <w:rPr>
                <w:sz w:val="11"/>
                <w:szCs w:val="11"/>
                <w:color w:val="auto"/>
              </w:rPr>
            </w:pPr>
          </w:p>
        </w:tc>
        <w:tc>
          <w:tcPr>
            <w:tcW w:w="1200" w:type="dxa"/>
            <w:vAlign w:val="bottom"/>
            <w:shd w:val="clear" w:color="auto" w:fill="CEFEE7"/>
          </w:tcPr>
          <w:p>
            <w:pPr>
              <w:spacing w:after="0"/>
              <w:rPr>
                <w:sz w:val="11"/>
                <w:szCs w:val="11"/>
                <w:color w:val="auto"/>
              </w:rPr>
            </w:pPr>
          </w:p>
        </w:tc>
        <w:tc>
          <w:tcPr>
            <w:tcW w:w="1160" w:type="dxa"/>
            <w:vAlign w:val="bottom"/>
            <w:shd w:val="clear" w:color="auto" w:fill="CEFEE7"/>
          </w:tcPr>
          <w:p>
            <w:pPr>
              <w:spacing w:after="0"/>
              <w:rPr>
                <w:sz w:val="11"/>
                <w:szCs w:val="11"/>
                <w:color w:val="auto"/>
              </w:rPr>
            </w:pPr>
          </w:p>
        </w:tc>
        <w:tc>
          <w:tcPr>
            <w:tcW w:w="740" w:type="dxa"/>
            <w:vAlign w:val="bottom"/>
            <w:shd w:val="clear" w:color="auto" w:fill="CEFEE7"/>
          </w:tcPr>
          <w:p>
            <w:pPr>
              <w:spacing w:after="0"/>
              <w:rPr>
                <w:sz w:val="11"/>
                <w:szCs w:val="11"/>
                <w:color w:val="auto"/>
              </w:rPr>
            </w:pPr>
          </w:p>
        </w:tc>
        <w:tc>
          <w:tcPr>
            <w:tcW w:w="4140" w:type="dxa"/>
            <w:vAlign w:val="bottom"/>
            <w:shd w:val="clear" w:color="auto" w:fill="CEFEE7"/>
          </w:tcPr>
          <w:p>
            <w:pPr>
              <w:ind w:left="80"/>
              <w:spacing w:after="0" w:line="135" w:lineRule="exact"/>
              <w:rPr>
                <w:sz w:val="20"/>
                <w:szCs w:val="20"/>
                <w:color w:val="auto"/>
              </w:rPr>
            </w:pPr>
            <w:r>
              <w:rPr>
                <w:rFonts w:ascii="Arial" w:cs="Arial" w:eastAsia="Arial" w:hAnsi="Arial"/>
                <w:sz w:val="14"/>
                <w:szCs w:val="14"/>
                <w:color w:val="auto"/>
              </w:rPr>
              <w:t>EECR, Weather Normalization Adjustment, Billing Determinant</w:t>
            </w:r>
          </w:p>
        </w:tc>
        <w:tc>
          <w:tcPr>
            <w:tcW w:w="0" w:type="dxa"/>
            <w:vAlign w:val="bottom"/>
          </w:tcPr>
          <w:p>
            <w:pPr>
              <w:spacing w:after="0"/>
              <w:rPr>
                <w:sz w:val="1"/>
                <w:szCs w:val="1"/>
                <w:color w:val="auto"/>
              </w:rPr>
            </w:pPr>
          </w:p>
        </w:tc>
      </w:tr>
      <w:tr>
        <w:trPr>
          <w:trHeight w:val="171"/>
        </w:trPr>
        <w:tc>
          <w:tcPr>
            <w:tcW w:w="1000" w:type="dxa"/>
            <w:vAlign w:val="bottom"/>
            <w:shd w:val="clear" w:color="auto" w:fill="CEFEE7"/>
          </w:tcPr>
          <w:p>
            <w:pPr>
              <w:spacing w:after="0"/>
              <w:rPr>
                <w:sz w:val="14"/>
                <w:szCs w:val="14"/>
                <w:color w:val="auto"/>
              </w:rPr>
            </w:pPr>
          </w:p>
        </w:tc>
        <w:tc>
          <w:tcPr>
            <w:tcW w:w="900" w:type="dxa"/>
            <w:vAlign w:val="bottom"/>
            <w:shd w:val="clear" w:color="auto" w:fill="CEFEE7"/>
          </w:tcPr>
          <w:p>
            <w:pPr>
              <w:spacing w:after="0"/>
              <w:rPr>
                <w:sz w:val="14"/>
                <w:szCs w:val="14"/>
                <w:color w:val="auto"/>
              </w:rPr>
            </w:pPr>
          </w:p>
        </w:tc>
        <w:tc>
          <w:tcPr>
            <w:tcW w:w="1040" w:type="dxa"/>
            <w:vAlign w:val="bottom"/>
            <w:shd w:val="clear" w:color="auto" w:fill="CEFEE7"/>
          </w:tcPr>
          <w:p>
            <w:pPr>
              <w:spacing w:after="0"/>
              <w:rPr>
                <w:sz w:val="14"/>
                <w:szCs w:val="14"/>
                <w:color w:val="auto"/>
              </w:rPr>
            </w:pPr>
          </w:p>
        </w:tc>
        <w:tc>
          <w:tcPr>
            <w:tcW w:w="1040" w:type="dxa"/>
            <w:vAlign w:val="bottom"/>
            <w:shd w:val="clear" w:color="auto" w:fill="CEFFE7"/>
          </w:tcPr>
          <w:p>
            <w:pPr>
              <w:spacing w:after="0"/>
              <w:rPr>
                <w:sz w:val="14"/>
                <w:szCs w:val="14"/>
                <w:color w:val="auto"/>
              </w:rPr>
            </w:pPr>
          </w:p>
        </w:tc>
        <w:tc>
          <w:tcPr>
            <w:tcW w:w="1200" w:type="dxa"/>
            <w:vAlign w:val="bottom"/>
            <w:shd w:val="clear" w:color="auto" w:fill="CEFEE7"/>
          </w:tcPr>
          <w:p>
            <w:pPr>
              <w:spacing w:after="0"/>
              <w:rPr>
                <w:sz w:val="14"/>
                <w:szCs w:val="14"/>
                <w:color w:val="auto"/>
              </w:rPr>
            </w:pPr>
          </w:p>
        </w:tc>
        <w:tc>
          <w:tcPr>
            <w:tcW w:w="1160" w:type="dxa"/>
            <w:vAlign w:val="bottom"/>
            <w:shd w:val="clear" w:color="auto" w:fill="CEFEE7"/>
          </w:tcPr>
          <w:p>
            <w:pPr>
              <w:spacing w:after="0"/>
              <w:rPr>
                <w:sz w:val="14"/>
                <w:szCs w:val="14"/>
                <w:color w:val="auto"/>
              </w:rPr>
            </w:pPr>
          </w:p>
        </w:tc>
        <w:tc>
          <w:tcPr>
            <w:tcW w:w="740" w:type="dxa"/>
            <w:vAlign w:val="bottom"/>
            <w:shd w:val="clear" w:color="auto" w:fill="CEFEE7"/>
          </w:tcPr>
          <w:p>
            <w:pPr>
              <w:spacing w:after="0"/>
              <w:rPr>
                <w:sz w:val="14"/>
                <w:szCs w:val="14"/>
                <w:color w:val="auto"/>
              </w:rPr>
            </w:pPr>
          </w:p>
        </w:tc>
        <w:tc>
          <w:tcPr>
            <w:tcW w:w="4140" w:type="dxa"/>
            <w:vAlign w:val="bottom"/>
            <w:shd w:val="clear" w:color="auto" w:fill="CEFEE7"/>
          </w:tcPr>
          <w:p>
            <w:pPr>
              <w:ind w:left="80"/>
              <w:spacing w:after="0"/>
              <w:rPr>
                <w:sz w:val="20"/>
                <w:szCs w:val="20"/>
                <w:color w:val="auto"/>
              </w:rPr>
            </w:pPr>
            <w:r>
              <w:rPr>
                <w:rFonts w:ascii="Arial" w:cs="Arial" w:eastAsia="Arial" w:hAnsi="Arial"/>
                <w:sz w:val="14"/>
                <w:szCs w:val="14"/>
                <w:color w:val="auto"/>
              </w:rPr>
              <w:t>Adjustment</w:t>
            </w: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rPr>
                <w:sz w:val="20"/>
                <w:szCs w:val="20"/>
                <w:color w:val="auto"/>
              </w:rPr>
            </w:pPr>
            <w:r>
              <w:rPr>
                <w:rFonts w:ascii="Arial" w:cs="Arial" w:eastAsia="Arial" w:hAnsi="Arial"/>
                <w:sz w:val="14"/>
                <w:szCs w:val="14"/>
                <w:color w:val="auto"/>
              </w:rPr>
              <w:t>Colorado Gas</w:t>
            </w:r>
          </w:p>
        </w:tc>
        <w:tc>
          <w:tcPr>
            <w:tcW w:w="900" w:type="dxa"/>
            <w:vAlign w:val="bottom"/>
          </w:tcPr>
          <w:p>
            <w:pPr>
              <w:ind w:left="60"/>
              <w:spacing w:after="0"/>
              <w:rPr>
                <w:sz w:val="20"/>
                <w:szCs w:val="20"/>
                <w:color w:val="auto"/>
              </w:rPr>
            </w:pPr>
            <w:r>
              <w:rPr>
                <w:rFonts w:ascii="Arial" w:cs="Arial" w:eastAsia="Arial" w:hAnsi="Arial"/>
                <w:sz w:val="14"/>
                <w:szCs w:val="14"/>
                <w:color w:val="auto"/>
              </w:rPr>
              <w:t>CO</w:t>
            </w:r>
          </w:p>
        </w:tc>
        <w:tc>
          <w:tcPr>
            <w:tcW w:w="1040" w:type="dxa"/>
            <w:vAlign w:val="bottom"/>
          </w:tcPr>
          <w:p>
            <w:pPr>
              <w:jc w:val="center"/>
              <w:spacing w:after="0"/>
              <w:rPr>
                <w:sz w:val="20"/>
                <w:szCs w:val="20"/>
                <w:color w:val="auto"/>
              </w:rPr>
            </w:pPr>
            <w:r>
              <w:rPr>
                <w:rFonts w:ascii="Arial" w:cs="Arial" w:eastAsia="Arial" w:hAnsi="Arial"/>
                <w:sz w:val="14"/>
                <w:szCs w:val="14"/>
                <w:color w:val="auto"/>
              </w:rPr>
              <w:t>9.20%</w:t>
            </w:r>
          </w:p>
        </w:tc>
        <w:tc>
          <w:tcPr>
            <w:tcW w:w="1040" w:type="dxa"/>
            <w:vAlign w:val="bottom"/>
          </w:tcPr>
          <w:p>
            <w:pPr>
              <w:jc w:val="center"/>
              <w:spacing w:after="0"/>
              <w:rPr>
                <w:sz w:val="20"/>
                <w:szCs w:val="20"/>
                <w:color w:val="auto"/>
              </w:rPr>
            </w:pPr>
            <w:r>
              <w:rPr>
                <w:rFonts w:ascii="Arial" w:cs="Arial" w:eastAsia="Arial" w:hAnsi="Arial"/>
                <w:sz w:val="14"/>
                <w:szCs w:val="14"/>
                <w:color w:val="auto"/>
              </w:rPr>
              <w:t>6.76%</w:t>
            </w:r>
          </w:p>
        </w:tc>
        <w:tc>
          <w:tcPr>
            <w:tcW w:w="1200" w:type="dxa"/>
            <w:vAlign w:val="bottom"/>
          </w:tcPr>
          <w:p>
            <w:pPr>
              <w:jc w:val="center"/>
              <w:spacing w:after="0"/>
              <w:rPr>
                <w:sz w:val="20"/>
                <w:szCs w:val="20"/>
                <w:color w:val="auto"/>
              </w:rPr>
            </w:pPr>
            <w:r>
              <w:rPr>
                <w:rFonts w:ascii="Arial" w:cs="Arial" w:eastAsia="Arial" w:hAnsi="Arial"/>
                <w:sz w:val="14"/>
                <w:szCs w:val="14"/>
                <w:color w:val="auto"/>
              </w:rPr>
              <w:t>50%/50%</w:t>
            </w:r>
          </w:p>
        </w:tc>
        <w:tc>
          <w:tcPr>
            <w:tcW w:w="1160" w:type="dxa"/>
            <w:vAlign w:val="bottom"/>
          </w:tcPr>
          <w:p>
            <w:pPr>
              <w:jc w:val="center"/>
              <w:spacing w:after="0"/>
              <w:rPr>
                <w:sz w:val="20"/>
                <w:szCs w:val="20"/>
                <w:color w:val="auto"/>
              </w:rPr>
            </w:pPr>
            <w:r>
              <w:rPr>
                <w:rFonts w:ascii="Arial" w:cs="Arial" w:eastAsia="Arial" w:hAnsi="Arial"/>
                <w:sz w:val="14"/>
                <w:szCs w:val="14"/>
                <w:color w:val="auto"/>
              </w:rPr>
              <w:t>$231.2</w:t>
            </w:r>
          </w:p>
        </w:tc>
        <w:tc>
          <w:tcPr>
            <w:tcW w:w="740" w:type="dxa"/>
            <w:vAlign w:val="bottom"/>
          </w:tcPr>
          <w:p>
            <w:pPr>
              <w:jc w:val="center"/>
              <w:spacing w:after="0"/>
              <w:rPr>
                <w:sz w:val="20"/>
                <w:szCs w:val="20"/>
                <w:color w:val="auto"/>
              </w:rPr>
            </w:pPr>
            <w:r>
              <w:rPr>
                <w:rFonts w:ascii="Arial" w:cs="Arial" w:eastAsia="Arial" w:hAnsi="Arial"/>
                <w:sz w:val="14"/>
                <w:szCs w:val="14"/>
                <w:color w:val="auto"/>
              </w:rPr>
              <w:t>7/2020</w:t>
            </w:r>
          </w:p>
        </w:tc>
        <w:tc>
          <w:tcPr>
            <w:tcW w:w="4140" w:type="dxa"/>
            <w:vAlign w:val="bottom"/>
          </w:tcPr>
          <w:p>
            <w:pPr>
              <w:ind w:left="80"/>
              <w:spacing w:after="0"/>
              <w:rPr>
                <w:sz w:val="20"/>
                <w:szCs w:val="20"/>
                <w:color w:val="auto"/>
              </w:rPr>
            </w:pPr>
            <w:r>
              <w:rPr>
                <w:rFonts w:ascii="Arial" w:cs="Arial" w:eastAsia="Arial" w:hAnsi="Arial"/>
                <w:sz w:val="14"/>
                <w:szCs w:val="14"/>
                <w:color w:val="auto"/>
              </w:rPr>
              <w:t>GCA, EECR/DSM</w:t>
            </w:r>
          </w:p>
        </w:tc>
        <w:tc>
          <w:tcPr>
            <w:tcW w:w="0" w:type="dxa"/>
            <w:vAlign w:val="bottom"/>
          </w:tcPr>
          <w:p>
            <w:pPr>
              <w:spacing w:after="0"/>
              <w:rPr>
                <w:sz w:val="1"/>
                <w:szCs w:val="1"/>
                <w:color w:val="auto"/>
              </w:rPr>
            </w:pPr>
          </w:p>
        </w:tc>
      </w:tr>
      <w:tr>
        <w:trPr>
          <w:trHeight w:val="153"/>
        </w:trPr>
        <w:tc>
          <w:tcPr>
            <w:tcW w:w="1000" w:type="dxa"/>
            <w:vAlign w:val="bottom"/>
            <w:shd w:val="clear" w:color="auto" w:fill="CEFEE7"/>
          </w:tcPr>
          <w:p>
            <w:pPr>
              <w:ind w:left="20"/>
              <w:spacing w:after="0" w:line="153" w:lineRule="exact"/>
              <w:rPr>
                <w:sz w:val="20"/>
                <w:szCs w:val="20"/>
                <w:color w:val="auto"/>
              </w:rPr>
            </w:pPr>
            <w:r>
              <w:rPr>
                <w:rFonts w:ascii="Arial" w:cs="Arial" w:eastAsia="Arial" w:hAnsi="Arial"/>
                <w:sz w:val="14"/>
                <w:szCs w:val="14"/>
                <w:color w:val="auto"/>
              </w:rPr>
              <w:t>RMNG</w:t>
            </w:r>
          </w:p>
        </w:tc>
        <w:tc>
          <w:tcPr>
            <w:tcW w:w="900" w:type="dxa"/>
            <w:vAlign w:val="bottom"/>
            <w:shd w:val="clear" w:color="auto" w:fill="CEFEE7"/>
          </w:tcPr>
          <w:p>
            <w:pPr>
              <w:ind w:left="60"/>
              <w:spacing w:after="0" w:line="153" w:lineRule="exact"/>
              <w:rPr>
                <w:sz w:val="20"/>
                <w:szCs w:val="20"/>
                <w:color w:val="auto"/>
              </w:rPr>
            </w:pPr>
            <w:r>
              <w:rPr>
                <w:rFonts w:ascii="Arial" w:cs="Arial" w:eastAsia="Arial" w:hAnsi="Arial"/>
                <w:sz w:val="14"/>
                <w:szCs w:val="14"/>
                <w:color w:val="auto"/>
              </w:rPr>
              <w:t>CO</w:t>
            </w:r>
          </w:p>
        </w:tc>
        <w:tc>
          <w:tcPr>
            <w:tcW w:w="104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9.90%</w:t>
            </w:r>
          </w:p>
        </w:tc>
        <w:tc>
          <w:tcPr>
            <w:tcW w:w="104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6.71%</w:t>
            </w:r>
          </w:p>
        </w:tc>
        <w:tc>
          <w:tcPr>
            <w:tcW w:w="120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53%/ 47%</w:t>
            </w:r>
          </w:p>
        </w:tc>
        <w:tc>
          <w:tcPr>
            <w:tcW w:w="116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$118.7</w:t>
            </w:r>
          </w:p>
        </w:tc>
        <w:tc>
          <w:tcPr>
            <w:tcW w:w="74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6/2018</w:t>
            </w:r>
          </w:p>
        </w:tc>
        <w:tc>
          <w:tcPr>
            <w:tcW w:w="4140" w:type="dxa"/>
            <w:vAlign w:val="bottom"/>
            <w:shd w:val="clear" w:color="auto" w:fill="CEFEE7"/>
          </w:tcPr>
          <w:p>
            <w:pPr>
              <w:ind w:left="80"/>
              <w:spacing w:after="0" w:line="153" w:lineRule="exact"/>
              <w:rPr>
                <w:sz w:val="20"/>
                <w:szCs w:val="20"/>
                <w:color w:val="auto"/>
              </w:rPr>
            </w:pPr>
            <w:r>
              <w:rPr>
                <w:rFonts w:ascii="Arial" w:cs="Arial" w:eastAsia="Arial" w:hAnsi="Arial"/>
                <w:sz w:val="14"/>
                <w:szCs w:val="14"/>
                <w:color w:val="auto"/>
              </w:rPr>
              <w:t>System Safety Integrity Rider, Liquids/Off-system/Market</w:t>
            </w:r>
          </w:p>
        </w:tc>
        <w:tc>
          <w:tcPr>
            <w:tcW w:w="0" w:type="dxa"/>
            <w:vAlign w:val="bottom"/>
          </w:tcPr>
          <w:p>
            <w:pPr>
              <w:spacing w:after="0"/>
              <w:rPr>
                <w:sz w:val="1"/>
                <w:szCs w:val="1"/>
                <w:color w:val="auto"/>
              </w:rPr>
            </w:pPr>
          </w:p>
        </w:tc>
      </w:tr>
      <w:tr>
        <w:trPr>
          <w:trHeight w:val="171"/>
        </w:trPr>
        <w:tc>
          <w:tcPr>
            <w:tcW w:w="1000" w:type="dxa"/>
            <w:vAlign w:val="bottom"/>
            <w:shd w:val="clear" w:color="auto" w:fill="CEFEE7"/>
          </w:tcPr>
          <w:p>
            <w:pPr>
              <w:spacing w:after="0"/>
              <w:rPr>
                <w:sz w:val="14"/>
                <w:szCs w:val="14"/>
                <w:color w:val="auto"/>
              </w:rPr>
            </w:pPr>
          </w:p>
        </w:tc>
        <w:tc>
          <w:tcPr>
            <w:tcW w:w="900" w:type="dxa"/>
            <w:vAlign w:val="bottom"/>
            <w:shd w:val="clear" w:color="auto" w:fill="CEFEE7"/>
          </w:tcPr>
          <w:p>
            <w:pPr>
              <w:spacing w:after="0"/>
              <w:rPr>
                <w:sz w:val="14"/>
                <w:szCs w:val="14"/>
                <w:color w:val="auto"/>
              </w:rPr>
            </w:pPr>
          </w:p>
        </w:tc>
        <w:tc>
          <w:tcPr>
            <w:tcW w:w="1040" w:type="dxa"/>
            <w:vAlign w:val="bottom"/>
            <w:shd w:val="clear" w:color="auto" w:fill="CEFEE7"/>
          </w:tcPr>
          <w:p>
            <w:pPr>
              <w:spacing w:after="0"/>
              <w:rPr>
                <w:sz w:val="14"/>
                <w:szCs w:val="14"/>
                <w:color w:val="auto"/>
              </w:rPr>
            </w:pPr>
          </w:p>
        </w:tc>
        <w:tc>
          <w:tcPr>
            <w:tcW w:w="1040" w:type="dxa"/>
            <w:vAlign w:val="bottom"/>
            <w:shd w:val="clear" w:color="auto" w:fill="CEFEE7"/>
          </w:tcPr>
          <w:p>
            <w:pPr>
              <w:spacing w:after="0"/>
              <w:rPr>
                <w:sz w:val="14"/>
                <w:szCs w:val="14"/>
                <w:color w:val="auto"/>
              </w:rPr>
            </w:pPr>
          </w:p>
        </w:tc>
        <w:tc>
          <w:tcPr>
            <w:tcW w:w="1200" w:type="dxa"/>
            <w:vAlign w:val="bottom"/>
            <w:shd w:val="clear" w:color="auto" w:fill="CEFEE7"/>
          </w:tcPr>
          <w:p>
            <w:pPr>
              <w:spacing w:after="0"/>
              <w:rPr>
                <w:sz w:val="14"/>
                <w:szCs w:val="14"/>
                <w:color w:val="auto"/>
              </w:rPr>
            </w:pPr>
          </w:p>
        </w:tc>
        <w:tc>
          <w:tcPr>
            <w:tcW w:w="1160" w:type="dxa"/>
            <w:vAlign w:val="bottom"/>
            <w:shd w:val="clear" w:color="auto" w:fill="CEFEE7"/>
          </w:tcPr>
          <w:p>
            <w:pPr>
              <w:spacing w:after="0"/>
              <w:rPr>
                <w:sz w:val="14"/>
                <w:szCs w:val="14"/>
                <w:color w:val="auto"/>
              </w:rPr>
            </w:pPr>
          </w:p>
        </w:tc>
        <w:tc>
          <w:tcPr>
            <w:tcW w:w="740" w:type="dxa"/>
            <w:vAlign w:val="bottom"/>
            <w:shd w:val="clear" w:color="auto" w:fill="CEFEE7"/>
          </w:tcPr>
          <w:p>
            <w:pPr>
              <w:spacing w:after="0"/>
              <w:rPr>
                <w:sz w:val="14"/>
                <w:szCs w:val="14"/>
                <w:color w:val="auto"/>
              </w:rPr>
            </w:pPr>
          </w:p>
        </w:tc>
        <w:tc>
          <w:tcPr>
            <w:tcW w:w="4140" w:type="dxa"/>
            <w:vAlign w:val="bottom"/>
            <w:shd w:val="clear" w:color="auto" w:fill="CEFEE7"/>
          </w:tcPr>
          <w:p>
            <w:pPr>
              <w:ind w:left="80"/>
              <w:spacing w:after="0"/>
              <w:rPr>
                <w:sz w:val="20"/>
                <w:szCs w:val="20"/>
                <w:color w:val="auto"/>
              </w:rPr>
            </w:pPr>
            <w:r>
              <w:rPr>
                <w:rFonts w:ascii="Arial" w:cs="Arial" w:eastAsia="Arial" w:hAnsi="Arial"/>
                <w:sz w:val="14"/>
                <w:szCs w:val="14"/>
                <w:color w:val="auto"/>
              </w:rPr>
              <w:t>Center Services Revenue Sharing</w:t>
            </w:r>
          </w:p>
        </w:tc>
        <w:tc>
          <w:tcPr>
            <w:tcW w:w="0" w:type="dxa"/>
            <w:vAlign w:val="bottom"/>
          </w:tcPr>
          <w:p>
            <w:pPr>
              <w:spacing w:after="0"/>
              <w:rPr>
                <w:sz w:val="1"/>
                <w:szCs w:val="1"/>
                <w:color w:val="auto"/>
              </w:rPr>
            </w:pPr>
          </w:p>
        </w:tc>
      </w:tr>
      <w:tr>
        <w:trPr>
          <w:trHeight w:val="153"/>
        </w:trPr>
        <w:tc>
          <w:tcPr>
            <w:tcW w:w="1000" w:type="dxa"/>
            <w:vAlign w:val="bottom"/>
          </w:tcPr>
          <w:p>
            <w:pPr>
              <w:ind w:left="20"/>
              <w:spacing w:after="0" w:line="153" w:lineRule="exact"/>
              <w:rPr>
                <w:sz w:val="20"/>
                <w:szCs w:val="20"/>
                <w:color w:val="auto"/>
              </w:rPr>
            </w:pPr>
            <w:r>
              <w:rPr>
                <w:rFonts w:ascii="Arial" w:cs="Arial" w:eastAsia="Arial" w:hAnsi="Arial"/>
                <w:sz w:val="14"/>
                <w:szCs w:val="14"/>
                <w:color w:val="auto"/>
              </w:rPr>
              <w:t>Iowa Gas</w:t>
            </w:r>
          </w:p>
        </w:tc>
        <w:tc>
          <w:tcPr>
            <w:tcW w:w="900" w:type="dxa"/>
            <w:vAlign w:val="bottom"/>
          </w:tcPr>
          <w:p>
            <w:pPr>
              <w:ind w:left="60"/>
              <w:spacing w:after="0" w:line="153" w:lineRule="exact"/>
              <w:rPr>
                <w:sz w:val="20"/>
                <w:szCs w:val="20"/>
                <w:color w:val="auto"/>
              </w:rPr>
            </w:pPr>
            <w:r>
              <w:rPr>
                <w:rFonts w:ascii="Arial" w:cs="Arial" w:eastAsia="Arial" w:hAnsi="Arial"/>
                <w:sz w:val="14"/>
                <w:szCs w:val="14"/>
                <w:color w:val="auto"/>
              </w:rPr>
              <w:t>IA</w:t>
            </w:r>
          </w:p>
        </w:tc>
        <w:tc>
          <w:tcPr>
            <w:tcW w:w="1040" w:type="dxa"/>
            <w:vAlign w:val="bottom"/>
          </w:tcPr>
          <w:p>
            <w:pPr>
              <w:jc w:val="center"/>
              <w:spacing w:after="0" w:line="153" w:lineRule="exact"/>
              <w:rPr>
                <w:sz w:val="20"/>
                <w:szCs w:val="20"/>
                <w:color w:val="auto"/>
              </w:rPr>
            </w:pPr>
            <w:r>
              <w:rPr>
                <w:rFonts w:ascii="Arial" w:cs="Arial" w:eastAsia="Arial" w:hAnsi="Arial"/>
                <w:sz w:val="14"/>
                <w:szCs w:val="14"/>
                <w:color w:val="auto"/>
              </w:rPr>
              <w:t>Global</w:t>
            </w:r>
          </w:p>
        </w:tc>
        <w:tc>
          <w:tcPr>
            <w:tcW w:w="1040" w:type="dxa"/>
            <w:vAlign w:val="bottom"/>
          </w:tcPr>
          <w:p>
            <w:pPr>
              <w:jc w:val="center"/>
              <w:spacing w:after="0" w:line="153" w:lineRule="exact"/>
              <w:rPr>
                <w:sz w:val="20"/>
                <w:szCs w:val="20"/>
                <w:color w:val="auto"/>
              </w:rPr>
            </w:pPr>
            <w:r>
              <w:rPr>
                <w:rFonts w:ascii="Arial" w:cs="Arial" w:eastAsia="Arial" w:hAnsi="Arial"/>
                <w:sz w:val="14"/>
                <w:szCs w:val="14"/>
                <w:color w:val="auto"/>
              </w:rPr>
              <w:t>Global</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Global Settlement</w:t>
            </w:r>
          </w:p>
        </w:tc>
        <w:tc>
          <w:tcPr>
            <w:tcW w:w="1160" w:type="dxa"/>
            <w:vAlign w:val="bottom"/>
          </w:tcPr>
          <w:p>
            <w:pPr>
              <w:jc w:val="center"/>
              <w:spacing w:after="0" w:line="153" w:lineRule="exact"/>
              <w:rPr>
                <w:sz w:val="20"/>
                <w:szCs w:val="20"/>
                <w:color w:val="auto"/>
              </w:rPr>
            </w:pPr>
            <w:r>
              <w:rPr>
                <w:rFonts w:ascii="Arial" w:cs="Arial" w:eastAsia="Arial" w:hAnsi="Arial"/>
                <w:sz w:val="14"/>
                <w:szCs w:val="14"/>
                <w:color w:val="auto"/>
              </w:rPr>
              <w:t>$109.2</w:t>
            </w:r>
          </w:p>
        </w:tc>
        <w:tc>
          <w:tcPr>
            <w:tcW w:w="740" w:type="dxa"/>
            <w:vAlign w:val="bottom"/>
          </w:tcPr>
          <w:p>
            <w:pPr>
              <w:jc w:val="center"/>
              <w:spacing w:after="0" w:line="153" w:lineRule="exact"/>
              <w:rPr>
                <w:sz w:val="20"/>
                <w:szCs w:val="20"/>
                <w:color w:val="auto"/>
              </w:rPr>
            </w:pPr>
            <w:r>
              <w:rPr>
                <w:rFonts w:ascii="Arial" w:cs="Arial" w:eastAsia="Arial" w:hAnsi="Arial"/>
                <w:sz w:val="14"/>
                <w:szCs w:val="14"/>
                <w:color w:val="auto"/>
              </w:rPr>
              <w:t>2/2011</w:t>
            </w:r>
          </w:p>
        </w:tc>
        <w:tc>
          <w:tcPr>
            <w:tcW w:w="4140" w:type="dxa"/>
            <w:vAlign w:val="bottom"/>
          </w:tcPr>
          <w:p>
            <w:pPr>
              <w:ind w:left="80"/>
              <w:spacing w:after="0" w:line="153" w:lineRule="exact"/>
              <w:rPr>
                <w:sz w:val="20"/>
                <w:szCs w:val="20"/>
                <w:color w:val="auto"/>
              </w:rPr>
            </w:pPr>
            <w:r>
              <w:rPr>
                <w:rFonts w:ascii="Arial" w:cs="Arial" w:eastAsia="Arial" w:hAnsi="Arial"/>
                <w:sz w:val="14"/>
                <w:szCs w:val="14"/>
                <w:color w:val="auto"/>
              </w:rPr>
              <w:t>GCA, EECR, Capital Infrastructure Automatic Adjustment</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color w:val="auto"/>
              </w:rPr>
              <w:t>Settlement</w:t>
            </w:r>
          </w:p>
        </w:tc>
        <w:tc>
          <w:tcPr>
            <w:tcW w:w="1040" w:type="dxa"/>
            <w:vAlign w:val="bottom"/>
          </w:tcPr>
          <w:p>
            <w:pPr>
              <w:jc w:val="center"/>
              <w:spacing w:after="0" w:line="135" w:lineRule="exact"/>
              <w:rPr>
                <w:sz w:val="20"/>
                <w:szCs w:val="20"/>
                <w:color w:val="auto"/>
              </w:rPr>
            </w:pPr>
            <w:r>
              <w:rPr>
                <w:rFonts w:ascii="Arial" w:cs="Arial" w:eastAsia="Arial" w:hAnsi="Arial"/>
                <w:sz w:val="14"/>
                <w:szCs w:val="14"/>
                <w:color w:val="auto"/>
              </w:rPr>
              <w:t>Settlement</w:t>
            </w:r>
          </w:p>
        </w:tc>
        <w:tc>
          <w:tcPr>
            <w:tcW w:w="1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40" w:type="dxa"/>
            <w:vAlign w:val="bottom"/>
          </w:tcPr>
          <w:p>
            <w:pPr>
              <w:ind w:left="80"/>
              <w:spacing w:after="0" w:line="135" w:lineRule="exact"/>
              <w:rPr>
                <w:sz w:val="20"/>
                <w:szCs w:val="20"/>
                <w:color w:val="auto"/>
              </w:rPr>
            </w:pPr>
            <w:r>
              <w:rPr>
                <w:rFonts w:ascii="Arial" w:cs="Arial" w:eastAsia="Arial" w:hAnsi="Arial"/>
                <w:sz w:val="14"/>
                <w:szCs w:val="14"/>
                <w:color w:val="auto"/>
              </w:rPr>
              <w:t>Mechanism, Farm Tap Tracker Adjustment, Gas Supply</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ind w:left="80"/>
              <w:spacing w:after="0"/>
              <w:rPr>
                <w:sz w:val="20"/>
                <w:szCs w:val="20"/>
                <w:color w:val="auto"/>
              </w:rPr>
            </w:pPr>
            <w:r>
              <w:rPr>
                <w:rFonts w:ascii="Arial" w:cs="Arial" w:eastAsia="Arial" w:hAnsi="Arial"/>
                <w:sz w:val="14"/>
                <w:szCs w:val="14"/>
                <w:color w:val="auto"/>
              </w:rPr>
              <w:t>Optimization revenue sharing</w:t>
            </w:r>
          </w:p>
        </w:tc>
        <w:tc>
          <w:tcPr>
            <w:tcW w:w="0" w:type="dxa"/>
            <w:vAlign w:val="bottom"/>
          </w:tcPr>
          <w:p>
            <w:pPr>
              <w:spacing w:after="0"/>
              <w:rPr>
                <w:sz w:val="1"/>
                <w:szCs w:val="1"/>
                <w:color w:val="auto"/>
              </w:rPr>
            </w:pPr>
          </w:p>
        </w:tc>
      </w:tr>
      <w:tr>
        <w:trPr>
          <w:trHeight w:val="153"/>
        </w:trPr>
        <w:tc>
          <w:tcPr>
            <w:tcW w:w="1000" w:type="dxa"/>
            <w:vAlign w:val="bottom"/>
            <w:shd w:val="clear" w:color="auto" w:fill="CEFEE7"/>
          </w:tcPr>
          <w:p>
            <w:pPr>
              <w:ind w:left="20"/>
              <w:spacing w:after="0" w:line="153" w:lineRule="exact"/>
              <w:rPr>
                <w:sz w:val="20"/>
                <w:szCs w:val="20"/>
                <w:color w:val="auto"/>
              </w:rPr>
            </w:pPr>
            <w:r>
              <w:rPr>
                <w:rFonts w:ascii="Arial" w:cs="Arial" w:eastAsia="Arial" w:hAnsi="Arial"/>
                <w:sz w:val="14"/>
                <w:szCs w:val="14"/>
                <w:color w:val="auto"/>
              </w:rPr>
              <w:t>Kansas Gas</w:t>
            </w:r>
          </w:p>
        </w:tc>
        <w:tc>
          <w:tcPr>
            <w:tcW w:w="900" w:type="dxa"/>
            <w:vAlign w:val="bottom"/>
            <w:shd w:val="clear" w:color="auto" w:fill="CEFEE7"/>
          </w:tcPr>
          <w:p>
            <w:pPr>
              <w:ind w:left="60"/>
              <w:spacing w:after="0" w:line="153" w:lineRule="exact"/>
              <w:rPr>
                <w:sz w:val="20"/>
                <w:szCs w:val="20"/>
                <w:color w:val="auto"/>
              </w:rPr>
            </w:pPr>
            <w:r>
              <w:rPr>
                <w:rFonts w:ascii="Arial" w:cs="Arial" w:eastAsia="Arial" w:hAnsi="Arial"/>
                <w:sz w:val="14"/>
                <w:szCs w:val="14"/>
                <w:color w:val="auto"/>
              </w:rPr>
              <w:t>KS</w:t>
            </w:r>
          </w:p>
        </w:tc>
        <w:tc>
          <w:tcPr>
            <w:tcW w:w="104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Global</w:t>
            </w:r>
          </w:p>
        </w:tc>
        <w:tc>
          <w:tcPr>
            <w:tcW w:w="104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Global</w:t>
            </w:r>
          </w:p>
        </w:tc>
        <w:tc>
          <w:tcPr>
            <w:tcW w:w="120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Global Settlement</w:t>
            </w:r>
          </w:p>
        </w:tc>
        <w:tc>
          <w:tcPr>
            <w:tcW w:w="116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$127.9</w:t>
            </w:r>
          </w:p>
        </w:tc>
        <w:tc>
          <w:tcPr>
            <w:tcW w:w="74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1/2015</w:t>
            </w:r>
          </w:p>
        </w:tc>
        <w:tc>
          <w:tcPr>
            <w:tcW w:w="4140" w:type="dxa"/>
            <w:vAlign w:val="bottom"/>
            <w:shd w:val="clear" w:color="auto" w:fill="CEFEE7"/>
          </w:tcPr>
          <w:p>
            <w:pPr>
              <w:ind w:left="80"/>
              <w:spacing w:after="0" w:line="153" w:lineRule="exact"/>
              <w:rPr>
                <w:sz w:val="20"/>
                <w:szCs w:val="20"/>
                <w:color w:val="auto"/>
              </w:rPr>
            </w:pPr>
            <w:r>
              <w:rPr>
                <w:rFonts w:ascii="Arial" w:cs="Arial" w:eastAsia="Arial" w:hAnsi="Arial"/>
                <w:sz w:val="14"/>
                <w:szCs w:val="14"/>
                <w:color w:val="auto"/>
              </w:rPr>
              <w:t>GCA, Weather Normalization Tariff, Gas System Reliability</w:t>
            </w:r>
          </w:p>
        </w:tc>
        <w:tc>
          <w:tcPr>
            <w:tcW w:w="0" w:type="dxa"/>
            <w:vAlign w:val="bottom"/>
          </w:tcPr>
          <w:p>
            <w:pPr>
              <w:spacing w:after="0"/>
              <w:rPr>
                <w:sz w:val="1"/>
                <w:szCs w:val="1"/>
                <w:color w:val="auto"/>
              </w:rPr>
            </w:pPr>
          </w:p>
        </w:tc>
      </w:tr>
      <w:tr>
        <w:trPr>
          <w:trHeight w:val="135"/>
        </w:trPr>
        <w:tc>
          <w:tcPr>
            <w:tcW w:w="1000" w:type="dxa"/>
            <w:vAlign w:val="bottom"/>
            <w:shd w:val="clear" w:color="auto" w:fill="CEFEE7"/>
          </w:tcPr>
          <w:p>
            <w:pPr>
              <w:spacing w:after="0"/>
              <w:rPr>
                <w:sz w:val="11"/>
                <w:szCs w:val="11"/>
                <w:color w:val="auto"/>
              </w:rPr>
            </w:pPr>
          </w:p>
        </w:tc>
        <w:tc>
          <w:tcPr>
            <w:tcW w:w="900" w:type="dxa"/>
            <w:vAlign w:val="bottom"/>
            <w:shd w:val="clear" w:color="auto" w:fill="CEFEE7"/>
          </w:tcPr>
          <w:p>
            <w:pPr>
              <w:spacing w:after="0"/>
              <w:rPr>
                <w:sz w:val="11"/>
                <w:szCs w:val="11"/>
                <w:color w:val="auto"/>
              </w:rPr>
            </w:pPr>
          </w:p>
        </w:tc>
        <w:tc>
          <w:tcPr>
            <w:tcW w:w="1040" w:type="dxa"/>
            <w:vAlign w:val="bottom"/>
            <w:shd w:val="clear" w:color="auto" w:fill="CEFEE7"/>
          </w:tcPr>
          <w:p>
            <w:pPr>
              <w:jc w:val="center"/>
              <w:spacing w:after="0" w:line="135" w:lineRule="exact"/>
              <w:rPr>
                <w:sz w:val="20"/>
                <w:szCs w:val="20"/>
                <w:color w:val="auto"/>
              </w:rPr>
            </w:pPr>
            <w:r>
              <w:rPr>
                <w:rFonts w:ascii="Arial" w:cs="Arial" w:eastAsia="Arial" w:hAnsi="Arial"/>
                <w:sz w:val="14"/>
                <w:szCs w:val="14"/>
                <w:color w:val="auto"/>
              </w:rPr>
              <w:t>Settlement</w:t>
            </w:r>
          </w:p>
        </w:tc>
        <w:tc>
          <w:tcPr>
            <w:tcW w:w="1040" w:type="dxa"/>
            <w:vAlign w:val="bottom"/>
            <w:shd w:val="clear" w:color="auto" w:fill="CEFEE7"/>
          </w:tcPr>
          <w:p>
            <w:pPr>
              <w:jc w:val="center"/>
              <w:spacing w:after="0" w:line="135" w:lineRule="exact"/>
              <w:rPr>
                <w:sz w:val="20"/>
                <w:szCs w:val="20"/>
                <w:color w:val="auto"/>
              </w:rPr>
            </w:pPr>
            <w:r>
              <w:rPr>
                <w:rFonts w:ascii="Arial" w:cs="Arial" w:eastAsia="Arial" w:hAnsi="Arial"/>
                <w:sz w:val="14"/>
                <w:szCs w:val="14"/>
                <w:color w:val="auto"/>
              </w:rPr>
              <w:t>Settlement</w:t>
            </w:r>
          </w:p>
        </w:tc>
        <w:tc>
          <w:tcPr>
            <w:tcW w:w="1200" w:type="dxa"/>
            <w:vAlign w:val="bottom"/>
            <w:shd w:val="clear" w:color="auto" w:fill="CEFEE7"/>
          </w:tcPr>
          <w:p>
            <w:pPr>
              <w:spacing w:after="0"/>
              <w:rPr>
                <w:sz w:val="11"/>
                <w:szCs w:val="11"/>
                <w:color w:val="auto"/>
              </w:rPr>
            </w:pPr>
          </w:p>
        </w:tc>
        <w:tc>
          <w:tcPr>
            <w:tcW w:w="1160" w:type="dxa"/>
            <w:vAlign w:val="bottom"/>
            <w:shd w:val="clear" w:color="auto" w:fill="CEFEE7"/>
          </w:tcPr>
          <w:p>
            <w:pPr>
              <w:spacing w:after="0"/>
              <w:rPr>
                <w:sz w:val="11"/>
                <w:szCs w:val="11"/>
                <w:color w:val="auto"/>
              </w:rPr>
            </w:pPr>
          </w:p>
        </w:tc>
        <w:tc>
          <w:tcPr>
            <w:tcW w:w="740" w:type="dxa"/>
            <w:vAlign w:val="bottom"/>
            <w:shd w:val="clear" w:color="auto" w:fill="CEFEE7"/>
          </w:tcPr>
          <w:p>
            <w:pPr>
              <w:spacing w:after="0"/>
              <w:rPr>
                <w:sz w:val="11"/>
                <w:szCs w:val="11"/>
                <w:color w:val="auto"/>
              </w:rPr>
            </w:pPr>
          </w:p>
        </w:tc>
        <w:tc>
          <w:tcPr>
            <w:tcW w:w="4140" w:type="dxa"/>
            <w:vAlign w:val="bottom"/>
            <w:shd w:val="clear" w:color="auto" w:fill="CEFEE7"/>
          </w:tcPr>
          <w:p>
            <w:pPr>
              <w:ind w:left="80"/>
              <w:spacing w:after="0" w:line="135" w:lineRule="exact"/>
              <w:rPr>
                <w:sz w:val="20"/>
                <w:szCs w:val="20"/>
                <w:color w:val="auto"/>
              </w:rPr>
            </w:pPr>
            <w:r>
              <w:rPr>
                <w:rFonts w:ascii="Arial" w:cs="Arial" w:eastAsia="Arial" w:hAnsi="Arial"/>
                <w:sz w:val="14"/>
                <w:szCs w:val="14"/>
                <w:color w:val="auto"/>
              </w:rPr>
              <w:t>Surcharge, Ad Valorem Tax Surcharge, Cost of Bad Debt</w:t>
            </w:r>
          </w:p>
        </w:tc>
        <w:tc>
          <w:tcPr>
            <w:tcW w:w="0" w:type="dxa"/>
            <w:vAlign w:val="bottom"/>
          </w:tcPr>
          <w:p>
            <w:pPr>
              <w:spacing w:after="0"/>
              <w:rPr>
                <w:sz w:val="1"/>
                <w:szCs w:val="1"/>
                <w:color w:val="auto"/>
              </w:rPr>
            </w:pPr>
          </w:p>
        </w:tc>
      </w:tr>
      <w:tr>
        <w:trPr>
          <w:trHeight w:val="171"/>
        </w:trPr>
        <w:tc>
          <w:tcPr>
            <w:tcW w:w="1000" w:type="dxa"/>
            <w:vAlign w:val="bottom"/>
            <w:shd w:val="clear" w:color="auto" w:fill="CEFEE7"/>
          </w:tcPr>
          <w:p>
            <w:pPr>
              <w:spacing w:after="0"/>
              <w:rPr>
                <w:sz w:val="14"/>
                <w:szCs w:val="14"/>
                <w:color w:val="auto"/>
              </w:rPr>
            </w:pPr>
          </w:p>
        </w:tc>
        <w:tc>
          <w:tcPr>
            <w:tcW w:w="900" w:type="dxa"/>
            <w:vAlign w:val="bottom"/>
            <w:shd w:val="clear" w:color="auto" w:fill="CEFEE7"/>
          </w:tcPr>
          <w:p>
            <w:pPr>
              <w:spacing w:after="0"/>
              <w:rPr>
                <w:sz w:val="14"/>
                <w:szCs w:val="14"/>
                <w:color w:val="auto"/>
              </w:rPr>
            </w:pPr>
          </w:p>
        </w:tc>
        <w:tc>
          <w:tcPr>
            <w:tcW w:w="1040" w:type="dxa"/>
            <w:vAlign w:val="bottom"/>
            <w:shd w:val="clear" w:color="auto" w:fill="CEFEE7"/>
          </w:tcPr>
          <w:p>
            <w:pPr>
              <w:spacing w:after="0"/>
              <w:rPr>
                <w:sz w:val="14"/>
                <w:szCs w:val="14"/>
                <w:color w:val="auto"/>
              </w:rPr>
            </w:pPr>
          </w:p>
        </w:tc>
        <w:tc>
          <w:tcPr>
            <w:tcW w:w="1040" w:type="dxa"/>
            <w:vAlign w:val="bottom"/>
            <w:shd w:val="clear" w:color="auto" w:fill="CEFEE7"/>
          </w:tcPr>
          <w:p>
            <w:pPr>
              <w:spacing w:after="0"/>
              <w:rPr>
                <w:sz w:val="14"/>
                <w:szCs w:val="14"/>
                <w:color w:val="auto"/>
              </w:rPr>
            </w:pPr>
          </w:p>
        </w:tc>
        <w:tc>
          <w:tcPr>
            <w:tcW w:w="1200" w:type="dxa"/>
            <w:vAlign w:val="bottom"/>
            <w:shd w:val="clear" w:color="auto" w:fill="CEFEE7"/>
          </w:tcPr>
          <w:p>
            <w:pPr>
              <w:spacing w:after="0"/>
              <w:rPr>
                <w:sz w:val="14"/>
                <w:szCs w:val="14"/>
                <w:color w:val="auto"/>
              </w:rPr>
            </w:pPr>
          </w:p>
        </w:tc>
        <w:tc>
          <w:tcPr>
            <w:tcW w:w="1160" w:type="dxa"/>
            <w:vAlign w:val="bottom"/>
            <w:shd w:val="clear" w:color="auto" w:fill="CEFEE7"/>
          </w:tcPr>
          <w:p>
            <w:pPr>
              <w:spacing w:after="0"/>
              <w:rPr>
                <w:sz w:val="14"/>
                <w:szCs w:val="14"/>
                <w:color w:val="auto"/>
              </w:rPr>
            </w:pPr>
          </w:p>
        </w:tc>
        <w:tc>
          <w:tcPr>
            <w:tcW w:w="740" w:type="dxa"/>
            <w:vAlign w:val="bottom"/>
            <w:shd w:val="clear" w:color="auto" w:fill="CEFEE7"/>
          </w:tcPr>
          <w:p>
            <w:pPr>
              <w:spacing w:after="0"/>
              <w:rPr>
                <w:sz w:val="14"/>
                <w:szCs w:val="14"/>
                <w:color w:val="auto"/>
              </w:rPr>
            </w:pPr>
          </w:p>
        </w:tc>
        <w:tc>
          <w:tcPr>
            <w:tcW w:w="4140" w:type="dxa"/>
            <w:vAlign w:val="bottom"/>
            <w:shd w:val="clear" w:color="auto" w:fill="CEFEE7"/>
          </w:tcPr>
          <w:p>
            <w:pPr>
              <w:ind w:left="80"/>
              <w:spacing w:after="0"/>
              <w:rPr>
                <w:sz w:val="20"/>
                <w:szCs w:val="20"/>
                <w:color w:val="auto"/>
              </w:rPr>
            </w:pPr>
            <w:r>
              <w:rPr>
                <w:rFonts w:ascii="Arial" w:cs="Arial" w:eastAsia="Arial" w:hAnsi="Arial"/>
                <w:sz w:val="14"/>
                <w:szCs w:val="14"/>
                <w:color w:val="auto"/>
              </w:rPr>
              <w:t>Collected through GCA, Pension Levelized Adjustment</w:t>
            </w:r>
          </w:p>
        </w:tc>
        <w:tc>
          <w:tcPr>
            <w:tcW w:w="0" w:type="dxa"/>
            <w:vAlign w:val="bottom"/>
          </w:tcPr>
          <w:p>
            <w:pPr>
              <w:spacing w:after="0"/>
              <w:rPr>
                <w:sz w:val="1"/>
                <w:szCs w:val="1"/>
                <w:color w:val="auto"/>
              </w:rPr>
            </w:pPr>
          </w:p>
        </w:tc>
      </w:tr>
      <w:tr>
        <w:trPr>
          <w:trHeight w:val="148"/>
        </w:trPr>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Nebraska Gas</w:t>
            </w:r>
          </w:p>
        </w:tc>
        <w:tc>
          <w:tcPr>
            <w:tcW w:w="900" w:type="dxa"/>
            <w:vAlign w:val="bottom"/>
          </w:tcPr>
          <w:p>
            <w:pPr>
              <w:ind w:left="60"/>
              <w:spacing w:after="0" w:line="149" w:lineRule="exact"/>
              <w:rPr>
                <w:sz w:val="20"/>
                <w:szCs w:val="20"/>
                <w:color w:val="auto"/>
              </w:rPr>
            </w:pPr>
            <w:r>
              <w:rPr>
                <w:rFonts w:ascii="Arial" w:cs="Arial" w:eastAsia="Arial" w:hAnsi="Arial"/>
                <w:sz w:val="14"/>
                <w:szCs w:val="14"/>
                <w:color w:val="auto"/>
              </w:rPr>
              <w:t>NE</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9.50%</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6.71%</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rPr>
              <w:t>50%/50%</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rPr>
              <w:t>$504.2</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3/2021</w:t>
            </w:r>
          </w:p>
        </w:tc>
        <w:tc>
          <w:tcPr>
            <w:tcW w:w="4140" w:type="dxa"/>
            <w:vAlign w:val="bottom"/>
          </w:tcPr>
          <w:p>
            <w:pPr>
              <w:ind w:left="80"/>
              <w:spacing w:after="0" w:line="149" w:lineRule="exact"/>
              <w:rPr>
                <w:sz w:val="20"/>
                <w:szCs w:val="20"/>
                <w:color w:val="auto"/>
              </w:rPr>
            </w:pPr>
            <w:r>
              <w:rPr>
                <w:rFonts w:ascii="Arial" w:cs="Arial" w:eastAsia="Arial" w:hAnsi="Arial"/>
                <w:sz w:val="14"/>
                <w:szCs w:val="14"/>
                <w:color w:val="auto"/>
              </w:rPr>
              <w:t>GCA, Cost of Bad Debt Collected through GCA, Infrastructure</w:t>
            </w:r>
          </w:p>
        </w:tc>
        <w:tc>
          <w:tcPr>
            <w:tcW w:w="0" w:type="dxa"/>
            <w:vAlign w:val="bottom"/>
          </w:tcPr>
          <w:p>
            <w:pPr>
              <w:spacing w:after="0"/>
              <w:rPr>
                <w:sz w:val="1"/>
                <w:szCs w:val="1"/>
                <w:color w:val="auto"/>
              </w:rPr>
            </w:pPr>
          </w:p>
        </w:tc>
      </w:tr>
      <w:tr>
        <w:trPr>
          <w:trHeight w:val="140"/>
        </w:trPr>
        <w:tc>
          <w:tcPr>
            <w:tcW w:w="1000" w:type="dxa"/>
            <w:vAlign w:val="bottom"/>
          </w:tcPr>
          <w:p>
            <w:pPr>
              <w:ind w:left="20"/>
              <w:spacing w:after="0"/>
              <w:rPr>
                <w:sz w:val="20"/>
                <w:szCs w:val="20"/>
                <w:color w:val="auto"/>
              </w:rPr>
            </w:pPr>
            <w:r>
              <w:rPr>
                <w:rFonts w:ascii="Arial" w:cs="Arial" w:eastAsia="Arial" w:hAnsi="Arial"/>
                <w:sz w:val="9"/>
                <w:szCs w:val="9"/>
                <w:color w:val="auto"/>
              </w:rPr>
              <w:t>(c) (d)</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ind w:left="80"/>
              <w:spacing w:after="0" w:line="140" w:lineRule="exact"/>
              <w:rPr>
                <w:sz w:val="20"/>
                <w:szCs w:val="20"/>
                <w:color w:val="auto"/>
              </w:rPr>
            </w:pPr>
            <w:r>
              <w:rPr>
                <w:rFonts w:ascii="Arial" w:cs="Arial" w:eastAsia="Arial" w:hAnsi="Arial"/>
                <w:sz w:val="14"/>
                <w:szCs w:val="14"/>
                <w:color w:val="auto"/>
              </w:rPr>
              <w:t>System Replacement Cost Recovery Surcharge, Choice Gas</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40" w:type="dxa"/>
            <w:vAlign w:val="bottom"/>
          </w:tcPr>
          <w:p>
            <w:pPr>
              <w:ind w:left="80"/>
              <w:spacing w:after="0" w:line="135" w:lineRule="exact"/>
              <w:rPr>
                <w:sz w:val="20"/>
                <w:szCs w:val="20"/>
                <w:color w:val="auto"/>
              </w:rPr>
            </w:pPr>
            <w:r>
              <w:rPr>
                <w:rFonts w:ascii="Arial" w:cs="Arial" w:eastAsia="Arial" w:hAnsi="Arial"/>
                <w:sz w:val="14"/>
                <w:szCs w:val="14"/>
                <w:color w:val="auto"/>
              </w:rPr>
              <w:t>Program, System Safety and Integrity Rider, Bad Debt</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ind w:left="80"/>
              <w:spacing w:after="0"/>
              <w:rPr>
                <w:sz w:val="20"/>
                <w:szCs w:val="20"/>
                <w:color w:val="auto"/>
              </w:rPr>
            </w:pPr>
            <w:r>
              <w:rPr>
                <w:rFonts w:ascii="Arial" w:cs="Arial" w:eastAsia="Arial" w:hAnsi="Arial"/>
                <w:sz w:val="14"/>
                <w:szCs w:val="14"/>
                <w:color w:val="auto"/>
              </w:rPr>
              <w:t>expense recovered through Choice Supplier Fee</w:t>
            </w:r>
          </w:p>
        </w:tc>
        <w:tc>
          <w:tcPr>
            <w:tcW w:w="0" w:type="dxa"/>
            <w:vAlign w:val="bottom"/>
          </w:tcPr>
          <w:p>
            <w:pPr>
              <w:spacing w:after="0"/>
              <w:rPr>
                <w:sz w:val="1"/>
                <w:szCs w:val="1"/>
                <w:color w:val="auto"/>
              </w:rPr>
            </w:pPr>
          </w:p>
        </w:tc>
      </w:tr>
      <w:tr>
        <w:trPr>
          <w:trHeight w:val="153"/>
        </w:trPr>
        <w:tc>
          <w:tcPr>
            <w:tcW w:w="1000" w:type="dxa"/>
            <w:vAlign w:val="bottom"/>
            <w:shd w:val="clear" w:color="auto" w:fill="CEFEE7"/>
          </w:tcPr>
          <w:p>
            <w:pPr>
              <w:ind w:left="20"/>
              <w:spacing w:after="0" w:line="154" w:lineRule="exact"/>
              <w:rPr>
                <w:sz w:val="20"/>
                <w:szCs w:val="20"/>
                <w:color w:val="auto"/>
              </w:rPr>
            </w:pPr>
            <w:r>
              <w:rPr>
                <w:rFonts w:ascii="Arial" w:cs="Arial" w:eastAsia="Arial" w:hAnsi="Arial"/>
                <w:sz w:val="17"/>
                <w:szCs w:val="17"/>
                <w:color w:val="auto"/>
                <w:w w:val="94"/>
                <w:vertAlign w:val="subscript"/>
              </w:rPr>
              <w:t>(d)</w:t>
            </w:r>
            <w:r>
              <w:rPr>
                <w:rFonts w:ascii="Arial" w:cs="Arial" w:eastAsia="Arial" w:hAnsi="Arial"/>
                <w:sz w:val="14"/>
                <w:szCs w:val="14"/>
                <w:color w:val="auto"/>
                <w:w w:val="94"/>
              </w:rPr>
              <w:t>Wyoming Gas</w:t>
            </w:r>
          </w:p>
        </w:tc>
        <w:tc>
          <w:tcPr>
            <w:tcW w:w="900" w:type="dxa"/>
            <w:vAlign w:val="bottom"/>
            <w:shd w:val="clear" w:color="auto" w:fill="CEFEE7"/>
          </w:tcPr>
          <w:p>
            <w:pPr>
              <w:ind w:left="60"/>
              <w:spacing w:after="0" w:line="153" w:lineRule="exact"/>
              <w:rPr>
                <w:sz w:val="20"/>
                <w:szCs w:val="20"/>
                <w:color w:val="auto"/>
              </w:rPr>
            </w:pPr>
            <w:r>
              <w:rPr>
                <w:rFonts w:ascii="Arial" w:cs="Arial" w:eastAsia="Arial" w:hAnsi="Arial"/>
                <w:sz w:val="14"/>
                <w:szCs w:val="14"/>
                <w:color w:val="auto"/>
              </w:rPr>
              <w:t>WY</w:t>
            </w:r>
          </w:p>
        </w:tc>
        <w:tc>
          <w:tcPr>
            <w:tcW w:w="104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9.40%</w:t>
            </w:r>
          </w:p>
        </w:tc>
        <w:tc>
          <w:tcPr>
            <w:tcW w:w="104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6.98%</w:t>
            </w:r>
          </w:p>
        </w:tc>
        <w:tc>
          <w:tcPr>
            <w:tcW w:w="120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50%/50%</w:t>
            </w:r>
          </w:p>
        </w:tc>
        <w:tc>
          <w:tcPr>
            <w:tcW w:w="116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$354.4</w:t>
            </w:r>
          </w:p>
        </w:tc>
        <w:tc>
          <w:tcPr>
            <w:tcW w:w="740" w:type="dxa"/>
            <w:vAlign w:val="bottom"/>
            <w:shd w:val="clear" w:color="auto" w:fill="CEFEE7"/>
          </w:tcPr>
          <w:p>
            <w:pPr>
              <w:jc w:val="center"/>
              <w:spacing w:after="0" w:line="153" w:lineRule="exact"/>
              <w:rPr>
                <w:sz w:val="20"/>
                <w:szCs w:val="20"/>
                <w:color w:val="auto"/>
              </w:rPr>
            </w:pPr>
            <w:r>
              <w:rPr>
                <w:rFonts w:ascii="Arial" w:cs="Arial" w:eastAsia="Arial" w:hAnsi="Arial"/>
                <w:sz w:val="14"/>
                <w:szCs w:val="14"/>
                <w:color w:val="auto"/>
              </w:rPr>
              <w:t>3/2020</w:t>
            </w:r>
          </w:p>
        </w:tc>
        <w:tc>
          <w:tcPr>
            <w:tcW w:w="4140" w:type="dxa"/>
            <w:vAlign w:val="bottom"/>
            <w:shd w:val="clear" w:color="auto" w:fill="CEFEE7"/>
          </w:tcPr>
          <w:p>
            <w:pPr>
              <w:ind w:left="80"/>
              <w:spacing w:after="0" w:line="153" w:lineRule="exact"/>
              <w:rPr>
                <w:sz w:val="20"/>
                <w:szCs w:val="20"/>
                <w:color w:val="auto"/>
              </w:rPr>
            </w:pPr>
            <w:r>
              <w:rPr>
                <w:rFonts w:ascii="Arial" w:cs="Arial" w:eastAsia="Arial" w:hAnsi="Arial"/>
                <w:sz w:val="14"/>
                <w:szCs w:val="14"/>
                <w:color w:val="auto"/>
              </w:rPr>
              <w:t>GCA, EECR, Rate Base Recovery on Acquisition Adjustment,</w:t>
            </w:r>
          </w:p>
        </w:tc>
        <w:tc>
          <w:tcPr>
            <w:tcW w:w="0" w:type="dxa"/>
            <w:vAlign w:val="bottom"/>
          </w:tcPr>
          <w:p>
            <w:pPr>
              <w:spacing w:after="0"/>
              <w:rPr>
                <w:sz w:val="1"/>
                <w:szCs w:val="1"/>
                <w:color w:val="auto"/>
              </w:rPr>
            </w:pPr>
          </w:p>
        </w:tc>
      </w:tr>
      <w:tr>
        <w:trPr>
          <w:trHeight w:val="171"/>
        </w:trPr>
        <w:tc>
          <w:tcPr>
            <w:tcW w:w="1000" w:type="dxa"/>
            <w:vAlign w:val="bottom"/>
            <w:shd w:val="clear" w:color="auto" w:fill="CEFEE7"/>
          </w:tcPr>
          <w:p>
            <w:pPr>
              <w:spacing w:after="0"/>
              <w:rPr>
                <w:sz w:val="14"/>
                <w:szCs w:val="14"/>
                <w:color w:val="auto"/>
              </w:rPr>
            </w:pPr>
          </w:p>
        </w:tc>
        <w:tc>
          <w:tcPr>
            <w:tcW w:w="900" w:type="dxa"/>
            <w:vAlign w:val="bottom"/>
            <w:shd w:val="clear" w:color="auto" w:fill="CEFEE7"/>
          </w:tcPr>
          <w:p>
            <w:pPr>
              <w:spacing w:after="0"/>
              <w:rPr>
                <w:sz w:val="14"/>
                <w:szCs w:val="14"/>
                <w:color w:val="auto"/>
              </w:rPr>
            </w:pPr>
          </w:p>
        </w:tc>
        <w:tc>
          <w:tcPr>
            <w:tcW w:w="1040" w:type="dxa"/>
            <w:vAlign w:val="bottom"/>
            <w:shd w:val="clear" w:color="auto" w:fill="CEFEE7"/>
          </w:tcPr>
          <w:p>
            <w:pPr>
              <w:spacing w:after="0"/>
              <w:rPr>
                <w:sz w:val="14"/>
                <w:szCs w:val="14"/>
                <w:color w:val="auto"/>
              </w:rPr>
            </w:pPr>
          </w:p>
        </w:tc>
        <w:tc>
          <w:tcPr>
            <w:tcW w:w="1040" w:type="dxa"/>
            <w:vAlign w:val="bottom"/>
            <w:shd w:val="clear" w:color="auto" w:fill="CEFEE7"/>
          </w:tcPr>
          <w:p>
            <w:pPr>
              <w:spacing w:after="0"/>
              <w:rPr>
                <w:sz w:val="14"/>
                <w:szCs w:val="14"/>
                <w:color w:val="auto"/>
              </w:rPr>
            </w:pPr>
          </w:p>
        </w:tc>
        <w:tc>
          <w:tcPr>
            <w:tcW w:w="1200" w:type="dxa"/>
            <w:vAlign w:val="bottom"/>
            <w:shd w:val="clear" w:color="auto" w:fill="CEFEE7"/>
          </w:tcPr>
          <w:p>
            <w:pPr>
              <w:spacing w:after="0"/>
              <w:rPr>
                <w:sz w:val="14"/>
                <w:szCs w:val="14"/>
                <w:color w:val="auto"/>
              </w:rPr>
            </w:pPr>
          </w:p>
        </w:tc>
        <w:tc>
          <w:tcPr>
            <w:tcW w:w="1160" w:type="dxa"/>
            <w:vAlign w:val="bottom"/>
            <w:shd w:val="clear" w:color="auto" w:fill="CEFEE7"/>
          </w:tcPr>
          <w:p>
            <w:pPr>
              <w:spacing w:after="0"/>
              <w:rPr>
                <w:sz w:val="14"/>
                <w:szCs w:val="14"/>
                <w:color w:val="auto"/>
              </w:rPr>
            </w:pPr>
          </w:p>
        </w:tc>
        <w:tc>
          <w:tcPr>
            <w:tcW w:w="740" w:type="dxa"/>
            <w:vAlign w:val="bottom"/>
            <w:shd w:val="clear" w:color="auto" w:fill="CEFEE7"/>
          </w:tcPr>
          <w:p>
            <w:pPr>
              <w:spacing w:after="0"/>
              <w:rPr>
                <w:sz w:val="14"/>
                <w:szCs w:val="14"/>
                <w:color w:val="auto"/>
              </w:rPr>
            </w:pPr>
          </w:p>
        </w:tc>
        <w:tc>
          <w:tcPr>
            <w:tcW w:w="4140" w:type="dxa"/>
            <w:vAlign w:val="bottom"/>
            <w:shd w:val="clear" w:color="auto" w:fill="CEFEE7"/>
          </w:tcPr>
          <w:p>
            <w:pPr>
              <w:ind w:left="80"/>
              <w:spacing w:after="0"/>
              <w:rPr>
                <w:sz w:val="20"/>
                <w:szCs w:val="20"/>
                <w:color w:val="auto"/>
              </w:rPr>
            </w:pPr>
            <w:r>
              <w:rPr>
                <w:rFonts w:ascii="Arial" w:cs="Arial" w:eastAsia="Arial" w:hAnsi="Arial"/>
                <w:sz w:val="14"/>
                <w:szCs w:val="14"/>
                <w:color w:val="auto"/>
              </w:rPr>
              <w:t>Wyoming Integrity Rider, Choice Gas Program</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Arkansas Gas return on rate base is adjusted to remove current liabilities from rate review capital structure for comparison with other subsidiaries.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Arkansas Gas rate base is adjusted to include current liabilities for comparison with other subsidiaries.</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44"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Information above reflects the NPSC order received on January 26, 2021. For additional information, see </w:t>
      </w:r>
      <w:hyperlink w:anchor="page81">
        <w:r>
          <w:rPr>
            <w:rFonts w:ascii="Arial" w:cs="Arial" w:eastAsia="Arial" w:hAnsi="Arial"/>
            <w:sz w:val="14"/>
            <w:szCs w:val="14"/>
            <w:u w:val="single" w:color="auto"/>
            <w:color w:val="0000FF"/>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Choice Gas Program mechanisms are applicable to only a portion of Nebraska Gas and Wyoming Gas customers.</w:t>
      </w:r>
    </w:p>
    <w:p>
      <w:pPr>
        <w:spacing w:after="0" w:line="24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All of our Gas Utilities, except where the Choice Gas Program is the only option, have GCAs that allow us to pass the prudently-incurred cost of gas and certain services through to the customer between rate reviews. Some of the mechanisms we have in place include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Cost Recovery Mechanisms</w:t>
            </w:r>
          </w:p>
        </w:tc>
        <w:tc>
          <w:tcPr>
            <w:tcW w:w="1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640" w:type="dxa"/>
            <w:vAlign w:val="bottom"/>
          </w:tcPr>
          <w:p>
            <w:pPr>
              <w:ind w:left="20"/>
              <w:spacing w:after="0"/>
              <w:rPr>
                <w:sz w:val="20"/>
                <w:szCs w:val="20"/>
                <w:color w:val="auto"/>
              </w:rPr>
            </w:pPr>
            <w:r>
              <w:rPr>
                <w:rFonts w:ascii="Arial" w:cs="Arial" w:eastAsia="Arial" w:hAnsi="Arial"/>
                <w:sz w:val="16"/>
                <w:szCs w:val="16"/>
                <w:color w:val="auto"/>
              </w:rPr>
              <w:t>Gas Utility Jurisdiction</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DSM/Energy</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rPr>
              <w:t>Integrity</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vMerge w:val="restart"/>
          </w:tcPr>
          <w:p>
            <w:pPr>
              <w:jc w:val="center"/>
              <w:ind w:right="36"/>
              <w:spacing w:after="0"/>
              <w:rPr>
                <w:sz w:val="20"/>
                <w:szCs w:val="20"/>
                <w:color w:val="auto"/>
              </w:rPr>
            </w:pPr>
            <w:r>
              <w:rPr>
                <w:rFonts w:ascii="Arial" w:cs="Arial" w:eastAsia="Arial" w:hAnsi="Arial"/>
                <w:sz w:val="16"/>
                <w:szCs w:val="16"/>
                <w:color w:val="auto"/>
              </w:rPr>
              <w:t>Pension</w:t>
            </w:r>
          </w:p>
        </w:tc>
        <w:tc>
          <w:tcPr>
            <w:tcW w:w="120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9"/>
              </w:rPr>
              <w:t>Revenue</w:t>
            </w:r>
          </w:p>
        </w:tc>
        <w:tc>
          <w:tcPr>
            <w:tcW w:w="0" w:type="dxa"/>
            <w:vAlign w:val="bottom"/>
          </w:tcPr>
          <w:p>
            <w:pPr>
              <w:spacing w:after="0"/>
              <w:rPr>
                <w:sz w:val="1"/>
                <w:szCs w:val="1"/>
                <w:color w:val="auto"/>
              </w:rPr>
            </w:pPr>
          </w:p>
        </w:tc>
      </w:tr>
      <w:tr>
        <w:trPr>
          <w:trHeight w:val="102"/>
        </w:trPr>
        <w:tc>
          <w:tcPr>
            <w:tcW w:w="26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Efficiency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Additions</w:t>
            </w:r>
          </w:p>
        </w:tc>
        <w:tc>
          <w:tcPr>
            <w:tcW w:w="1100" w:type="dxa"/>
            <w:vAlign w:val="bottom"/>
            <w:tcBorders>
              <w:bottom w:val="single" w:sz="8" w:color="auto"/>
            </w:tcBorders>
          </w:tcPr>
          <w:p>
            <w:pPr>
              <w:jc w:val="center"/>
              <w:ind w:left="35"/>
              <w:spacing w:after="0"/>
              <w:rPr>
                <w:sz w:val="20"/>
                <w:szCs w:val="20"/>
                <w:color w:val="auto"/>
              </w:rPr>
            </w:pPr>
            <w:r>
              <w:rPr>
                <w:rFonts w:ascii="Arial" w:cs="Arial" w:eastAsia="Arial" w:hAnsi="Arial"/>
                <w:sz w:val="16"/>
                <w:szCs w:val="16"/>
                <w:color w:val="auto"/>
                <w:w w:val="98"/>
              </w:rPr>
              <w:t>Bad Debt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Weather Normal</w:t>
            </w: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color w:val="auto"/>
              </w:rPr>
              <w:t>Recovery</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Gas Cost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Decoupling</w:t>
            </w:r>
          </w:p>
        </w:tc>
        <w:tc>
          <w:tcPr>
            <w:tcW w:w="0" w:type="dxa"/>
            <w:vAlign w:val="bottom"/>
          </w:tcPr>
          <w:p>
            <w:pPr>
              <w:spacing w:after="0"/>
              <w:rPr>
                <w:sz w:val="1"/>
                <w:szCs w:val="1"/>
                <w:color w:val="auto"/>
              </w:rPr>
            </w:pPr>
          </w:p>
        </w:tc>
      </w:tr>
      <w:tr>
        <w:trPr>
          <w:trHeight w:val="226"/>
        </w:trPr>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Arkansas Gas</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spacing w:after="0"/>
              <w:rPr>
                <w:sz w:val="19"/>
                <w:szCs w:val="19"/>
                <w:color w:val="auto"/>
              </w:rPr>
            </w:pPr>
          </w:p>
        </w:tc>
        <w:tc>
          <w:tcPr>
            <w:tcW w:w="14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EFFE7"/>
          </w:tcPr>
          <w:p>
            <w:pPr>
              <w:ind w:left="20"/>
              <w:spacing w:after="0" w:line="230" w:lineRule="exact"/>
              <w:rPr>
                <w:sz w:val="20"/>
                <w:szCs w:val="20"/>
                <w:color w:val="auto"/>
              </w:rPr>
            </w:pPr>
            <w:r>
              <w:rPr>
                <w:rFonts w:ascii="Arial" w:cs="Arial" w:eastAsia="Arial" w:hAnsi="Arial"/>
                <w:sz w:val="16"/>
                <w:szCs w:val="16"/>
                <w:color w:val="auto"/>
              </w:rPr>
              <w:t>RMNG</w:t>
            </w:r>
            <w:r>
              <w:rPr>
                <w:rFonts w:ascii="Arial" w:cs="Arial" w:eastAsia="Arial" w:hAnsi="Arial"/>
                <w:sz w:val="21"/>
                <w:szCs w:val="21"/>
                <w:color w:val="auto"/>
                <w:vertAlign w:val="superscript"/>
              </w:rPr>
              <w:t>(a)</w:t>
            </w:r>
          </w:p>
        </w:tc>
        <w:tc>
          <w:tcPr>
            <w:tcW w:w="1300" w:type="dxa"/>
            <w:vAlign w:val="bottom"/>
            <w:shd w:val="clear" w:color="auto" w:fill="CEFFE7"/>
          </w:tcPr>
          <w:p>
            <w:pPr>
              <w:spacing w:after="0"/>
              <w:rPr>
                <w:sz w:val="19"/>
                <w:szCs w:val="19"/>
                <w:color w:val="auto"/>
              </w:rPr>
            </w:pPr>
          </w:p>
        </w:tc>
        <w:tc>
          <w:tcPr>
            <w:tcW w:w="11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spacing w:after="0"/>
              <w:rPr>
                <w:sz w:val="19"/>
                <w:szCs w:val="19"/>
                <w:color w:val="auto"/>
              </w:rPr>
            </w:pPr>
          </w:p>
        </w:tc>
        <w:tc>
          <w:tcPr>
            <w:tcW w:w="1480" w:type="dxa"/>
            <w:vAlign w:val="bottom"/>
            <w:shd w:val="clear" w:color="auto" w:fill="CEFFE7"/>
          </w:tcPr>
          <w:p>
            <w:pPr>
              <w:spacing w:after="0"/>
              <w:rPr>
                <w:sz w:val="19"/>
                <w:szCs w:val="19"/>
                <w:color w:val="auto"/>
              </w:rPr>
            </w:pPr>
          </w:p>
        </w:tc>
        <w:tc>
          <w:tcPr>
            <w:tcW w:w="110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6"/>
                <w:szCs w:val="16"/>
                <w:color w:val="auto"/>
              </w:rPr>
              <w:t>Iowa Gas</w:t>
            </w: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Kansas Gas</w:t>
            </w:r>
          </w:p>
        </w:tc>
        <w:tc>
          <w:tcPr>
            <w:tcW w:w="1300" w:type="dxa"/>
            <w:vAlign w:val="bottom"/>
            <w:shd w:val="clear" w:color="auto" w:fill="CEFFE7"/>
          </w:tcPr>
          <w:p>
            <w:pPr>
              <w:spacing w:after="0"/>
              <w:rPr>
                <w:sz w:val="19"/>
                <w:szCs w:val="19"/>
                <w:color w:val="auto"/>
              </w:rPr>
            </w:pPr>
          </w:p>
        </w:tc>
        <w:tc>
          <w:tcPr>
            <w:tcW w:w="11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jc w:val="center"/>
              <w:ind w:right="56"/>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6"/>
                <w:szCs w:val="16"/>
                <w:color w:val="auto"/>
              </w:rPr>
              <w:t>Nebraska Gas</w:t>
            </w:r>
          </w:p>
        </w:tc>
        <w:tc>
          <w:tcPr>
            <w:tcW w:w="1300" w:type="dxa"/>
            <w:vAlign w:val="bottom"/>
          </w:tcPr>
          <w:p>
            <w:pPr>
              <w:spacing w:after="0"/>
              <w:rPr>
                <w:sz w:val="19"/>
                <w:szCs w:val="19"/>
                <w:color w:val="auto"/>
              </w:rPr>
            </w:pP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Gas</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shd w:val="clear" w:color="auto" w:fill="CEFFE7"/>
          </w:tcPr>
          <w:p>
            <w:pPr>
              <w:spacing w:after="0"/>
              <w:rPr>
                <w:sz w:val="19"/>
                <w:szCs w:val="19"/>
                <w:color w:val="auto"/>
              </w:rPr>
            </w:pPr>
          </w:p>
        </w:tc>
        <w:tc>
          <w:tcPr>
            <w:tcW w:w="1480" w:type="dxa"/>
            <w:vAlign w:val="bottom"/>
            <w:shd w:val="clear" w:color="auto" w:fill="CEFFE7"/>
          </w:tcPr>
          <w:p>
            <w:pPr>
              <w:spacing w:after="0"/>
              <w:rPr>
                <w:sz w:val="19"/>
                <w:szCs w:val="19"/>
                <w:color w:val="auto"/>
              </w:rPr>
            </w:pPr>
          </w:p>
        </w:tc>
        <w:tc>
          <w:tcPr>
            <w:tcW w:w="110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right="40" w:hanging="332"/>
        <w:spacing w:after="0" w:line="258" w:lineRule="auto"/>
        <w:tabs>
          <w:tab w:leader="none" w:pos="352" w:val="left"/>
        </w:tabs>
        <w:numPr>
          <w:ilvl w:val="0"/>
          <w:numId w:val="9"/>
        </w:numPr>
        <w:rPr>
          <w:rFonts w:ascii="Arial" w:cs="Arial" w:eastAsia="Arial" w:hAnsi="Arial"/>
          <w:sz w:val="14"/>
          <w:szCs w:val="14"/>
          <w:color w:val="auto"/>
        </w:rPr>
      </w:pPr>
      <w:r>
        <w:rPr>
          <w:rFonts w:ascii="Arial" w:cs="Arial" w:eastAsia="Arial" w:hAnsi="Arial"/>
          <w:sz w:val="14"/>
          <w:szCs w:val="14"/>
          <w:color w:val="auto"/>
        </w:rPr>
        <w:t>RMNG, which is an intrastate transmission pipeline that provides natural gas transmission and wholesale services in western Colorado, has an SSIR recovery mechanism. The other cost recovery mechanisms are not applicable to RMNG.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line="286"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Tariff Filings. </w:t>
      </w:r>
      <w:r>
        <w:rPr>
          <w:rFonts w:ascii="Arial" w:cs="Arial" w:eastAsia="Arial" w:hAnsi="Arial"/>
          <w:sz w:val="16"/>
          <w:szCs w:val="16"/>
          <w:color w:val="auto"/>
        </w:rPr>
        <w:t>See</w:t>
      </w:r>
      <w:r>
        <w:rPr>
          <w:rFonts w:ascii="Arial" w:cs="Arial" w:eastAsia="Arial" w:hAnsi="Arial"/>
          <w:sz w:val="16"/>
          <w:szCs w:val="16"/>
          <w:b w:val="1"/>
          <w:bCs w:val="1"/>
          <w:i w:val="1"/>
          <w:iCs w:val="1"/>
          <w:color w:val="auto"/>
        </w:rPr>
        <w:t xml:space="preserve"> </w:t>
      </w:r>
      <w:hyperlink w:anchor="page81">
        <w:r>
          <w:rPr>
            <w:rFonts w:ascii="Arial" w:cs="Arial" w:eastAsia="Arial" w:hAnsi="Arial"/>
            <w:sz w:val="16"/>
            <w:szCs w:val="16"/>
            <w:u w:val="single" w:color="auto"/>
            <w:color w:val="0000FF"/>
          </w:rPr>
          <w:t>Note 2</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to Consolidated Financial Statements in this Annual Report on Form 10-K for information regarding current natural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gas regulatory activity.</w:t>
      </w:r>
    </w:p>
    <w:p>
      <w:pPr>
        <w:spacing w:after="0" w:line="183" w:lineRule="exact"/>
        <w:rPr>
          <w:sz w:val="20"/>
          <w:szCs w:val="20"/>
          <w:color w:val="auto"/>
        </w:rPr>
      </w:pPr>
    </w:p>
    <w:p>
      <w:pPr>
        <w:ind w:right="20"/>
        <w:spacing w:after="0" w:line="286" w:lineRule="auto"/>
        <w:rPr>
          <w:rFonts w:ascii="Arial" w:cs="Arial" w:eastAsia="Arial" w:hAnsi="Arial"/>
          <w:sz w:val="16"/>
          <w:szCs w:val="16"/>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color w:val="auto"/>
        </w:rPr>
        <w:t>. See a summary of key operating statistics in the</w:t>
      </w:r>
      <w:r>
        <w:rPr>
          <w:rFonts w:ascii="Arial" w:cs="Arial" w:eastAsia="Arial" w:hAnsi="Arial"/>
          <w:sz w:val="16"/>
          <w:szCs w:val="16"/>
          <w:b w:val="1"/>
          <w:bCs w:val="1"/>
          <w:i w:val="1"/>
          <w:iCs w:val="1"/>
          <w:color w:val="auto"/>
        </w:rPr>
        <w:t xml:space="preserve"> </w:t>
      </w:r>
      <w:hyperlink w:anchor="page45">
        <w:r>
          <w:rPr>
            <w:rFonts w:ascii="Arial" w:cs="Arial" w:eastAsia="Arial" w:hAnsi="Arial"/>
            <w:sz w:val="16"/>
            <w:szCs w:val="16"/>
            <w:u w:val="single" w:color="auto"/>
            <w:color w:val="0000FF"/>
          </w:rPr>
          <w:t>Gas Utilities</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results within Management’s Discussion and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Financial Condition and Results of Operations in </w:t>
      </w:r>
      <w:hyperlink w:anchor="page33">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Utility Regulation Characteristics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Renewable Energy Standards</w:t>
      </w:r>
    </w:p>
    <w:p>
      <w:pPr>
        <w:spacing w:after="0" w:line="2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Certain states where we conduct electric utility operations have adopted renewable energy portfolio standards that require or encourage our Electric Utilities to source, by a certain future date, a minimum percentage of the electricity delivered to customers from renewable energy generation facilities. As of December 31, 2020, we were subject to the following renewable energy portfolio standards or objectives:</w:t>
      </w:r>
    </w:p>
    <w:p>
      <w:pPr>
        <w:spacing w:after="0" w:line="228" w:lineRule="exact"/>
        <w:rPr>
          <w:sz w:val="20"/>
          <w:szCs w:val="20"/>
          <w:color w:val="auto"/>
        </w:rPr>
      </w:pPr>
    </w:p>
    <w:p>
      <w:pPr>
        <w:ind w:left="660" w:right="40" w:hanging="328"/>
        <w:spacing w:after="0" w:line="248"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Colorado</w:t>
      </w:r>
      <w:r>
        <w:rPr>
          <w:rFonts w:ascii="Arial" w:cs="Arial" w:eastAsia="Arial" w:hAnsi="Arial"/>
          <w:sz w:val="16"/>
          <w:szCs w:val="16"/>
          <w:color w:val="auto"/>
        </w:rPr>
        <w:t>. Colorado adopted a renewable energy standard in 2004 that has two components: (i) electric resource standards and (ii) a 2% maximum annual retail rate impact for compliance with the electric resource standards. The electric resource standards require our Colorado Electric subsidiary to generate, or cause to be generated, electricity from renewable energy sources equaling: (i) 20% of retail sales from 2015 to 2019; and (ii) 30% of retail sales by 2020. Of these amounts, 3% must be generated from distributed generation sources with one-half of these resources being located at customer facilities. The net annual incremental retail rate impact for these renewable resource acquisitions (as compared to non-renewable resources) is limited to 2%. The standard encourages the CPUC to consider earlier and timely cost recovery for utility investment in renewable resources, including the use of a forward rider mechanism. We have been and currently remain in compliance with these standards.</w:t>
      </w:r>
    </w:p>
    <w:p>
      <w:pPr>
        <w:spacing w:after="0" w:line="235" w:lineRule="exact"/>
        <w:rPr>
          <w:sz w:val="20"/>
          <w:szCs w:val="20"/>
          <w:color w:val="auto"/>
        </w:rPr>
      </w:pPr>
    </w:p>
    <w:p>
      <w:pPr>
        <w:ind w:left="660" w:right="140"/>
        <w:spacing w:after="0" w:line="249" w:lineRule="auto"/>
        <w:rPr>
          <w:sz w:val="20"/>
          <w:szCs w:val="20"/>
          <w:color w:val="auto"/>
        </w:rPr>
      </w:pPr>
      <w:r>
        <w:rPr>
          <w:rFonts w:ascii="Arial" w:cs="Arial" w:eastAsia="Arial" w:hAnsi="Arial"/>
          <w:sz w:val="16"/>
          <w:szCs w:val="16"/>
          <w:color w:val="auto"/>
        </w:rPr>
        <w:t>In 2019, the State of Colorado approved Senate Bill 236, which required qualified retail electric utilities (more than 500,000 customers) to submit a Clean Energy Plan to meet an 80% carbon reduction goal by 2030 based upon 2005 baseline levels. While Colorado Electric is not required to submit a Clean Energy Plan, the state also passed House Bill 1261 which established state-wide emission goals for greenhouse gas emitting activities that apply to Colorado Electric. Both House Bill 1261 and Senate Bill 236 include provisions that allow Colorado Electric to submit a voluntary Clean Energy Plan with a goal of 80% reduction by 2030. On January 7, 2021, Colorado Electric announced it will file a Clean Energy Plan with the CPUC voluntarily in 2022.</w:t>
      </w:r>
    </w:p>
    <w:p>
      <w:pPr>
        <w:spacing w:after="0" w:line="218" w:lineRule="exact"/>
        <w:rPr>
          <w:sz w:val="20"/>
          <w:szCs w:val="20"/>
          <w:color w:val="auto"/>
        </w:rPr>
      </w:pPr>
    </w:p>
    <w:p>
      <w:pPr>
        <w:ind w:left="660" w:right="140"/>
        <w:spacing w:after="0" w:line="235" w:lineRule="auto"/>
        <w:rPr>
          <w:sz w:val="20"/>
          <w:szCs w:val="20"/>
          <w:color w:val="auto"/>
        </w:rPr>
      </w:pPr>
      <w:r>
        <w:rPr>
          <w:rFonts w:ascii="Arial" w:cs="Arial" w:eastAsia="Arial" w:hAnsi="Arial"/>
          <w:sz w:val="16"/>
          <w:szCs w:val="16"/>
          <w:color w:val="auto"/>
        </w:rPr>
        <w:t>On September 23, 2020, Colorado Electric received approval from the CPUC for its preferred solar bid request in support of its Renewable Advantage program. The program plans to add up to 200 MW of renewable energy in Colorado by the end of 2023, which will contribute towards the aforementioned 80% carbon reduction goal by 2030. When Renewable Advantage comes online in 2023, more than half of Colorado Electric’s generation mix will be renewable sources, leading to an approximate 70% reduction in GHG emissions by 2024.</w:t>
      </w:r>
    </w:p>
    <w:p>
      <w:pPr>
        <w:spacing w:after="0" w:line="238" w:lineRule="exact"/>
        <w:rPr>
          <w:sz w:val="20"/>
          <w:szCs w:val="20"/>
          <w:color w:val="auto"/>
        </w:rPr>
      </w:pPr>
    </w:p>
    <w:p>
      <w:pPr>
        <w:ind w:left="660" w:right="120" w:hanging="328"/>
        <w:spacing w:after="0" w:line="260"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South Dakota</w:t>
      </w:r>
      <w:r>
        <w:rPr>
          <w:rFonts w:ascii="Arial" w:cs="Arial" w:eastAsia="Arial" w:hAnsi="Arial"/>
          <w:sz w:val="16"/>
          <w:szCs w:val="16"/>
          <w:color w:val="auto"/>
        </w:rPr>
        <w:t>. South Dakota adopted a renewable portfolio objective in 2008 that encourages, but does not mandate utilities to generate, or cause to be generated, at least 10% of their retail electricity supply from renewable energy sources by 2015.</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Wyoming</w:t>
      </w:r>
      <w:r>
        <w:rPr>
          <w:rFonts w:ascii="Arial" w:cs="Arial" w:eastAsia="Arial" w:hAnsi="Arial"/>
          <w:sz w:val="16"/>
          <w:szCs w:val="16"/>
          <w:color w:val="auto"/>
        </w:rPr>
        <w:t>. Wyoming currently has not issued a renewable energy portfolio standard.</w:t>
      </w:r>
    </w:p>
    <w:p>
      <w:pPr>
        <w:spacing w:after="0" w:line="248" w:lineRule="exact"/>
        <w:rPr>
          <w:sz w:val="20"/>
          <w:szCs w:val="20"/>
          <w:color w:val="auto"/>
        </w:rPr>
      </w:pPr>
    </w:p>
    <w:p>
      <w:pPr>
        <w:jc w:val="both"/>
        <w:ind w:right="2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In November 2020, we announced clean energy goals to reduce GHG emissions that are based on prudent and proven solutions to reduce our emissions while minimizing cost impacts to our customers. See more information in the </w:t>
      </w:r>
      <w:hyperlink w:anchor="page34">
        <w:r>
          <w:rPr>
            <w:rFonts w:ascii="Arial" w:cs="Arial" w:eastAsia="Arial" w:hAnsi="Arial"/>
            <w:sz w:val="16"/>
            <w:szCs w:val="16"/>
            <w:u w:val="single" w:color="auto"/>
            <w:color w:val="0000FF"/>
          </w:rPr>
          <w:t>Key Elements of our Business Strategy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within Management’s Discussion and Analysis of Financial Condition and Results of Operations in </w:t>
      </w:r>
      <w:hyperlink w:anchor="page33">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Regulation</w:t>
      </w:r>
    </w:p>
    <w:p>
      <w:pPr>
        <w:spacing w:after="0" w:line="252"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i w:val="1"/>
          <w:iCs w:val="1"/>
          <w:color w:val="auto"/>
        </w:rPr>
        <w:t xml:space="preserve">Energy Policy Act. </w:t>
      </w:r>
      <w:r>
        <w:rPr>
          <w:rFonts w:ascii="Arial" w:cs="Arial" w:eastAsia="Arial" w:hAnsi="Arial"/>
          <w:sz w:val="16"/>
          <w:szCs w:val="16"/>
          <w:color w:val="auto"/>
        </w:rPr>
        <w:t>The Energy Policy Act of 2005 included provisions to create an Electric Reliability Organization, which is required to promulgate</w:t>
      </w:r>
      <w:r>
        <w:rPr>
          <w:rFonts w:ascii="Arial" w:cs="Arial" w:eastAsia="Arial" w:hAnsi="Arial"/>
          <w:sz w:val="16"/>
          <w:szCs w:val="16"/>
          <w:i w:val="1"/>
          <w:iCs w:val="1"/>
          <w:color w:val="auto"/>
        </w:rPr>
        <w:t xml:space="preserve"> </w:t>
      </w:r>
      <w:r>
        <w:rPr>
          <w:rFonts w:ascii="Arial" w:cs="Arial" w:eastAsia="Arial" w:hAnsi="Arial"/>
          <w:sz w:val="16"/>
          <w:szCs w:val="16"/>
          <w:color w:val="auto"/>
        </w:rPr>
        <w:t>mandatory reliability standards governing the operation of the bulk power system in the U.S. FERC certified NERC as the Electric Reliability Organization and also issued an initial order approving many reliability standards that went into effect in 2007. Entities that violate standards will be subject to fines and can also be assessed non-monetary penalties, depending upon the nature and severity of the violation.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i w:val="1"/>
          <w:iCs w:val="1"/>
          <w:color w:val="auto"/>
        </w:rPr>
        <w:t>Federal Power Act</w:t>
      </w:r>
      <w:r>
        <w:rPr>
          <w:rFonts w:ascii="Arial" w:cs="Arial" w:eastAsia="Arial" w:hAnsi="Arial"/>
          <w:sz w:val="16"/>
          <w:szCs w:val="16"/>
          <w:color w:val="auto"/>
        </w:rPr>
        <w:t>. The Federal Power Act gives FERC exclusive rate-making jurisdiction over wholesale sales of electricity and the transmission of</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in interstate commerce. Pursuant to the Federal Power Act, all public utilities subject to FERC’s jurisdiction must maintain tariffs and rate schedules on file with FERC that govern the rates, and terms and conditions for the provision of FERC-jurisdictional wholesale power and transmission services. Public utilities are also subject to accounting, record-keeping and reporting requirements administered by FERC. FERC also places certain limitations on transactions between public utilities and their affiliates. Our public Electric Utilities’ subsidiaries provide FERC-jurisdictional services subject to FERC’s oversight.</w:t>
      </w:r>
    </w:p>
    <w:p>
      <w:pPr>
        <w:spacing w:after="0" w:line="229"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Our Electric Utilities and Power Generation entities are authorized by FERC to make wholesale sales of electric capacity and energy at market-based rates under tariffs on file with FERC. As a condition of their market-based rate authority, each files Electric Quarterly Reports with FERC. Our Electric Utilities own and operate FERC-jurisdictional interstate transmission facilities and provide open access transmission service under tariffs on file with FERC. Our Electric Utilities are subject to routine audit by FERC with respect to their compliance with FERC’s regulations.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Federal Power Act authorizes FERC to certify and oversee a national electric reliability organization with authority to promulgate and enforce mandatory reliability standards applicable to all users, owners and operators of the bulk-power system. FERC has certified NERC as the electric reliability organization. NERC has promulgated mandatory reliability standards and NERC, in conjunction with regional reliability organizations that operate under FERC’s and NERC’s authority and oversight, enforces those mandatory reliability standards.</w:t>
      </w:r>
    </w:p>
    <w:p>
      <w:pPr>
        <w:spacing w:after="0" w:line="213"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i w:val="1"/>
          <w:iCs w:val="1"/>
          <w:color w:val="auto"/>
        </w:rPr>
        <w:t>PUHCA 2005</w:t>
      </w:r>
      <w:r>
        <w:rPr>
          <w:rFonts w:ascii="Arial" w:cs="Arial" w:eastAsia="Arial" w:hAnsi="Arial"/>
          <w:sz w:val="16"/>
          <w:szCs w:val="16"/>
          <w:color w:val="auto"/>
        </w:rPr>
        <w:t>. PUHCA 2005 gives FERC authority with respect to the books and records of a utility holding company. As a utility holding company whose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consist primarily of investments in our subsidiaries, including subsidiaries that are public utilities and also a centralized service company subsidiary, BHSC, we are subject to FERC’s authority under PUHCA 2005.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Power Generation</w:t>
      </w:r>
    </w:p>
    <w:p>
      <w:pPr>
        <w:spacing w:after="0" w:line="26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Our Power Generation segment, which operates through Black Hills Electric Generation and its subsidiaries, acquires, develops, constructs and operates our non-regulated power plants. As of December 31, 2020, we held varying interests in independent power plants with a total net ownership of 423 MW.</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produce electric power from our generating facilities and sell the electric capacity and energy, primarily to affiliates under a combination of mid- to long-term contracts, which mitigates the impacts of volatility in future power prices and fluctuations in demand.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the power plant ownership interests held by our Power Generation segment include: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Power Plants</w:t>
            </w:r>
          </w:p>
        </w:tc>
        <w:tc>
          <w:tcPr>
            <w:tcW w:w="1740" w:type="dxa"/>
            <w:vAlign w:val="bottom"/>
            <w:vMerge w:val="restart"/>
          </w:tcPr>
          <w:p>
            <w:pPr>
              <w:jc w:val="center"/>
              <w:ind w:left="299"/>
              <w:spacing w:after="0"/>
              <w:rPr>
                <w:sz w:val="20"/>
                <w:szCs w:val="20"/>
                <w:color w:val="auto"/>
              </w:rPr>
            </w:pPr>
            <w:r>
              <w:rPr>
                <w:rFonts w:ascii="Arial" w:cs="Arial" w:eastAsia="Arial" w:hAnsi="Arial"/>
                <w:sz w:val="16"/>
                <w:szCs w:val="16"/>
                <w:b w:val="1"/>
                <w:bCs w:val="1"/>
                <w:color w:val="auto"/>
              </w:rPr>
              <w:t>Fuel Type</w:t>
            </w: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Location</w:t>
            </w:r>
          </w:p>
        </w:tc>
        <w:tc>
          <w:tcPr>
            <w:tcW w:w="1580" w:type="dxa"/>
            <w:vAlign w:val="bottom"/>
          </w:tcPr>
          <w:p>
            <w:pPr>
              <w:jc w:val="center"/>
              <w:ind w:left="19"/>
              <w:spacing w:after="0"/>
              <w:rPr>
                <w:sz w:val="20"/>
                <w:szCs w:val="20"/>
                <w:color w:val="auto"/>
              </w:rPr>
            </w:pPr>
            <w:r>
              <w:rPr>
                <w:rFonts w:ascii="Arial" w:cs="Arial" w:eastAsia="Arial" w:hAnsi="Arial"/>
                <w:sz w:val="16"/>
                <w:szCs w:val="16"/>
                <w:b w:val="1"/>
                <w:bCs w:val="1"/>
                <w:color w:val="auto"/>
              </w:rPr>
              <w:t>Ownership</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Owned Capacity</w:t>
            </w: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 Service Date</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jc w:val="center"/>
              <w:ind w:left="19"/>
              <w:spacing w:after="0" w:line="216" w:lineRule="exact"/>
              <w:rPr>
                <w:sz w:val="20"/>
                <w:szCs w:val="20"/>
                <w:color w:val="auto"/>
              </w:rPr>
            </w:pPr>
            <w:r>
              <w:rPr>
                <w:rFonts w:ascii="Arial" w:cs="Arial" w:eastAsia="Arial" w:hAnsi="Arial"/>
                <w:sz w:val="16"/>
                <w:szCs w:val="16"/>
                <w:b w:val="1"/>
                <w:bCs w:val="1"/>
                <w:color w:val="auto"/>
                <w:w w:val="97"/>
              </w:rPr>
              <w:t xml:space="preserve">Interest % </w:t>
            </w:r>
            <w:r>
              <w:rPr>
                <w:rFonts w:ascii="Arial" w:cs="Arial" w:eastAsia="Arial" w:hAnsi="Arial"/>
                <w:sz w:val="21"/>
                <w:szCs w:val="21"/>
                <w:b w:val="1"/>
                <w:bCs w:val="1"/>
                <w:color w:val="auto"/>
                <w:w w:val="97"/>
                <w:vertAlign w:val="superscript"/>
              </w:rPr>
              <w:t>(d)</w:t>
            </w:r>
          </w:p>
        </w:tc>
        <w:tc>
          <w:tcPr>
            <w:tcW w:w="14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(MW)</w:t>
            </w: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Wygen I</w:t>
            </w:r>
          </w:p>
        </w:tc>
        <w:tc>
          <w:tcPr>
            <w:tcW w:w="1740" w:type="dxa"/>
            <w:vAlign w:val="bottom"/>
            <w:shd w:val="clear" w:color="auto" w:fill="CEFFE7"/>
          </w:tcPr>
          <w:p>
            <w:pPr>
              <w:jc w:val="center"/>
              <w:ind w:left="299"/>
              <w:spacing w:after="0"/>
              <w:rPr>
                <w:sz w:val="20"/>
                <w:szCs w:val="20"/>
                <w:color w:val="auto"/>
              </w:rPr>
            </w:pPr>
            <w:r>
              <w:rPr>
                <w:rFonts w:ascii="Arial" w:cs="Arial" w:eastAsia="Arial" w:hAnsi="Arial"/>
                <w:sz w:val="16"/>
                <w:szCs w:val="16"/>
                <w:color w:val="auto"/>
                <w:w w:val="97"/>
              </w:rPr>
              <w:t>Coal</w:t>
            </w:r>
          </w:p>
        </w:tc>
        <w:tc>
          <w:tcPr>
            <w:tcW w:w="19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Gillette, Wyoming</w:t>
            </w:r>
          </w:p>
        </w:tc>
        <w:tc>
          <w:tcPr>
            <w:tcW w:w="15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76.5%</w:t>
            </w: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68.9</w:t>
            </w:r>
          </w:p>
        </w:tc>
        <w:tc>
          <w:tcPr>
            <w:tcW w:w="18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2003</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Pueblo Airport Generation </w:t>
            </w:r>
            <w:r>
              <w:rPr>
                <w:rFonts w:ascii="Arial" w:cs="Arial" w:eastAsia="Arial" w:hAnsi="Arial"/>
                <w:sz w:val="21"/>
                <w:szCs w:val="21"/>
                <w:color w:val="auto"/>
                <w:vertAlign w:val="superscript"/>
              </w:rPr>
              <w:t>(a)</w:t>
            </w:r>
          </w:p>
        </w:tc>
        <w:tc>
          <w:tcPr>
            <w:tcW w:w="1740" w:type="dxa"/>
            <w:vAlign w:val="bottom"/>
          </w:tcPr>
          <w:p>
            <w:pPr>
              <w:jc w:val="center"/>
              <w:ind w:left="319"/>
              <w:spacing w:after="0"/>
              <w:rPr>
                <w:sz w:val="20"/>
                <w:szCs w:val="20"/>
                <w:color w:val="auto"/>
              </w:rPr>
            </w:pPr>
            <w:r>
              <w:rPr>
                <w:rFonts w:ascii="Arial" w:cs="Arial" w:eastAsia="Arial" w:hAnsi="Arial"/>
                <w:sz w:val="16"/>
                <w:szCs w:val="16"/>
                <w:color w:val="auto"/>
              </w:rPr>
              <w:t>Gas</w:t>
            </w:r>
          </w:p>
        </w:tc>
        <w:tc>
          <w:tcPr>
            <w:tcW w:w="192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80" w:type="dxa"/>
            <w:vAlign w:val="bottom"/>
          </w:tcPr>
          <w:p>
            <w:pPr>
              <w:jc w:val="center"/>
              <w:spacing w:after="0"/>
              <w:rPr>
                <w:sz w:val="20"/>
                <w:szCs w:val="20"/>
                <w:color w:val="auto"/>
              </w:rPr>
            </w:pPr>
            <w:r>
              <w:rPr>
                <w:rFonts w:ascii="Arial" w:cs="Arial" w:eastAsia="Arial" w:hAnsi="Arial"/>
                <w:sz w:val="16"/>
                <w:szCs w:val="16"/>
                <w:color w:val="auto"/>
              </w:rPr>
              <w:t>50.1%</w:t>
            </w:r>
          </w:p>
        </w:tc>
        <w:tc>
          <w:tcPr>
            <w:tcW w:w="1440" w:type="dxa"/>
            <w:vAlign w:val="bottom"/>
          </w:tcPr>
          <w:p>
            <w:pPr>
              <w:jc w:val="right"/>
              <w:spacing w:after="0"/>
              <w:rPr>
                <w:sz w:val="20"/>
                <w:szCs w:val="20"/>
                <w:color w:val="auto"/>
              </w:rPr>
            </w:pPr>
            <w:r>
              <w:rPr>
                <w:rFonts w:ascii="Arial" w:cs="Arial" w:eastAsia="Arial" w:hAnsi="Arial"/>
                <w:sz w:val="16"/>
                <w:szCs w:val="16"/>
                <w:color w:val="auto"/>
              </w:rPr>
              <w:t>200.0</w:t>
            </w:r>
          </w:p>
        </w:tc>
        <w:tc>
          <w:tcPr>
            <w:tcW w:w="1820" w:type="dxa"/>
            <w:vAlign w:val="bottom"/>
          </w:tcPr>
          <w:p>
            <w:pPr>
              <w:jc w:val="center"/>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6"/>
        </w:trPr>
        <w:tc>
          <w:tcPr>
            <w:tcW w:w="274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Busch Ranch I </w:t>
            </w:r>
            <w:r>
              <w:rPr>
                <w:rFonts w:ascii="Arial" w:cs="Arial" w:eastAsia="Arial" w:hAnsi="Arial"/>
                <w:sz w:val="21"/>
                <w:szCs w:val="21"/>
                <w:color w:val="auto"/>
                <w:vertAlign w:val="superscript"/>
              </w:rPr>
              <w:t>(b)</w:t>
            </w:r>
          </w:p>
        </w:tc>
        <w:tc>
          <w:tcPr>
            <w:tcW w:w="1740" w:type="dxa"/>
            <w:vAlign w:val="bottom"/>
            <w:shd w:val="clear" w:color="auto" w:fill="CEFFE7"/>
          </w:tcPr>
          <w:p>
            <w:pPr>
              <w:jc w:val="center"/>
              <w:ind w:left="299"/>
              <w:spacing w:after="0"/>
              <w:rPr>
                <w:sz w:val="20"/>
                <w:szCs w:val="20"/>
                <w:color w:val="auto"/>
              </w:rPr>
            </w:pPr>
            <w:r>
              <w:rPr>
                <w:rFonts w:ascii="Arial" w:cs="Arial" w:eastAsia="Arial" w:hAnsi="Arial"/>
                <w:sz w:val="16"/>
                <w:szCs w:val="16"/>
                <w:color w:val="auto"/>
                <w:w w:val="98"/>
              </w:rPr>
              <w:t>Wind</w:t>
            </w:r>
          </w:p>
        </w:tc>
        <w:tc>
          <w:tcPr>
            <w:tcW w:w="19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Pueblo, Colorado</w:t>
            </w:r>
          </w:p>
        </w:tc>
        <w:tc>
          <w:tcPr>
            <w:tcW w:w="15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50.0%</w:t>
            </w: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14.5</w:t>
            </w:r>
          </w:p>
        </w:tc>
        <w:tc>
          <w:tcPr>
            <w:tcW w:w="18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Busch Ranch II </w:t>
            </w:r>
            <w:r>
              <w:rPr>
                <w:rFonts w:ascii="Arial" w:cs="Arial" w:eastAsia="Arial" w:hAnsi="Arial"/>
                <w:sz w:val="21"/>
                <w:szCs w:val="21"/>
                <w:color w:val="auto"/>
                <w:vertAlign w:val="superscript"/>
              </w:rPr>
              <w:t>(c)</w:t>
            </w:r>
          </w:p>
        </w:tc>
        <w:tc>
          <w:tcPr>
            <w:tcW w:w="1740" w:type="dxa"/>
            <w:vAlign w:val="bottom"/>
          </w:tcPr>
          <w:p>
            <w:pPr>
              <w:jc w:val="center"/>
              <w:ind w:left="299"/>
              <w:spacing w:after="0"/>
              <w:rPr>
                <w:sz w:val="20"/>
                <w:szCs w:val="20"/>
                <w:color w:val="auto"/>
              </w:rPr>
            </w:pPr>
            <w:r>
              <w:rPr>
                <w:rFonts w:ascii="Arial" w:cs="Arial" w:eastAsia="Arial" w:hAnsi="Arial"/>
                <w:sz w:val="16"/>
                <w:szCs w:val="16"/>
                <w:color w:val="auto"/>
                <w:w w:val="98"/>
              </w:rPr>
              <w:t>Wind</w:t>
            </w:r>
          </w:p>
        </w:tc>
        <w:tc>
          <w:tcPr>
            <w:tcW w:w="192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80" w:type="dxa"/>
            <w:vAlign w:val="bottom"/>
          </w:tcPr>
          <w:p>
            <w:pPr>
              <w:jc w:val="center"/>
              <w:ind w:left="19"/>
              <w:spacing w:after="0"/>
              <w:rPr>
                <w:sz w:val="20"/>
                <w:szCs w:val="20"/>
                <w:color w:val="auto"/>
              </w:rPr>
            </w:pPr>
            <w:r>
              <w:rPr>
                <w:rFonts w:ascii="Arial" w:cs="Arial" w:eastAsia="Arial" w:hAnsi="Arial"/>
                <w:sz w:val="16"/>
                <w:szCs w:val="16"/>
                <w:color w:val="auto"/>
              </w:rPr>
              <w:t>100.0%</w:t>
            </w:r>
          </w:p>
        </w:tc>
        <w:tc>
          <w:tcPr>
            <w:tcW w:w="1440" w:type="dxa"/>
            <w:vAlign w:val="bottom"/>
          </w:tcPr>
          <w:p>
            <w:pPr>
              <w:jc w:val="right"/>
              <w:spacing w:after="0"/>
              <w:rPr>
                <w:sz w:val="20"/>
                <w:szCs w:val="20"/>
                <w:color w:val="auto"/>
              </w:rPr>
            </w:pPr>
            <w:r>
              <w:rPr>
                <w:rFonts w:ascii="Arial" w:cs="Arial" w:eastAsia="Arial" w:hAnsi="Arial"/>
                <w:sz w:val="16"/>
                <w:szCs w:val="16"/>
                <w:color w:val="auto"/>
              </w:rPr>
              <w:t>60.0</w:t>
            </w:r>
          </w:p>
        </w:tc>
        <w:tc>
          <w:tcPr>
            <w:tcW w:w="1820" w:type="dxa"/>
            <w:vAlign w:val="bottom"/>
          </w:tcPr>
          <w:p>
            <w:pPr>
              <w:jc w:val="center"/>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6"/>
        </w:trPr>
        <w:tc>
          <w:tcPr>
            <w:tcW w:w="274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Top of Iowa </w:t>
            </w:r>
            <w:r>
              <w:rPr>
                <w:rFonts w:ascii="Arial" w:cs="Arial" w:eastAsia="Arial" w:hAnsi="Arial"/>
                <w:sz w:val="21"/>
                <w:szCs w:val="21"/>
                <w:color w:val="auto"/>
                <w:vertAlign w:val="superscript"/>
              </w:rPr>
              <w:t>(c)</w:t>
            </w:r>
          </w:p>
        </w:tc>
        <w:tc>
          <w:tcPr>
            <w:tcW w:w="1740" w:type="dxa"/>
            <w:vAlign w:val="bottom"/>
            <w:shd w:val="clear" w:color="auto" w:fill="CEFFE7"/>
          </w:tcPr>
          <w:p>
            <w:pPr>
              <w:jc w:val="center"/>
              <w:ind w:left="299"/>
              <w:spacing w:after="0"/>
              <w:rPr>
                <w:sz w:val="20"/>
                <w:szCs w:val="20"/>
                <w:color w:val="auto"/>
              </w:rPr>
            </w:pPr>
            <w:r>
              <w:rPr>
                <w:rFonts w:ascii="Arial" w:cs="Arial" w:eastAsia="Arial" w:hAnsi="Arial"/>
                <w:sz w:val="16"/>
                <w:szCs w:val="16"/>
                <w:color w:val="auto"/>
                <w:w w:val="98"/>
              </w:rPr>
              <w:t>Wind</w:t>
            </w:r>
          </w:p>
        </w:tc>
        <w:tc>
          <w:tcPr>
            <w:tcW w:w="19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Joice, Iowa</w:t>
            </w:r>
          </w:p>
        </w:tc>
        <w:tc>
          <w:tcPr>
            <w:tcW w:w="158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100.0%</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80.0</w:t>
            </w:r>
          </w:p>
        </w:tc>
        <w:tc>
          <w:tcPr>
            <w:tcW w:w="18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1" w:lineRule="exact"/>
        <w:rPr>
          <w:sz w:val="20"/>
          <w:szCs w:val="20"/>
          <w:color w:val="auto"/>
        </w:rPr>
      </w:pPr>
    </w:p>
    <w:p>
      <w:pPr>
        <w:ind w:left="340" w:right="40" w:hanging="332"/>
        <w:spacing w:after="0" w:line="241" w:lineRule="auto"/>
        <w:tabs>
          <w:tab w:leader="none" w:pos="352"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In 2016, Black Hills Electric Generation sold a 49.9% noncontrolling interest in Black Hills Colorado IPP to a third party. See </w:t>
      </w:r>
      <w:hyperlink w:anchor="page107">
        <w:r>
          <w:rPr>
            <w:rFonts w:ascii="Arial" w:cs="Arial" w:eastAsia="Arial" w:hAnsi="Arial"/>
            <w:sz w:val="14"/>
            <w:szCs w:val="14"/>
            <w:u w:val="single" w:color="auto"/>
            <w:color w:val="0000FF"/>
          </w:rPr>
          <w:t>Note 14</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 for additional information.</w:t>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2013, Busch Ranch I was awarded a one-time cash grant in lieu of ITCs under the Section 1603 program created under the American Recovery and Reinvestment Act.</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41"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Busch Ranch II and Top of Iowa facilities qualify for PTCs at $25/MWh under IRC 45 during the 10-year period beginning on the date each facility was originally placed in service.</w:t>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Jointly owned facilities are discussed in </w:t>
      </w:r>
      <w:hyperlink w:anchor="page93">
        <w:r>
          <w:rPr>
            <w:rFonts w:ascii="Arial" w:cs="Arial" w:eastAsia="Arial" w:hAnsi="Arial"/>
            <w:sz w:val="14"/>
            <w:szCs w:val="14"/>
            <w:u w:val="single" w:color="auto"/>
            <w:color w:val="0000FF"/>
          </w:rPr>
          <w:t>Note 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w:t>
      </w:r>
    </w:p>
    <w:p>
      <w:pPr>
        <w:spacing w:after="0" w:line="221" w:lineRule="exact"/>
        <w:rPr>
          <w:rFonts w:ascii="Arial" w:cs="Arial" w:eastAsia="Arial" w:hAnsi="Arial"/>
          <w:sz w:val="14"/>
          <w:szCs w:val="14"/>
          <w:color w:val="auto"/>
        </w:rPr>
      </w:pPr>
    </w:p>
    <w:p>
      <w:pPr>
        <w:ind w:right="480"/>
        <w:spacing w:after="0" w:line="286"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Power Sales Agreements and Operating Agreements. </w:t>
      </w:r>
      <w:r>
        <w:rPr>
          <w:rFonts w:ascii="Arial" w:cs="Arial" w:eastAsia="Arial" w:hAnsi="Arial"/>
          <w:sz w:val="16"/>
          <w:szCs w:val="16"/>
          <w:color w:val="auto"/>
        </w:rPr>
        <w:t>Our Power Generation facilities have various mid- to long-term power sales agreements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operating agreements. Key contracts are disclosed in </w:t>
      </w:r>
      <w:hyperlink w:anchor="page85">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0" w:lineRule="exact"/>
        <w:rPr>
          <w:rFonts w:ascii="Arial" w:cs="Arial" w:eastAsia="Arial" w:hAnsi="Arial"/>
          <w:sz w:val="14"/>
          <w:szCs w:val="14"/>
          <w:color w:val="auto"/>
        </w:rPr>
      </w:pPr>
    </w:p>
    <w:p>
      <w:pPr>
        <w:spacing w:after="0" w:line="310"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The independent power industry consists of many strong and capable competitors, some of which may have more extensive operations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greater financial resources than we possess.</w:t>
      </w:r>
    </w:p>
    <w:p>
      <w:pPr>
        <w:spacing w:after="0" w:line="20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With respect to the merchant power sector, FERC has taken steps to increase access to the national transmission grid by utility and non-utility purchasers and sellers of electricity and foster competition within the wholesale electricity markets. Our Power Generation business could face greater competition if utilities are permitted to robustly invest in power generation assets. Conversely, state regulatory rules requiring utilities to competitively bid generation resources may provide opportunity for IPPs in some regions. To date, these initiatives have not had a material impact on our Power Generation segment.</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6"/>
          <w:szCs w:val="16"/>
          <w:i w:val="1"/>
          <w:iCs w:val="1"/>
          <w:color w:val="auto"/>
        </w:rPr>
        <w:t xml:space="preserve">The Energy Policy Act of 1992 and Public Utility Holding Company Act of 2005 (PUHCA 2005). </w:t>
      </w:r>
      <w:r>
        <w:rPr>
          <w:rFonts w:ascii="Arial" w:cs="Arial" w:eastAsia="Arial" w:hAnsi="Arial"/>
          <w:sz w:val="16"/>
          <w:szCs w:val="16"/>
          <w:color w:val="auto"/>
        </w:rPr>
        <w:t>PUHCA 2005 reiterated the definition and benefits of Exempt</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Generator (EWG) status. Under PUHCA 2005, an EWG is an entity or generator engaged, directly or indirectly through one or more affiliates, exclusively in the business of owning, operating or both owning and operating all or part of one or more eligible facilities and selling electric energy at wholesale. Though EWGs are public utilities within the definition set forth in the Federal Power Act and are subject to FERC regulation of rates and charges, they are exempt from other FERC requirements. Through its subsidiaries, Black Hills Corporation is affiliated with three EWGs, Wygen I, Pueblo Airport Generating and Top of Iowa. Each of these three EWG’s have been granted market-based rate authority.</w:t>
      </w:r>
    </w:p>
    <w:p>
      <w:pPr>
        <w:spacing w:after="0" w:line="220" w:lineRule="exact"/>
        <w:rPr>
          <w:sz w:val="20"/>
          <w:szCs w:val="20"/>
          <w:color w:val="auto"/>
        </w:rPr>
      </w:pPr>
    </w:p>
    <w:p>
      <w:pPr>
        <w:ind w:right="180"/>
        <w:spacing w:after="0" w:line="286" w:lineRule="auto"/>
        <w:rPr>
          <w:rFonts w:ascii="Arial" w:cs="Arial" w:eastAsia="Arial" w:hAnsi="Arial"/>
          <w:sz w:val="16"/>
          <w:szCs w:val="16"/>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color w:val="auto"/>
        </w:rPr>
        <w:t>. See a summary of key operating statistics in the</w:t>
      </w:r>
      <w:r>
        <w:rPr>
          <w:rFonts w:ascii="Arial" w:cs="Arial" w:eastAsia="Arial" w:hAnsi="Arial"/>
          <w:sz w:val="16"/>
          <w:szCs w:val="16"/>
          <w:b w:val="1"/>
          <w:bCs w:val="1"/>
          <w:i w:val="1"/>
          <w:iCs w:val="1"/>
          <w:color w:val="auto"/>
        </w:rPr>
        <w:t xml:space="preserve"> </w:t>
      </w:r>
      <w:hyperlink w:anchor="page48">
        <w:r>
          <w:rPr>
            <w:rFonts w:ascii="Arial" w:cs="Arial" w:eastAsia="Arial" w:hAnsi="Arial"/>
            <w:sz w:val="16"/>
            <w:szCs w:val="16"/>
            <w:u w:val="single" w:color="auto"/>
            <w:color w:val="0000FF"/>
          </w:rPr>
          <w:t>Power Generation</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results within Management’s Discussion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Analysis of Financial Condition and Results of Operations in </w:t>
      </w:r>
      <w:hyperlink w:anchor="page33">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Mining</w:t>
      </w:r>
    </w:p>
    <w:p>
      <w:pPr>
        <w:spacing w:after="0" w:line="268"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Our Mining segment operates a single coal mine through our WRDC subsidiary. We surface mine, process and sell low-sulfur sub-bituminous coal at our mine near Gillette, Wyoming. The WRDC mine, which we acquired in 1956 from Homestake Mining Company, is located in the Powder River Basin. We produced approximately 3.7 million tons of coal in 2020.</w:t>
      </w:r>
    </w:p>
    <w:p>
      <w:pPr>
        <w:spacing w:after="0" w:line="22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During our surface mining operations, we strip and store the topsoil. We then remove the overburden (earth and rock covering the coal) with heavy equipment. Removal of the overburden typically requires drilling and blasting. Once the coal is exposed, we drill, fracture and systematically remove it, using front-end loaders and conveyors to transport the coal to the mine-mouth generating facilities. We reclaim disturbed areas as part of our normal mining activities by back-filling the pit with overburden removed during the mining process. Once we have replaced the overburden and topsoil, we reestablish vegetation and plant life in accordance with our approved post-mining topography plan.</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 basin characterized by thick coal seams, our overburden ratio, a comparison of the cubic yards of dirt removed to a ton of coal uncovered, has trended upwards over the last fifteen years. However, the overburden ratio at December 31, 2020 was 2.17 which decreased from 2.30 in the prior year as we mined in areas with lower overburden. We expect our stripping ratio to increase to approximately 2.27 by the end of 2021 as we mine in areas with higher overburden.</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Mining rights to the reserves are based on three federal leases and one state lease. The federal leases expire between March 31, 2021 and September 30, 2025 and the state lease expires on August 1, 2023. The duration of the leases varies; however, the lease terms generally are extended to the exhaustion of economically recoverable reserves, as long as active mining continues. The federal lease expiring March 31, 2021 relates to an area we are no longer mining and will not be renewed. The Biden Administration recently issued an executive order that suspends new oil and gas leases on federal lands and eliminates fossil fuel subsidies. However, this moratorium does not apply to federal mining leases and we have not received federal subsidies.</w:t>
      </w:r>
    </w:p>
    <w:p>
      <w:pPr>
        <w:spacing w:after="0" w:line="230"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pay federal and state royalties of 12.5% of the selling price of all coal. As of December 31, 2020, we estimated our recoverable reserves to be approximately 182 million tons, based on a life-of-mine engineering study utilizing currently available drilling data and geological information prepared by internal engineering studies. The recoverable reserve life is equal to approximately 49 years at the current production levels. Our recoverable reserve estimates are periodically updated to reflect past production and other geological and mining data. Changes in mining methods or the utilization of new technologies may increase or decrease the recovery basis for a coal seam. Our recoverable reserves include reserves that can be economically and legally extracted at the time of their determination.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mine’s production is currently sold under contracts to:</w:t>
      </w:r>
    </w:p>
    <w:p>
      <w:pPr>
        <w:spacing w:after="0" w:line="248" w:lineRule="exact"/>
        <w:rPr>
          <w:sz w:val="20"/>
          <w:szCs w:val="20"/>
          <w:color w:val="auto"/>
        </w:rPr>
      </w:pPr>
    </w:p>
    <w:p>
      <w:pPr>
        <w:ind w:left="660" w:right="2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South Dakota Electric for use at the 90 MW Neil Simpson II plant to which we sell approximately 500,000 tons each year. This contract is for the life of the plant;</w:t>
      </w:r>
    </w:p>
    <w:p>
      <w:pPr>
        <w:spacing w:after="0" w:line="222" w:lineRule="exact"/>
        <w:rPr>
          <w:rFonts w:ascii="Arial" w:cs="Arial" w:eastAsia="Arial" w:hAnsi="Arial"/>
          <w:sz w:val="16"/>
          <w:szCs w:val="16"/>
          <w:color w:val="auto"/>
        </w:rPr>
      </w:pPr>
    </w:p>
    <w:p>
      <w:pPr>
        <w:ind w:left="660" w:right="32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Wyoming Electric for use at the 95 MW Wygen II plant to which we sell approximately 550,000 tons each year. This contract is for the life of the plant;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line="25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362 MW Wyodak Plant owned 80% by PacifiCorp and 20% by South Dakota Electric. PacifiCorp is obligated to purchase a minimum of 1.5 million tons each year, subject to adjustments for planned outages and other contract terms. This contract expires December 31, 2022 and negotiations to extend the contract are ongoing. South Dakota Electric is also obligated to purchase a minimum of 375,000 tons per year for its 20% share of the power plant, subject to adjustments for planned outages and other contract terms;</w:t>
      </w:r>
    </w:p>
    <w:p>
      <w:pPr>
        <w:spacing w:after="0" w:line="229" w:lineRule="exact"/>
        <w:rPr>
          <w:rFonts w:ascii="Arial" w:cs="Arial" w:eastAsia="Arial" w:hAnsi="Arial"/>
          <w:sz w:val="16"/>
          <w:szCs w:val="16"/>
          <w:color w:val="auto"/>
        </w:rPr>
      </w:pPr>
    </w:p>
    <w:p>
      <w:pPr>
        <w:ind w:left="660" w:right="42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110 MW Wygen III power plant jointly owned 52% by South Dakota Electric, 25% by MDU and 23% by the City of Gillette to which we sell approximately 600,000 tons each year;</w:t>
      </w:r>
    </w:p>
    <w:p>
      <w:pPr>
        <w:spacing w:after="0" w:line="222" w:lineRule="exact"/>
        <w:rPr>
          <w:rFonts w:ascii="Arial" w:cs="Arial" w:eastAsia="Arial" w:hAnsi="Arial"/>
          <w:sz w:val="16"/>
          <w:szCs w:val="16"/>
          <w:color w:val="auto"/>
        </w:rPr>
      </w:pPr>
    </w:p>
    <w:p>
      <w:pPr>
        <w:ind w:left="660" w:right="24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90 MW Wygen I power plant jointly owned 76.5% by Black Hills Wyoming and 23.5% by MEAN to which we sell approximately 500,000 tons each year; and</w:t>
      </w:r>
    </w:p>
    <w:p>
      <w:pPr>
        <w:spacing w:after="0" w:line="222" w:lineRule="exact"/>
        <w:rPr>
          <w:rFonts w:ascii="Arial" w:cs="Arial" w:eastAsia="Arial" w:hAnsi="Arial"/>
          <w:sz w:val="16"/>
          <w:szCs w:val="16"/>
          <w:color w:val="auto"/>
        </w:rPr>
      </w:pPr>
    </w:p>
    <w:p>
      <w:pPr>
        <w:ind w:left="660" w:right="8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regional industrial customers served by truck to which we sell a total of approximately 300,000 tons each year. These contracts have terms of one to five years.</w:t>
      </w:r>
    </w:p>
    <w:p>
      <w:pPr>
        <w:spacing w:after="0" w:line="22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Our Mining segment sells coal to South Dakota Electric and Wyoming Electric for all of their requirements under cost-based agreements that regulate earnings from these affiliate sales to a specified return on our mine’s cost-depreciated investment base. The return calculated annually is 400 basis points above Moody’s A-Rated Utility Bond Index applied to our Mining investment base.</w:t>
      </w:r>
    </w:p>
    <w:p>
      <w:pPr>
        <w:spacing w:after="0" w:line="228"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The price of unprocessed coal sold to PacifiCorp for the Wyodak Plant is determined by the supply agreement described above. The agreement included a price adjustment in 2019. The price adjustment essentially allowed us to retain the full economic advantage of the mine’s location adjacent to the plant. The price adjustment was based on market price plus considerations for the avoided costs of rail transportation and an unloading facility, which PacifiCorp would have to incur if it purchased from another mine. In addition, the agreement also provided for the monthly escalation of price based on an escalation factor.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October 2019, negotiations were completed for the price re-opener in the contract with the Wyodak Plant. The new price was</w:t>
      </w:r>
    </w:p>
    <w:p>
      <w:pPr>
        <w:spacing w:after="0" w:line="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reset at $17.94 per ton effective July 1, 2019, compared to the prior contract price of $18.25 per ton. The current contract price is comprised of three components: 1) avoided transportation costs (approximately 20% of current price); 2) avoided costs of an unloading facility (approximately 30% of current price); and 3) a rolling 12-month average of the Coal Daily spot market price of 8,400 Btu Powder River Basin coal (approximately 50% of current price).</w:t>
      </w:r>
    </w:p>
    <w:p>
      <w:pPr>
        <w:spacing w:after="0" w:line="228" w:lineRule="exact"/>
        <w:rPr>
          <w:sz w:val="20"/>
          <w:szCs w:val="20"/>
          <w:color w:val="auto"/>
        </w:rPr>
      </w:pPr>
    </w:p>
    <w:p>
      <w:pPr>
        <w:ind w:right="120"/>
        <w:spacing w:after="0" w:line="249" w:lineRule="auto"/>
        <w:rPr>
          <w:rFonts w:ascii="Arial" w:cs="Arial" w:eastAsia="Arial" w:hAnsi="Arial"/>
          <w:sz w:val="16"/>
          <w:szCs w:val="16"/>
          <w:color w:val="auto"/>
        </w:rPr>
      </w:pPr>
      <w:r>
        <w:rPr>
          <w:rFonts w:ascii="Arial" w:cs="Arial" w:eastAsia="Arial" w:hAnsi="Arial"/>
          <w:sz w:val="16"/>
          <w:szCs w:val="16"/>
          <w:color w:val="auto"/>
        </w:rPr>
        <w:t xml:space="preserve">WRDC supplies coal to Black Hills Wyoming for the Wygen I generating facility for requirements under an agreement through June 30, 2038. Currently, this agreement uses a base price that includes price escalators and quality adjustments and includes actual cost per ton plus a margin equal to the yield for Moody’s A-Rated Utility Bond Index plus 400 basis points with the base price being adjusted on a 5-year interval. Effective January 1, 2022, in conjunction with the new Wygen I 60 MW PPA, WRDC’s current coal supply agreement will be revised using pricing that will be cost-based to regulate earnings to a specified return on the cost-depreciated investment base. For additional information regarding the new Wygen I 60 MW PPA, see </w:t>
      </w:r>
      <w:hyperlink w:anchor="page85">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1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Our strategy is to sell the majority of our production to on-site, mine-mouth generation facilities under long-term supply contracts.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off-site sales have been to consumers within close proximity to the WRDC mine. Rail transport market opportunities for WRDC are limited due to the lower heating value (Btu) of the coal, combined with the fact that the WRDC mine is served by only one railroad, resulting in less competitive transportation rates.</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Additionally, coal competes with other energy sources, such as natural gas, wind, solar and hydropower. Costs and other factors relating to these alternative fuels, such as safety, environmental and availability considerations affect the overall demand for coal as a fuel.</w:t>
      </w:r>
    </w:p>
    <w:p>
      <w:pPr>
        <w:spacing w:after="0" w:line="202" w:lineRule="exact"/>
        <w:rPr>
          <w:sz w:val="20"/>
          <w:szCs w:val="20"/>
          <w:color w:val="auto"/>
        </w:rPr>
      </w:pPr>
    </w:p>
    <w:p>
      <w:pPr>
        <w:jc w:val="both"/>
        <w:ind w:right="500"/>
        <w:spacing w:after="0" w:line="266"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 Matters. </w:t>
      </w:r>
      <w:r>
        <w:rPr>
          <w:rFonts w:ascii="Arial" w:cs="Arial" w:eastAsia="Arial" w:hAnsi="Arial"/>
          <w:sz w:val="16"/>
          <w:szCs w:val="16"/>
          <w:color w:val="auto"/>
        </w:rPr>
        <w:t>We are subject to federal, state and local laws and regulations providing for air, water and solid waste pollution control;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facility-siting regulations; zoning and planning regulations of certain state and local authorities; federal health and safety regulations; and state hazard communication standards. See </w:t>
      </w:r>
      <w:hyperlink w:anchor="page21">
        <w:r>
          <w:rPr>
            <w:rFonts w:ascii="Arial" w:cs="Arial" w:eastAsia="Arial" w:hAnsi="Arial"/>
            <w:sz w:val="16"/>
            <w:szCs w:val="16"/>
            <w:u w:val="single" w:color="auto"/>
            <w:color w:val="0000FF"/>
          </w:rPr>
          <w:t>Environmental Matters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section for further information.</w:t>
      </w:r>
    </w:p>
    <w:p>
      <w:pPr>
        <w:spacing w:after="0" w:line="198" w:lineRule="exact"/>
        <w:rPr>
          <w:sz w:val="20"/>
          <w:szCs w:val="20"/>
          <w:color w:val="auto"/>
        </w:rPr>
      </w:pPr>
    </w:p>
    <w:p>
      <w:pPr>
        <w:ind w:right="20"/>
        <w:spacing w:after="0" w:line="253"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Mine Reclamation. </w:t>
      </w:r>
      <w:r>
        <w:rPr>
          <w:rFonts w:ascii="Arial" w:cs="Arial" w:eastAsia="Arial" w:hAnsi="Arial"/>
          <w:sz w:val="16"/>
          <w:szCs w:val="16"/>
          <w:color w:val="auto"/>
        </w:rPr>
        <w:t>Reclamation is completed during production and after mining has finished. Under applicable law, we must submit applications to,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receive approval from, the Wyoming Department of Environmental Quality for any mining and reclamation plans that provide for orderly mining, reclamation and restoration of the WRDC mine. We have approved mining permits and are in compliance with other permitting programs administered by various regulatory agencies. The WRDC mine is permitted to operate under a five-year mining permit issued by the State of Wyoming. In 2016, that five-year permit was re-issued and we are currently in the process of renewing this permit. Based on extensive reclamation studies, we have accrued approximately $13 million for reclamation costs as of December 31, 2020. See additional information in </w:t>
      </w:r>
      <w:hyperlink w:anchor="page94">
        <w:r>
          <w:rPr>
            <w:rFonts w:ascii="Arial" w:cs="Arial" w:eastAsia="Arial" w:hAnsi="Arial"/>
            <w:sz w:val="16"/>
            <w:szCs w:val="16"/>
            <w:u w:val="single" w:color="auto"/>
            <w:color w:val="0000FF"/>
          </w:rPr>
          <w:t>Note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200"/>
        <w:spacing w:after="0" w:line="286" w:lineRule="auto"/>
        <w:rPr>
          <w:rFonts w:ascii="Arial" w:cs="Arial" w:eastAsia="Arial" w:hAnsi="Arial"/>
          <w:sz w:val="16"/>
          <w:szCs w:val="16"/>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color w:val="auto"/>
        </w:rPr>
        <w:t>. See a summary of key operating statistics in the</w:t>
      </w:r>
      <w:r>
        <w:rPr>
          <w:rFonts w:ascii="Arial" w:cs="Arial" w:eastAsia="Arial" w:hAnsi="Arial"/>
          <w:sz w:val="16"/>
          <w:szCs w:val="16"/>
          <w:b w:val="1"/>
          <w:bCs w:val="1"/>
          <w:i w:val="1"/>
          <w:iCs w:val="1"/>
          <w:color w:val="auto"/>
        </w:rPr>
        <w:t xml:space="preserve"> </w:t>
      </w:r>
      <w:hyperlink w:anchor="page49">
        <w:r>
          <w:rPr>
            <w:rFonts w:ascii="Arial" w:cs="Arial" w:eastAsia="Arial" w:hAnsi="Arial"/>
            <w:sz w:val="16"/>
            <w:szCs w:val="16"/>
            <w:u w:val="single" w:color="auto"/>
            <w:color w:val="0000FF"/>
          </w:rPr>
          <w:t>Mining</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results within Management’s Discussion and Analysis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Financial Condition and Results of Operations in </w:t>
      </w:r>
      <w:hyperlink w:anchor="page33">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66" w:lineRule="exact"/>
        <w:rPr>
          <w:sz w:val="20"/>
          <w:szCs w:val="20"/>
          <w:color w:val="auto"/>
        </w:rPr>
      </w:pPr>
    </w:p>
    <w:p>
      <w:pPr>
        <w:ind w:right="2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In November 2020, we announced clean energy goals to reduce GHG emissions that are based on prudent and proven solutions to reduce our emissions while minimizing cost impacts to our customers. See more information in </w:t>
      </w:r>
      <w:hyperlink w:anchor="page34">
        <w:r>
          <w:rPr>
            <w:rFonts w:ascii="Arial" w:cs="Arial" w:eastAsia="Arial" w:hAnsi="Arial"/>
            <w:sz w:val="16"/>
            <w:szCs w:val="16"/>
            <w:u w:val="single" w:color="auto"/>
            <w:color w:val="0000FF"/>
          </w:rPr>
          <w:t>Key Elements of our Business Strategy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within Management’s Discussion and Analysis of Financial Condition and Results of Operations in </w:t>
      </w:r>
      <w:hyperlink w:anchor="page33">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8" w:lineRule="exact"/>
        <w:rPr>
          <w:sz w:val="20"/>
          <w:szCs w:val="20"/>
          <w:color w:val="auto"/>
        </w:rPr>
      </w:pPr>
    </w:p>
    <w:p>
      <w:pPr>
        <w:jc w:val="both"/>
        <w:ind w:right="540"/>
        <w:spacing w:after="0" w:line="259" w:lineRule="auto"/>
        <w:rPr>
          <w:sz w:val="20"/>
          <w:szCs w:val="20"/>
          <w:color w:val="auto"/>
        </w:rPr>
      </w:pPr>
      <w:r>
        <w:rPr>
          <w:rFonts w:ascii="Arial" w:cs="Arial" w:eastAsia="Arial" w:hAnsi="Arial"/>
          <w:sz w:val="16"/>
          <w:szCs w:val="16"/>
          <w:b w:val="1"/>
          <w:bCs w:val="1"/>
          <w:color w:val="222222"/>
        </w:rPr>
        <w:t xml:space="preserve">Environmental Management System (EMS). </w:t>
      </w:r>
      <w:r>
        <w:rPr>
          <w:rFonts w:ascii="Arial" w:cs="Arial" w:eastAsia="Arial" w:hAnsi="Arial"/>
          <w:sz w:val="16"/>
          <w:szCs w:val="16"/>
          <w:color w:val="222222"/>
        </w:rPr>
        <w:t>We operate an EMS that is composed of environmental policies and procedures, voluntary initiatives,</w:t>
      </w:r>
      <w:r>
        <w:rPr>
          <w:rFonts w:ascii="Arial" w:cs="Arial" w:eastAsia="Arial" w:hAnsi="Arial"/>
          <w:sz w:val="16"/>
          <w:szCs w:val="16"/>
          <w:b w:val="1"/>
          <w:bCs w:val="1"/>
          <w:color w:val="222222"/>
        </w:rPr>
        <w:t xml:space="preserve"> </w:t>
      </w:r>
      <w:r>
        <w:rPr>
          <w:rFonts w:ascii="Arial" w:cs="Arial" w:eastAsia="Arial" w:hAnsi="Arial"/>
          <w:sz w:val="16"/>
          <w:szCs w:val="16"/>
          <w:color w:val="222222"/>
        </w:rPr>
        <w:t>objectives and annual targets, operational controls, training, a sophisticated task scheduling/tracking and document control system, and a continuous improvement process. The program attained Colorado’s highest level in their Environmental Leadership Program (Gold Level status in 2014) and has continued this status through 2020.</w:t>
      </w:r>
    </w:p>
    <w:p>
      <w:pPr>
        <w:spacing w:after="0" w:line="20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222222"/>
        </w:rPr>
        <w:t xml:space="preserve">Methane Rules (Greenhouse Gas Emissions). </w:t>
      </w:r>
      <w:r>
        <w:rPr>
          <w:rFonts w:ascii="Arial" w:cs="Arial" w:eastAsia="Arial" w:hAnsi="Arial"/>
          <w:sz w:val="16"/>
          <w:szCs w:val="16"/>
          <w:color w:val="222222"/>
        </w:rPr>
        <w:t>The EPA and the State of Colorado have implemented strict regulatory requirements on hydrocarbon and</w:t>
      </w:r>
      <w:r>
        <w:rPr>
          <w:rFonts w:ascii="Arial" w:cs="Arial" w:eastAsia="Arial" w:hAnsi="Arial"/>
          <w:sz w:val="16"/>
          <w:szCs w:val="16"/>
          <w:b w:val="1"/>
          <w:bCs w:val="1"/>
          <w:color w:val="222222"/>
        </w:rPr>
        <w:t xml:space="preserve"> </w:t>
      </w:r>
      <w:r>
        <w:rPr>
          <w:rFonts w:ascii="Arial" w:cs="Arial" w:eastAsia="Arial" w:hAnsi="Arial"/>
          <w:sz w:val="16"/>
          <w:szCs w:val="16"/>
          <w:color w:val="222222"/>
        </w:rPr>
        <w:t xml:space="preserve">methane emissions associated with natural gas gathering and transmission systems. </w:t>
      </w:r>
      <w:r>
        <w:rPr>
          <w:rFonts w:ascii="Arial" w:cs="Arial" w:eastAsia="Arial" w:hAnsi="Arial"/>
          <w:sz w:val="16"/>
          <w:szCs w:val="16"/>
          <w:color w:val="000000"/>
        </w:rPr>
        <w:t>Presently, we have facilities in our natural gas transmission</w:t>
      </w:r>
      <w:r>
        <w:rPr>
          <w:rFonts w:ascii="Arial" w:cs="Arial" w:eastAsia="Arial" w:hAnsi="Arial"/>
          <w:sz w:val="16"/>
          <w:szCs w:val="16"/>
          <w:color w:val="222222"/>
        </w:rPr>
        <w:t xml:space="preserve"> </w:t>
      </w:r>
      <w:r>
        <w:rPr>
          <w:rFonts w:ascii="Arial" w:cs="Arial" w:eastAsia="Arial" w:hAnsi="Arial"/>
          <w:sz w:val="16"/>
          <w:szCs w:val="16"/>
          <w:color w:val="000000"/>
        </w:rPr>
        <w:t>operations affected by the methane reduction rules.</w:t>
      </w:r>
    </w:p>
    <w:p>
      <w:pPr>
        <w:spacing w:after="0" w:line="232"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 xml:space="preserve">Our operations are in compliance with both EPA and State of Colorado rules. Future modifications to our gathering and transmissions systems are anticipated to trigger EPA methane rules that we will adhere to. We developed a </w:t>
      </w:r>
      <w:r>
        <w:rPr>
          <w:rFonts w:ascii="Arial" w:cs="Arial" w:eastAsia="Arial" w:hAnsi="Arial"/>
          <w:sz w:val="16"/>
          <w:szCs w:val="16"/>
          <w:color w:val="222222"/>
        </w:rPr>
        <w:t>corporate-wide</w:t>
      </w:r>
      <w:r>
        <w:rPr>
          <w:rFonts w:ascii="Arial" w:cs="Arial" w:eastAsia="Arial" w:hAnsi="Arial"/>
          <w:sz w:val="16"/>
          <w:szCs w:val="16"/>
          <w:color w:val="auto"/>
        </w:rPr>
        <w:t xml:space="preserve"> methane control strategy to address GHG emissions. As a proactive measure in reducing methane emissions beyond current regulatory requirements, we have entered into the EPA’s Methane Challenge Program. This is a voluntary program founded by the EPA in collaboration with oil and natural gas companies that recognizes companies that make specific and transparent commitments to reduce methane emissions.</w:t>
      </w:r>
    </w:p>
    <w:p>
      <w:pPr>
        <w:spacing w:after="0" w:line="21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b w:val="1"/>
          <w:bCs w:val="1"/>
          <w:color w:val="222222"/>
        </w:rPr>
        <w:t xml:space="preserve">Short-term Emission Limits. </w:t>
      </w:r>
      <w:r>
        <w:rPr>
          <w:rFonts w:ascii="Arial" w:cs="Arial" w:eastAsia="Arial" w:hAnsi="Arial"/>
          <w:sz w:val="16"/>
          <w:szCs w:val="16"/>
          <w:color w:val="222222"/>
        </w:rPr>
        <w:t>The EPA and State Air Quality Programs implemented short-term emission limits for coal and natural gas-fired generating</w:t>
      </w:r>
      <w:r>
        <w:rPr>
          <w:rFonts w:ascii="Arial" w:cs="Arial" w:eastAsia="Arial" w:hAnsi="Arial"/>
          <w:sz w:val="16"/>
          <w:szCs w:val="16"/>
          <w:b w:val="1"/>
          <w:bCs w:val="1"/>
          <w:color w:val="222222"/>
        </w:rPr>
        <w:t xml:space="preserve"> </w:t>
      </w:r>
      <w:r>
        <w:rPr>
          <w:rFonts w:ascii="Arial" w:cs="Arial" w:eastAsia="Arial" w:hAnsi="Arial"/>
          <w:sz w:val="16"/>
          <w:szCs w:val="16"/>
          <w:color w:val="222222"/>
        </w:rPr>
        <w:t>units during normal and start-up operating scenarios for SO2, NOx and opacity. The limits pertain to emissions during start-up periods and upset conditions such as mechanical malfunctions. State and federal regulatory agencies typically excuse short-term emissions exceedances if they are reported and corrected immediately or if it occurs during start-up.</w:t>
      </w:r>
    </w:p>
    <w:p>
      <w:pPr>
        <w:spacing w:after="0" w:line="22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222222"/>
        </w:rPr>
        <w:t>We proactively manage this requirement through maintenance efforts and installing additional pollution control systems to control SO2 emission short-term excursions during start-up. These actions have nearly eliminated our short-term emission limit compliance risk while plant availability remained above 90% for all four of our coal-fired plants. To eliminate the remaining potential for exceedances, an innovative trip logic mechanism was implemented to shut down the power plant if we anticipate the emission limit will be exceeded. There have been limited instances of the trip logic mechanism being used and we experienced zero exceedances during 2020.</w:t>
      </w:r>
    </w:p>
    <w:p>
      <w:pPr>
        <w:spacing w:after="0" w:line="210" w:lineRule="exact"/>
        <w:rPr>
          <w:sz w:val="20"/>
          <w:szCs w:val="20"/>
          <w:color w:val="auto"/>
        </w:rPr>
      </w:pPr>
    </w:p>
    <w:p>
      <w:pPr>
        <w:ind w:right="40"/>
        <w:spacing w:after="0" w:line="219" w:lineRule="auto"/>
        <w:rPr>
          <w:sz w:val="20"/>
          <w:szCs w:val="20"/>
          <w:color w:val="auto"/>
        </w:rPr>
      </w:pPr>
      <w:r>
        <w:rPr>
          <w:rFonts w:ascii="Arial" w:cs="Arial" w:eastAsia="Arial" w:hAnsi="Arial"/>
          <w:sz w:val="16"/>
          <w:szCs w:val="16"/>
          <w:b w:val="1"/>
          <w:bCs w:val="1"/>
          <w:color w:val="222222"/>
        </w:rPr>
        <w:t xml:space="preserve">Regional Haze (Impacts to the Wyodak Plant). </w:t>
      </w:r>
      <w:r>
        <w:rPr>
          <w:rFonts w:ascii="Arial" w:cs="Arial" w:eastAsia="Arial" w:hAnsi="Arial"/>
          <w:sz w:val="16"/>
          <w:szCs w:val="16"/>
          <w:color w:val="222222"/>
        </w:rPr>
        <w:t>The EPA Regional Haze rule was promulgated to improve visibility in our National Parks and Wilderness</w:t>
      </w:r>
      <w:r>
        <w:rPr>
          <w:rFonts w:ascii="Arial" w:cs="Arial" w:eastAsia="Arial" w:hAnsi="Arial"/>
          <w:sz w:val="16"/>
          <w:szCs w:val="16"/>
          <w:b w:val="1"/>
          <w:bCs w:val="1"/>
          <w:color w:val="222222"/>
        </w:rPr>
        <w:t xml:space="preserve"> </w:t>
      </w:r>
      <w:r>
        <w:rPr>
          <w:rFonts w:ascii="Arial" w:cs="Arial" w:eastAsia="Arial" w:hAnsi="Arial"/>
          <w:sz w:val="16"/>
          <w:szCs w:val="16"/>
          <w:color w:val="222222"/>
        </w:rPr>
        <w:t xml:space="preserve">Areas. The State of Wyoming proposed controls in its Regional Haze State Implementation Plan (SIP) which </w:t>
      </w:r>
      <w:r>
        <w:rPr>
          <w:rFonts w:ascii="Arial" w:cs="Arial" w:eastAsia="Arial" w:hAnsi="Arial"/>
          <w:sz w:val="16"/>
          <w:szCs w:val="16"/>
          <w:color w:val="000000"/>
        </w:rPr>
        <w:t>allowed PacifiCorp to install low-NO</w:t>
      </w:r>
      <w:r>
        <w:rPr>
          <w:rFonts w:ascii="Arial" w:cs="Arial" w:eastAsia="Arial" w:hAnsi="Arial"/>
          <w:sz w:val="16"/>
          <w:szCs w:val="16"/>
          <w:color w:val="222222"/>
        </w:rPr>
        <w:t xml:space="preserve"> </w:t>
      </w:r>
      <w:r>
        <w:rPr>
          <w:rFonts w:ascii="Arial" w:cs="Arial" w:eastAsia="Arial" w:hAnsi="Arial"/>
          <w:sz w:val="21"/>
          <w:szCs w:val="21"/>
          <w:color w:val="000000"/>
          <w:vertAlign w:val="subscript"/>
        </w:rPr>
        <w:t>x</w:t>
      </w:r>
      <w:r>
        <w:rPr>
          <w:rFonts w:ascii="Arial" w:cs="Arial" w:eastAsia="Arial" w:hAnsi="Arial"/>
          <w:sz w:val="16"/>
          <w:szCs w:val="16"/>
          <w:color w:val="222222"/>
        </w:rPr>
        <w:t xml:space="preserve"> </w:t>
      </w:r>
      <w:r>
        <w:rPr>
          <w:rFonts w:ascii="Arial" w:cs="Arial" w:eastAsia="Arial" w:hAnsi="Arial"/>
          <w:sz w:val="16"/>
          <w:szCs w:val="16"/>
          <w:color w:val="000000"/>
        </w:rPr>
        <w:t>burners in</w:t>
      </w:r>
      <w:r>
        <w:rPr>
          <w:rFonts w:ascii="Arial" w:cs="Arial" w:eastAsia="Arial" w:hAnsi="Arial"/>
          <w:sz w:val="16"/>
          <w:szCs w:val="16"/>
          <w:color w:val="222222"/>
        </w:rPr>
        <w:t xml:space="preserve"> </w:t>
      </w:r>
      <w:r>
        <w:rPr>
          <w:rFonts w:ascii="Arial" w:cs="Arial" w:eastAsia="Arial" w:hAnsi="Arial"/>
          <w:sz w:val="16"/>
          <w:szCs w:val="16"/>
          <w:color w:val="000000"/>
        </w:rPr>
        <w:t>the Wyodak Plant, of which South Dakota Electric owns 20%</w:t>
      </w:r>
      <w:r>
        <w:rPr>
          <w:rFonts w:ascii="Arial" w:cs="Arial" w:eastAsia="Arial" w:hAnsi="Arial"/>
          <w:sz w:val="16"/>
          <w:szCs w:val="16"/>
          <w:color w:val="222222"/>
        </w:rPr>
        <w:t>. The EPA did not agree with the State of Wyoming’s determination, overruled it in a Federal</w:t>
      </w:r>
      <w:r>
        <w:rPr>
          <w:rFonts w:ascii="Arial" w:cs="Arial" w:eastAsia="Arial" w:hAnsi="Arial"/>
          <w:sz w:val="16"/>
          <w:szCs w:val="16"/>
          <w:color w:val="000000"/>
        </w:rPr>
        <w:t xml:space="preserve"> </w:t>
      </w:r>
      <w:r>
        <w:rPr>
          <w:rFonts w:ascii="Arial" w:cs="Arial" w:eastAsia="Arial" w:hAnsi="Arial"/>
          <w:sz w:val="16"/>
          <w:szCs w:val="16"/>
          <w:color w:val="222222"/>
        </w:rPr>
        <w:t>Implementation Plan (FIP) and proposed a Selective Catalytic Reactor to be installed to control NO</w:t>
      </w:r>
      <w:r>
        <w:rPr>
          <w:rFonts w:ascii="Arial" w:cs="Arial" w:eastAsia="Arial" w:hAnsi="Arial"/>
          <w:sz w:val="21"/>
          <w:szCs w:val="21"/>
          <w:color w:val="222222"/>
          <w:vertAlign w:val="subscript"/>
        </w:rPr>
        <w:t>x</w:t>
      </w:r>
      <w:r>
        <w:rPr>
          <w:rFonts w:ascii="Arial" w:cs="Arial" w:eastAsia="Arial" w:hAnsi="Arial"/>
          <w:sz w:val="16"/>
          <w:szCs w:val="16"/>
          <w:color w:val="222222"/>
        </w:rPr>
        <w:t xml:space="preserve"> emissions. This would cost South Dakota Electric approximately $27 million due to its 20% ownership of the Wyodak Plant. PacifiCorp and the State of Wyoming challenged the EPA’s determination. Prior to proceeding to court, PacifiCorp and the EPA reached a verbal agreement on December 16, 2020, to limit operating hours and determined that low-NO</w:t>
      </w:r>
      <w:r>
        <w:rPr>
          <w:rFonts w:ascii="Arial" w:cs="Arial" w:eastAsia="Arial" w:hAnsi="Arial"/>
          <w:sz w:val="21"/>
          <w:szCs w:val="21"/>
          <w:color w:val="222222"/>
          <w:vertAlign w:val="subscript"/>
        </w:rPr>
        <w:t>x</w:t>
      </w:r>
      <w:r>
        <w:rPr>
          <w:rFonts w:ascii="Arial" w:cs="Arial" w:eastAsia="Arial" w:hAnsi="Arial"/>
          <w:sz w:val="16"/>
          <w:szCs w:val="16"/>
          <w:color w:val="222222"/>
        </w:rPr>
        <w:t xml:space="preserve"> burners would be considered appropriate to control NO</w:t>
      </w:r>
      <w:r>
        <w:rPr>
          <w:rFonts w:ascii="Arial" w:cs="Arial" w:eastAsia="Arial" w:hAnsi="Arial"/>
          <w:sz w:val="21"/>
          <w:szCs w:val="21"/>
          <w:color w:val="222222"/>
          <w:vertAlign w:val="subscript"/>
        </w:rPr>
        <w:t>x</w:t>
      </w:r>
      <w:r>
        <w:rPr>
          <w:rFonts w:ascii="Arial" w:cs="Arial" w:eastAsia="Arial" w:hAnsi="Arial"/>
          <w:sz w:val="16"/>
          <w:szCs w:val="16"/>
          <w:color w:val="222222"/>
        </w:rPr>
        <w:t xml:space="preserve"> emissions. This proposed agreement was published in the Federal Register, but remains in the public comment period until March 1, 2021. The final agreement must be published in the Federal Register and approved in Wyoming’s State Implementation Plan through the rule making process.</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6"/>
          <w:szCs w:val="16"/>
          <w:b w:val="1"/>
          <w:bCs w:val="1"/>
          <w:color w:val="222222"/>
        </w:rPr>
        <w:t xml:space="preserve">Mining. </w:t>
      </w:r>
      <w:r>
        <w:rPr>
          <w:rFonts w:ascii="Arial" w:cs="Arial" w:eastAsia="Arial" w:hAnsi="Arial"/>
          <w:sz w:val="16"/>
          <w:szCs w:val="16"/>
          <w:color w:val="222222"/>
        </w:rPr>
        <w:t>Operations at the WRDC mine must regularly address issues related to the proximity of the mine disturbance boundary to the City of Gillette and to</w:t>
      </w:r>
      <w:r>
        <w:rPr>
          <w:rFonts w:ascii="Arial" w:cs="Arial" w:eastAsia="Arial" w:hAnsi="Arial"/>
          <w:sz w:val="16"/>
          <w:szCs w:val="16"/>
          <w:b w:val="1"/>
          <w:bCs w:val="1"/>
          <w:color w:val="222222"/>
        </w:rPr>
        <w:t xml:space="preserve"> </w:t>
      </w:r>
      <w:r>
        <w:rPr>
          <w:rFonts w:ascii="Arial" w:cs="Arial" w:eastAsia="Arial" w:hAnsi="Arial"/>
          <w:sz w:val="16"/>
          <w:szCs w:val="16"/>
          <w:color w:val="222222"/>
        </w:rPr>
        <w:t>residential properties. Homeowner complaints and challenges to the permits may occur as mining operations move closer to residential areas. Specific concerns could include damage to wells, fugitive dust emissions, vibration and an emissions cloud from blasting. The mine makes every effort to reduce these impacts by monitoring blasts, modifying blast techniques to reduce blast vibration, applying dust suppression controls on roads and reclaiming lands to reduce windblown dust.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b w:val="1"/>
          <w:bCs w:val="1"/>
          <w:color w:val="222222"/>
        </w:rPr>
        <w:t xml:space="preserve">Former Manufactured Gas Plants (FMGP). </w:t>
      </w:r>
      <w:r>
        <w:rPr>
          <w:rFonts w:ascii="Arial" w:cs="Arial" w:eastAsia="Arial" w:hAnsi="Arial"/>
          <w:sz w:val="16"/>
          <w:szCs w:val="16"/>
          <w:color w:val="222222"/>
        </w:rPr>
        <w:t>Federal and state laws authorize the EPA and other agencies to issue orders compelling potentially</w:t>
      </w:r>
      <w:r>
        <w:rPr>
          <w:rFonts w:ascii="Arial" w:cs="Arial" w:eastAsia="Arial" w:hAnsi="Arial"/>
          <w:sz w:val="16"/>
          <w:szCs w:val="16"/>
          <w:b w:val="1"/>
          <w:bCs w:val="1"/>
          <w:color w:val="222222"/>
        </w:rPr>
        <w:t xml:space="preserve"> </w:t>
      </w:r>
      <w:r>
        <w:rPr>
          <w:rFonts w:ascii="Arial" w:cs="Arial" w:eastAsia="Arial" w:hAnsi="Arial"/>
          <w:sz w:val="16"/>
          <w:szCs w:val="16"/>
          <w:color w:val="222222"/>
        </w:rPr>
        <w:t>responsible parties to clean up sites that are determined to present an actual or potential threat to human health or the environment. As of December 31, 2020, our Gas Utilities have two active FMGP sites, which are located in Council Bluffs, Iowa, and McCook, Nebraska. At the Council Bluffs site, the EPA issued an order for the responsible parties to proceed with an Engineering Evaluation and Cost Analysis (EECA) to clean up the site. Three viable Potential Responsible Parties (PRP) continue to deny their legal attachment to the site. The Company will continue conducting the EECA and anticipates pursuing the PRP’s through legal action. There is currently no action being taken at the McCook, Nebraska site. A third-party initially indicated they intend to manage and pay for the clean-up at this site. However, after further investigation, the third-party assessed they owned the property after the gas plant ceased operations. We expect to conduct an assessment to determine viable PRPs.</w:t>
      </w:r>
    </w:p>
    <w:p>
      <w:pPr>
        <w:spacing w:after="0" w:line="230"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For additional information, see </w:t>
      </w:r>
      <w:hyperlink w:anchor="page85">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15" w:lineRule="exact"/>
        <w:rPr>
          <w:sz w:val="20"/>
          <w:szCs w:val="20"/>
          <w:color w:val="auto"/>
        </w:rPr>
      </w:pPr>
    </w:p>
    <w:p>
      <w:pPr>
        <w:spacing w:after="0" w:line="237" w:lineRule="auto"/>
        <w:rPr>
          <w:sz w:val="20"/>
          <w:szCs w:val="20"/>
          <w:color w:val="auto"/>
        </w:rPr>
      </w:pPr>
      <w:r>
        <w:rPr>
          <w:rFonts w:ascii="Arial" w:cs="Arial" w:eastAsia="Arial" w:hAnsi="Arial"/>
          <w:sz w:val="16"/>
          <w:szCs w:val="16"/>
          <w:b w:val="1"/>
          <w:bCs w:val="1"/>
          <w:color w:val="auto"/>
        </w:rPr>
        <w:t xml:space="preserve">Affordable Clean Energy Rule. </w:t>
      </w:r>
      <w:r>
        <w:rPr>
          <w:rFonts w:ascii="Arial" w:cs="Arial" w:eastAsia="Arial" w:hAnsi="Arial"/>
          <w:sz w:val="16"/>
          <w:szCs w:val="16"/>
          <w:color w:val="auto"/>
        </w:rPr>
        <w:t>The EPA was directed</w:t>
      </w:r>
      <w:r>
        <w:rPr>
          <w:rFonts w:ascii="Arial" w:cs="Arial" w:eastAsia="Arial" w:hAnsi="Arial"/>
          <w:sz w:val="16"/>
          <w:szCs w:val="16"/>
          <w:b w:val="1"/>
          <w:bCs w:val="1"/>
          <w:color w:val="auto"/>
        </w:rPr>
        <w:t xml:space="preserve"> </w:t>
      </w:r>
      <w:r>
        <w:rPr>
          <w:rFonts w:ascii="Arial" w:cs="Arial" w:eastAsia="Arial" w:hAnsi="Arial"/>
          <w:sz w:val="16"/>
          <w:szCs w:val="16"/>
          <w:color w:val="222222"/>
        </w:rPr>
        <w:t>to repeal, revise and replace the Clean Power Plan rule.</w:t>
      </w:r>
      <w:r>
        <w:rPr>
          <w:rFonts w:ascii="Arial" w:cs="Arial" w:eastAsia="Arial" w:hAnsi="Arial"/>
          <w:sz w:val="16"/>
          <w:szCs w:val="16"/>
          <w:b w:val="1"/>
          <w:bCs w:val="1"/>
          <w:color w:val="auto"/>
        </w:rPr>
        <w:t xml:space="preserve"> </w:t>
      </w:r>
      <w:r>
        <w:rPr>
          <w:rFonts w:ascii="Arial" w:cs="Arial" w:eastAsia="Arial" w:hAnsi="Arial"/>
          <w:sz w:val="16"/>
          <w:szCs w:val="16"/>
          <w:color w:val="auto"/>
        </w:rPr>
        <w:t>On August 31, 2018, the EPA published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Affordable Clean Energy (ACE) rule. This rule focused on heat-rate improvements on coal-fired boiler units and applied only to our coal-fired plants. The Company’s coal-fired plants subject to the rule had implemented or planned to implement a majority of the efficiency requirements listed in the rule. On January 19, 2021, a three-judge panel of the U.S. Court of Appeals for the District of Columbia Circuit vacated the ACE rule. The court remanded the regulation regarding carbon dioxide emissions from existing power plants back to the EPA for reconsideration. Currently, there is no rule governing power plant GHG emissions and it is uncertain when a new rule will be promulgated.</w:t>
      </w:r>
    </w:p>
    <w:p>
      <w:pPr>
        <w:spacing w:after="0" w:line="219"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b w:val="1"/>
          <w:bCs w:val="1"/>
          <w:color w:val="222222"/>
        </w:rPr>
        <w:t xml:space="preserve">OSM Coal Combustion Residual Rule (CCR). </w:t>
      </w:r>
      <w:r>
        <w:rPr>
          <w:rFonts w:ascii="Arial" w:cs="Arial" w:eastAsia="Arial" w:hAnsi="Arial"/>
          <w:sz w:val="16"/>
          <w:szCs w:val="16"/>
          <w:color w:val="000000"/>
        </w:rPr>
        <w:t>The EPA issued the CCR which is currently effective and establishes requirements to protect surface and</w:t>
      </w:r>
      <w:r>
        <w:rPr>
          <w:rFonts w:ascii="Arial" w:cs="Arial" w:eastAsia="Arial" w:hAnsi="Arial"/>
          <w:sz w:val="16"/>
          <w:szCs w:val="16"/>
          <w:b w:val="1"/>
          <w:bCs w:val="1"/>
          <w:color w:val="222222"/>
        </w:rPr>
        <w:t xml:space="preserve"> </w:t>
      </w:r>
      <w:r>
        <w:rPr>
          <w:rFonts w:ascii="Arial" w:cs="Arial" w:eastAsia="Arial" w:hAnsi="Arial"/>
          <w:sz w:val="16"/>
          <w:szCs w:val="16"/>
          <w:color w:val="000000"/>
        </w:rPr>
        <w:t xml:space="preserve">groundwater from impacts of coal ash impoundments. </w:t>
      </w:r>
      <w:r>
        <w:rPr>
          <w:rFonts w:ascii="Arial" w:cs="Arial" w:eastAsia="Arial" w:hAnsi="Arial"/>
          <w:sz w:val="16"/>
          <w:szCs w:val="16"/>
          <w:color w:val="222222"/>
        </w:rPr>
        <w:t>WRDC is exempt from the EPA CCR because ash is used for backfill reclamation in areas previously</w:t>
      </w:r>
      <w:r>
        <w:rPr>
          <w:rFonts w:ascii="Arial" w:cs="Arial" w:eastAsia="Arial" w:hAnsi="Arial"/>
          <w:sz w:val="16"/>
          <w:szCs w:val="16"/>
          <w:color w:val="000000"/>
        </w:rPr>
        <w:t xml:space="preserve"> </w:t>
      </w:r>
      <w:r>
        <w:rPr>
          <w:rFonts w:ascii="Arial" w:cs="Arial" w:eastAsia="Arial" w:hAnsi="Arial"/>
          <w:sz w:val="16"/>
          <w:szCs w:val="16"/>
          <w:color w:val="222222"/>
        </w:rPr>
        <w:t>mined. The Office of Surface Mining (OSM) was considering CCR rules that would apply to the mine, but these rules were not proposed during the Trump administration. We will continue to monitor to see if the Biden administration pursues these rules.</w:t>
      </w:r>
    </w:p>
    <w:p>
      <w:pPr>
        <w:spacing w:after="0" w:line="236" w:lineRule="exact"/>
        <w:rPr>
          <w:sz w:val="20"/>
          <w:szCs w:val="20"/>
          <w:color w:val="auto"/>
        </w:rPr>
      </w:pPr>
    </w:p>
    <w:p>
      <w:pPr>
        <w:ind w:right="300"/>
        <w:spacing w:after="0" w:line="251" w:lineRule="auto"/>
        <w:rPr>
          <w:rFonts w:ascii="Arial" w:cs="Arial" w:eastAsia="Arial" w:hAnsi="Arial"/>
          <w:sz w:val="16"/>
          <w:szCs w:val="16"/>
          <w:color w:val="222222"/>
        </w:rPr>
      </w:pPr>
      <w:r>
        <w:rPr>
          <w:rFonts w:ascii="Arial" w:cs="Arial" w:eastAsia="Arial" w:hAnsi="Arial"/>
          <w:sz w:val="16"/>
          <w:szCs w:val="16"/>
          <w:color w:val="222222"/>
        </w:rPr>
        <w:t xml:space="preserve">Environmental risk changes constantly with the implementation of new or modified regulations, changing stakeholder interests and needs, and through the introduction of innovative work practices and technologies. We assess risk annually and develop mitigation strategies to successfully and responsibly manage and ensure compliance across the enterprise. </w:t>
      </w:r>
      <w:r>
        <w:rPr>
          <w:rFonts w:ascii="Arial" w:cs="Arial" w:eastAsia="Arial" w:hAnsi="Arial"/>
          <w:sz w:val="16"/>
          <w:szCs w:val="16"/>
          <w:color w:val="000000"/>
        </w:rPr>
        <w:t>For additional information on environmental matters, see</w:t>
      </w:r>
      <w:r>
        <w:rPr>
          <w:rFonts w:ascii="Arial" w:cs="Arial" w:eastAsia="Arial" w:hAnsi="Arial"/>
          <w:sz w:val="16"/>
          <w:szCs w:val="16"/>
          <w:color w:val="222222"/>
        </w:rPr>
        <w:t xml:space="preserve"> </w:t>
      </w:r>
      <w:hyperlink w:anchor="page24">
        <w:r>
          <w:rPr>
            <w:rFonts w:ascii="Arial" w:cs="Arial" w:eastAsia="Arial" w:hAnsi="Arial"/>
            <w:sz w:val="16"/>
            <w:szCs w:val="16"/>
            <w:u w:val="single" w:color="auto"/>
            <w:color w:val="0000FF"/>
          </w:rPr>
          <w:t>Item 1A</w:t>
        </w:r>
        <w:r>
          <w:rPr>
            <w:rFonts w:ascii="Arial" w:cs="Arial" w:eastAsia="Arial" w:hAnsi="Arial"/>
            <w:sz w:val="16"/>
            <w:szCs w:val="16"/>
            <w:u w:val="single" w:color="auto"/>
            <w:color w:val="222222"/>
          </w:rPr>
          <w:t xml:space="preserve"> </w:t>
        </w:r>
      </w:hyperlink>
      <w:r>
        <w:rPr>
          <w:rFonts w:ascii="Arial" w:cs="Arial" w:eastAsia="Arial" w:hAnsi="Arial"/>
          <w:sz w:val="16"/>
          <w:szCs w:val="16"/>
          <w:color w:val="000000"/>
        </w:rPr>
        <w:t>and</w:t>
      </w:r>
      <w:r>
        <w:rPr>
          <w:rFonts w:ascii="Arial" w:cs="Arial" w:eastAsia="Arial" w:hAnsi="Arial"/>
          <w:sz w:val="16"/>
          <w:szCs w:val="16"/>
          <w:color w:val="222222"/>
        </w:rPr>
        <w:t xml:space="preserve"> </w:t>
      </w:r>
      <w:hyperlink w:anchor="page85">
        <w:r>
          <w:rPr>
            <w:rFonts w:ascii="Arial" w:cs="Arial" w:eastAsia="Arial" w:hAnsi="Arial"/>
            <w:sz w:val="16"/>
            <w:szCs w:val="16"/>
            <w:u w:val="single" w:color="auto"/>
            <w:color w:val="0000FF"/>
          </w:rPr>
          <w:t>Note 3</w:t>
        </w:r>
        <w:r>
          <w:rPr>
            <w:rFonts w:ascii="Arial" w:cs="Arial" w:eastAsia="Arial" w:hAnsi="Arial"/>
            <w:sz w:val="16"/>
            <w:szCs w:val="16"/>
            <w:u w:val="single" w:color="auto"/>
            <w:color w:val="222222"/>
          </w:rPr>
          <w:t xml:space="preserve"> </w:t>
        </w:r>
      </w:hyperlink>
      <w:r>
        <w:rPr>
          <w:rFonts w:ascii="Arial" w:cs="Arial" w:eastAsia="Arial" w:hAnsi="Arial"/>
          <w:sz w:val="16"/>
          <w:szCs w:val="16"/>
          <w:color w:val="000000"/>
        </w:rPr>
        <w:t>of</w:t>
      </w:r>
      <w:r>
        <w:rPr>
          <w:rFonts w:ascii="Arial" w:cs="Arial" w:eastAsia="Arial" w:hAnsi="Arial"/>
          <w:sz w:val="16"/>
          <w:szCs w:val="16"/>
          <w:color w:val="222222"/>
        </w:rPr>
        <w:t xml:space="preserve"> </w:t>
      </w:r>
      <w:r>
        <w:rPr>
          <w:rFonts w:ascii="Arial" w:cs="Arial" w:eastAsia="Arial" w:hAnsi="Arial"/>
          <w:sz w:val="16"/>
          <w:szCs w:val="16"/>
          <w:color w:val="000000"/>
        </w:rPr>
        <w:t>the Notes to</w:t>
      </w:r>
      <w:r>
        <w:rPr>
          <w:rFonts w:ascii="Arial" w:cs="Arial" w:eastAsia="Arial" w:hAnsi="Arial"/>
          <w:sz w:val="16"/>
          <w:szCs w:val="16"/>
          <w:color w:val="222222"/>
        </w:rPr>
        <w:t xml:space="preserve"> </w:t>
      </w:r>
      <w:r>
        <w:rPr>
          <w:rFonts w:ascii="Arial" w:cs="Arial" w:eastAsia="Arial" w:hAnsi="Arial"/>
          <w:sz w:val="16"/>
          <w:szCs w:val="16"/>
          <w:color w:val="000000"/>
        </w:rPr>
        <w:t>Consolidated Financial Statements in this Annual Report on Form 10-K.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Properties</w:t>
      </w:r>
    </w:p>
    <w:p>
      <w:pPr>
        <w:spacing w:after="0" w:line="26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In addition to the properties previously disclosed in the sections above, we own or lease several facilities throughout our service territories including a corporate headquarters building and various office, service center, storage, shop and warehouse space. Substantially all of the tangible utility properties of South Dakota Electric and Wyoming Electric are subject to liens securing first mortgage bonds issued by South Dakota Electric and Wyoming Electric, respectively.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Human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ind w:right="220"/>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Black Hills Corporation is committed to supporting operational excellence by attracting, motivating, retaining and encouraging the development of highly qualified employees. Our employees’ drive and dedication to their work, and their commitment to the safety of our customers and their fellow employees, allows Black Hills Corporation to successfully grow and manage our business year over year. The impacts of COVID-19 to our businesses and employees are discussed in the </w:t>
      </w:r>
      <w:hyperlink w:anchor="page37">
        <w:r>
          <w:rPr>
            <w:rFonts w:ascii="Arial" w:cs="Arial" w:eastAsia="Arial" w:hAnsi="Arial"/>
            <w:sz w:val="16"/>
            <w:szCs w:val="16"/>
            <w:u w:val="single" w:color="auto"/>
            <w:color w:val="0000FF"/>
          </w:rPr>
          <w:t>Company Highlights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within Management’s Discussion and Analysis of Financial Condition and Results of Operations in </w:t>
      </w:r>
      <w:hyperlink w:anchor="page33">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4980" w:type="dxa"/>
            <w:vAlign w:val="bottom"/>
          </w:tcPr>
          <w:p>
            <w:pPr>
              <w:spacing w:after="0"/>
              <w:rPr>
                <w:sz w:val="18"/>
                <w:szCs w:val="18"/>
                <w:color w:val="auto"/>
              </w:rPr>
            </w:pPr>
          </w:p>
        </w:tc>
      </w:tr>
      <w:tr>
        <w:trPr>
          <w:trHeight w:val="813"/>
        </w:trPr>
        <w:tc>
          <w:tcPr>
            <w:tcW w:w="62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Our Team</w:t>
            </w:r>
          </w:p>
        </w:tc>
        <w:tc>
          <w:tcPr>
            <w:tcW w:w="4980" w:type="dxa"/>
            <w:vAlign w:val="bottom"/>
            <w:tcBorders>
              <w:bottom w:val="single" w:sz="8" w:color="auto"/>
            </w:tcBorders>
          </w:tcPr>
          <w:p>
            <w:pPr>
              <w:ind w:left="1360"/>
              <w:spacing w:after="0"/>
              <w:rPr>
                <w:sz w:val="20"/>
                <w:szCs w:val="20"/>
                <w:color w:val="auto"/>
              </w:rPr>
            </w:pPr>
            <w:r>
              <w:rPr>
                <w:rFonts w:ascii="Arial" w:cs="Arial" w:eastAsia="Arial" w:hAnsi="Arial"/>
                <w:sz w:val="16"/>
                <w:szCs w:val="16"/>
                <w:b w:val="1"/>
                <w:bCs w:val="1"/>
                <w:color w:val="auto"/>
              </w:rPr>
              <w:t>As of December 31, 2020</w:t>
            </w:r>
          </w:p>
        </w:tc>
      </w:tr>
      <w:tr>
        <w:trPr>
          <w:trHeight w:val="212"/>
        </w:trPr>
        <w:tc>
          <w:tcPr>
            <w:tcW w:w="6260" w:type="dxa"/>
            <w:vAlign w:val="bottom"/>
            <w:shd w:val="clear" w:color="auto" w:fill="CEFFE7"/>
          </w:tcPr>
          <w:p>
            <w:pPr>
              <w:jc w:val="center"/>
              <w:ind w:right="259"/>
              <w:spacing w:after="0"/>
              <w:rPr>
                <w:sz w:val="20"/>
                <w:szCs w:val="20"/>
                <w:color w:val="auto"/>
              </w:rPr>
            </w:pPr>
            <w:r>
              <w:rPr>
                <w:rFonts w:ascii="Arial" w:cs="Arial" w:eastAsia="Arial" w:hAnsi="Arial"/>
                <w:sz w:val="16"/>
                <w:szCs w:val="16"/>
                <w:color w:val="auto"/>
                <w:w w:val="98"/>
              </w:rPr>
              <w:t>Total employees</w:t>
            </w:r>
          </w:p>
        </w:tc>
        <w:tc>
          <w:tcPr>
            <w:tcW w:w="4980" w:type="dxa"/>
            <w:vAlign w:val="bottom"/>
            <w:shd w:val="clear" w:color="auto" w:fill="CEFFE7"/>
          </w:tcPr>
          <w:p>
            <w:pPr>
              <w:jc w:val="center"/>
              <w:ind w:right="259"/>
              <w:spacing w:after="0"/>
              <w:rPr>
                <w:sz w:val="20"/>
                <w:szCs w:val="20"/>
                <w:color w:val="auto"/>
              </w:rPr>
            </w:pPr>
            <w:r>
              <w:rPr>
                <w:rFonts w:ascii="Arial" w:cs="Arial" w:eastAsia="Arial" w:hAnsi="Arial"/>
                <w:sz w:val="16"/>
                <w:szCs w:val="16"/>
                <w:color w:val="auto"/>
                <w:w w:val="99"/>
              </w:rPr>
              <w:t>3,011</w:t>
            </w:r>
          </w:p>
        </w:tc>
      </w:tr>
      <w:tr>
        <w:trPr>
          <w:trHeight w:val="213"/>
        </w:trPr>
        <w:tc>
          <w:tcPr>
            <w:tcW w:w="6260" w:type="dxa"/>
            <w:vAlign w:val="bottom"/>
          </w:tcPr>
          <w:p>
            <w:pPr>
              <w:jc w:val="center"/>
              <w:ind w:right="259"/>
              <w:spacing w:after="0"/>
              <w:rPr>
                <w:sz w:val="20"/>
                <w:szCs w:val="20"/>
                <w:color w:val="auto"/>
              </w:rPr>
            </w:pPr>
            <w:r>
              <w:rPr>
                <w:rFonts w:ascii="Arial" w:cs="Arial" w:eastAsia="Arial" w:hAnsi="Arial"/>
                <w:sz w:val="16"/>
                <w:szCs w:val="16"/>
                <w:color w:val="auto"/>
              </w:rPr>
              <w:t>Gender diversity (women as a % of total employees)</w:t>
            </w:r>
          </w:p>
        </w:tc>
        <w:tc>
          <w:tcPr>
            <w:tcW w:w="4980" w:type="dxa"/>
            <w:vAlign w:val="bottom"/>
          </w:tcPr>
          <w:p>
            <w:pPr>
              <w:jc w:val="center"/>
              <w:ind w:right="259"/>
              <w:spacing w:after="0"/>
              <w:rPr>
                <w:sz w:val="20"/>
                <w:szCs w:val="20"/>
                <w:color w:val="auto"/>
              </w:rPr>
            </w:pPr>
            <w:r>
              <w:rPr>
                <w:rFonts w:ascii="Arial" w:cs="Arial" w:eastAsia="Arial" w:hAnsi="Arial"/>
                <w:sz w:val="16"/>
                <w:szCs w:val="16"/>
                <w:color w:val="auto"/>
                <w:w w:val="99"/>
              </w:rPr>
              <w:t>26%</w:t>
            </w:r>
          </w:p>
        </w:tc>
      </w:tr>
      <w:tr>
        <w:trPr>
          <w:trHeight w:val="219"/>
        </w:trPr>
        <w:tc>
          <w:tcPr>
            <w:tcW w:w="6260" w:type="dxa"/>
            <w:vAlign w:val="bottom"/>
            <w:shd w:val="clear" w:color="auto" w:fill="CEFFE7"/>
          </w:tcPr>
          <w:p>
            <w:pPr>
              <w:jc w:val="center"/>
              <w:ind w:right="239"/>
              <w:spacing w:after="0" w:line="219" w:lineRule="exact"/>
              <w:rPr>
                <w:sz w:val="20"/>
                <w:szCs w:val="20"/>
                <w:color w:val="auto"/>
              </w:rPr>
            </w:pPr>
            <w:r>
              <w:rPr>
                <w:rFonts w:ascii="Arial" w:cs="Arial" w:eastAsia="Arial" w:hAnsi="Arial"/>
                <w:sz w:val="16"/>
                <w:szCs w:val="16"/>
                <w:color w:val="auto"/>
                <w:w w:val="99"/>
              </w:rPr>
              <w:t xml:space="preserve">Women in executive leadership positions </w:t>
            </w:r>
            <w:r>
              <w:rPr>
                <w:rFonts w:ascii="Arial" w:cs="Arial" w:eastAsia="Arial" w:hAnsi="Arial"/>
                <w:sz w:val="21"/>
                <w:szCs w:val="21"/>
                <w:color w:val="auto"/>
                <w:w w:val="99"/>
                <w:vertAlign w:val="superscript"/>
              </w:rPr>
              <w:t>(a)</w:t>
            </w:r>
          </w:p>
        </w:tc>
        <w:tc>
          <w:tcPr>
            <w:tcW w:w="4980" w:type="dxa"/>
            <w:vAlign w:val="bottom"/>
            <w:shd w:val="clear" w:color="auto" w:fill="CEFFE7"/>
          </w:tcPr>
          <w:p>
            <w:pPr>
              <w:jc w:val="center"/>
              <w:ind w:right="259"/>
              <w:spacing w:after="0"/>
              <w:rPr>
                <w:sz w:val="20"/>
                <w:szCs w:val="20"/>
                <w:color w:val="auto"/>
              </w:rPr>
            </w:pPr>
            <w:r>
              <w:rPr>
                <w:rFonts w:ascii="Arial" w:cs="Arial" w:eastAsia="Arial" w:hAnsi="Arial"/>
                <w:sz w:val="16"/>
                <w:szCs w:val="16"/>
                <w:color w:val="auto"/>
                <w:w w:val="99"/>
              </w:rPr>
              <w:t>31%</w:t>
            </w:r>
          </w:p>
        </w:tc>
      </w:tr>
      <w:tr>
        <w:trPr>
          <w:trHeight w:val="213"/>
        </w:trPr>
        <w:tc>
          <w:tcPr>
            <w:tcW w:w="6260" w:type="dxa"/>
            <w:vAlign w:val="bottom"/>
          </w:tcPr>
          <w:p>
            <w:pPr>
              <w:jc w:val="center"/>
              <w:ind w:right="259"/>
              <w:spacing w:after="0"/>
              <w:rPr>
                <w:sz w:val="20"/>
                <w:szCs w:val="20"/>
                <w:color w:val="auto"/>
              </w:rPr>
            </w:pPr>
            <w:r>
              <w:rPr>
                <w:rFonts w:ascii="Arial" w:cs="Arial" w:eastAsia="Arial" w:hAnsi="Arial"/>
                <w:sz w:val="16"/>
                <w:szCs w:val="16"/>
                <w:color w:val="auto"/>
              </w:rPr>
              <w:t>Ethnic diversity (non-white employees as a % of total)</w:t>
            </w:r>
          </w:p>
        </w:tc>
        <w:tc>
          <w:tcPr>
            <w:tcW w:w="4980" w:type="dxa"/>
            <w:vAlign w:val="bottom"/>
          </w:tcPr>
          <w:p>
            <w:pPr>
              <w:jc w:val="center"/>
              <w:ind w:right="259"/>
              <w:spacing w:after="0"/>
              <w:rPr>
                <w:sz w:val="20"/>
                <w:szCs w:val="20"/>
                <w:color w:val="auto"/>
              </w:rPr>
            </w:pPr>
            <w:r>
              <w:rPr>
                <w:rFonts w:ascii="Arial" w:cs="Arial" w:eastAsia="Arial" w:hAnsi="Arial"/>
                <w:sz w:val="16"/>
                <w:szCs w:val="16"/>
                <w:color w:val="auto"/>
                <w:w w:val="99"/>
              </w:rPr>
              <w:t>11%</w:t>
            </w:r>
          </w:p>
        </w:tc>
      </w:tr>
      <w:tr>
        <w:trPr>
          <w:trHeight w:val="219"/>
        </w:trPr>
        <w:tc>
          <w:tcPr>
            <w:tcW w:w="626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rPr>
              <w:t>Military veterans</w:t>
            </w:r>
          </w:p>
        </w:tc>
        <w:tc>
          <w:tcPr>
            <w:tcW w:w="4980" w:type="dxa"/>
            <w:vAlign w:val="bottom"/>
            <w:shd w:val="clear" w:color="auto" w:fill="CEFFE7"/>
          </w:tcPr>
          <w:p>
            <w:pPr>
              <w:jc w:val="center"/>
              <w:ind w:right="259"/>
              <w:spacing w:after="0"/>
              <w:rPr>
                <w:sz w:val="20"/>
                <w:szCs w:val="20"/>
                <w:color w:val="auto"/>
              </w:rPr>
            </w:pPr>
            <w:r>
              <w:rPr>
                <w:rFonts w:ascii="Arial" w:cs="Arial" w:eastAsia="Arial" w:hAnsi="Arial"/>
                <w:sz w:val="16"/>
                <w:szCs w:val="16"/>
                <w:color w:val="auto"/>
                <w:w w:val="99"/>
              </w:rPr>
              <w:t>16%</w:t>
            </w:r>
          </w:p>
        </w:tc>
      </w:tr>
      <w:tr>
        <w:trPr>
          <w:trHeight w:val="213"/>
        </w:trPr>
        <w:tc>
          <w:tcPr>
            <w:tcW w:w="6260" w:type="dxa"/>
            <w:vAlign w:val="bottom"/>
          </w:tcPr>
          <w:p>
            <w:pPr>
              <w:jc w:val="center"/>
              <w:ind w:right="259"/>
              <w:spacing w:after="0"/>
              <w:rPr>
                <w:sz w:val="20"/>
                <w:szCs w:val="20"/>
                <w:color w:val="auto"/>
              </w:rPr>
            </w:pPr>
            <w:r>
              <w:rPr>
                <w:rFonts w:ascii="Arial" w:cs="Arial" w:eastAsia="Arial" w:hAnsi="Arial"/>
                <w:sz w:val="16"/>
                <w:szCs w:val="16"/>
                <w:color w:val="auto"/>
              </w:rPr>
              <w:t>Represented by a union</w:t>
            </w:r>
          </w:p>
        </w:tc>
        <w:tc>
          <w:tcPr>
            <w:tcW w:w="4980" w:type="dxa"/>
            <w:vAlign w:val="bottom"/>
          </w:tcPr>
          <w:p>
            <w:pPr>
              <w:jc w:val="center"/>
              <w:ind w:right="259"/>
              <w:spacing w:after="0"/>
              <w:rPr>
                <w:sz w:val="20"/>
                <w:szCs w:val="20"/>
                <w:color w:val="auto"/>
              </w:rPr>
            </w:pPr>
            <w:r>
              <w:rPr>
                <w:rFonts w:ascii="Arial" w:cs="Arial" w:eastAsia="Arial" w:hAnsi="Arial"/>
                <w:sz w:val="16"/>
                <w:szCs w:val="16"/>
                <w:color w:val="auto"/>
                <w:w w:val="99"/>
              </w:rPr>
              <w:t>25%</w:t>
            </w:r>
          </w:p>
        </w:tc>
      </w:tr>
      <w:tr>
        <w:trPr>
          <w:trHeight w:val="151"/>
        </w:trPr>
        <w:tc>
          <w:tcPr>
            <w:tcW w:w="6260" w:type="dxa"/>
            <w:vAlign w:val="bottom"/>
            <w:shd w:val="clear" w:color="auto" w:fill="CEFFE7"/>
          </w:tcPr>
          <w:p>
            <w:pPr>
              <w:spacing w:after="0"/>
              <w:rPr>
                <w:sz w:val="13"/>
                <w:szCs w:val="13"/>
                <w:color w:val="auto"/>
              </w:rPr>
            </w:pPr>
          </w:p>
        </w:tc>
        <w:tc>
          <w:tcPr>
            <w:tcW w:w="4980" w:type="dxa"/>
            <w:vAlign w:val="bottom"/>
            <w:shd w:val="clear" w:color="auto" w:fill="CEFFE7"/>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20" w:type="dxa"/>
            <w:vAlign w:val="bottom"/>
            <w:tcBorders>
              <w:bottom w:val="single" w:sz="8" w:color="CEFFE7"/>
            </w:tcBorders>
          </w:tcPr>
          <w:p>
            <w:pPr>
              <w:spacing w:after="0"/>
              <w:rPr>
                <w:sz w:val="18"/>
                <w:szCs w:val="18"/>
                <w:color w:val="auto"/>
              </w:rPr>
            </w:pPr>
          </w:p>
        </w:tc>
        <w:tc>
          <w:tcPr>
            <w:tcW w:w="532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For the year ended December 31, 2020</w:t>
            </w:r>
          </w:p>
        </w:tc>
      </w:tr>
      <w:tr>
        <w:trPr>
          <w:trHeight w:val="210"/>
        </w:trPr>
        <w:tc>
          <w:tcPr>
            <w:tcW w:w="59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Number of external hires</w:t>
            </w:r>
          </w:p>
        </w:tc>
        <w:tc>
          <w:tcPr>
            <w:tcW w:w="53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299</w:t>
            </w:r>
          </w:p>
        </w:tc>
      </w:tr>
      <w:tr>
        <w:trPr>
          <w:trHeight w:val="213"/>
        </w:trPr>
        <w:tc>
          <w:tcPr>
            <w:tcW w:w="5920" w:type="dxa"/>
            <w:vAlign w:val="bottom"/>
          </w:tcPr>
          <w:p>
            <w:pPr>
              <w:jc w:val="center"/>
              <w:spacing w:after="0"/>
              <w:rPr>
                <w:sz w:val="20"/>
                <w:szCs w:val="20"/>
                <w:color w:val="auto"/>
              </w:rPr>
            </w:pPr>
            <w:r>
              <w:rPr>
                <w:rFonts w:ascii="Arial" w:cs="Arial" w:eastAsia="Arial" w:hAnsi="Arial"/>
                <w:sz w:val="16"/>
                <w:szCs w:val="16"/>
                <w:color w:val="auto"/>
              </w:rPr>
              <w:t>External hires gender diversity (as a % of total external hires)</w:t>
            </w:r>
          </w:p>
        </w:tc>
        <w:tc>
          <w:tcPr>
            <w:tcW w:w="5320" w:type="dxa"/>
            <w:vAlign w:val="bottom"/>
          </w:tcPr>
          <w:p>
            <w:pPr>
              <w:jc w:val="center"/>
              <w:spacing w:after="0"/>
              <w:rPr>
                <w:sz w:val="20"/>
                <w:szCs w:val="20"/>
                <w:color w:val="auto"/>
              </w:rPr>
            </w:pPr>
            <w:r>
              <w:rPr>
                <w:rFonts w:ascii="Arial" w:cs="Arial" w:eastAsia="Arial" w:hAnsi="Arial"/>
                <w:sz w:val="16"/>
                <w:szCs w:val="16"/>
                <w:color w:val="auto"/>
                <w:w w:val="99"/>
              </w:rPr>
              <w:t>29%</w:t>
            </w:r>
          </w:p>
        </w:tc>
      </w:tr>
      <w:tr>
        <w:trPr>
          <w:trHeight w:val="219"/>
        </w:trPr>
        <w:tc>
          <w:tcPr>
            <w:tcW w:w="59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External hires ethnic diversity (as a % of total external hires)</w:t>
            </w:r>
          </w:p>
        </w:tc>
        <w:tc>
          <w:tcPr>
            <w:tcW w:w="53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16%</w:t>
            </w:r>
          </w:p>
        </w:tc>
      </w:tr>
      <w:tr>
        <w:trPr>
          <w:trHeight w:val="216"/>
        </w:trPr>
        <w:tc>
          <w:tcPr>
            <w:tcW w:w="5920" w:type="dxa"/>
            <w:vAlign w:val="bottom"/>
          </w:tcPr>
          <w:p>
            <w:pPr>
              <w:jc w:val="center"/>
              <w:spacing w:after="0" w:line="216" w:lineRule="exact"/>
              <w:rPr>
                <w:sz w:val="20"/>
                <w:szCs w:val="20"/>
                <w:color w:val="auto"/>
              </w:rPr>
            </w:pPr>
            <w:r>
              <w:rPr>
                <w:rFonts w:ascii="Arial" w:cs="Arial" w:eastAsia="Arial" w:hAnsi="Arial"/>
                <w:sz w:val="16"/>
                <w:szCs w:val="16"/>
                <w:color w:val="auto"/>
                <w:w w:val="96"/>
              </w:rPr>
              <w:t xml:space="preserve">Turnover rate </w:t>
            </w:r>
            <w:r>
              <w:rPr>
                <w:rFonts w:ascii="Arial" w:cs="Arial" w:eastAsia="Arial" w:hAnsi="Arial"/>
                <w:sz w:val="21"/>
                <w:szCs w:val="21"/>
                <w:color w:val="auto"/>
                <w:w w:val="96"/>
                <w:vertAlign w:val="superscript"/>
              </w:rPr>
              <w:t>(b)</w:t>
            </w:r>
          </w:p>
        </w:tc>
        <w:tc>
          <w:tcPr>
            <w:tcW w:w="5320" w:type="dxa"/>
            <w:vAlign w:val="bottom"/>
          </w:tcPr>
          <w:p>
            <w:pPr>
              <w:jc w:val="center"/>
              <w:spacing w:after="0"/>
              <w:rPr>
                <w:sz w:val="20"/>
                <w:szCs w:val="20"/>
                <w:color w:val="auto"/>
              </w:rPr>
            </w:pPr>
            <w:r>
              <w:rPr>
                <w:rFonts w:ascii="Arial" w:cs="Arial" w:eastAsia="Arial" w:hAnsi="Arial"/>
                <w:sz w:val="16"/>
                <w:szCs w:val="16"/>
                <w:color w:val="auto"/>
              </w:rPr>
              <w:t>8%</w:t>
            </w:r>
          </w:p>
        </w:tc>
      </w:tr>
      <w:tr>
        <w:trPr>
          <w:trHeight w:val="216"/>
        </w:trPr>
        <w:tc>
          <w:tcPr>
            <w:tcW w:w="59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Retirement rate</w:t>
            </w:r>
          </w:p>
        </w:tc>
        <w:tc>
          <w:tcPr>
            <w:tcW w:w="53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Executive leadership positions are defined as positions with Vice President, Senior Vice President or Chief in their title.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voluntary and involuntary separations, but excludes internships.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Electric Utilities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Gas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Power Generation and Mining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Number of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379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1,237</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60</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1,335</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36195</wp:posOffset>
            </wp:positionV>
            <wp:extent cx="1586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460" w:space="720"/>
            <w:col w:w="2060"/>
          </w:cols>
          <w:pgMar w:left="320" w:top="121" w:right="339" w:bottom="1440" w:gutter="0" w:footer="0" w:header="0"/>
          <w:type w:val="continuous"/>
        </w:sectPr>
      </w:pPr>
    </w:p>
    <w:p>
      <w:pPr>
        <w:spacing w:after="0" w:line="17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At December 31, 2020, approximately 21% of our total employees and 23% of our Electric and Gas Utilities employees were eligible for regular (age 65 with at least 5 years of service) or early (ages 55 to 64 with at least 5 years of service) retirement.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Collective Bargaining Agreements</w:t>
      </w:r>
    </w:p>
    <w:p>
      <w:pPr>
        <w:spacing w:after="0" w:line="26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At December 31, 2020, certain employees of our Electric Utilities and Gas Utilities were covered by the collective bargaining agreements as shown in the table below. We have not experienced any labor stoppages in decades.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vMerge w:val="restart"/>
          </w:tcPr>
          <w:p>
            <w:pPr>
              <w:ind w:left="1300"/>
              <w:spacing w:after="0"/>
              <w:rPr>
                <w:sz w:val="20"/>
                <w:szCs w:val="20"/>
                <w:color w:val="auto"/>
              </w:rPr>
            </w:pPr>
            <w:r>
              <w:rPr>
                <w:rFonts w:ascii="Arial" w:cs="Arial" w:eastAsia="Arial" w:hAnsi="Arial"/>
                <w:sz w:val="16"/>
                <w:szCs w:val="16"/>
                <w:b w:val="1"/>
                <w:bCs w:val="1"/>
                <w:color w:val="auto"/>
              </w:rPr>
              <w:t>Utility</w:t>
            </w: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Union Affiliation</w:t>
            </w:r>
          </w:p>
        </w:tc>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Expiration Date of Collective Bargaining</w:t>
            </w:r>
          </w:p>
        </w:tc>
        <w:tc>
          <w:tcPr>
            <w:tcW w:w="0" w:type="dxa"/>
            <w:vAlign w:val="bottom"/>
          </w:tcPr>
          <w:p>
            <w:pPr>
              <w:spacing w:after="0"/>
              <w:rPr>
                <w:sz w:val="1"/>
                <w:szCs w:val="1"/>
                <w:color w:val="auto"/>
              </w:rPr>
            </w:pPr>
          </w:p>
        </w:tc>
      </w:tr>
      <w:tr>
        <w:trPr>
          <w:trHeight w:val="215"/>
        </w:trPr>
        <w:tc>
          <w:tcPr>
            <w:tcW w:w="30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Employees</w:t>
            </w:r>
          </w:p>
        </w:tc>
        <w:tc>
          <w:tcPr>
            <w:tcW w:w="3400" w:type="dxa"/>
            <w:vAlign w:val="bottom"/>
            <w:tcBorders>
              <w:bottom w:val="single" w:sz="8" w:color="auto"/>
            </w:tcBorders>
            <w:vMerge w:val="continue"/>
          </w:tcPr>
          <w:p>
            <w:pPr>
              <w:spacing w:after="0"/>
              <w:rPr>
                <w:sz w:val="18"/>
                <w:szCs w:val="18"/>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Agreement</w:t>
            </w:r>
          </w:p>
        </w:tc>
        <w:tc>
          <w:tcPr>
            <w:tcW w:w="0" w:type="dxa"/>
            <w:vAlign w:val="bottom"/>
          </w:tcPr>
          <w:p>
            <w:pPr>
              <w:spacing w:after="0"/>
              <w:rPr>
                <w:sz w:val="1"/>
                <w:szCs w:val="1"/>
                <w:color w:val="auto"/>
              </w:rPr>
            </w:pPr>
          </w:p>
        </w:tc>
      </w:tr>
      <w:tr>
        <w:trPr>
          <w:trHeight w:val="210"/>
        </w:trPr>
        <w:tc>
          <w:tcPr>
            <w:tcW w:w="3040" w:type="dxa"/>
            <w:vAlign w:val="bottom"/>
            <w:shd w:val="clear" w:color="auto" w:fill="CEFEE7"/>
          </w:tcPr>
          <w:p>
            <w:pPr>
              <w:ind w:left="20"/>
              <w:spacing w:after="0"/>
              <w:rPr>
                <w:sz w:val="20"/>
                <w:szCs w:val="20"/>
                <w:color w:val="auto"/>
              </w:rPr>
            </w:pPr>
            <w:r>
              <w:rPr>
                <w:rFonts w:ascii="Arial" w:cs="Arial" w:eastAsia="Arial" w:hAnsi="Arial"/>
                <w:sz w:val="16"/>
                <w:szCs w:val="16"/>
                <w:color w:val="auto"/>
              </w:rPr>
              <w:t>Colorado Electric</w:t>
            </w:r>
          </w:p>
        </w:tc>
        <w:tc>
          <w:tcPr>
            <w:tcW w:w="14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95</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IBEW Local 667</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April 15, 2023</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400" w:type="dxa"/>
            <w:vAlign w:val="bottom"/>
          </w:tcPr>
          <w:p>
            <w:pPr>
              <w:jc w:val="right"/>
              <w:spacing w:after="0"/>
              <w:rPr>
                <w:sz w:val="20"/>
                <w:szCs w:val="20"/>
                <w:color w:val="auto"/>
              </w:rPr>
            </w:pPr>
            <w:r>
              <w:rPr>
                <w:rFonts w:ascii="Arial" w:cs="Arial" w:eastAsia="Arial" w:hAnsi="Arial"/>
                <w:sz w:val="16"/>
                <w:szCs w:val="16"/>
                <w:color w:val="auto"/>
              </w:rPr>
              <w:t>137</w:t>
            </w:r>
          </w:p>
        </w:tc>
        <w:tc>
          <w:tcPr>
            <w:tcW w:w="3400" w:type="dxa"/>
            <w:vAlign w:val="bottom"/>
          </w:tcPr>
          <w:p>
            <w:pPr>
              <w:jc w:val="center"/>
              <w:spacing w:after="0"/>
              <w:rPr>
                <w:sz w:val="20"/>
                <w:szCs w:val="20"/>
                <w:color w:val="auto"/>
              </w:rPr>
            </w:pPr>
            <w:r>
              <w:rPr>
                <w:rFonts w:ascii="Arial" w:cs="Arial" w:eastAsia="Arial" w:hAnsi="Arial"/>
                <w:sz w:val="16"/>
                <w:szCs w:val="16"/>
                <w:color w:val="auto"/>
              </w:rPr>
              <w:t>IBEW Local 1250</w:t>
            </w:r>
          </w:p>
        </w:tc>
        <w:tc>
          <w:tcPr>
            <w:tcW w:w="3400" w:type="dxa"/>
            <w:vAlign w:val="bottom"/>
          </w:tcPr>
          <w:p>
            <w:pPr>
              <w:jc w:val="center"/>
              <w:spacing w:after="0"/>
              <w:rPr>
                <w:sz w:val="20"/>
                <w:szCs w:val="20"/>
                <w:color w:val="auto"/>
              </w:rPr>
            </w:pPr>
            <w:r>
              <w:rPr>
                <w:rFonts w:ascii="Arial" w:cs="Arial" w:eastAsia="Arial" w:hAnsi="Arial"/>
                <w:sz w:val="16"/>
                <w:szCs w:val="16"/>
                <w:color w:val="auto"/>
              </w:rPr>
              <w:t>March 31, 2022</w:t>
            </w:r>
          </w:p>
        </w:tc>
        <w:tc>
          <w:tcPr>
            <w:tcW w:w="0" w:type="dxa"/>
            <w:vAlign w:val="bottom"/>
          </w:tcPr>
          <w:p>
            <w:pPr>
              <w:spacing w:after="0"/>
              <w:rPr>
                <w:sz w:val="1"/>
                <w:szCs w:val="1"/>
                <w:color w:val="auto"/>
              </w:rPr>
            </w:pPr>
          </w:p>
        </w:tc>
      </w:tr>
      <w:tr>
        <w:trPr>
          <w:trHeight w:val="219"/>
        </w:trPr>
        <w:tc>
          <w:tcPr>
            <w:tcW w:w="3040" w:type="dxa"/>
            <w:vAlign w:val="bottom"/>
            <w:shd w:val="clear" w:color="auto" w:fill="CEFEE7"/>
          </w:tcPr>
          <w:p>
            <w:pPr>
              <w:ind w:left="20"/>
              <w:spacing w:after="0"/>
              <w:rPr>
                <w:sz w:val="20"/>
                <w:szCs w:val="20"/>
                <w:color w:val="auto"/>
              </w:rPr>
            </w:pPr>
            <w:r>
              <w:rPr>
                <w:rFonts w:ascii="Arial" w:cs="Arial" w:eastAsia="Arial" w:hAnsi="Arial"/>
                <w:sz w:val="16"/>
                <w:szCs w:val="16"/>
                <w:color w:val="auto"/>
              </w:rPr>
              <w:t>Wyoming Electric</w:t>
            </w:r>
          </w:p>
        </w:tc>
        <w:tc>
          <w:tcPr>
            <w:tcW w:w="14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26</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IBEW Local 111</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June 30, 2024</w:t>
            </w:r>
          </w:p>
        </w:tc>
        <w:tc>
          <w:tcPr>
            <w:tcW w:w="0" w:type="dxa"/>
            <w:vAlign w:val="bottom"/>
          </w:tcPr>
          <w:p>
            <w:pPr>
              <w:spacing w:after="0"/>
              <w:rPr>
                <w:sz w:val="1"/>
                <w:szCs w:val="1"/>
                <w:color w:val="auto"/>
              </w:rPr>
            </w:pPr>
          </w:p>
        </w:tc>
      </w:tr>
      <w:tr>
        <w:trPr>
          <w:trHeight w:val="207"/>
        </w:trPr>
        <w:tc>
          <w:tcPr>
            <w:tcW w:w="3040" w:type="dxa"/>
            <w:vAlign w:val="bottom"/>
            <w:tcBorders>
              <w:bottom w:val="single" w:sz="8" w:color="CEFEE7"/>
            </w:tcBorders>
          </w:tcPr>
          <w:p>
            <w:pPr>
              <w:ind w:left="360"/>
              <w:spacing w:after="0"/>
              <w:rPr>
                <w:sz w:val="20"/>
                <w:szCs w:val="20"/>
                <w:color w:val="auto"/>
              </w:rPr>
            </w:pPr>
            <w:r>
              <w:rPr>
                <w:rFonts w:ascii="Arial" w:cs="Arial" w:eastAsia="Arial" w:hAnsi="Arial"/>
                <w:sz w:val="16"/>
                <w:szCs w:val="16"/>
                <w:b w:val="1"/>
                <w:bCs w:val="1"/>
                <w:color w:val="auto"/>
              </w:rPr>
              <w:t>Total Electric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3400" w:type="dxa"/>
            <w:vAlign w:val="bottom"/>
            <w:tcBorders>
              <w:bottom w:val="single" w:sz="8" w:color="CEFEE7"/>
            </w:tcBorders>
          </w:tcPr>
          <w:p>
            <w:pPr>
              <w:spacing w:after="0"/>
              <w:rPr>
                <w:sz w:val="17"/>
                <w:szCs w:val="17"/>
                <w:color w:val="auto"/>
              </w:rPr>
            </w:pPr>
          </w:p>
        </w:tc>
        <w:tc>
          <w:tcPr>
            <w:tcW w:w="3400" w:type="dxa"/>
            <w:vAlign w:val="bottom"/>
            <w:tcBorders>
              <w:bottom w:val="single" w:sz="8" w:color="CEFEE7"/>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040" w:type="dxa"/>
            <w:vAlign w:val="bottom"/>
            <w:shd w:val="clear" w:color="auto" w:fill="CEFEE7"/>
          </w:tcPr>
          <w:p>
            <w:pPr>
              <w:spacing w:after="0"/>
              <w:rPr>
                <w:sz w:val="20"/>
                <w:szCs w:val="20"/>
                <w:color w:val="auto"/>
              </w:rPr>
            </w:pPr>
          </w:p>
        </w:tc>
        <w:tc>
          <w:tcPr>
            <w:tcW w:w="1400" w:type="dxa"/>
            <w:vAlign w:val="bottom"/>
            <w:shd w:val="clear" w:color="auto" w:fill="CEFEE7"/>
          </w:tcPr>
          <w:p>
            <w:pPr>
              <w:spacing w:after="0"/>
              <w:rPr>
                <w:sz w:val="20"/>
                <w:szCs w:val="20"/>
                <w:color w:val="auto"/>
              </w:rPr>
            </w:pPr>
          </w:p>
        </w:tc>
        <w:tc>
          <w:tcPr>
            <w:tcW w:w="3400" w:type="dxa"/>
            <w:vAlign w:val="bottom"/>
            <w:shd w:val="clear" w:color="auto" w:fill="CEFEE7"/>
          </w:tcPr>
          <w:p>
            <w:pPr>
              <w:spacing w:after="0"/>
              <w:rPr>
                <w:sz w:val="20"/>
                <w:szCs w:val="20"/>
                <w:color w:val="auto"/>
              </w:rPr>
            </w:pPr>
          </w:p>
        </w:tc>
        <w:tc>
          <w:tcPr>
            <w:tcW w:w="3400" w:type="dxa"/>
            <w:vAlign w:val="bottom"/>
            <w:shd w:val="clear" w:color="auto" w:fill="CEFEE7"/>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Iowa Gas</w:t>
            </w:r>
          </w:p>
        </w:tc>
        <w:tc>
          <w:tcPr>
            <w:tcW w:w="1400" w:type="dxa"/>
            <w:vAlign w:val="bottom"/>
          </w:tcPr>
          <w:p>
            <w:pPr>
              <w:jc w:val="right"/>
              <w:spacing w:after="0"/>
              <w:rPr>
                <w:sz w:val="20"/>
                <w:szCs w:val="20"/>
                <w:color w:val="auto"/>
              </w:rPr>
            </w:pPr>
            <w:r>
              <w:rPr>
                <w:rFonts w:ascii="Arial" w:cs="Arial" w:eastAsia="Arial" w:hAnsi="Arial"/>
                <w:sz w:val="16"/>
                <w:szCs w:val="16"/>
                <w:color w:val="auto"/>
              </w:rPr>
              <w:t>121</w:t>
            </w:r>
          </w:p>
        </w:tc>
        <w:tc>
          <w:tcPr>
            <w:tcW w:w="3400" w:type="dxa"/>
            <w:vAlign w:val="bottom"/>
          </w:tcPr>
          <w:p>
            <w:pPr>
              <w:jc w:val="center"/>
              <w:spacing w:after="0"/>
              <w:rPr>
                <w:sz w:val="20"/>
                <w:szCs w:val="20"/>
                <w:color w:val="auto"/>
              </w:rPr>
            </w:pPr>
            <w:r>
              <w:rPr>
                <w:rFonts w:ascii="Arial" w:cs="Arial" w:eastAsia="Arial" w:hAnsi="Arial"/>
                <w:sz w:val="16"/>
                <w:szCs w:val="16"/>
                <w:color w:val="auto"/>
              </w:rPr>
              <w:t>IBEW Local 204</w:t>
            </w:r>
          </w:p>
        </w:tc>
        <w:tc>
          <w:tcPr>
            <w:tcW w:w="3400" w:type="dxa"/>
            <w:vAlign w:val="bottom"/>
          </w:tcPr>
          <w:p>
            <w:pPr>
              <w:jc w:val="center"/>
              <w:spacing w:after="0"/>
              <w:rPr>
                <w:sz w:val="20"/>
                <w:szCs w:val="20"/>
                <w:color w:val="auto"/>
              </w:rPr>
            </w:pPr>
            <w:r>
              <w:rPr>
                <w:rFonts w:ascii="Arial" w:cs="Arial" w:eastAsia="Arial" w:hAnsi="Arial"/>
                <w:sz w:val="16"/>
                <w:szCs w:val="16"/>
                <w:color w:val="auto"/>
              </w:rPr>
              <w:t>January 31, 2026</w:t>
            </w:r>
          </w:p>
        </w:tc>
        <w:tc>
          <w:tcPr>
            <w:tcW w:w="0" w:type="dxa"/>
            <w:vAlign w:val="bottom"/>
          </w:tcPr>
          <w:p>
            <w:pPr>
              <w:spacing w:after="0"/>
              <w:rPr>
                <w:sz w:val="1"/>
                <w:szCs w:val="1"/>
                <w:color w:val="auto"/>
              </w:rPr>
            </w:pPr>
          </w:p>
        </w:tc>
      </w:tr>
      <w:tr>
        <w:trPr>
          <w:trHeight w:val="180"/>
        </w:trPr>
        <w:tc>
          <w:tcPr>
            <w:tcW w:w="3040" w:type="dxa"/>
            <w:vAlign w:val="bottom"/>
            <w:shd w:val="clear" w:color="auto" w:fill="CEFEE7"/>
          </w:tcPr>
          <w:p>
            <w:pPr>
              <w:spacing w:after="0"/>
              <w:rPr>
                <w:sz w:val="15"/>
                <w:szCs w:val="15"/>
                <w:color w:val="auto"/>
              </w:rPr>
            </w:pPr>
          </w:p>
        </w:tc>
        <w:tc>
          <w:tcPr>
            <w:tcW w:w="1400" w:type="dxa"/>
            <w:vAlign w:val="bottom"/>
            <w:shd w:val="clear" w:color="auto" w:fill="CEFEE7"/>
          </w:tcPr>
          <w:p>
            <w:pPr>
              <w:spacing w:after="0"/>
              <w:rPr>
                <w:sz w:val="15"/>
                <w:szCs w:val="15"/>
                <w:color w:val="auto"/>
              </w:rPr>
            </w:pPr>
          </w:p>
        </w:tc>
        <w:tc>
          <w:tcPr>
            <w:tcW w:w="3400" w:type="dxa"/>
            <w:vAlign w:val="bottom"/>
            <w:shd w:val="clear" w:color="auto" w:fill="CEFEE7"/>
          </w:tcPr>
          <w:p>
            <w:pPr>
              <w:jc w:val="center"/>
              <w:spacing w:after="0" w:line="181" w:lineRule="exact"/>
              <w:rPr>
                <w:sz w:val="20"/>
                <w:szCs w:val="20"/>
                <w:color w:val="auto"/>
              </w:rPr>
            </w:pPr>
            <w:r>
              <w:rPr>
                <w:rFonts w:ascii="Arial" w:cs="Arial" w:eastAsia="Arial" w:hAnsi="Arial"/>
                <w:sz w:val="16"/>
                <w:szCs w:val="16"/>
                <w:color w:val="auto"/>
              </w:rPr>
              <w:t>Communications Workers of America, AFL-</w:t>
            </w:r>
          </w:p>
        </w:tc>
        <w:tc>
          <w:tcPr>
            <w:tcW w:w="3400" w:type="dxa"/>
            <w:vAlign w:val="bottom"/>
            <w:shd w:val="clear" w:color="auto" w:fill="CEFEE7"/>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40" w:type="dxa"/>
            <w:vAlign w:val="bottom"/>
            <w:shd w:val="clear" w:color="auto" w:fill="CEFEE7"/>
          </w:tcPr>
          <w:p>
            <w:pPr>
              <w:ind w:left="20"/>
              <w:spacing w:after="0"/>
              <w:rPr>
                <w:sz w:val="20"/>
                <w:szCs w:val="20"/>
                <w:color w:val="auto"/>
              </w:rPr>
            </w:pPr>
            <w:r>
              <w:rPr>
                <w:rFonts w:ascii="Arial" w:cs="Arial" w:eastAsia="Arial" w:hAnsi="Arial"/>
                <w:sz w:val="16"/>
                <w:szCs w:val="16"/>
                <w:color w:val="auto"/>
              </w:rPr>
              <w:t>Kansas Gas</w:t>
            </w:r>
          </w:p>
        </w:tc>
        <w:tc>
          <w:tcPr>
            <w:tcW w:w="14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17</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CIO Local 6407</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Nebraska Gas</w:t>
            </w:r>
          </w:p>
        </w:tc>
        <w:tc>
          <w:tcPr>
            <w:tcW w:w="1400" w:type="dxa"/>
            <w:vAlign w:val="bottom"/>
          </w:tcPr>
          <w:p>
            <w:pPr>
              <w:jc w:val="right"/>
              <w:spacing w:after="0"/>
              <w:rPr>
                <w:sz w:val="20"/>
                <w:szCs w:val="20"/>
                <w:color w:val="auto"/>
              </w:rPr>
            </w:pPr>
            <w:r>
              <w:rPr>
                <w:rFonts w:ascii="Arial" w:cs="Arial" w:eastAsia="Arial" w:hAnsi="Arial"/>
                <w:sz w:val="16"/>
                <w:szCs w:val="16"/>
                <w:color w:val="auto"/>
              </w:rPr>
              <w:t>100</w:t>
            </w:r>
          </w:p>
        </w:tc>
        <w:tc>
          <w:tcPr>
            <w:tcW w:w="3400" w:type="dxa"/>
            <w:vAlign w:val="bottom"/>
          </w:tcPr>
          <w:p>
            <w:pPr>
              <w:jc w:val="center"/>
              <w:spacing w:after="0"/>
              <w:rPr>
                <w:sz w:val="20"/>
                <w:szCs w:val="20"/>
                <w:color w:val="auto"/>
              </w:rPr>
            </w:pPr>
            <w:r>
              <w:rPr>
                <w:rFonts w:ascii="Arial" w:cs="Arial" w:eastAsia="Arial" w:hAnsi="Arial"/>
                <w:sz w:val="16"/>
                <w:szCs w:val="16"/>
                <w:color w:val="auto"/>
              </w:rPr>
              <w:t>IBEW Local 244</w:t>
            </w:r>
          </w:p>
        </w:tc>
        <w:tc>
          <w:tcPr>
            <w:tcW w:w="3400" w:type="dxa"/>
            <w:vAlign w:val="bottom"/>
          </w:tcPr>
          <w:p>
            <w:pPr>
              <w:jc w:val="center"/>
              <w:spacing w:after="0"/>
              <w:rPr>
                <w:sz w:val="20"/>
                <w:szCs w:val="20"/>
                <w:color w:val="auto"/>
              </w:rPr>
            </w:pPr>
            <w:r>
              <w:rPr>
                <w:rFonts w:ascii="Arial" w:cs="Arial" w:eastAsia="Arial" w:hAnsi="Arial"/>
                <w:sz w:val="16"/>
                <w:szCs w:val="16"/>
                <w:color w:val="auto"/>
              </w:rPr>
              <w:t>March 13, 2022</w:t>
            </w:r>
          </w:p>
        </w:tc>
        <w:tc>
          <w:tcPr>
            <w:tcW w:w="0" w:type="dxa"/>
            <w:vAlign w:val="bottom"/>
          </w:tcPr>
          <w:p>
            <w:pPr>
              <w:spacing w:after="0"/>
              <w:rPr>
                <w:sz w:val="1"/>
                <w:szCs w:val="1"/>
                <w:color w:val="auto"/>
              </w:rPr>
            </w:pPr>
          </w:p>
        </w:tc>
      </w:tr>
      <w:tr>
        <w:trPr>
          <w:trHeight w:val="219"/>
        </w:trPr>
        <w:tc>
          <w:tcPr>
            <w:tcW w:w="3040" w:type="dxa"/>
            <w:vAlign w:val="bottom"/>
            <w:shd w:val="clear" w:color="auto" w:fill="CEFEE7"/>
          </w:tcPr>
          <w:p>
            <w:pPr>
              <w:ind w:left="20"/>
              <w:spacing w:after="0"/>
              <w:rPr>
                <w:sz w:val="20"/>
                <w:szCs w:val="20"/>
                <w:color w:val="auto"/>
              </w:rPr>
            </w:pPr>
            <w:r>
              <w:rPr>
                <w:rFonts w:ascii="Arial" w:cs="Arial" w:eastAsia="Arial" w:hAnsi="Arial"/>
                <w:sz w:val="16"/>
                <w:szCs w:val="16"/>
                <w:color w:val="auto"/>
              </w:rPr>
              <w:t>Nebraska Gas</w:t>
            </w:r>
          </w:p>
        </w:tc>
        <w:tc>
          <w:tcPr>
            <w:tcW w:w="14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147</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CWA Local 7476</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October 30, 2023</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3400" w:type="dxa"/>
            <w:vAlign w:val="bottom"/>
          </w:tcPr>
          <w:p>
            <w:pPr>
              <w:jc w:val="center"/>
              <w:spacing w:after="0"/>
              <w:rPr>
                <w:sz w:val="20"/>
                <w:szCs w:val="20"/>
                <w:color w:val="auto"/>
              </w:rPr>
            </w:pPr>
            <w:r>
              <w:rPr>
                <w:rFonts w:ascii="Arial" w:cs="Arial" w:eastAsia="Arial" w:hAnsi="Arial"/>
                <w:sz w:val="16"/>
                <w:szCs w:val="16"/>
                <w:color w:val="auto"/>
              </w:rPr>
              <w:t>IBEW Local 111</w:t>
            </w:r>
          </w:p>
        </w:tc>
        <w:tc>
          <w:tcPr>
            <w:tcW w:w="3400" w:type="dxa"/>
            <w:vAlign w:val="bottom"/>
          </w:tcPr>
          <w:p>
            <w:pPr>
              <w:jc w:val="center"/>
              <w:spacing w:after="0"/>
              <w:rPr>
                <w:sz w:val="20"/>
                <w:szCs w:val="20"/>
                <w:color w:val="auto"/>
              </w:rPr>
            </w:pPr>
            <w:r>
              <w:rPr>
                <w:rFonts w:ascii="Arial" w:cs="Arial" w:eastAsia="Arial" w:hAnsi="Arial"/>
                <w:sz w:val="16"/>
                <w:szCs w:val="16"/>
                <w:color w:val="auto"/>
              </w:rPr>
              <w:t>June 30, 2024</w:t>
            </w:r>
          </w:p>
        </w:tc>
        <w:tc>
          <w:tcPr>
            <w:tcW w:w="0" w:type="dxa"/>
            <w:vAlign w:val="bottom"/>
          </w:tcPr>
          <w:p>
            <w:pPr>
              <w:spacing w:after="0"/>
              <w:rPr>
                <w:sz w:val="1"/>
                <w:szCs w:val="1"/>
                <w:color w:val="auto"/>
              </w:rPr>
            </w:pPr>
          </w:p>
        </w:tc>
      </w:tr>
      <w:tr>
        <w:trPr>
          <w:trHeight w:val="219"/>
        </w:trPr>
        <w:tc>
          <w:tcPr>
            <w:tcW w:w="3040" w:type="dxa"/>
            <w:vAlign w:val="bottom"/>
            <w:shd w:val="clear" w:color="auto" w:fill="CEFEE7"/>
          </w:tcPr>
          <w:p>
            <w:pPr>
              <w:ind w:left="20"/>
              <w:spacing w:after="0"/>
              <w:rPr>
                <w:sz w:val="20"/>
                <w:szCs w:val="20"/>
                <w:color w:val="auto"/>
              </w:rPr>
            </w:pPr>
            <w:r>
              <w:rPr>
                <w:rFonts w:ascii="Arial" w:cs="Arial" w:eastAsia="Arial" w:hAnsi="Arial"/>
                <w:sz w:val="16"/>
                <w:szCs w:val="16"/>
                <w:color w:val="auto"/>
              </w:rPr>
              <w:t>Wyoming Gas</w:t>
            </w:r>
          </w:p>
        </w:tc>
        <w:tc>
          <w:tcPr>
            <w:tcW w:w="14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84</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w w:val="99"/>
              </w:rPr>
              <w:t>CWA Local 7476</w:t>
            </w:r>
          </w:p>
        </w:tc>
        <w:tc>
          <w:tcPr>
            <w:tcW w:w="340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October 30, 2023</w:t>
            </w:r>
          </w:p>
        </w:tc>
        <w:tc>
          <w:tcPr>
            <w:tcW w:w="0" w:type="dxa"/>
            <w:vAlign w:val="bottom"/>
          </w:tcPr>
          <w:p>
            <w:pPr>
              <w:spacing w:after="0"/>
              <w:rPr>
                <w:sz w:val="1"/>
                <w:szCs w:val="1"/>
                <w:color w:val="auto"/>
              </w:rPr>
            </w:pPr>
          </w:p>
        </w:tc>
      </w:tr>
      <w:tr>
        <w:trPr>
          <w:trHeight w:val="206"/>
        </w:trPr>
        <w:tc>
          <w:tcPr>
            <w:tcW w:w="3040" w:type="dxa"/>
            <w:vAlign w:val="bottom"/>
            <w:tcBorders>
              <w:bottom w:val="single" w:sz="8" w:color="CEFEE7"/>
            </w:tcBorders>
          </w:tcPr>
          <w:p>
            <w:pPr>
              <w:ind w:left="360"/>
              <w:spacing w:after="0"/>
              <w:rPr>
                <w:sz w:val="20"/>
                <w:szCs w:val="20"/>
                <w:color w:val="auto"/>
              </w:rPr>
            </w:pPr>
            <w:r>
              <w:rPr>
                <w:rFonts w:ascii="Arial" w:cs="Arial" w:eastAsia="Arial" w:hAnsi="Arial"/>
                <w:sz w:val="16"/>
                <w:szCs w:val="16"/>
                <w:b w:val="1"/>
                <w:bCs w:val="1"/>
                <w:color w:val="auto"/>
              </w:rPr>
              <w:t>Total Gas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3400" w:type="dxa"/>
            <w:vAlign w:val="bottom"/>
            <w:tcBorders>
              <w:bottom w:val="single" w:sz="8" w:color="CEFEE7"/>
            </w:tcBorders>
          </w:tcPr>
          <w:p>
            <w:pPr>
              <w:spacing w:after="0"/>
              <w:rPr>
                <w:sz w:val="17"/>
                <w:szCs w:val="17"/>
                <w:color w:val="auto"/>
              </w:rPr>
            </w:pPr>
          </w:p>
        </w:tc>
        <w:tc>
          <w:tcPr>
            <w:tcW w:w="3400" w:type="dxa"/>
            <w:vAlign w:val="bottom"/>
            <w:tcBorders>
              <w:bottom w:val="single" w:sz="8" w:color="CEFEE7"/>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040" w:type="dxa"/>
            <w:vAlign w:val="bottom"/>
            <w:shd w:val="clear" w:color="auto" w:fill="CEFEE7"/>
          </w:tcPr>
          <w:p>
            <w:pPr>
              <w:spacing w:after="0"/>
              <w:rPr>
                <w:sz w:val="20"/>
                <w:szCs w:val="20"/>
                <w:color w:val="auto"/>
              </w:rPr>
            </w:pPr>
          </w:p>
        </w:tc>
        <w:tc>
          <w:tcPr>
            <w:tcW w:w="1400" w:type="dxa"/>
            <w:vAlign w:val="bottom"/>
            <w:shd w:val="clear" w:color="auto" w:fill="CEFEE7"/>
          </w:tcPr>
          <w:p>
            <w:pPr>
              <w:spacing w:after="0"/>
              <w:rPr>
                <w:sz w:val="20"/>
                <w:szCs w:val="20"/>
                <w:color w:val="auto"/>
              </w:rPr>
            </w:pPr>
          </w:p>
        </w:tc>
        <w:tc>
          <w:tcPr>
            <w:tcW w:w="3400" w:type="dxa"/>
            <w:vAlign w:val="bottom"/>
            <w:shd w:val="clear" w:color="auto" w:fill="CEFEE7"/>
          </w:tcPr>
          <w:p>
            <w:pPr>
              <w:spacing w:after="0"/>
              <w:rPr>
                <w:sz w:val="20"/>
                <w:szCs w:val="20"/>
                <w:color w:val="auto"/>
              </w:rPr>
            </w:pPr>
          </w:p>
        </w:tc>
        <w:tc>
          <w:tcPr>
            <w:tcW w:w="3400" w:type="dxa"/>
            <w:vAlign w:val="bottom"/>
            <w:shd w:val="clear" w:color="auto" w:fill="CEFEE7"/>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800"/>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34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Attraction</w:t>
      </w:r>
    </w:p>
    <w:p>
      <w:pPr>
        <w:spacing w:after="0" w:line="26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Continuous attraction of qualified team members is critical to our ability to serve our 1.3 million customers safely and efficiently. We actively recruit diverse candidates and continuously evaluate our interviewing and hiring practices to ensure equitable pay and processes. Our attraction efforts include the use of multiple nation-wide job boards, local college and high school outreach programs, a strong college internship program and participation in national and local job fairs. Another key area of attraction is our commitment to our military personnel and veterans. We have targeted attraction efforts specific to military personnel transitioning into civilian life and for veterans of all types.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Diversity &amp; Inclusion</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At Black Hills Corporation, we believe in the benefits of diversity, equity and inclusion. We believe that a diverse workforce will assist us in achieving our goals of becoming the safest utility in the nation, providing exceptional customer service and achieving new levels of growth in a rapidly evolving industry. Workforce diversity trends, including diverse new hires, promotions and turnover, are monitored at regular intervals.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Development and Retention</w:t>
      </w:r>
    </w:p>
    <w:p>
      <w:pPr>
        <w:spacing w:after="0" w:line="26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Retaining and developing team members is critical to our continued success. Our retention efforts include competitive compensation programs, career development resources for all employees and internal training programs. Our compensation programs are designed to be strategically aligned, externally competitive, internally equitable, personally motivating, cost effective and legally compliant. Our career development resources include management onboarding, leadership development programs, mentoring programs, individual development assessments and more. Internal training opportunities include corporate-wide trainings such as our code of conduct and specialized training opportunities for different job functions. Our Field Career Path Program (FCPP) promotes career growth through established standards of knowledge, skills, abilities and performance.</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7"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nature of our business subjects us to a number of uncertainties and risks. Risks that may adversely affect the business operations, financial condition, results of operations or cash flows are described below. These risk factors, along with other risk factors that we discuss in our periodic reports filed with the SEC should be considered for a better understanding of our Company.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RISKS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continued success is dependent on execution of our strategic business plans including our growth strategy.</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success depends, in significant part, on our ability to execute our strategic business plans, including our growth strategy. Our plans and strategy include reducing GHG emissions for our Electric Utilities and Gas Utilities, transforming the customer experience, growing our electric and natural gas customer load, pursuing operating efficiencies and modernizing our utility infrastructure. Our current plans and strategy may be negatively impacted by disruptive forces and innovations in the marketplace, changing political, business or regulatory conditions, and technology advancements.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addition, we have significant capital investment programs planned for the next five years that are key to our strategic business plans. The successful execution of our capital investment program depends on, or could be affected by, a variety of factors that include, but are not limited to: weather conditions, effective management of projects, availability of qualified construction personnel including contractors, changes in commodity and other prices, availability of materials, governmental approvals and permitting, regulatory cost recovery and return on investment.</w:t>
      </w:r>
    </w:p>
    <w:p>
      <w:pPr>
        <w:spacing w:after="0" w:line="2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An inability to successfully and timely adapt to changing conditions and execute our strategic plans, including our growth strategy could materially affect our financial operating results including earnings, cash flow and liquidity.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Customer growth and usage in our service territories may fluctuate with economic conditions, emerging technologies or responses to price increases.</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financial operating results are impacted by energy demand in our service territories. Customer growth and usage may be impacted by a number of factors, including the voluntary reduction in consumption of electricity and natural gas by our customers in response to increases in prices and energy efficiency programs, electrification initiatives that could negatively impact the demand for natural gas, economic conditions impacting customers’ disposable income and the use of distributed generation resources or other emerging technologies. Continued technological improvements may make customer and third-party distributed generation and energy storage systems, including fuel cells, micro-turbines, wind turbines, solar cells and batteries, more cost effective and feasible for our customers. If more customers utilize their own generation, demand for energy from us would decline. Such developments could affect the price of energy and delivery of energy, require further improvements to our distribution systems to address changing load demands and could make portions of our electric system power supply and transmission and/or distribution facilities obsolete prior to the end of their useful lives. Each of these factors could materially affect our financial operating results including earnings, cash flow and liquidity.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LEGISLATIVE AND LEGAL RISKS</w:t>
      </w:r>
    </w:p>
    <w:p>
      <w:pPr>
        <w:spacing w:after="0" w:line="24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We may be subject to future laws, regulations, or actions associated with climate change, including those relating to fossil-fuel generation and GHG emissions, which could increase our operating costs or restrict our market opportunities.</w:t>
      </w:r>
    </w:p>
    <w:p>
      <w:pPr>
        <w:spacing w:after="0" w:line="20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own and operate regulated and unregulated electric power plants that burn fossil fuels (natural gas and coal) and a surface mine that extracts and sells coal. We also purchase, store and deliver natural gas to our customers. These business activities are subject to evolving public concern regarding fossil fuels, GHG emissions (such as carbon dioxide and methane) and their impact on the climate.</w:t>
      </w:r>
    </w:p>
    <w:p>
      <w:pPr>
        <w:spacing w:after="0" w:line="228"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There is uncertainty surrounding climate regulation due to legal challenges to some current regulations and anticipated new federal and/or state climate legislation and regulation. The Biden administration has issued executive orders aimed at reducing GHG emissions and declared climate change a national security policy for the first time. New or more stringent regulations or other energy efficiency requirements could require us to incur significant additional costs relating to, among other things, the installation of additional emission control equipment, the acceleration of capital expenditures, the purchase of additional emissions allowances or offsets, the acquisition or development of additional energy supply from renewable resources, the closure or capacity reductions of coal-fired power generation facilities and potential increased production from our combined cycle natural gas-fired generating units. Increased rules and regulations associated with fossil fuels and GHG emissions could result in the impairment or retirement of some of our existing or future transmission, distribution, generation and natural gas storage facilities or our coal mine. Further, these rules could create the need to purchase or build clean-energy fuel sources to fulfill obligations to our customers. These actions could also result in increased operating costs which could adversely impact customers and our financial operating results including earnings, cash flow and liquidity. We cannot definitively estimate the effect of GHG legislation or regulation on our results of operations, financial condition or cash flows.</w:t>
      </w:r>
    </w:p>
    <w:p>
      <w:pPr>
        <w:spacing w:after="0" w:line="23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Future GHG constraints designed to minimize emissions from natural gas could likewise result in increased costs and affect the demand for natural gas as well as the prices charged to customers and the competitive position of natural gas. Certain cities in our operational footprint are focused on electrification and have adopted initiatives to prohibit the construction of new natural gas distribution facilities. Any such initiatives and legislation could have a material impact on our results of operations, financial condition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subject to unfavorable or untimely federal and state regulatory outcomes.</w:t>
      </w:r>
    </w:p>
    <w:p>
      <w:pPr>
        <w:spacing w:after="0" w:line="26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regulated Electric and Gas Utilities are subject to cost-of-service/rate-of-return regulation and earnings oversight from federal and eight state utility commissions. This regulatory treatment does not provide any assurance as to achievement of desired earnings levels. Our customer rates are regulated by either the FERC or the respective state utility regulatory authority based on an analysis of our costs and investments, as reviewed and approved in a regulatory proceeding. While rate regulation is premised on the full recovery of prudently incurred costs and a reasonable rate of return on invested capital, there can be no assurance that our various regulatory authorities will judge all of our costs to have been prudently incurred or that the regulatory process in which rates are determined will result in full or timely recovery of our costs and the allowed return on invested capital. In addition, adverse rate decisions, including rate moratoriums, rate refunds, limits on rate increases, lower allowed returns on investments or rate reductions, could be influenced by competitive, economic, political, legislative, public perception and regulatory pressures and adversely impact results of operations, financial condition and cash flows.</w:t>
      </w:r>
    </w:p>
    <w:p>
      <w:pPr>
        <w:spacing w:after="0" w:line="233"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Each of our Electric and Gas Utilities are permitted to recover certain costs (such as increased fuel and purchased power costs or integrity capital investments) outside of a base rate review in order to stabilize customer rates and reduce regulatory lag. If regulators decide to discontinue these tariff-based recovery mechanisms, it could negatively impact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could significantly increase to achieve or maintain compliance with existing or future environmental laws, regulations or requirements.</w:t>
      </w:r>
    </w:p>
    <w:p>
      <w:pPr>
        <w:spacing w:after="0" w:line="268"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Our business segments are subject to numerous environmental laws and regulations affecting many aspects of present and future operations, including air emissions (i.e. SO</w:t>
      </w:r>
      <w:r>
        <w:rPr>
          <w:rFonts w:ascii="Arial" w:cs="Arial" w:eastAsia="Arial" w:hAnsi="Arial"/>
          <w:sz w:val="21"/>
          <w:szCs w:val="21"/>
          <w:color w:val="auto"/>
          <w:vertAlign w:val="subscript"/>
        </w:rPr>
        <w:t>2</w:t>
      </w:r>
      <w:r>
        <w:rPr>
          <w:rFonts w:ascii="Arial" w:cs="Arial" w:eastAsia="Arial" w:hAnsi="Arial"/>
          <w:sz w:val="16"/>
          <w:szCs w:val="16"/>
          <w:color w:val="auto"/>
        </w:rPr>
        <w:t>, NO</w:t>
      </w:r>
      <w:r>
        <w:rPr>
          <w:rFonts w:ascii="Arial" w:cs="Arial" w:eastAsia="Arial" w:hAnsi="Arial"/>
          <w:sz w:val="21"/>
          <w:szCs w:val="21"/>
          <w:color w:val="auto"/>
          <w:vertAlign w:val="subscript"/>
        </w:rPr>
        <w:t>x</w:t>
      </w:r>
      <w:r>
        <w:rPr>
          <w:rFonts w:ascii="Arial" w:cs="Arial" w:eastAsia="Arial" w:hAnsi="Arial"/>
          <w:sz w:val="16"/>
          <w:szCs w:val="16"/>
          <w:color w:val="auto"/>
        </w:rPr>
        <w:t>, volatile organic compounds, particulate matter and GHG), water quality, wastewater discharges, solid waste and hazardous waste. These laws and regulations may result in increased capital, operating and other costs. These laws and regulations generally require the business segments to obtain and comply with a wide variety of environmental licenses, permits, inspections and other approvals. Compliance with environmental laws and regulations may require significant expenditures, including expenditures for cleanup costs and damages arising from contaminated properties. Failure or inability to comply with evolving environmental regulations may result in the imposition of fines, penalties and injunctive measures affecting operating assets.</w:t>
      </w:r>
    </w:p>
    <w:p>
      <w:pPr>
        <w:spacing w:after="0" w:line="240"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business segments may not be successful in recovering increased capital and operating costs incurred to comply with new environmental regulations through existing regulatory rate structures and contracts with customers. More stringent environmental laws or regulations could result in additional costs of operation for existing facilities or impede the development of new facilities. Although it is not expected that the costs to comply with current environmental regulations will have a material adverse effect on our business segments’ financial position, results of operations or cash flows, future environmental compliance costs could have a significant negative impact.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Legislative and regulatory requirements may lead to increased costs and result in compliance penalties.</w:t>
      </w:r>
    </w:p>
    <w:p>
      <w:pPr>
        <w:spacing w:after="0" w:line="26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Business activities in the energy sector are heavily regulated, primarily by agencies of the federal government. Many agencies employ mandatory civil penalty structures for regulatory violations. The FERC, NERC, CFTC, EPA, OSHA, SEC and MSHA may impose significant civil and criminal penalties to enforce compliance requirements relative to our business, which could have a material adverse effect on our financial operating results including earnings, cash flow and liquidity.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 governments may seek to limit or deny our franchise privileges.</w:t>
      </w:r>
    </w:p>
    <w:p>
      <w:pPr>
        <w:spacing w:after="0" w:line="268"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Municipal governments within our utility service territories possess the power of condemnation and could establish a municipal utility within a portion of our current service territories by limiting or denying franchise privileges for our operations and exercising powers of condemnation over all or part of our utility assets within municipal boundaries. We regularly engage in negotiations on renewals of franchise agreements with our municipal governments. We have from time to time faced challenges or ballot initiatives on franchise renewals. To date, we have been successful in resolving or defending each of these challenges. Although condemnation is a process that is subject to constitutional protections requiring just and fair compensation, as with any judicial procedure, the outcome is uncertain. If a municipality sought to pursue this course of action, we cannot assure that we would secure adequate recovery of our investment in assets subject to condemnation. We also cannot quantify the impact that such action would have on the remainder of our business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Federal tax law may significantly impact our business.</w:t>
      </w:r>
    </w:p>
    <w:p>
      <w:pPr>
        <w:spacing w:after="0" w:line="268"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We are subject to taxation by the various taxing authorities at the federal, state and local levels where we do business. Similar to the TCJA, sweeping legislation or regulation could be enacted by any of these governmental authorities which may affect our tax burden. Changes may include numerous provisions that affect businesses, including changes to U.S. corporate tax rates, business-related exclusions, and deductions and credits. The outcome of regulatory proceedings regarding the extent to which the effect of a change in corporate tax rate will impact our utility customers and the time period over which the impact will occur could significantly impact future earnings and cash flows. Separately, a challenge by a taxing authority, changes in taxing authorities’ administrative interpretations, decisions, policies and positions, our ability to utilize tax benefits such as carryforwards or tax credits, or a deviation from other tax-related assumptions may cause actual financial results to deviate from previous estimates.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RISKS</w:t>
      </w:r>
    </w:p>
    <w:p>
      <w:pPr>
        <w:spacing w:after="0" w:line="248"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b w:val="1"/>
          <w:bCs w:val="1"/>
          <w:color w:val="auto"/>
        </w:rPr>
        <w:t>Our financial performance depends on the successful operation of electric generating facilities, electric and natural gas transmission and distribution systems, natural gas storage facilities, and a coal mine.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risks associated with management of these operations include:</w:t>
      </w:r>
    </w:p>
    <w:p>
      <w:pPr>
        <w:spacing w:after="0" w:line="248" w:lineRule="exact"/>
        <w:rPr>
          <w:sz w:val="20"/>
          <w:szCs w:val="20"/>
          <w:color w:val="auto"/>
        </w:rPr>
      </w:pPr>
    </w:p>
    <w:p>
      <w:pPr>
        <w:ind w:left="660" w:hanging="328"/>
        <w:spacing w:after="0" w:line="25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Inherent dangers. Electricity and natural gas can be dangerous to employees and the general public. Failures of or contact with power lines, natural gas pipelines or service facilities and equipment may result in fires, explosions, property damage and personal injuries, including death. While we maintain liability and property insurance coverage, such policies are subject to certain limits and deductibles. The occurrence of any of these events may not be fully covered by our insurance;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20" w:hanging="328"/>
        <w:spacing w:after="0" w:line="253"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Weather, natural conditions and disasters. Severe weather events, such as snow and ice storms, fires, tornadoes, strong winds, significant thunderstorms, flooding and drought, could negatively impact operations, including our ability to provide energy safely, reliably and profitably and our ability to complete construction, expansion or refurbishment of facilities as planned;</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Acts of sabotage, terrorism or other malicious attacks. Damage to our facilities due to deliberate acts could lead to outages or other adverse effects;</w:t>
      </w:r>
    </w:p>
    <w:p>
      <w:pPr>
        <w:spacing w:after="0" w:line="248"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Operating hazards. Operating hazards such as leaks, mechanical problems and accidents, including fires or explosions could impact employee and public safety, reliability and customer confidence;</w:t>
      </w:r>
    </w:p>
    <w:p>
      <w:pPr>
        <w:spacing w:after="0" w:line="222" w:lineRule="exact"/>
        <w:rPr>
          <w:rFonts w:ascii="Arial" w:cs="Arial" w:eastAsia="Arial" w:hAnsi="Arial"/>
          <w:sz w:val="16"/>
          <w:szCs w:val="16"/>
          <w:color w:val="auto"/>
        </w:rPr>
      </w:pPr>
    </w:p>
    <w:p>
      <w:pPr>
        <w:ind w:left="660" w:right="12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Equipment and processes. Breakdown or failure of equipment or processes, unavailability or increased cost of equipment, and performance below expected levels of output or efficiency could negatively impact our results of operations;</w:t>
      </w:r>
    </w:p>
    <w:p>
      <w:pPr>
        <w:spacing w:after="0" w:line="222" w:lineRule="exact"/>
        <w:rPr>
          <w:rFonts w:ascii="Arial" w:cs="Arial" w:eastAsia="Arial" w:hAnsi="Arial"/>
          <w:sz w:val="16"/>
          <w:szCs w:val="16"/>
          <w:color w:val="auto"/>
        </w:rPr>
      </w:pPr>
    </w:p>
    <w:p>
      <w:pPr>
        <w:ind w:left="660" w:right="20" w:hanging="328"/>
        <w:spacing w:after="0" w:line="253"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Disrupted transmission and distribution. We depend on transmission and distribution facilities, including those operated by unaffiliated parties, to deliver the electricity and gas that we sell to our retail and wholesale customers. If transmission is interrupted physically, mechanically, or with cyber means, our ability to sell or deliver utility services and satisfy our contractual obligations may be hindered;</w:t>
      </w:r>
    </w:p>
    <w:p>
      <w:pPr>
        <w:spacing w:after="0" w:line="228" w:lineRule="exact"/>
        <w:rPr>
          <w:rFonts w:ascii="Arial" w:cs="Arial" w:eastAsia="Arial" w:hAnsi="Arial"/>
          <w:sz w:val="16"/>
          <w:szCs w:val="16"/>
          <w:color w:val="auto"/>
        </w:rPr>
      </w:pPr>
    </w:p>
    <w:p>
      <w:pPr>
        <w:ind w:left="660" w:right="240" w:hanging="328"/>
        <w:spacing w:after="0" w:line="251"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Natural gas supply for generation and distribution. Our regulated utilities and non-regulated entities purchase natural gas from a number of suppliers for our generating facilities and for distribution to our customers. Our results of operations could be negatively impacted by the lack of availability and cost of natural gas, and disruptions in the delivery of natural gas due to various factors, including but not limited to, transportation delays, labor relations, weather and environmental regulations;</w:t>
      </w:r>
    </w:p>
    <w:p>
      <w:pPr>
        <w:spacing w:after="0" w:line="229"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Replacement power. The cost of supplying or securing replacement power during scheduled and unscheduled outages of generation facilities could negatively impact our results of operations;</w:t>
      </w:r>
    </w:p>
    <w:p>
      <w:pPr>
        <w:spacing w:after="0" w:line="222" w:lineRule="exact"/>
        <w:rPr>
          <w:rFonts w:ascii="Arial" w:cs="Arial" w:eastAsia="Arial" w:hAnsi="Arial"/>
          <w:sz w:val="16"/>
          <w:szCs w:val="16"/>
          <w:color w:val="auto"/>
        </w:rPr>
      </w:pPr>
    </w:p>
    <w:p>
      <w:pPr>
        <w:ind w:left="660" w:right="48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Governmental permits. The inability to obtain required governmental permits and approvals along with the cost of complying with or satisfying conditions imposed upon such approvals could negatively impact our ability to operate</w:t>
      </w:r>
    </w:p>
    <w:p>
      <w:pPr>
        <w:ind w:left="660"/>
        <w:spacing w:after="0"/>
        <w:rPr>
          <w:rFonts w:ascii="Arial" w:cs="Arial" w:eastAsia="Arial" w:hAnsi="Arial"/>
          <w:sz w:val="16"/>
          <w:szCs w:val="16"/>
          <w:color w:val="auto"/>
        </w:rPr>
      </w:pPr>
      <w:r>
        <w:rPr>
          <w:rFonts w:ascii="Arial" w:cs="Arial" w:eastAsia="Arial" w:hAnsi="Arial"/>
          <w:sz w:val="16"/>
          <w:szCs w:val="16"/>
          <w:color w:val="auto"/>
        </w:rPr>
        <w:t>and our results of operations;</w:t>
      </w:r>
    </w:p>
    <w:p>
      <w:pPr>
        <w:spacing w:after="0" w:line="248" w:lineRule="exact"/>
        <w:rPr>
          <w:rFonts w:ascii="Arial" w:cs="Arial" w:eastAsia="Arial" w:hAnsi="Arial"/>
          <w:sz w:val="16"/>
          <w:szCs w:val="16"/>
          <w:color w:val="auto"/>
        </w:rPr>
      </w:pPr>
    </w:p>
    <w:p>
      <w:pPr>
        <w:ind w:left="660" w:right="8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Operational limitations. Operational limitations imposed by environmental and other regulatory requirements and contractual agreements, including those that restrict the timing of generation plant scheduled outages, could negatively impact our results of operations;</w:t>
      </w:r>
    </w:p>
    <w:p>
      <w:pPr>
        <w:spacing w:after="0" w:line="222" w:lineRule="exact"/>
        <w:rPr>
          <w:rFonts w:ascii="Arial" w:cs="Arial" w:eastAsia="Arial" w:hAnsi="Arial"/>
          <w:sz w:val="16"/>
          <w:szCs w:val="16"/>
          <w:color w:val="auto"/>
        </w:rPr>
      </w:pPr>
    </w:p>
    <w:p>
      <w:pPr>
        <w:ind w:left="660" w:right="64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costs. Increased capital and operating costs to comply with increasingly stringent laws and regulations; unexpected engineering, environmental and geological problems; and unanticipated cost overruns could negatively impact our results of operations;</w:t>
      </w:r>
    </w:p>
    <w:p>
      <w:pPr>
        <w:spacing w:after="0" w:line="222" w:lineRule="exact"/>
        <w:rPr>
          <w:rFonts w:ascii="Arial" w:cs="Arial" w:eastAsia="Arial" w:hAnsi="Arial"/>
          <w:sz w:val="16"/>
          <w:szCs w:val="16"/>
          <w:color w:val="auto"/>
        </w:rPr>
      </w:pPr>
    </w:p>
    <w:p>
      <w:pPr>
        <w:ind w:left="660" w:right="140" w:hanging="328"/>
        <w:spacing w:after="0" w:line="251"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Labor and labor relations. The cost of recruiting and retaining skilled technical labor or the unavailability of such resources could have a negative impact on our operations. Our ability to transition and replace our retirement-eligible utility employees is a risk; at December 31, 2020, approximately 23% of our Electric Utilities and Gas Utilities employees were eligible for regular or early retirement. Our ability to avoid or minimize supply interruptions, work stoppages and labor disputes is also a risk; approximately 25% of our employees are represented by unions;</w:t>
      </w:r>
    </w:p>
    <w:p>
      <w:pPr>
        <w:spacing w:after="0" w:line="22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Public opposition. Opposition by members of public or special-interest groups could negatively impact our ability to operate our businesses; and</w:t>
      </w:r>
    </w:p>
    <w:p>
      <w:pPr>
        <w:spacing w:after="0" w:line="19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ongoing operation of our business involves the risks described above, in addition to risks associated with threats to our overall business model, such as electrification initiatives. Any of these risks could cause us to experience negative financial results and damage to our reputation and public confidence. These risks could cause us to incur significant costs or be unable to deliver energy and/or operate below expected capacity levels, which in turn could reduce revenues or cause us to incur higher operating and maintenance costs and penalties. While we maintain insurance and obtain warranties from vendors and obligate contractors to meet certain performance levels, the proceeds of such insurance and our rights under contracts, warranties or performance guarantees may not be timely or adequate to cover lost revenues, increased expenses, liability or liquidated damage payments.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Cyberattacks, terrorism, or other malicious acts targeting our key technology systems could disrupt our operations, or lead to a loss or misuse of confidential and proprietary information.</w:t>
      </w:r>
    </w:p>
    <w:p>
      <w:pPr>
        <w:spacing w:after="0" w:line="189"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To effectively operate our business, we rely upon a sophisticated electronic control system, information and operation technology systems and network infrastructure to generate, distribute and deliver energy, and collect and retain sensitive information including personal information about our customers and employees. Cyberattacks, terrorism or other malicious acts targeting electronic control systems could result in a full or partial disruption of our electric and/or gas operations. Attacks targeting other key technology systems, including our third-party vendors’ information systems, could further add to a full or partial disruption of our operations. Any disruption of these operations could result in a loss of service to customers and associated revenues, as well as significant expense to repair damages and remedy security breaches. In addition, any theft, loss and/or fraudulent use of customer, shareowner, employee or proprietary data could subject us to significant litigation, liability and costs, as well as adversely impact our reputation with customers and regulators, among others.</w:t>
      </w:r>
    </w:p>
    <w:p>
      <w:pPr>
        <w:spacing w:after="0" w:line="373"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We have instituted security measures and safeguards to protect our operational systems and information technology assets, including certain safeguards required by FERC. Despite our implementation of security measures and safeguards, all of our technology systems may still be vulnerable to disability, failures or unauthorized access.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 conditions, including the impacts of climate change, may cause fluctuation in customer usage.</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utility businesses are seasonal businesses and weather conditions and patterns can have a material impact on our operating performance. To the extent weather conditions are affected by climate change, customers’ energy use could increase or decrease. Demand for electricity is typically greater in the summer and winter months associated with cooling and heating, respectively. Demand for natural gas depends heavily upon winter-weather patterns throughout our service territory and a significant amount of natural gas revenues are recognized in the first and fourth quarters related to the heating season. Accordingly, our utility operations have historically generated lower revenues and income when weather conditions are cooler than normal in the summer and warmer than normal in the winter. Demand for natural gas is also impacted by summer weather patterns that are cooler than normal and provide higher than normal precipitation; both of which can reduce natural gas demand for irrigation. Unusually mild summers and winters, therefore, could have an adverse effect on our financial operating results, including earnings, cash flow and liquidity.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sub-investment grade credit rating could impact our ability to access capital markets.</w:t>
      </w:r>
    </w:p>
    <w:p>
      <w:pPr>
        <w:spacing w:after="0" w:line="26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issuer credit rating is Baa2 (Stable outlook) by Moody’s; BBB+ (Stable outlook) by S&amp;P; and BBB+ (Stable outlook) by Fitch. Reduction of our investment grade credit ratings could impair our ability to refinance or repay our existing debt and complete new financings on reasonable terms, if at all. A credit rating downgrade, particularly to sub-investment grade, could also result in counterparties requiring us to post additional collateral under existing or new contracts. In addition, a ratings downgrade would increase our interest expense under some of our existing debt obligations, including borrowings under our credit facilities, potentially significantly increasing our cost of capital and other associated operating costs which may not be recoverable through existing regulatory rate structures and contracts with customers.</w:t>
      </w:r>
    </w:p>
    <w:p>
      <w:pPr>
        <w:spacing w:after="0" w:line="21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color w:val="auto"/>
        </w:rPr>
        <w:t>Our use of derivative financial instruments as hedges against commodity prices and financial market risks could result in material financial losses.</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use various financial and physical derivatives, including futures, forwards, options and swaps to manage commodity price and interest rate risks. The timing of the recognition of gains or losses on these economic hedges in accordance with GAAP does not always match up with the gains or losses on the commodities being hedged. For Black Hills Energy Services under the Choice Gas Program, and in certain instances within our regulated Utilities where unrealized and realized gains and losses from derivative instruments are not approved for regulatory accounting treatment, fluctuating commodity prices may cause fluctuations in reported financial results due to mark-to-market accounting treatment.</w:t>
      </w:r>
    </w:p>
    <w:p>
      <w:pPr>
        <w:spacing w:after="0" w:line="23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To the extent that we hedge our commodity price and interest rate exposures, we forgo the benefits we would otherwise experience if commodity prices or interest rates were to change in our favor. In addition, even though they are closely monitored by management, our hedging activities can result in losses. Such losses could occur under various circumstances, including if a counterparty does not perform its obligations under the hedge arrangement, the hedge is economically imperfect, commodity prices or interest rates move unfavorably related to our physical or financial positions, or hedging policies and procedures are not followed.</w:t>
      </w:r>
    </w:p>
    <w:p>
      <w:pPr>
        <w:spacing w:after="0" w:line="23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Additionally, our exchange-traded futures contracts are subject to futures margin posting requirements. To the extent we are unable to meet these requirements, this could have a significant impact on our business by reducing our ability to execute derivative transactions to reduce commodity price uncertainty and to protect cash flows. Requirements to post collateral may cause significant liquidity issues by reducing our ability to use cash for investment or other corporate purposes, or may require us to increase our level of debt. Further, a requirement for our counterparties to post collateral could result in additional costs being passed on to us, thereby decreasing our profitability.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We have a holding company corporate structure with multiple subsidiaries. Corporate dividends and debt payments are dependent upon cash distributions to the holding company from the subsidiaries.</w:t>
      </w:r>
    </w:p>
    <w:p>
      <w:pPr>
        <w:spacing w:after="0" w:line="20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As a holding company, our investments in our subsidiaries are our primary assets. Our operating cash flow and ability to service our indebtedness depend on the operating cash flow of our subsidiaries and the payment of funds by them to us in the form of dividends or advances. Our subsidiaries are separate legal entities that have no obligation to make any funds available for that purpose, whether by dividends or otherwise. In addition, each subsidiary’s ability to pay dividends to us depends on any applicable contractual or regulatory restrictions that may include requirements to maintain minimum levels of cash, working capital, equity or debt service funds.</w:t>
      </w:r>
    </w:p>
    <w:p>
      <w:pPr>
        <w:spacing w:after="0" w:line="216" w:lineRule="exact"/>
        <w:rPr>
          <w:sz w:val="20"/>
          <w:szCs w:val="20"/>
          <w:color w:val="auto"/>
        </w:rPr>
      </w:pPr>
    </w:p>
    <w:p>
      <w:pPr>
        <w:spacing w:after="0" w:line="235" w:lineRule="auto"/>
        <w:rPr>
          <w:rFonts w:ascii="Arial" w:cs="Arial" w:eastAsia="Arial" w:hAnsi="Arial"/>
          <w:sz w:val="16"/>
          <w:szCs w:val="16"/>
          <w:color w:val="auto"/>
        </w:rPr>
      </w:pPr>
      <w:r>
        <w:rPr>
          <w:rFonts w:ascii="Arial" w:cs="Arial" w:eastAsia="Arial" w:hAnsi="Arial"/>
          <w:sz w:val="16"/>
          <w:szCs w:val="16"/>
          <w:color w:val="auto"/>
        </w:rPr>
        <w:t>There is no assurance as to the amount, if any, of future dividends to the holding company because these subsidiaries depend on our future earnings, capital requirements and financial condition and are subject to declaration by the Board of Directors. See “</w:t>
      </w:r>
      <w:hyperlink w:anchor="page50">
        <w:r>
          <w:rPr>
            <w:rFonts w:ascii="Arial" w:cs="Arial" w:eastAsia="Arial" w:hAnsi="Arial"/>
            <w:sz w:val="16"/>
            <w:szCs w:val="16"/>
            <w:u w:val="single" w:color="auto"/>
            <w:color w:val="0000FF"/>
          </w:rPr>
          <w:t>Liquidity and Capital Resources</w:t>
        </w:r>
      </w:hyperlink>
      <w:r>
        <w:rPr>
          <w:rFonts w:ascii="Arial" w:cs="Arial" w:eastAsia="Arial" w:hAnsi="Arial"/>
          <w:sz w:val="16"/>
          <w:szCs w:val="16"/>
          <w:color w:val="auto"/>
        </w:rPr>
        <w:t xml:space="preserve">” within Management’s Discussion and Analysis of Financial Condition and Results of Operations in </w:t>
      </w:r>
      <w:hyperlink w:anchor="page33">
        <w:r>
          <w:rPr>
            <w:rFonts w:ascii="Arial" w:cs="Arial" w:eastAsia="Arial" w:hAnsi="Arial"/>
            <w:sz w:val="16"/>
            <w:szCs w:val="16"/>
            <w:u w:val="single" w:color="auto"/>
            <w:color w:val="0000FF"/>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97">
        <w:r>
          <w:rPr>
            <w:rFonts w:ascii="Arial" w:cs="Arial" w:eastAsia="Arial" w:hAnsi="Arial"/>
            <w:sz w:val="16"/>
            <w:szCs w:val="16"/>
            <w:u w:val="single" w:color="auto"/>
            <w:color w:val="0000FF"/>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our Notes to Consolidated Financial Statements of this Annual Report on Form 10-K for further information regarding these restrictions and their impact on our liquidity.</w:t>
      </w:r>
    </w:p>
    <w:p>
      <w:pPr>
        <w:spacing w:after="0" w:line="218" w:lineRule="exact"/>
        <w:rPr>
          <w:rFonts w:ascii="Arial" w:cs="Arial" w:eastAsia="Arial" w:hAnsi="Arial"/>
          <w:sz w:val="16"/>
          <w:szCs w:val="16"/>
          <w:color w:val="auto"/>
        </w:rPr>
      </w:pPr>
    </w:p>
    <w:p>
      <w:pPr>
        <w:ind w:right="60"/>
        <w:spacing w:after="0" w:line="286" w:lineRule="auto"/>
        <w:rPr>
          <w:sz w:val="20"/>
          <w:szCs w:val="20"/>
          <w:color w:val="auto"/>
        </w:rPr>
      </w:pPr>
      <w:r>
        <w:rPr>
          <w:rFonts w:ascii="Arial" w:cs="Arial" w:eastAsia="Arial" w:hAnsi="Arial"/>
          <w:sz w:val="16"/>
          <w:szCs w:val="16"/>
          <w:b w:val="1"/>
          <w:bCs w:val="1"/>
          <w:color w:val="auto"/>
        </w:rPr>
        <w:t>We may be unable to obtain financing on reasonable terms needed to refinance debt, fund planned capital expenditures or otherwise execute our operating strategy.</w:t>
      </w:r>
    </w:p>
    <w:p>
      <w:pPr>
        <w:spacing w:after="0" w:line="203" w:lineRule="exact"/>
        <w:rPr>
          <w:rFonts w:ascii="Arial" w:cs="Arial" w:eastAsia="Arial" w:hAnsi="Arial"/>
          <w:sz w:val="16"/>
          <w:szCs w:val="16"/>
          <w:color w:val="auto"/>
        </w:rPr>
      </w:pPr>
    </w:p>
    <w:p>
      <w:pPr>
        <w:ind w:right="40"/>
        <w:spacing w:after="0" w:line="250" w:lineRule="auto"/>
        <w:rPr>
          <w:sz w:val="20"/>
          <w:szCs w:val="20"/>
          <w:color w:val="auto"/>
        </w:rPr>
      </w:pPr>
      <w:r>
        <w:rPr>
          <w:rFonts w:ascii="Arial" w:cs="Arial" w:eastAsia="Arial" w:hAnsi="Arial"/>
          <w:sz w:val="16"/>
          <w:szCs w:val="16"/>
          <w:color w:val="auto"/>
        </w:rPr>
        <w:t>Our ability to execute our operating strategy is highly dependent upon our access to capital. Historically, we have addressed our liquidity needs (including funds required to make scheduled principal and interest payments, refinance debt, pay dividends and fund working capital and planned capital expenditures) with operating cash flow, borrowings under credit facilities, proceeds of debt and equity offerings and proceeds from asset sales. Our ability to access the capital markets and the costs and terms of available financing depend on many factors, including changes in our credit ratings, changes in the federal or state regulatory environment affecting energy companies, volatility in commodity or electricity prices and general economic and market conditions.</w:t>
      </w:r>
    </w:p>
    <w:p>
      <w:pPr>
        <w:spacing w:after="0" w:line="230" w:lineRule="exact"/>
        <w:rPr>
          <w:rFonts w:ascii="Arial" w:cs="Arial" w:eastAsia="Arial" w:hAnsi="Arial"/>
          <w:sz w:val="16"/>
          <w:szCs w:val="16"/>
          <w:color w:val="auto"/>
        </w:rPr>
      </w:pPr>
    </w:p>
    <w:p>
      <w:pPr>
        <w:ind w:right="20"/>
        <w:spacing w:after="0" w:line="251" w:lineRule="auto"/>
        <w:rPr>
          <w:sz w:val="20"/>
          <w:szCs w:val="20"/>
          <w:color w:val="auto"/>
        </w:rPr>
      </w:pPr>
      <w:r>
        <w:rPr>
          <w:rFonts w:ascii="Arial" w:cs="Arial" w:eastAsia="Arial" w:hAnsi="Arial"/>
          <w:sz w:val="16"/>
          <w:szCs w:val="16"/>
          <w:color w:val="auto"/>
        </w:rPr>
        <w:t>In addition, because we are a holding company and our utility assets are owned by our subsidiaries, if we are unable to adequately access the credit markets, we could be required to take additional measures designed to ensure that our utility subsidiaries are adequately capitalized to provide safe and reliable service. Possible additional measures would be evaluated in the context of then-prevailing market conditions, prudent financial management and any applicable regulatory requirements.</w:t>
      </w:r>
    </w:p>
    <w:p>
      <w:pPr>
        <w:spacing w:after="0" w:line="20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National and regional economic conditions may cause increased counterparty credit risk, late payments and uncollectible accounts.</w:t>
      </w:r>
    </w:p>
    <w:p>
      <w:pPr>
        <w:spacing w:after="0" w:line="268" w:lineRule="exact"/>
        <w:rPr>
          <w:rFonts w:ascii="Arial" w:cs="Arial" w:eastAsia="Arial" w:hAnsi="Arial"/>
          <w:sz w:val="16"/>
          <w:szCs w:val="16"/>
          <w:color w:val="auto"/>
        </w:rPr>
      </w:pPr>
    </w:p>
    <w:p>
      <w:pPr>
        <w:ind w:right="300"/>
        <w:spacing w:after="0" w:line="253" w:lineRule="auto"/>
        <w:rPr>
          <w:sz w:val="20"/>
          <w:szCs w:val="20"/>
          <w:color w:val="auto"/>
        </w:rPr>
      </w:pPr>
      <w:r>
        <w:rPr>
          <w:rFonts w:ascii="Arial" w:cs="Arial" w:eastAsia="Arial" w:hAnsi="Arial"/>
          <w:sz w:val="16"/>
          <w:szCs w:val="16"/>
          <w:color w:val="auto"/>
        </w:rPr>
        <w:t>A future recession or pandemic, if one occurs, may lead to an increase in late payments or non-payment from retail residential, commercial and industrial utility customers, as well as from our non-utility customers. If late payments and uncollectible accounts increase, earnings and cash flows from our continuing operations may be reduced.</w:t>
      </w:r>
    </w:p>
    <w:p>
      <w:pPr>
        <w:spacing w:after="0" w:line="208" w:lineRule="exact"/>
        <w:rPr>
          <w:rFonts w:ascii="Arial" w:cs="Arial" w:eastAsia="Arial" w:hAnsi="Arial"/>
          <w:sz w:val="16"/>
          <w:szCs w:val="16"/>
          <w:color w:val="auto"/>
        </w:rPr>
      </w:pPr>
    </w:p>
    <w:p>
      <w:pPr>
        <w:ind w:right="180"/>
        <w:spacing w:after="0" w:line="286" w:lineRule="auto"/>
        <w:rPr>
          <w:sz w:val="20"/>
          <w:szCs w:val="20"/>
          <w:color w:val="auto"/>
        </w:rPr>
      </w:pPr>
      <w:r>
        <w:rPr>
          <w:rFonts w:ascii="Arial" w:cs="Arial" w:eastAsia="Arial" w:hAnsi="Arial"/>
          <w:sz w:val="16"/>
          <w:szCs w:val="16"/>
          <w:b w:val="1"/>
          <w:bCs w:val="1"/>
          <w:color w:val="auto"/>
        </w:rPr>
        <w:t>We may be unable to obtain insurance coverage, and the coverage we currently have may not apply or may be insufficient to cover a significant loss.</w:t>
      </w:r>
    </w:p>
    <w:p>
      <w:pPr>
        <w:spacing w:after="0" w:line="203" w:lineRule="exact"/>
        <w:rPr>
          <w:rFonts w:ascii="Arial" w:cs="Arial" w:eastAsia="Arial" w:hAnsi="Arial"/>
          <w:sz w:val="16"/>
          <w:szCs w:val="16"/>
          <w:color w:val="auto"/>
        </w:rPr>
      </w:pPr>
    </w:p>
    <w:p>
      <w:pPr>
        <w:ind w:right="80"/>
        <w:spacing w:after="0" w:line="250" w:lineRule="auto"/>
        <w:rPr>
          <w:sz w:val="20"/>
          <w:szCs w:val="20"/>
          <w:color w:val="auto"/>
        </w:rPr>
      </w:pPr>
      <w:r>
        <w:rPr>
          <w:rFonts w:ascii="Arial" w:cs="Arial" w:eastAsia="Arial" w:hAnsi="Arial"/>
          <w:sz w:val="16"/>
          <w:szCs w:val="16"/>
          <w:color w:val="auto"/>
        </w:rPr>
        <w:t>Our ability to obtain insurance, as well as the cost of such insurance, could be impacted by developments affecting the insurance industry and the financial condition of insurers. Additionally insurance providers could deny coverage or decline to extend coverage under the same or similar terms that are presently available to us. A loss for which we are not adequately insured could materially affect our financial results. The coverage we currently have in place may not apply to a particular loss, or it may not be sufficient to cover all liabilities to which the Company may be subject, including liability and losses associated with wildfire, natural gas and gas storage field explosions, cyber-security breaches, environmental hazards and natural disasters.</w:t>
      </w:r>
    </w:p>
    <w:p>
      <w:pPr>
        <w:spacing w:after="0" w:line="210" w:lineRule="exact"/>
        <w:rPr>
          <w:rFonts w:ascii="Arial" w:cs="Arial" w:eastAsia="Arial" w:hAnsi="Arial"/>
          <w:sz w:val="16"/>
          <w:szCs w:val="16"/>
          <w:color w:val="auto"/>
        </w:rPr>
      </w:pPr>
    </w:p>
    <w:p>
      <w:pPr>
        <w:ind w:right="160"/>
        <w:spacing w:after="0" w:line="286" w:lineRule="auto"/>
        <w:rPr>
          <w:sz w:val="20"/>
          <w:szCs w:val="20"/>
          <w:color w:val="auto"/>
        </w:rPr>
      </w:pPr>
      <w:r>
        <w:rPr>
          <w:rFonts w:ascii="Arial" w:cs="Arial" w:eastAsia="Arial" w:hAnsi="Arial"/>
          <w:sz w:val="16"/>
          <w:szCs w:val="16"/>
          <w:b w:val="1"/>
          <w:bCs w:val="1"/>
          <w:color w:val="auto"/>
        </w:rPr>
        <w:t>Market performance or changes in key valuation assumptions could require us to make significant unplanned contributions to our pension plan and other postretirement benefit plans.</w:t>
      </w:r>
    </w:p>
    <w:p>
      <w:pPr>
        <w:spacing w:after="0" w:line="203" w:lineRule="exact"/>
        <w:rPr>
          <w:rFonts w:ascii="Arial" w:cs="Arial" w:eastAsia="Arial" w:hAnsi="Arial"/>
          <w:sz w:val="16"/>
          <w:szCs w:val="16"/>
          <w:color w:val="auto"/>
        </w:rPr>
      </w:pPr>
    </w:p>
    <w:p>
      <w:pPr>
        <w:ind w:right="20"/>
        <w:spacing w:after="0" w:line="251" w:lineRule="auto"/>
        <w:rPr>
          <w:sz w:val="20"/>
          <w:szCs w:val="20"/>
          <w:color w:val="auto"/>
        </w:rPr>
      </w:pPr>
      <w:r>
        <w:rPr>
          <w:rFonts w:ascii="Arial" w:cs="Arial" w:eastAsia="Arial" w:hAnsi="Arial"/>
          <w:sz w:val="16"/>
          <w:szCs w:val="16"/>
          <w:color w:val="auto"/>
        </w:rPr>
        <w:t>Assumptions related to interest rates, expected return on investments, mortality and other key actuarial assumptions have a significant impact on our funding requirements and the expense recognized related to these plans. An adverse change to key assumptions associated with our defined benefit retirement plans may require significant unplanned contributions to the plans which could adversely affect our financial operating results including earnings, cash flow and liquidity.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associated with our healthcare plans and other benefits could increase significantly.</w:t>
      </w:r>
    </w:p>
    <w:p>
      <w:pPr>
        <w:spacing w:after="0" w:line="26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costs of providing healthcare benefits to our employees and retirees have increased substantially in recent years. We believe that our employee benefit costs, including costs related to healthcare plans for our employees and former employees, will continue to rise. Significant regulatory developments have required, and likely will continue to require, changes to our current employee benefit plans and supporting administrative processes. Our electric and gas utility rates are regulated on a state-by-state basis by the relevant state regulatory authorities based on an analysis of our costs, as reviewed and approved in a regulatory proceeding. Within our utility rates we have generally recovered the cost of providing employee benefits. As benefit costs continue to rise, there is no assurance that the state utility commissions will allow recovery of these increased costs. The rising employee benefit costs, or inadequate recovery of such costs, may adversely affect our financial operating results including earnings, cash flow, or liquidity.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PANDEMIC RISK</w:t>
      </w:r>
    </w:p>
    <w:p>
      <w:pPr>
        <w:spacing w:after="0" w:line="24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Our business operations, results of operations, financial condition and cash flows could be adversely affected by the coronavirus (COVID-19) pandemic.</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12529"/>
        </w:rPr>
        <w:t>We have responded to the global pandemic of COVID-19 by taking steps to mitigate the potential risks to us posed by its spread.</w:t>
      </w:r>
    </w:p>
    <w:p>
      <w:pPr>
        <w:spacing w:after="0" w:line="24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For the year ended December 31, 2020, the COVID-19 pandemic had a limited net financial impact on our business operations, financial condition and cash flows. In particular, we experienced:</w:t>
      </w:r>
    </w:p>
    <w:p>
      <w:pPr>
        <w:spacing w:after="0" w:line="222"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allowance for credit losses and bad debt expense due to anticipated customer non-payment as a result of suspended disconnections;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costs due to sequestration of mission-critical and essential employees;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Lower commercial and certain transport volumes partially offset by higher electric and natural gas residential usage;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Waived customer late payment fees;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Reduced availability of our employees;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costs for personal protection equipment and cleaning supplies;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Minimal disruptions receiving the materials and supplies necessary to maintain operations and continue executing our capital investment plan;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Minimal impacts to the availability of our contractors;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Minimal decline in the funded status of our pension plan;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Minimal interest expense increase due to disruptions in the Commercial Paper markets;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Reduced training, travel, and outside services related expenses.</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Should the COVID-19 pandemic continue for a prolonged period or impact the areas we serve more significantly than it has to date, our business operations, financial condition and cash flows could be impacted in more significant ways. In addition to exacerbating the impacts described above, we could experience:</w:t>
      </w:r>
    </w:p>
    <w:p>
      <w:pPr>
        <w:spacing w:after="0" w:line="200" w:lineRule="exact"/>
        <w:rPr>
          <w:sz w:val="20"/>
          <w:szCs w:val="20"/>
          <w:color w:val="auto"/>
        </w:rPr>
      </w:pPr>
    </w:p>
    <w:p>
      <w:pPr>
        <w:spacing w:after="0" w:line="216"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Adverse impacts on our strategic business plans, growth strategy and capital investments;</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Increased adverse impacts to electricity and natural gas demand from our customers, particularly from commercial and industrial customers;</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Further reduction in the availability of our employees and contractors;</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 xml:space="preserve">Increased costs as a result of our preventative measures, such as </w:t>
      </w:r>
      <w:r>
        <w:rPr>
          <w:rFonts w:ascii="Arial" w:cs="Arial" w:eastAsia="Arial" w:hAnsi="Arial"/>
          <w:sz w:val="16"/>
          <w:szCs w:val="16"/>
          <w:color w:val="000000"/>
        </w:rPr>
        <w:t>sequestration of essential employees and facility cleaning services</w:t>
      </w:r>
      <w:r>
        <w:rPr>
          <w:rFonts w:ascii="Arial" w:cs="Arial" w:eastAsia="Arial" w:hAnsi="Arial"/>
          <w:sz w:val="16"/>
          <w:szCs w:val="16"/>
          <w:color w:val="212529"/>
        </w:rPr>
        <w:t>;</w:t>
      </w:r>
    </w:p>
    <w:p>
      <w:pPr>
        <w:spacing w:after="0" w:line="5" w:lineRule="exact"/>
        <w:rPr>
          <w:rFonts w:ascii="Arial" w:cs="Arial" w:eastAsia="Arial" w:hAnsi="Arial"/>
          <w:sz w:val="16"/>
          <w:szCs w:val="16"/>
          <w:color w:val="212529"/>
        </w:rPr>
      </w:pPr>
    </w:p>
    <w:p>
      <w:pPr>
        <w:ind w:left="660" w:right="360" w:hanging="328"/>
        <w:spacing w:after="0" w:line="246" w:lineRule="auto"/>
        <w:tabs>
          <w:tab w:leader="none" w:pos="649"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I</w:t>
      </w:r>
      <w:r>
        <w:rPr>
          <w:rFonts w:ascii="Arial" w:cs="Arial" w:eastAsia="Arial" w:hAnsi="Arial"/>
          <w:sz w:val="16"/>
          <w:szCs w:val="16"/>
          <w:color w:val="000000"/>
        </w:rPr>
        <w:t>ncreased allowance for credit losses and bad debt expense</w:t>
      </w:r>
      <w:r>
        <w:rPr>
          <w:rFonts w:ascii="Arial" w:cs="Arial" w:eastAsia="Arial" w:hAnsi="Arial"/>
          <w:sz w:val="16"/>
          <w:szCs w:val="16"/>
          <w:color w:val="212529"/>
        </w:rPr>
        <w:t xml:space="preserve"> as a result of delayed or non-payment from our customers, both of which could be magnified by Federal or state government legislation that requires us to extend suspensions of disconnections for non-payment;</w:t>
      </w: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Delays and disruptions in the availability, timely delivery and cost of materials and components used in our operations;</w:t>
      </w:r>
    </w:p>
    <w:p>
      <w:pPr>
        <w:spacing w:after="0" w:line="5" w:lineRule="exact"/>
        <w:rPr>
          <w:rFonts w:ascii="Arial" w:cs="Arial" w:eastAsia="Arial" w:hAnsi="Arial"/>
          <w:sz w:val="16"/>
          <w:szCs w:val="16"/>
          <w:color w:val="212529"/>
        </w:rPr>
      </w:pPr>
    </w:p>
    <w:p>
      <w:pPr>
        <w:ind w:left="660" w:right="560" w:hanging="328"/>
        <w:spacing w:after="0" w:line="246" w:lineRule="auto"/>
        <w:tabs>
          <w:tab w:leader="none" w:pos="649"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Disruptions in the commercial operation dates of certain projects impacting qualification criteria for certain tax credits and triggering potential damages under our power purchase agreements;</w:t>
      </w:r>
    </w:p>
    <w:p>
      <w:pPr>
        <w:ind w:left="660" w:right="1100" w:hanging="328"/>
        <w:spacing w:after="0" w:line="246" w:lineRule="auto"/>
        <w:tabs>
          <w:tab w:leader="none" w:pos="649"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Deterioration of the credit quality of our counterparties, including gas commodity contract counterparties, power purchase agreement counterparties, contractors or retail customers, that could result in credit losses;</w:t>
      </w: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Impairment of goodwill or long-lived assets;</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Adverse impacts on our ability to construct and operate facilities;</w:t>
      </w:r>
    </w:p>
    <w:p>
      <w:pPr>
        <w:spacing w:after="0" w:line="5" w:lineRule="exact"/>
        <w:rPr>
          <w:rFonts w:ascii="Arial" w:cs="Arial" w:eastAsia="Arial" w:hAnsi="Arial"/>
          <w:sz w:val="16"/>
          <w:szCs w:val="16"/>
          <w:color w:val="212529"/>
        </w:rPr>
      </w:pPr>
    </w:p>
    <w:p>
      <w:pPr>
        <w:ind w:left="660" w:right="400" w:hanging="328"/>
        <w:spacing w:after="0" w:line="246" w:lineRule="auto"/>
        <w:tabs>
          <w:tab w:leader="none" w:pos="649"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Inability to meet the requirements of the covenants in our existing credit facilities, including covenants regarding Consolidated Indebtedness to Capitalization Ratio;</w:t>
      </w: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Deterioration in our financial metrics or the business environment that adversely impacts our credit ratings;</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Delay in the permitting process of certain development projects, affecting the timing of final investment decisions and start dates of construction;</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Adverse impact on our liquidity position and cost of and ability to access funds from financial institutions and capital markets; and</w:t>
      </w:r>
    </w:p>
    <w:p>
      <w:pPr>
        <w:spacing w:after="0" w:line="5" w:lineRule="exact"/>
        <w:rPr>
          <w:rFonts w:ascii="Arial" w:cs="Arial" w:eastAsia="Arial" w:hAnsi="Arial"/>
          <w:sz w:val="16"/>
          <w:szCs w:val="16"/>
          <w:color w:val="212529"/>
        </w:rPr>
      </w:pPr>
    </w:p>
    <w:p>
      <w:pPr>
        <w:ind w:left="640" w:hanging="308"/>
        <w:spacing w:after="0"/>
        <w:tabs>
          <w:tab w:leader="none" w:pos="640" w:val="left"/>
        </w:tabs>
        <w:numPr>
          <w:ilvl w:val="0"/>
          <w:numId w:val="19"/>
        </w:numPr>
        <w:rPr>
          <w:rFonts w:ascii="Arial" w:cs="Arial" w:eastAsia="Arial" w:hAnsi="Arial"/>
          <w:sz w:val="16"/>
          <w:szCs w:val="16"/>
          <w:color w:val="212529"/>
        </w:rPr>
      </w:pPr>
      <w:r>
        <w:rPr>
          <w:rFonts w:ascii="Arial" w:cs="Arial" w:eastAsia="Arial" w:hAnsi="Arial"/>
          <w:sz w:val="16"/>
          <w:szCs w:val="16"/>
          <w:color w:val="212529"/>
        </w:rPr>
        <w:t>Delays in our ability to change rates through regulatory proceedings.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212529"/>
        </w:rPr>
        <w:t>To date, we have experienced limited impacts to our results of operations, financial condition, cash flows or business plans. However, the situation remains fluid and it is difficult to predict with certainty the potential impact of COVID-19 on our results of operations, financial condition and cash flows.</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77" w:lineRule="exact"/>
        <w:rPr>
          <w:sz w:val="20"/>
          <w:szCs w:val="20"/>
          <w:color w:val="auto"/>
        </w:rPr>
      </w:pPr>
    </w:p>
    <w:p>
      <w:pPr>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Information regarding our legal proceedings is incorporated herein by reference to the “Legal Proceedings” sub-caption within Item 8, </w:t>
      </w:r>
      <w:hyperlink w:anchor="page85">
        <w:r>
          <w:rPr>
            <w:rFonts w:ascii="Arial" w:cs="Arial" w:eastAsia="Arial" w:hAnsi="Arial"/>
            <w:sz w:val="16"/>
            <w:szCs w:val="16"/>
            <w:u w:val="single" w:color="auto"/>
            <w:color w:val="0000FF"/>
          </w:rPr>
          <w:t>Note 3</w:t>
        </w:r>
      </w:hyperlink>
      <w:r>
        <w:rPr>
          <w:rFonts w:ascii="Arial" w:cs="Arial" w:eastAsia="Arial" w:hAnsi="Arial"/>
          <w:sz w:val="16"/>
          <w:szCs w:val="16"/>
          <w:color w:val="auto"/>
        </w:rPr>
        <w:t>, “Commitments, Contingencies and Guarantees”, of our Notes to Consolidated Financial Statements in this Annual Report on Form 10-K.</w:t>
      </w:r>
    </w:p>
    <w:p>
      <w:pPr>
        <w:spacing w:after="0" w:line="200" w:lineRule="exact"/>
        <w:rPr>
          <w:sz w:val="20"/>
          <w:szCs w:val="20"/>
          <w:color w:val="auto"/>
        </w:rPr>
      </w:pP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7" w:lineRule="exact"/>
        <w:rPr>
          <w:sz w:val="20"/>
          <w:szCs w:val="20"/>
          <w:color w:val="auto"/>
        </w:rPr>
      </w:pPr>
    </w:p>
    <w:p>
      <w:pPr>
        <w:ind w:right="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hyperlink w:anchor="page188">
        <w:r>
          <w:rPr>
            <w:rFonts w:ascii="Arial" w:cs="Arial" w:eastAsia="Arial" w:hAnsi="Arial"/>
            <w:sz w:val="16"/>
            <w:szCs w:val="16"/>
            <w:u w:val="single" w:color="auto"/>
            <w:color w:val="0000FF"/>
          </w:rPr>
          <w:t>Exhibit 95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24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Linden R. Evans, </w:t>
      </w:r>
      <w:r>
        <w:rPr>
          <w:rFonts w:ascii="Arial" w:cs="Arial" w:eastAsia="Arial" w:hAnsi="Arial"/>
          <w:sz w:val="16"/>
          <w:szCs w:val="16"/>
          <w:color w:val="auto"/>
        </w:rPr>
        <w:t>age 58, has been President and Chief Executive Officer since January 1, 2019, President and Chief Operating Officer from 2016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2018, and President and Chief Operating Officer — Utilities from 2004 through 2015. Mr. Evans served as the Vice President and General Manager of our former communication subsidiary in 2003 and 2004, and Associate Counsel from 2001 to 2003. Mr. Evans has 19 years of experience with the Company.</w:t>
      </w:r>
    </w:p>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color w:val="auto"/>
        </w:rPr>
        <w:t xml:space="preserve">Scott A. Buchholz, </w:t>
      </w:r>
      <w:r>
        <w:rPr>
          <w:rFonts w:ascii="Arial" w:cs="Arial" w:eastAsia="Arial" w:hAnsi="Arial"/>
          <w:sz w:val="16"/>
          <w:szCs w:val="16"/>
          <w:color w:val="auto"/>
        </w:rPr>
        <w:t>age 59, has been our Senior Vice President of Strategic Initiatives since July 2020. He served as Senior Vice President —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Officer from the closing of the Aquila Transaction in 2008 to 2020. Prior to joining the Company, he was Aquila’s Vice President of Information Technology from 2005 until 2008, Six Sigma Deployment Leader/Black Belt from 2004 until 2005, and General Manager, Corporate Information Technology from 2002 until 2004. Mr. Buchholz has 40 years of experience with the Company, including 28 years with Aquila. Mr. Buchholz plans to retire on March 8, 2021.</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Brian G. Iverson, </w:t>
      </w:r>
      <w:r>
        <w:rPr>
          <w:rFonts w:ascii="Arial" w:cs="Arial" w:eastAsia="Arial" w:hAnsi="Arial"/>
          <w:sz w:val="16"/>
          <w:szCs w:val="16"/>
          <w:color w:val="auto"/>
        </w:rPr>
        <w:t>age 58, has been Senior Vice President, General Counsel and Chief Compliance Officer since August 26, 2019. He served 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General Counsel, Chief Compliance Officer and Corporate Secretary from February 1, 2019 to August 26, 2019, Senior Vice President, General Counsel and Chief Compliance Officer from 2016 to February 2019, Senior Vice President - Regulatory and Governmental Affairs and Assistant General Counsel from 2014 to 2016, Vice President and Treasurer from 2011 to 2014, Vice President - Electric Regulatory Services from 2008 to 2011 and as Corporate Counsel from 2004 to 2008. Mr. Iverson has 17 years of experience with the Company.</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auto"/>
        </w:rPr>
        <w:t xml:space="preserve">Richard W. Kinzley, </w:t>
      </w:r>
      <w:r>
        <w:rPr>
          <w:rFonts w:ascii="Arial" w:cs="Arial" w:eastAsia="Arial" w:hAnsi="Arial"/>
          <w:sz w:val="16"/>
          <w:szCs w:val="16"/>
          <w:color w:val="auto"/>
        </w:rPr>
        <w:t>age 55, has been Senior Vice President and Chief Financial Officer since 2015. He served as Vice President - Corporate Controller</w:t>
      </w:r>
      <w:r>
        <w:rPr>
          <w:rFonts w:ascii="Arial" w:cs="Arial" w:eastAsia="Arial" w:hAnsi="Arial"/>
          <w:sz w:val="16"/>
          <w:szCs w:val="16"/>
          <w:b w:val="1"/>
          <w:bCs w:val="1"/>
          <w:color w:val="auto"/>
        </w:rPr>
        <w:t xml:space="preserve"> </w:t>
      </w:r>
      <w:r>
        <w:rPr>
          <w:rFonts w:ascii="Arial" w:cs="Arial" w:eastAsia="Arial" w:hAnsi="Arial"/>
          <w:sz w:val="16"/>
          <w:szCs w:val="16"/>
          <w:color w:val="auto"/>
        </w:rPr>
        <w:t>from 2013 to 2014, Vice President - Strategic Planning and Development from 2008 to 2013, and as Director of Corporate Development from 2000 to 2008. Mr. Kinzley has 21 years of experience with the Company.</w:t>
      </w:r>
    </w:p>
    <w:p>
      <w:pPr>
        <w:spacing w:after="0" w:line="19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b w:val="1"/>
          <w:bCs w:val="1"/>
          <w:color w:val="auto"/>
        </w:rPr>
        <w:t xml:space="preserve">Jennifer C. Landis, </w:t>
      </w:r>
      <w:r>
        <w:rPr>
          <w:rFonts w:ascii="Arial" w:cs="Arial" w:eastAsia="Arial" w:hAnsi="Arial"/>
          <w:sz w:val="16"/>
          <w:szCs w:val="16"/>
          <w:color w:val="auto"/>
        </w:rPr>
        <w:t>age 46, has been Senior Vice President - Chief Human Resources Officer since February 1, 2017. She served as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Human Resources from April 2016 through January 2017, Director of Corporate Human Resources and Talent Management from 2013 to April 2016, and Director of Organization Development from 2008 to 2013. Ms. Landis has 19 years of experience with the Company.</w:t>
      </w:r>
    </w:p>
    <w:p>
      <w:pPr>
        <w:spacing w:after="0" w:line="19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 xml:space="preserve">Stuart Wevik, </w:t>
      </w:r>
      <w:r>
        <w:rPr>
          <w:rFonts w:ascii="Arial" w:cs="Arial" w:eastAsia="Arial" w:hAnsi="Arial"/>
          <w:sz w:val="16"/>
          <w:szCs w:val="16"/>
          <w:color w:val="auto"/>
        </w:rPr>
        <w:t>age 59, has been Senior Vice President - Utility Operations since August 26, 2019. He served as Group Vice President - Electric Utilities from</w:t>
      </w:r>
      <w:r>
        <w:rPr>
          <w:rFonts w:ascii="Arial" w:cs="Arial" w:eastAsia="Arial" w:hAnsi="Arial"/>
          <w:sz w:val="16"/>
          <w:szCs w:val="16"/>
          <w:b w:val="1"/>
          <w:bCs w:val="1"/>
          <w:color w:val="auto"/>
        </w:rPr>
        <w:t xml:space="preserve"> </w:t>
      </w:r>
      <w:r>
        <w:rPr>
          <w:rFonts w:ascii="Arial" w:cs="Arial" w:eastAsia="Arial" w:hAnsi="Arial"/>
          <w:sz w:val="16"/>
          <w:szCs w:val="16"/>
          <w:color w:val="auto"/>
        </w:rPr>
        <w:t>2016 to August 2019, Vice President - Utility Operations from 2008 to 2016, Vice President - Operations from 2004 to 2008 and Vice President and General Manager from 2003 to 2004. Mr. Wevik has 35 years of experience with the Company.</w:t>
      </w:r>
    </w:p>
    <w:p>
      <w:pPr>
        <w:spacing w:after="0" w:line="19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Erik Keller</w:t>
      </w:r>
      <w:r>
        <w:rPr>
          <w:rFonts w:ascii="Arial" w:cs="Arial" w:eastAsia="Arial" w:hAnsi="Arial"/>
          <w:sz w:val="16"/>
          <w:szCs w:val="16"/>
          <w:color w:val="auto"/>
        </w:rPr>
        <w:t>, age 57, joined the Company as Senior Vice President and Chief Information Officer on July 27, 2020. Prior to joining the company, he was an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consultant to Ontic Inc., a global provider of parts and services for legacy aerospace platforms, from January 2020 to July 2020, and Chief Information Officer for BBA Aviation, a global aviation support and aftermarket services provider, from February 2012 to January 2020.</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300" w:right="140" w:hanging="1295"/>
        <w:spacing w:after="0" w:line="287"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0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Our common stock is traded on the New York Stock Exchange under the symbol BKH. As of January 31, 2021, we had 3,537 common shareholders of record and 46,737 beneficial owners, representing all 50 states, the District of Columbia and 6 foreign countries.</w:t>
      </w:r>
    </w:p>
    <w:p>
      <w:pPr>
        <w:spacing w:after="0" w:line="222" w:lineRule="exact"/>
        <w:rPr>
          <w:sz w:val="20"/>
          <w:szCs w:val="20"/>
          <w:color w:val="auto"/>
        </w:rPr>
      </w:pPr>
    </w:p>
    <w:p>
      <w:pPr>
        <w:jc w:val="both"/>
        <w:ind w:right="360"/>
        <w:spacing w:after="0" w:line="251" w:lineRule="auto"/>
        <w:rPr>
          <w:sz w:val="20"/>
          <w:szCs w:val="20"/>
          <w:color w:val="auto"/>
        </w:rPr>
      </w:pPr>
      <w:r>
        <w:rPr>
          <w:rFonts w:ascii="Arial" w:cs="Arial" w:eastAsia="Arial" w:hAnsi="Arial"/>
          <w:sz w:val="16"/>
          <w:szCs w:val="16"/>
          <w:color w:val="auto"/>
        </w:rPr>
        <w:t>We have paid a regular quarterly cash dividend each year since the incorporation of our predecessor company in 1941 and expect to continue paying a regular quarterly dividend for the foreseeable future. At its January 27, 2021 meeting, our Board of Directors declared a quarterly dividend of $0.565 per share, equivalent to an annual dividend rate of $2.26 per share. This equivalent rate, if declared and paid in 2021, will represent 51 consecutive years of annual dividend increases.</w:t>
      </w:r>
    </w:p>
    <w:p>
      <w:pPr>
        <w:spacing w:after="0" w:line="229" w:lineRule="exact"/>
        <w:rPr>
          <w:sz w:val="20"/>
          <w:szCs w:val="20"/>
          <w:color w:val="auto"/>
        </w:rPr>
      </w:pPr>
    </w:p>
    <w:p>
      <w:pPr>
        <w:ind w:right="300"/>
        <w:spacing w:after="0" w:line="260" w:lineRule="auto"/>
        <w:rPr>
          <w:rFonts w:ascii="Arial" w:cs="Arial" w:eastAsia="Arial" w:hAnsi="Arial"/>
          <w:sz w:val="16"/>
          <w:szCs w:val="16"/>
          <w:color w:val="auto"/>
        </w:rPr>
      </w:pPr>
      <w:r>
        <w:rPr>
          <w:rFonts w:ascii="Arial" w:cs="Arial" w:eastAsia="Arial" w:hAnsi="Arial"/>
          <w:sz w:val="16"/>
          <w:szCs w:val="16"/>
          <w:color w:val="auto"/>
        </w:rPr>
        <w:t>For additional discussion of our dividend policy and factors that may limit our ability to pay dividends, see “</w:t>
      </w:r>
      <w:hyperlink w:anchor="page50">
        <w:r>
          <w:rPr>
            <w:rFonts w:ascii="Arial" w:cs="Arial" w:eastAsia="Arial" w:hAnsi="Arial"/>
            <w:sz w:val="16"/>
            <w:szCs w:val="16"/>
            <w:u w:val="single" w:color="auto"/>
            <w:color w:val="0000FF"/>
          </w:rPr>
          <w:t>Liquidity and Capital Resources</w:t>
        </w:r>
      </w:hyperlink>
      <w:r>
        <w:rPr>
          <w:rFonts w:ascii="Arial" w:cs="Arial" w:eastAsia="Arial" w:hAnsi="Arial"/>
          <w:sz w:val="16"/>
          <w:szCs w:val="16"/>
          <w:color w:val="auto"/>
        </w:rPr>
        <w:t xml:space="preserve">” under </w:t>
      </w:r>
      <w:hyperlink w:anchor="page33">
        <w:r>
          <w:rPr>
            <w:rFonts w:ascii="Arial" w:cs="Arial" w:eastAsia="Arial" w:hAnsi="Arial"/>
            <w:sz w:val="16"/>
            <w:szCs w:val="16"/>
            <w:u w:val="single" w:color="auto"/>
            <w:color w:val="0000FF"/>
          </w:rPr>
          <w:t>Item 7</w:t>
        </w:r>
      </w:hyperlink>
      <w:r>
        <w:rPr>
          <w:rFonts w:ascii="Arial" w:cs="Arial" w:eastAsia="Arial" w:hAnsi="Arial"/>
          <w:sz w:val="16"/>
          <w:szCs w:val="16"/>
          <w:color w:val="auto"/>
        </w:rPr>
        <w:t>, Management’s Discussion and Analysis of Financial Condition and Results of Operations in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SECURITIES ISSUED</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securities sold during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December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Maximum Number (or</w:t>
            </w:r>
          </w:p>
        </w:tc>
      </w:tr>
      <w:tr>
        <w:trPr>
          <w:trHeight w:val="162"/>
        </w:trPr>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Total Number of Shares</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Approximate Dollar Value)</w:t>
            </w:r>
          </w:p>
        </w:tc>
      </w:tr>
      <w:tr>
        <w:trPr>
          <w:trHeight w:val="162"/>
        </w:trPr>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w w:val="99"/>
              </w:rPr>
              <w:t>of Shares That May Yet</w:t>
            </w:r>
          </w:p>
        </w:tc>
      </w:tr>
      <w:tr>
        <w:trPr>
          <w:trHeight w:val="147"/>
        </w:trPr>
        <w:tc>
          <w:tcPr>
            <w:tcW w:w="3700" w:type="dxa"/>
            <w:vAlign w:val="bottom"/>
          </w:tcPr>
          <w:p>
            <w:pPr>
              <w:spacing w:after="0"/>
              <w:rPr>
                <w:sz w:val="12"/>
                <w:szCs w:val="12"/>
                <w:color w:val="auto"/>
              </w:rPr>
            </w:pPr>
          </w:p>
        </w:tc>
        <w:tc>
          <w:tcPr>
            <w:tcW w:w="2020" w:type="dxa"/>
            <w:vAlign w:val="bottom"/>
          </w:tcPr>
          <w:p>
            <w:pPr>
              <w:jc w:val="right"/>
              <w:ind w:right="79"/>
              <w:spacing w:after="0" w:line="147" w:lineRule="exact"/>
              <w:rPr>
                <w:sz w:val="20"/>
                <w:szCs w:val="20"/>
                <w:color w:val="auto"/>
              </w:rPr>
            </w:pPr>
            <w:r>
              <w:rPr>
                <w:rFonts w:ascii="Arial" w:cs="Arial" w:eastAsia="Arial" w:hAnsi="Arial"/>
                <w:sz w:val="16"/>
                <w:szCs w:val="16"/>
                <w:color w:val="auto"/>
              </w:rPr>
              <w:t>Total Number of Shares</w:t>
            </w:r>
          </w:p>
        </w:tc>
        <w:tc>
          <w:tcPr>
            <w:tcW w:w="120" w:type="dxa"/>
            <w:vAlign w:val="bottom"/>
          </w:tcPr>
          <w:p>
            <w:pPr>
              <w:spacing w:after="0"/>
              <w:rPr>
                <w:sz w:val="12"/>
                <w:szCs w:val="12"/>
                <w:color w:val="auto"/>
              </w:rPr>
            </w:pPr>
          </w:p>
        </w:tc>
        <w:tc>
          <w:tcPr>
            <w:tcW w:w="1520" w:type="dxa"/>
            <w:vAlign w:val="bottom"/>
          </w:tcPr>
          <w:p>
            <w:pPr>
              <w:jc w:val="right"/>
              <w:ind w:right="39"/>
              <w:spacing w:after="0" w:line="147" w:lineRule="exact"/>
              <w:rPr>
                <w:sz w:val="20"/>
                <w:szCs w:val="20"/>
                <w:color w:val="auto"/>
              </w:rPr>
            </w:pPr>
            <w:r>
              <w:rPr>
                <w:rFonts w:ascii="Arial" w:cs="Arial" w:eastAsia="Arial" w:hAnsi="Arial"/>
                <w:sz w:val="16"/>
                <w:szCs w:val="16"/>
                <w:color w:val="auto"/>
              </w:rPr>
              <w:t>Average Price Paid</w:t>
            </w:r>
          </w:p>
        </w:tc>
        <w:tc>
          <w:tcPr>
            <w:tcW w:w="1940" w:type="dxa"/>
            <w:vAlign w:val="bottom"/>
          </w:tcPr>
          <w:p>
            <w:pPr>
              <w:jc w:val="center"/>
              <w:spacing w:after="0" w:line="147" w:lineRule="exact"/>
              <w:rPr>
                <w:sz w:val="20"/>
                <w:szCs w:val="20"/>
                <w:color w:val="auto"/>
              </w:rPr>
            </w:pPr>
            <w:r>
              <w:rPr>
                <w:rFonts w:ascii="Arial" w:cs="Arial" w:eastAsia="Arial" w:hAnsi="Arial"/>
                <w:sz w:val="16"/>
                <w:szCs w:val="16"/>
                <w:color w:val="auto"/>
              </w:rPr>
              <w:t>Publicly Announced Plans</w:t>
            </w:r>
          </w:p>
        </w:tc>
        <w:tc>
          <w:tcPr>
            <w:tcW w:w="1940" w:type="dxa"/>
            <w:vAlign w:val="bottom"/>
          </w:tcPr>
          <w:p>
            <w:pPr>
              <w:jc w:val="right"/>
              <w:spacing w:after="0" w:line="147" w:lineRule="exact"/>
              <w:rPr>
                <w:sz w:val="20"/>
                <w:szCs w:val="20"/>
                <w:color w:val="auto"/>
              </w:rPr>
            </w:pPr>
            <w:r>
              <w:rPr>
                <w:rFonts w:ascii="Arial" w:cs="Arial" w:eastAsia="Arial" w:hAnsi="Arial"/>
                <w:sz w:val="16"/>
                <w:szCs w:val="16"/>
                <w:color w:val="auto"/>
              </w:rPr>
              <w:t>Be Purchased Under the</w:t>
            </w:r>
          </w:p>
        </w:tc>
      </w:tr>
      <w:tr>
        <w:trPr>
          <w:trHeight w:val="21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Period</w:t>
            </w:r>
          </w:p>
        </w:tc>
        <w:tc>
          <w:tcPr>
            <w:tcW w:w="2020" w:type="dxa"/>
            <w:vAlign w:val="bottom"/>
            <w:tcBorders>
              <w:bottom w:val="single" w:sz="8" w:color="auto"/>
            </w:tcBorders>
          </w:tcPr>
          <w:p>
            <w:pPr>
              <w:jc w:val="right"/>
              <w:ind w:right="459"/>
              <w:spacing w:after="0" w:line="216"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per 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Plans or Programs</w:t>
            </w:r>
          </w:p>
        </w:tc>
      </w:tr>
      <w:tr>
        <w:trPr>
          <w:trHeight w:val="210"/>
        </w:trPr>
        <w:tc>
          <w:tcPr>
            <w:tcW w:w="3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October 1, 2020 - October 31, 2020</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53.95</w:t>
            </w:r>
          </w:p>
        </w:tc>
        <w:tc>
          <w:tcPr>
            <w:tcW w:w="1940" w:type="dxa"/>
            <w:vAlign w:val="bottom"/>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November 1, 2020 - November 30, 2020</w:t>
            </w:r>
          </w:p>
        </w:tc>
        <w:tc>
          <w:tcPr>
            <w:tcW w:w="2020" w:type="dxa"/>
            <w:vAlign w:val="bottom"/>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58.63</w:t>
            </w: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December 1, 2020 - December 31, 2020</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7,569</w:t>
            </w:r>
          </w:p>
        </w:tc>
        <w:tc>
          <w:tcPr>
            <w:tcW w:w="12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59.66</w:t>
            </w:r>
          </w:p>
        </w:tc>
        <w:tc>
          <w:tcPr>
            <w:tcW w:w="1940" w:type="dxa"/>
            <w:vAlign w:val="bottom"/>
            <w:tcBorders>
              <w:bottom w:val="single" w:sz="8" w:color="auto"/>
            </w:tcBorders>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00" w:type="dxa"/>
            <w:vAlign w:val="bottom"/>
          </w:tcPr>
          <w:p>
            <w:pPr>
              <w:ind w:left="168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59.56</w:t>
            </w: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7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right="860" w:hanging="332"/>
        <w:spacing w:after="0" w:line="258" w:lineRule="auto"/>
        <w:tabs>
          <w:tab w:leader="none" w:pos="3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Omnibus Incentive Plan for payment of taxes associated with the vesting of various equity compensation plans.</w:t>
      </w:r>
    </w:p>
    <w:p>
      <w:pPr>
        <w:spacing w:after="0" w:line="200" w:lineRule="exact"/>
        <w:rPr>
          <w:sz w:val="20"/>
          <w:szCs w:val="20"/>
          <w:color w:val="auto"/>
        </w:rPr>
      </w:pP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61"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i w:val="1"/>
          <w:iCs w:val="1"/>
          <w:color w:val="auto"/>
        </w:rPr>
        <w:t>We have early adopted the new SEC amendments to modernize, simplify, and enhance certain financial disclosure requirements in Regulation S-K which, among other things, eliminates the requirement to present 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Summary</w:t>
      </w:r>
    </w:p>
    <w:p>
      <w:pPr>
        <w:spacing w:after="0" w:line="255"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We are a customer-focused, growth-oriented electric and natural gas utility company with a mission of Improving Life with Energy and a vision to be the Energy Partner of Choice. The Company provides electric and natural gas utility service to 1.3 million customers over 800 communities in eight states, including Arkansas, Colorado, Iowa, Kansas, Montana, Nebraska, South Dakota and Wyoming. We conduct our business operations through four reportable segments: Electric Utilities, Gas Utilities, Power Generation and Mining. Certain unallocated corporate expenses that support our operating segments are presented as Corporate and Other. The Company conducts its utility operations under the name Black Hills Energy predominantly in rural areas of the Rocky Mountains and Midwestern states. The Company’s Electric Utilities are supported by our Power Generation and Mining segments, which are mostly contracted to company affiliates and subject to utility-like regulation and oversight. The Power Generation segment produces electric power from its five generating facilities and sells most of the electric capacity and energy to our Electric Utilities under mid- and long-term contracts. The Mining segment, consisting of a single coal mine near Gillette, Wyoming, sells nearly all production to fuel the five on-site, mine-mouth power generation facilities. With more than 90% of the Company’s assets directly invested in its regulated utility businesses and the Power Generation and Mining segments supporting its electric utilities mainly through long-term contracts, the Company considers itself a domestic, pure-play electric and natural gas utility company.</w:t>
      </w:r>
    </w:p>
    <w:p>
      <w:pPr>
        <w:spacing w:after="0" w:line="226"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 xml:space="preserve">The Company has provided energy and served customers for 137 years, since the 1883 gold rush days in Deadwood, South Dakota. Throughout our history, the common thread that unites the past to the present is our commitment to serve our customers and communities. Our strategic focus has not changed in over a century - serving customers with affordable, reliable and safe energy and being strong environmental stewards. Our strategy today continues that emphasis on serving customers and being responsive to the people and communities we serve. Customer expectations are rapidly changing with the advancement of technology and customers are demanding simpler, faster and more convenient solutions to their energy needs. Customers and other stakeholders are demanding cleaner energy solutions to address concerns around carbon emissions. In this rapidly changing energy environment, we are </w:t>
      </w:r>
      <w:r>
        <w:rPr>
          <w:rFonts w:ascii="Arial" w:cs="Arial" w:eastAsia="Arial" w:hAnsi="Arial"/>
          <w:sz w:val="16"/>
          <w:szCs w:val="16"/>
          <w:i w:val="1"/>
          <w:iCs w:val="1"/>
          <w:color w:val="auto"/>
        </w:rPr>
        <w:t xml:space="preserve">Ready </w:t>
      </w:r>
      <w:r>
        <w:rPr>
          <w:rFonts w:ascii="Arial" w:cs="Arial" w:eastAsia="Arial" w:hAnsi="Arial"/>
          <w:sz w:val="16"/>
          <w:szCs w:val="16"/>
          <w:color w:val="auto"/>
        </w:rPr>
        <w:t>to serve.</w:t>
      </w:r>
    </w:p>
    <w:p>
      <w:pPr>
        <w:spacing w:after="0" w:line="240"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Our strategy focuses on improving the way we serve customers with safe, reliable, affordable and cleaner energy while improving the lives of the customers and communities we serve. Our emphasis is on consistently outperforming utility industry averages in key safety metrics; transforming the customer experience; growing our electric and natural gas customer load; pursuing operating efficiencies; and modernizing utility infrastructure. These areas of focus will present the company with significant investment needs as we modernize our infrastructure systems, meet customer growth and fulfill customer expectations for cleaner energy services. It will also allow us to better understand our customer and community needs while providing more intuitive and cost-effective interactions.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Key Elements of our Business Strategy</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b w:val="1"/>
          <w:bCs w:val="1"/>
          <w:i w:val="1"/>
          <w:iCs w:val="1"/>
          <w:color w:val="auto"/>
        </w:rPr>
        <w:t xml:space="preserve">Modernize, replace and operate utility infrastructure to meet our customers’ energy needs while providing safe, reliable, affordable and cleaner energy. </w:t>
      </w:r>
      <w:r>
        <w:rPr>
          <w:rFonts w:ascii="Arial" w:cs="Arial" w:eastAsia="Arial" w:hAnsi="Arial"/>
          <w:sz w:val="16"/>
          <w:szCs w:val="16"/>
          <w:color w:val="auto"/>
        </w:rPr>
        <w:t>Our utilities own and operate large electric and natural gas infrastructure systems with a geographic footprint that spans nearly 1,600 miles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Our Electric Utilities own and operate 992 MW of generation capacity and 8,900 miles of transmission and distribution lines and our Gas Utilities own and operate 47,000 miles of natural gas transmission and distribution pipelines. A key strategic focus is to modernize this utility infrastructure to meet customers’ and communities’ varied energy needs, ensure the continued delivery of safe, reliable and affordable energy and reduce GHG emission intensity. In addition, we invest in the accessibility, capacity and integrity of our systems to meet customer growth.</w:t>
      </w:r>
    </w:p>
    <w:p>
      <w:pPr>
        <w:spacing w:after="0" w:line="22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rigorously comply with all applicable federal, state and local regulations and strive to consistently meet industry best practice standards. A key component of our modernization effort is the development of programs by our Electric and Gas Utilities to systematically and proactively replace aging infrastructure on a system-wide basis. To meet our electric customers’ continued expectations of high levels of reliability, our Electric Utilities utilize a distribution integrity program to ensure the timely repair and replacement of aging infrastructure. Our Gas Utilities utilize a programmatic approach to system-wide pipeline replacement, particularly in high consequence areas. Under the programmatic approach, obsolete, at-risk and vintage materials are replaced in a proactive and systematic time frame. We have removed all cast- and wrought-iron from our natural gas transmission and distribution systems and continue to replace aging infrastructure through programs that prioritize safety and reliability for our customers. All but one of our Gas Utilities are authorized to use system safety, integrity and replacement cost recovery mechanisms that provide for customer rate adjustments which reflect the cost incurred in repairing and replacing the gas delivery systems.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As of December 31, 2020, we estimate our five-year capital investment to be approximately $2.7 billion, with most of that investment targeted toward upgrading existing utility infrastructure and to support customer and community growth needs. Our actual 2020 and forecasted capital expenditures and depreciation for the next five years from 2021 through 2025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846445" cy="3429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w:t>
            </w:r>
          </w:p>
        </w:tc>
        <w:tc>
          <w:tcPr>
            <w:tcW w:w="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Forecasted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6"/>
        </w:trPr>
        <w:tc>
          <w:tcPr>
            <w:tcW w:w="380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Capital Expenditures By Segment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2025</w:t>
            </w:r>
          </w:p>
        </w:tc>
      </w:tr>
      <w:tr>
        <w:trPr>
          <w:trHeight w:val="196"/>
        </w:trPr>
        <w:tc>
          <w:tcPr>
            <w:tcW w:w="3800" w:type="dxa"/>
            <w:vAlign w:val="bottom"/>
            <w:shd w:val="clear" w:color="auto" w:fill="CEFFE7"/>
          </w:tcPr>
          <w:p>
            <w:pPr>
              <w:ind w:left="20"/>
              <w:spacing w:after="0"/>
              <w:rPr>
                <w:sz w:val="20"/>
                <w:szCs w:val="20"/>
                <w:color w:val="auto"/>
              </w:rPr>
            </w:pPr>
            <w:r>
              <w:rPr>
                <w:rFonts w:ascii="Arial" w:cs="Arial" w:eastAsia="Arial" w:hAnsi="Arial"/>
                <w:sz w:val="16"/>
                <w:szCs w:val="16"/>
                <w:i w:val="1"/>
                <w:iCs w:val="1"/>
                <w:color w:val="auto"/>
              </w:rPr>
              <w:t>(in millions)</w:t>
            </w:r>
          </w:p>
        </w:tc>
        <w:tc>
          <w:tcPr>
            <w:tcW w:w="860" w:type="dxa"/>
            <w:vAlign w:val="bottom"/>
            <w:shd w:val="clear" w:color="auto" w:fill="CEFFE7"/>
          </w:tcPr>
          <w:p>
            <w:pPr>
              <w:spacing w:after="0"/>
              <w:rPr>
                <w:sz w:val="17"/>
                <w:szCs w:val="17"/>
                <w:color w:val="auto"/>
              </w:rPr>
            </w:pPr>
          </w:p>
        </w:tc>
        <w:tc>
          <w:tcPr>
            <w:tcW w:w="36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360" w:type="dxa"/>
            <w:vAlign w:val="bottom"/>
            <w:shd w:val="clear" w:color="auto" w:fill="CEFFE7"/>
          </w:tcPr>
          <w:p>
            <w:pPr>
              <w:spacing w:after="0"/>
              <w:rPr>
                <w:sz w:val="17"/>
                <w:szCs w:val="17"/>
                <w:color w:val="auto"/>
              </w:rPr>
            </w:pPr>
          </w:p>
        </w:tc>
        <w:tc>
          <w:tcPr>
            <w:tcW w:w="28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c>
          <w:tcPr>
            <w:tcW w:w="28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940" w:type="dxa"/>
            <w:vAlign w:val="bottom"/>
            <w:shd w:val="clear" w:color="auto" w:fill="CEFFE7"/>
          </w:tcPr>
          <w:p>
            <w:pPr>
              <w:spacing w:after="0"/>
              <w:rPr>
                <w:sz w:val="17"/>
                <w:szCs w:val="17"/>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271</w:t>
            </w:r>
          </w:p>
        </w:tc>
        <w:tc>
          <w:tcPr>
            <w:tcW w:w="2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240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156</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Gas Utilities</w:t>
            </w:r>
          </w:p>
        </w:tc>
        <w:tc>
          <w:tcPr>
            <w:tcW w:w="860" w:type="dxa"/>
            <w:vAlign w:val="bottom"/>
            <w:shd w:val="clear" w:color="auto" w:fill="CEFFE7"/>
          </w:tcPr>
          <w:p>
            <w:pPr>
              <w:spacing w:after="0"/>
              <w:rPr>
                <w:sz w:val="19"/>
                <w:szCs w:val="19"/>
                <w:color w:val="auto"/>
              </w:rPr>
            </w:pP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7"/>
              </w:rPr>
              <w:t>449</w:t>
            </w:r>
          </w:p>
        </w:tc>
        <w:tc>
          <w:tcPr>
            <w:tcW w:w="20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377</w:t>
            </w: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347</w:t>
            </w:r>
          </w:p>
        </w:tc>
        <w:tc>
          <w:tcPr>
            <w:tcW w:w="16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339</w:t>
            </w: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330</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326</w:t>
            </w: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Power Generation</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Mining</w:t>
            </w:r>
          </w:p>
        </w:tc>
        <w:tc>
          <w:tcPr>
            <w:tcW w:w="860" w:type="dxa"/>
            <w:vAlign w:val="bottom"/>
            <w:shd w:val="clear" w:color="auto" w:fill="CEFFE7"/>
          </w:tcPr>
          <w:p>
            <w:pPr>
              <w:spacing w:after="0"/>
              <w:rPr>
                <w:sz w:val="19"/>
                <w:szCs w:val="19"/>
                <w:color w:val="auto"/>
              </w:rPr>
            </w:pP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38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Corporate and Other</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CEFFE7"/>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8"/>
        </w:trPr>
        <w:tc>
          <w:tcPr>
            <w:tcW w:w="380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EFFE7"/>
          </w:tcPr>
          <w:p>
            <w:pPr>
              <w:jc w:val="right"/>
              <w:ind w:right="67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7"/>
              </w:rPr>
              <w:t>755</w:t>
            </w:r>
          </w:p>
        </w:tc>
        <w:tc>
          <w:tcPr>
            <w:tcW w:w="20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ind w:right="63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647</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510</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512</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508</w:t>
            </w:r>
          </w:p>
        </w:tc>
      </w:tr>
      <w:tr>
        <w:trPr>
          <w:trHeight w:val="20"/>
        </w:trPr>
        <w:tc>
          <w:tcPr>
            <w:tcW w:w="380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w:t>
      </w:r>
    </w:p>
    <w:p>
      <w:pPr>
        <w:spacing w:after="0" w:line="1" w:lineRule="exact"/>
        <w:rPr>
          <w:sz w:val="20"/>
          <w:szCs w:val="20"/>
          <w:color w:val="auto"/>
        </w:rPr>
      </w:pPr>
    </w:p>
    <w:p>
      <w:pPr>
        <w:ind w:left="340" w:right="60" w:hanging="332"/>
        <w:spacing w:after="0" w:line="258" w:lineRule="auto"/>
        <w:tabs>
          <w:tab w:leader="none" w:pos="352"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as supplemental cash flow information in the </w:t>
      </w:r>
      <w:hyperlink w:anchor="page69">
        <w:r>
          <w:rPr>
            <w:rFonts w:ascii="Arial" w:cs="Arial" w:eastAsia="Arial" w:hAnsi="Arial"/>
            <w:sz w:val="14"/>
            <w:szCs w:val="14"/>
            <w:u w:val="single" w:color="auto"/>
            <w:color w:val="0000FF"/>
          </w:rPr>
          <w:t>Consolidated Statements of Cash Flows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the Consolidated Financial Statements in this Annual Report on Form 10-K.</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Efficiently plan, construct and operate rate base power generation facilities to serve our Electric Utilities. </w:t>
      </w:r>
      <w:r>
        <w:rPr>
          <w:rFonts w:ascii="Arial" w:cs="Arial" w:eastAsia="Arial" w:hAnsi="Arial"/>
          <w:sz w:val="16"/>
          <w:szCs w:val="16"/>
          <w:color w:val="auto"/>
        </w:rPr>
        <w:t>We believe that we best serve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communities with a vertically integrated business model for our Electric Utilities. This business model remains a core strength and strategy today as we invest in and operate efficient power generation resources to cost-effectively supply electricity to our customers. We strive to provide power at reasonable rates to our customers and earn competitive returns for our investors.</w:t>
      </w:r>
    </w:p>
    <w:p>
      <w:pPr>
        <w:spacing w:after="0" w:line="225" w:lineRule="exact"/>
        <w:rPr>
          <w:sz w:val="20"/>
          <w:szCs w:val="20"/>
          <w:color w:val="auto"/>
        </w:rPr>
      </w:pPr>
    </w:p>
    <w:p>
      <w:pPr>
        <w:jc w:val="both"/>
        <w:ind w:right="320"/>
        <w:spacing w:after="0" w:line="250" w:lineRule="auto"/>
        <w:rPr>
          <w:sz w:val="20"/>
          <w:szCs w:val="20"/>
          <w:color w:val="auto"/>
        </w:rPr>
      </w:pPr>
      <w:r>
        <w:rPr>
          <w:rFonts w:ascii="Arial" w:cs="Arial" w:eastAsia="Arial" w:hAnsi="Arial"/>
          <w:sz w:val="16"/>
          <w:szCs w:val="16"/>
          <w:color w:val="auto"/>
        </w:rPr>
        <w:t>Our power production strategy focuses on low-cost construction and efficient operation of our generating facilities. Our low power production costs result from a variety of factors including low fuel costs, efficiency in converting fuel into energy, low per unit operating and maintenance costs and high levels of power plant availability. For our coal-fired power plants, we leverage our mine-mouth location advantage to eliminate coal transportation costs that often represent the largest component of the delivered cost of coal for many other utilities. Additionally, we operate our plants with high levels of availability as compared to industry benchmarks.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We continue to believe that ownership of power generation facilities by our Electric Utilities best serves customers. Rate-based generation assets offer several advantages for customers and shareholders, including:</w:t>
      </w:r>
    </w:p>
    <w:p>
      <w:pPr>
        <w:spacing w:after="0" w:line="222" w:lineRule="exact"/>
        <w:rPr>
          <w:sz w:val="20"/>
          <w:szCs w:val="20"/>
          <w:color w:val="auto"/>
        </w:rPr>
      </w:pPr>
    </w:p>
    <w:p>
      <w:pPr>
        <w:ind w:left="660" w:right="60" w:hanging="328"/>
        <w:spacing w:after="0" w:line="253"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When generating assets are included in the utility rate base and reviewed and approved by government authorities, customer rates are more stable and predictable, and typically less expensive in the long run; especially when compared to power otherwise purchased from the open market through wholesale contracts that are periodically re-priced to reflect current and varying market conditions;</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Regulators participate in a planning process where long-term investments are designed to match long-term energy demand;</w:t>
      </w:r>
    </w:p>
    <w:p>
      <w:pPr>
        <w:spacing w:after="0" w:line="248" w:lineRule="exact"/>
        <w:rPr>
          <w:rFonts w:ascii="Arial" w:cs="Arial" w:eastAsia="Arial" w:hAnsi="Arial"/>
          <w:sz w:val="16"/>
          <w:szCs w:val="16"/>
          <w:color w:val="auto"/>
        </w:rPr>
      </w:pPr>
    </w:p>
    <w:p>
      <w:pPr>
        <w:ind w:left="660" w:right="10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lower-risk profile of rate-based generation assets contributes to stronger credit ratings which, in turn, can benefit both customers and investors by lowering the cost of capital; and</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Investors are provided a long-term and stable return on their investment.</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i w:val="1"/>
          <w:iCs w:val="1"/>
          <w:color w:val="auto"/>
        </w:rPr>
        <w:t xml:space="preserve">Proactively integrate alternative and renewable energy into our utility energy supply while mitigating customer rate impacts. </w:t>
      </w:r>
      <w:r>
        <w:rPr>
          <w:rFonts w:ascii="Arial" w:cs="Arial" w:eastAsia="Arial" w:hAnsi="Arial"/>
          <w:sz w:val="16"/>
          <w:szCs w:val="16"/>
          <w:color w:val="auto"/>
        </w:rPr>
        <w:t>In November 2020,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announced clean energy goals to reduce GHG emissions intensity for our Electric Utilities of 40% by 2030 and 70% by 2040 and achieve GHG reductions of 50% by 2035 for our Gas Utilities. Our goals are based on existing technology and computed from 2005 baseline levels of GHG emissions intensity for our electric operations and natural gas distribution system. Since 2005, we have reduced GHG emissions intensity from our Gas Utilities by more than 33% and achieved a 25% reduction from our Electric Utilities. Colorado Electric has achieved an approximate 50% reduction in GHG emissions since 2005 and is on track to reach Colorado’s 80% carbon reduction goal by 2030. Our goals are based on prudent and proven solutions to reduce our emissions while minimizing cost impacts to our customers. This keeps our customers at the forefront of our decision-making, which is central to our values.</w:t>
      </w:r>
    </w:p>
    <w:p>
      <w:pPr>
        <w:spacing w:after="0" w:line="22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More of our customers, particularly our larger customers, are demanding cleaner sources of energy to meet their sustainability goals. In addition, there is more interest from consumers, regulators and legislators to increase the use of renewable and other alternative energy sources. To support this interest, we created the Renewable Ready program for South Dakota and Wyoming customers. In support of this program, we created and received approvals for new, voluntary renewable energy tariffs to serve certain commercial, industrial and governmental agency customer requests for renewable energy resources. To meet the renewable energy commitments under the new tariffs, on November 30, 2020, we completed construction and placed into service the Corriedale wind project, a 52.5 MW wind energy project near Cheyenne, Wyoming. Supporting our renewable energy efforts in Colorado, in September 2020, Colorado Electric received approval from the CPUC for its request for approval of its preferred solar bid in support of its Renewable Advantage program, which plans to add up to 200 MW of renewable energy by the end of 2023.</w:t>
      </w:r>
    </w:p>
    <w:p>
      <w:pPr>
        <w:spacing w:after="0" w:line="23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To date, many states have enacted, and others are considering, mandatory renewable energy standards, requiring utilities to meet certain thresholds of renewable energy generation. In addition, some states have either enacted or are considering legislation setting GHG emission reduction targets. Federal legislation for renewable energy standards and GHG emission reductions has been considered and may be implemented in the future. Mandates for the use of renewable energy or the reduction of GHG emissions will likely drive the need for significant investment in our Electric Utilities and Gas Utilities segments. These mandates will also likely increase prices for electricity and/or natural gas for our utility customers. As a regulated utility we are responsible for providing safe, reliable and affordable sources of energy to our customers. Accordingly, we employ a customer-focused strategy for complying with standards and regulations that balances our customers’ rate concerns with environmental considerations and administrative and legislative mandates. We attempt to strike this balance by prudently and proactively incorporating renewable energy into our resource supply, while seeking to minimize the magnitude and frequency of rate increases for our utility customers.</w:t>
      </w:r>
    </w:p>
    <w:p>
      <w:pPr>
        <w:spacing w:after="0" w:line="213"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b w:val="1"/>
          <w:bCs w:val="1"/>
          <w:i w:val="1"/>
          <w:iCs w:val="1"/>
          <w:color w:val="auto"/>
        </w:rPr>
        <w:t>Build and maintain strong relationships with wholesale power customers of our utilities and our power generation business</w:t>
      </w:r>
      <w:r>
        <w:rPr>
          <w:rFonts w:ascii="Arial" w:cs="Arial" w:eastAsia="Arial" w:hAnsi="Arial"/>
          <w:sz w:val="16"/>
          <w:szCs w:val="16"/>
          <w:color w:val="auto"/>
        </w:rPr>
        <w:t>. We strive to build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strong relationships with other utilities, municipalities and wholesale customers. We believe we will continue to be an important provider of electricity to wholesale utility customers, who will continue to need products such as capacity and energy to reliably serve their customers. By providing these products under long-term contracts, we help our customers meet their energy needs. We also earn more stable revenues and greater returns for shareholders over the long-term than we would by selling energy into more volatile energy spot markets. In addition, relationships that we have established with wholesale power customers have developed into other opportunities. MEAN, MDU and the City of Gillette, Wyoming were wholesale power customers that are now joint minority owners in two of our power plants, Wygen I and Wygen III, reducing risk and providing steady revenues.</w:t>
      </w:r>
    </w:p>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i w:val="1"/>
          <w:iCs w:val="1"/>
          <w:color w:val="auto"/>
        </w:rPr>
        <w:t xml:space="preserve">Vertically integrate businesses that are supportive of our Electric and Gas Utility businesses. </w:t>
      </w:r>
      <w:r>
        <w:rPr>
          <w:rFonts w:ascii="Arial" w:cs="Arial" w:eastAsia="Arial" w:hAnsi="Arial"/>
          <w:sz w:val="16"/>
          <w:szCs w:val="16"/>
          <w:color w:val="auto"/>
        </w:rPr>
        <w:t>While our primary focus is serving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our core utilities, we selectively invest in vertically integrated businesses that provide cost effective and efficient fuel and energy to our utilities. We currently own and operate power generation and mining assets that are vertically integrated into and support our Electric Utilities. These operations are located at our utility-generating complexes and are physically integrated into our Electric Utilities’ operations.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Power Generation segment currently owns five power facilities, four of which are contracted with our affiliate Electric Utilities under mid- to long-term power purchase agreements. Our Power Generation segment has an experienced staff with significant expertise in planning, building and operating power plants. The power generation team has constructed 22 generation projects since 1995 with an aggregate investment in excess of $2.5 billion. This team also provides shared services to our Electric Utilities’ generation facilities, resulting in efficient management of all of the company’s generation assets. In certain states, our Electric Utilities are required to competitively bid for generation resources needed to serve customers. Generally, our Power Generation segment submits bids in response to those competitive solicitations. Our Power Generation segment can often realize competitive advantages provided by prior construction expertise, fuel supply advantages and by co-locating new plants at existing sites, reducing infrastructure and operating costs.</w:t>
      </w:r>
    </w:p>
    <w:p>
      <w:pPr>
        <w:spacing w:after="0" w:line="23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small surface coal mine is located immediately adjacent to our Gillette energy complex in northeastern Wyoming, where all five of our remaining coal-fired power plants are located. We operate and own majority interests in four of the five power plants. We own 20% of the fifth power plant which is operated by a majority owner. The mine provides low-sulfur coal directly to these power plants via a conveyor belt system, minimizing transportation costs. On average, the fuel can be delivered to the adjacent power plants at less than $1.00 per MMBtu, providing very cost competitive fuel to our power plants when compared to other coal-fired and natural gas-fired generating facilities. Nearly all of the mine’s production is sold to the five on-site, mine-mouth generation facilities under long-term supply contracts. Approximately one-half of our production is sold under cost-plus contracts with affiliates. A small portion of the mine’s production is sold to off-site industrial customers and delivered by truck.</w:t>
      </w:r>
    </w:p>
    <w:p>
      <w:pPr>
        <w:spacing w:after="0" w:line="21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 xml:space="preserve">Grow our dividend. </w:t>
      </w:r>
      <w:r>
        <w:rPr>
          <w:rFonts w:ascii="Arial" w:cs="Arial" w:eastAsia="Arial" w:hAnsi="Arial"/>
          <w:sz w:val="16"/>
          <w:szCs w:val="16"/>
          <w:color w:val="auto"/>
        </w:rPr>
        <w:t>We are extremely proud of our track record of annual dividend increases for shareholders. 2020 represented our 50th consecutive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increasing dividends. In January 2021, our Board of Directors declared a quarterly dividend of $0.565 per share, equivalent to an annual dividend of $2.26 per share. We intend to continue our record of annual dividend increases with a targeted dividend payout ratio of 50% to 60%.</w:t>
      </w:r>
    </w:p>
    <w:p>
      <w:pPr>
        <w:spacing w:after="0" w:line="19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 xml:space="preserve">Maintain an investment grade credit rating and ready access to debt and equity capital markets. </w:t>
      </w:r>
      <w:r>
        <w:rPr>
          <w:rFonts w:ascii="Arial" w:cs="Arial" w:eastAsia="Arial" w:hAnsi="Arial"/>
          <w:sz w:val="16"/>
          <w:szCs w:val="16"/>
          <w:color w:val="auto"/>
        </w:rPr>
        <w:t>We require access to the capital markets to fund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planned capital investments or acquire strategic assets that support prudent and earnings-accretive business growth. We have demonstrated our ability to cost-effectively access the debt and equity markets, while maintaining our investment-grade issuer credit rating.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Prospective Information</w:t>
      </w:r>
    </w:p>
    <w:p>
      <w:pPr>
        <w:spacing w:after="0" w:line="26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expect to generate long-term growth through the expansion of integrated utilities and supporting operations. Sustained growth requires continued capital deployment. Our integrated energy portfolio, focused predominately on regulated utilities, provides growth opportunities, yet avoids concentrating business risk. We expect much of our earnings growth in the next few years will come from the need for capital deployment at our utilities and continued focus on improving efficiencies and controlling costs. Although dependent on market conditions, we are confident in our ability to obtain additional financing, as necessary, to continue our growth plans. We remain focused on prudently managing our operations and maintaining our overall liquidity to meet our operating, capital and financing needs, as well as executing our long-term strategic plan. Prospective information for our operating segments should be read in conjunction with our business strategy discussed above, and our company highlights discussed below.</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Company Highlights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February 2021 Weather Event</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In February 2021, a prolonged period of historic cold temperatures across the central United States, which covered all of our Utilities’ service territories, caused a significant increase in heating and energy demand and contributed to unforeseeable and unprecedented market prices for natural gas and electricity. Although this historic weather and energy demand event strained energy resources across the United States, our natural gas and electric systems performed as expected and demonstrated our </w:t>
      </w:r>
      <w:r>
        <w:rPr>
          <w:rFonts w:ascii="Arial" w:cs="Arial" w:eastAsia="Arial" w:hAnsi="Arial"/>
          <w:sz w:val="16"/>
          <w:szCs w:val="16"/>
          <w:i w:val="1"/>
          <w:iCs w:val="1"/>
          <w:color w:val="auto"/>
        </w:rPr>
        <w:t>Ready to Serve</w:t>
      </w:r>
      <w:r>
        <w:rPr>
          <w:rFonts w:ascii="Arial" w:cs="Arial" w:eastAsia="Arial" w:hAnsi="Arial"/>
          <w:sz w:val="16"/>
          <w:szCs w:val="16"/>
          <w:color w:val="auto"/>
        </w:rPr>
        <w:t xml:space="preserve"> commitment to our customers. Our ongoing system investments in safety and reliability and our strong operational performance were essential in our ability to maintain service for our customers during this extraordinary event.</w:t>
      </w:r>
    </w:p>
    <w:p>
      <w:pPr>
        <w:spacing w:after="0" w:line="230"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We responded to this event with requests for certain natural gas customer usage curtailments that began on February 12, 2021, and extended through February 19, 2021, to ensure the reliability of our system. We also communicated to all customers on how to conserve energy and stay safe during this event. Our customer service representatives worked extended hours to provide guidance and support to our customers.</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Utilities have regulatory mechanisms to recover the increased energy costs from this record-breaking cold weather event. However, given the extraordinary impact of these higher costs to our customers, we expect our regulators to undertake a heightened review. We are engaged with our regulators to identify appropriate recovery periods over which to recover costs associated with this event as we continue to address the impacts to our customers’ bills.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As a result of this historic event, our natural gas purchases increased by approximately $600 million compared to forecasted base load for the month of February. This amount is a preliminary estimate through February 24, 2021, and does not include certain pipeline transportation charges that remain subject to settlement and are payable in late March 2021. To fund February natural gas purchases and pipeline transportation charges and provide additional liquidity, we entered into an $800 million term loan maturing on November 23, 2021. The nine-month term loan has no prepayment penalty and is subject to the same covenants as our Revolving Credit Facility. We expect to repay a portion of this term loan prior to maturity and refinance the remaining portion in longer-term debt.</w:t>
      </w:r>
    </w:p>
    <w:p>
      <w:pPr>
        <w:spacing w:after="0" w:line="23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As of February 24, 2021, the Company had $1.3 billion of liquidity consisting of approximately $800 million of cash and $500 million of available capacity on its Revolving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6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One of the Company’s core values is safety. The COVID-19 pandemic has given us an opportunity to demonstrate our commitment to the health and safety of our customers, employees, business partners and the communities we serve. We have executed our business continuity plans across all of our jurisdictions with the goal of continuing to provide safe and reliable service during the COVID-19 pandemic.</w:t>
      </w:r>
    </w:p>
    <w:p>
      <w:pPr>
        <w:spacing w:after="0" w:line="22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For the year ended December 31, 2020, we have experienced limited impacts to our financial results and operational activities due to COVID-19. Negative impacts to gross margins were driven primarily by lower volumes in certain commercial and industrial customers and waived customer late payment fees which were partially offset by higher residential usage. Increased operations and maintenance expenses due to sequestration costs of mission critical and essential employees and increased bad debt expense were partially offset by decreased training, travel, and outside services related expenses.</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We continue to closely monitor customer loads in our states as updated executive orders and recommendations associated with COVID-19 are provided. We have continued to proactively communicate with various commercial and industrial customers in our service territories to understand their needs and forecast the potential financial implications. We have increased our allowance for credit losses and bad debt expense by $3.3 million for the year ended December 31, 2020, after considering the potential economic impact of the COVID-19 pandemic in forward looking projections related to write-off and recovery rates. All of our jurisdictions temporarily suspended disconnections for a period of time. State orders lifting those restrictions have been issued in nearly all of our jurisdictions; however, we expect the status of restrictions will continue to fluctuate for the next several months. </w:t>
      </w:r>
      <w:r>
        <w:rPr>
          <w:rFonts w:ascii="Arial" w:cs="Arial" w:eastAsia="Arial" w:hAnsi="Arial"/>
          <w:sz w:val="16"/>
          <w:szCs w:val="16"/>
          <w:color w:val="212529"/>
        </w:rPr>
        <w:t>We continue to monitor customer loads,</w:t>
      </w:r>
      <w:r>
        <w:rPr>
          <w:rFonts w:ascii="Arial" w:cs="Arial" w:eastAsia="Arial" w:hAnsi="Arial"/>
          <w:sz w:val="16"/>
          <w:szCs w:val="16"/>
          <w:color w:val="auto"/>
        </w:rPr>
        <w:t xml:space="preserve"> </w:t>
      </w:r>
      <w:r>
        <w:rPr>
          <w:rFonts w:ascii="Arial" w:cs="Arial" w:eastAsia="Arial" w:hAnsi="Arial"/>
          <w:sz w:val="16"/>
          <w:szCs w:val="16"/>
          <w:color w:val="212529"/>
        </w:rPr>
        <w:t>accounts receivable arrears balances, disconnects, cash flows and bad debt expense. We are proactively working with customers to establish payment plans and find available payment assistance resources.</w:t>
      </w:r>
    </w:p>
    <w:p>
      <w:pPr>
        <w:spacing w:after="0" w:line="23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Throughout 2020, we maintained adequate liquidity to operate our businesses and fund our capital investment program. In February 2020, the Company issued $100 million in equity to support its 2020 capital investment program. In June 2020, the Company issued $400 million of long-term debt which was used to repay short-term debt and for working capital and general corporate purposes. For the year ended December 31, 2020, the Company also utilized a combination of its $750 million Revolving Credit Facility and CP Program to meet its funding requirements. As of December 31, 2020, the Company had $498 million of liquidity which included $6.4 million of cash and $491 million of available capacity on its Revolving Credit Facility. We continue to meet our debt covenant requirements. We also continue to monitor the funding status of our employee benefit plan obligations, which did not materially change during the year ended December 31, 2020.</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are monitoring supply chains, including lead times for key materials and supplies, availability of resources, and status of large capital projects. To date, there have been limited impacts from COVID-19 on supply chains including the availability of supplies, materials and lead times. Capital projects are ongoing without material disruption to schedules due to COVID-19. Our third party resources continue to support our business plans without disruption. Contingency plans are ready to be executed if significant disruption to supply chain occurs; however, we currently do not anticipate a significant impact from COVID-19 on our capital investment plan for 2021.</w:t>
      </w:r>
    </w:p>
    <w:p>
      <w:pPr>
        <w:spacing w:after="0" w:line="230"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continue to work closely with local health, public safety and government officials to minimize the spread of COVID-19 and its impact to our employees and the services we provide to our customers. Actions the Company took earlier in the year included implementing protocols for our field operations personnel to safely and effectively interact with our customers, asking certain employees to work from home, requiring employees to complete daily health assessments, covering 100% of COVID-19 testing costs for our active employee medical plans, limiting travel to only mission-critical purposes and temporarily sequestering essential employees.</w:t>
      </w:r>
    </w:p>
    <w:p>
      <w:pPr>
        <w:spacing w:after="0" w:line="23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During the third quarter of 2020, we suspended sequestration of essential employees but continued to monitor the impacts of COVID-19 in our service territories to ensure we provide reliable service to our customers. Additionally, we implemented our </w:t>
      </w:r>
      <w:r>
        <w:rPr>
          <w:rFonts w:ascii="Arial" w:cs="Arial" w:eastAsia="Arial" w:hAnsi="Arial"/>
          <w:sz w:val="16"/>
          <w:szCs w:val="16"/>
          <w:i w:val="1"/>
          <w:iCs w:val="1"/>
          <w:color w:val="auto"/>
        </w:rPr>
        <w:t>Ready2Return</w:t>
      </w:r>
      <w:r>
        <w:rPr>
          <w:rFonts w:ascii="Arial" w:cs="Arial" w:eastAsia="Arial" w:hAnsi="Arial"/>
          <w:sz w:val="16"/>
          <w:szCs w:val="16"/>
          <w:color w:val="auto"/>
        </w:rPr>
        <w:t xml:space="preserve"> program, which includes a phased return of our employees to our work facilities while keeping our workforce healthy, safe and informed. Our </w:t>
      </w:r>
      <w:r>
        <w:rPr>
          <w:rFonts w:ascii="Arial" w:cs="Arial" w:eastAsia="Arial" w:hAnsi="Arial"/>
          <w:sz w:val="16"/>
          <w:szCs w:val="16"/>
          <w:i w:val="1"/>
          <w:iCs w:val="1"/>
          <w:color w:val="auto"/>
        </w:rPr>
        <w:t>Ready2Return</w:t>
      </w:r>
      <w:r>
        <w:rPr>
          <w:rFonts w:ascii="Arial" w:cs="Arial" w:eastAsia="Arial" w:hAnsi="Arial"/>
          <w:sz w:val="16"/>
          <w:szCs w:val="16"/>
          <w:color w:val="auto"/>
        </w:rPr>
        <w:t xml:space="preserve"> program also focuses on enhancing our facility readiness to improve ventilation, ensure social distancing and establish cleaning services to reduce the spread of infection.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On January 13, 2021, the FERC sent a letter to the Centers for Disease Control and Prevention’s (CDC) Advisory Committee on Immunization Practices urging that essential employees of the energy workforce receive vaccines earlier than currently recommended. We continue to monitor guidance from the CDC to ensure our essential employees may receive the vaccine within a prioritized phase.</w:t>
      </w:r>
    </w:p>
    <w:p>
      <w:pPr>
        <w:spacing w:after="0" w:line="22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provide periodic status updates and maintain ongoing dialogue with the regulatory commissions in our jurisdictions. We have worked with regulators in our service territories to preserve our right for deferred regulatory treatment for certain COVID-19 related costs and to seek recovery of these costs at a later date.</w:t>
      </w:r>
    </w:p>
    <w:p>
      <w:pPr>
        <w:spacing w:after="0" w:line="200" w:lineRule="exact"/>
        <w:rPr>
          <w:sz w:val="20"/>
          <w:szCs w:val="20"/>
          <w:color w:val="auto"/>
        </w:rPr>
      </w:pPr>
    </w:p>
    <w:p>
      <w:pPr>
        <w:spacing w:after="0" w:line="21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During these uncertain times, we remain highly focused on the safety and health of our customers, employees, business partners and communities. We continue to monitor load, customers’ ability to pay, the potential for supply chain disruption that may impact our capital and maintenance project plans, the availability of resources to execute our plans and the capital markets to ensure we have the liquidity necessary to support our financial needs.</w:t>
      </w:r>
    </w:p>
    <w:p>
      <w:pPr>
        <w:spacing w:after="0" w:line="22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As we look forward to 2021 and beyond, our operating results could be further affected by COVID-19, as discussed in detail in our </w:t>
      </w:r>
      <w:hyperlink w:anchor="page24">
        <w:r>
          <w:rPr>
            <w:rFonts w:ascii="Arial" w:cs="Arial" w:eastAsia="Arial" w:hAnsi="Arial"/>
            <w:sz w:val="16"/>
            <w:szCs w:val="16"/>
            <w:u w:val="single" w:color="auto"/>
            <w:color w:val="0000FF"/>
          </w:rPr>
          <w:t>Risk Factors</w:t>
        </w:r>
      </w:hyperlink>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Highlights and Corporate Activity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248" w:lineRule="exact"/>
        <w:rPr>
          <w:sz w:val="20"/>
          <w:szCs w:val="20"/>
          <w:color w:val="auto"/>
        </w:rPr>
      </w:pPr>
    </w:p>
    <w:p>
      <w:pPr>
        <w:ind w:left="660" w:right="60" w:hanging="328"/>
        <w:spacing w:after="0" w:line="253"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November 30, 2020, South Dakota Electric and Wyoming Electric completed and placed in service the Corriedale project. The 52.5 MW wind project is jointly owned by the two electric utilities to deliver renewable energy for large commercial, industrial and governmental agency customers under the Renewable Ready program.</w:t>
      </w:r>
    </w:p>
    <w:p>
      <w:pPr>
        <w:spacing w:after="0" w:line="228" w:lineRule="exact"/>
        <w:rPr>
          <w:rFonts w:ascii="Arial" w:cs="Arial" w:eastAsia="Arial" w:hAnsi="Arial"/>
          <w:sz w:val="16"/>
          <w:szCs w:val="16"/>
          <w:color w:val="auto"/>
        </w:rPr>
      </w:pPr>
    </w:p>
    <w:p>
      <w:pPr>
        <w:ind w:left="660" w:right="80" w:hanging="328"/>
        <w:spacing w:after="0" w:line="253"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October 15, 2020, the FERC approved a settlement agreement in the joint application filed by Wyoming Electric and Black Hills Wyoming on August 2, 2019 for approval of a new 60 MW PPA. Under terms of the settlement, Wyoming Electric will continue to receive 60 MW of capacity and energy from the Wygen I power plant. The new agreement will commence on January 1, 2022, replace the existing PPA and continue for 11 years.</w:t>
      </w:r>
    </w:p>
    <w:p>
      <w:pPr>
        <w:spacing w:after="0" w:line="228" w:lineRule="exact"/>
        <w:rPr>
          <w:rFonts w:ascii="Arial" w:cs="Arial" w:eastAsia="Arial" w:hAnsi="Arial"/>
          <w:sz w:val="16"/>
          <w:szCs w:val="16"/>
          <w:color w:val="auto"/>
        </w:rPr>
      </w:pPr>
    </w:p>
    <w:p>
      <w:pPr>
        <w:ind w:left="660" w:right="24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September 23, 2020, Colorado Electric received approval from the CPUC for its request for approval of its preferred solar bid in support of its Renewable Advantage program. The program plans to add up to 200 MW of renewable energy in Colorado by the end of 2023.</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10, 2020, Wyoming Electric set a new all-time peak load of 271 MW, surpassing the previous peak of 265 MW set in July 2019.</w:t>
      </w:r>
    </w:p>
    <w:p>
      <w:pPr>
        <w:spacing w:after="0" w:line="248" w:lineRule="exact"/>
        <w:rPr>
          <w:rFonts w:ascii="Arial" w:cs="Arial" w:eastAsia="Arial" w:hAnsi="Arial"/>
          <w:sz w:val="16"/>
          <w:szCs w:val="16"/>
          <w:color w:val="auto"/>
        </w:rPr>
      </w:pPr>
    </w:p>
    <w:p>
      <w:pPr>
        <w:ind w:left="660" w:right="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May 5, 2020, citizens in Pueblo, Colorado voted overwhelmingly to retain Colorado Electric as its electric utility provider by 75.6% of votes cast. The current franchise agreement continues through 2030.</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248" w:lineRule="exact"/>
        <w:rPr>
          <w:sz w:val="20"/>
          <w:szCs w:val="20"/>
          <w:color w:val="auto"/>
        </w:rPr>
      </w:pPr>
    </w:p>
    <w:p>
      <w:pPr>
        <w:ind w:left="660" w:right="180" w:hanging="328"/>
        <w:spacing w:after="0" w:line="251"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January 26, 2021, Nebraska Gas received approval from the NPSC to consolidate rate schedules into a new, single statewide structure and recover significant infrastructure investments in its 13,000-mile natural gas pipeline system. Final rates will be enacted on March 1, 2021 and is expected to generate $6.5 million in new annual revenue with a capital structure of 50% equity and 50% debt and a return on equity of 9.5%. The approval also includes an extension of the SSIR for five years and an expansion of this mechanism for consolidated utility alignment.</w:t>
      </w:r>
    </w:p>
    <w:p>
      <w:pPr>
        <w:spacing w:after="0" w:line="229" w:lineRule="exact"/>
        <w:rPr>
          <w:rFonts w:ascii="Arial" w:cs="Arial" w:eastAsia="Arial" w:hAnsi="Arial"/>
          <w:sz w:val="16"/>
          <w:szCs w:val="16"/>
          <w:color w:val="auto"/>
        </w:rPr>
      </w:pPr>
    </w:p>
    <w:p>
      <w:pPr>
        <w:ind w:left="660" w:hanging="328"/>
        <w:spacing w:after="0" w:line="25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On September 11, 2020, Colorado Gas filed a rate review with the CPUC seeking recovery on significant infrastructure investments in its 7,000-mile natural gas pipeline system. The rate review requests $13.5 million in new annual revenue with </w:t>
      </w:r>
      <w:r>
        <w:rPr>
          <w:rFonts w:ascii="Arial" w:cs="Arial" w:eastAsia="Arial" w:hAnsi="Arial"/>
          <w:sz w:val="16"/>
          <w:szCs w:val="16"/>
          <w:color w:val="242424"/>
        </w:rPr>
        <w:t>a capital structure of 50% equity and 50% debt and</w:t>
      </w:r>
      <w:r>
        <w:rPr>
          <w:rFonts w:ascii="Arial" w:cs="Arial" w:eastAsia="Arial" w:hAnsi="Arial"/>
          <w:sz w:val="16"/>
          <w:szCs w:val="16"/>
          <w:color w:val="auto"/>
        </w:rPr>
        <w:t xml:space="preserve"> </w:t>
      </w:r>
      <w:r>
        <w:rPr>
          <w:rFonts w:ascii="Arial" w:cs="Arial" w:eastAsia="Arial" w:hAnsi="Arial"/>
          <w:sz w:val="16"/>
          <w:szCs w:val="16"/>
          <w:color w:val="242424"/>
        </w:rPr>
        <w:t>a return on equity of 9.95%. The request seeks to implement new rates in the second quarter of 2021. On January 6, 2021 the CPUC issued an order dismissing the rate review. On January 26, 2021, Colorado Gas filed an application for rehearing, reargument or reconsideration in response to the Commission’s January 6 order.</w:t>
      </w:r>
    </w:p>
    <w:p>
      <w:pPr>
        <w:spacing w:after="0" w:line="229" w:lineRule="exact"/>
        <w:rPr>
          <w:rFonts w:ascii="Arial" w:cs="Arial" w:eastAsia="Arial" w:hAnsi="Arial"/>
          <w:sz w:val="16"/>
          <w:szCs w:val="16"/>
          <w:color w:val="auto"/>
        </w:rPr>
      </w:pPr>
    </w:p>
    <w:p>
      <w:pPr>
        <w:ind w:left="660" w:right="200"/>
        <w:spacing w:after="0" w:line="253" w:lineRule="auto"/>
        <w:rPr>
          <w:rFonts w:ascii="Arial" w:cs="Arial" w:eastAsia="Arial" w:hAnsi="Arial"/>
          <w:sz w:val="16"/>
          <w:szCs w:val="16"/>
          <w:color w:val="auto"/>
        </w:rPr>
      </w:pPr>
      <w:r>
        <w:rPr>
          <w:rFonts w:ascii="Arial" w:cs="Arial" w:eastAsia="Arial" w:hAnsi="Arial"/>
          <w:sz w:val="16"/>
          <w:szCs w:val="16"/>
          <w:color w:val="auto"/>
        </w:rPr>
        <w:t>On September 11, 2020, in accordance with the final order from the earlier rate review discussed below, Colorado Gas also filed a new SSIR proposal that would recover safety and integrity focused investments in its system over five years. A decision from the CPUC is expected by mid-2021.</w:t>
      </w:r>
    </w:p>
    <w:p>
      <w:pPr>
        <w:spacing w:after="0" w:line="228" w:lineRule="exact"/>
        <w:rPr>
          <w:rFonts w:ascii="Arial" w:cs="Arial" w:eastAsia="Arial" w:hAnsi="Arial"/>
          <w:sz w:val="16"/>
          <w:szCs w:val="16"/>
          <w:color w:val="auto"/>
        </w:rPr>
      </w:pPr>
    </w:p>
    <w:p>
      <w:pPr>
        <w:ind w:left="660" w:right="60" w:hanging="328"/>
        <w:spacing w:after="0" w:line="251"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242424"/>
        </w:rPr>
        <w:t>On December 27, 2020, gas service to approximately 3,500 Colorado Gas customers in Aspen, Colorado was disrupted due to vandalism. Gas services were restored to nearly all customers by December 30, 2020 with the remaining few restored by January 1, 2021. Colorado Gas employees were joined by Black Hills Energy technicians from other states, as well as contractors and other utilities, to successfully restore service despite challenging weather, temperatures, additional precautions due to COVID-19 and significant travel by many to reach Aspen.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100" w:hanging="328"/>
        <w:spacing w:after="0" w:line="25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February 1, 2019, Colorado Gas filed a rate review with the CPUC requesting $2.5 million in new revenue to recover investments in safety, reliability and system integrity and approval to consolidate rates, tariffs, and services of its two existing gas distribution territories. Colorado Gas also requested a new rider mechanism to recover future safety and integrity investments in its system. On May 19, 2020, the CPUC issued a final order which denied the new system integrity recovery mechanism and consolidation of rate territories. In addition, the order resulted in an annual revenue decrease of $0.6 million and a return on equity of 9.2%. New rates were effective July 3, 2020.</w:t>
      </w:r>
    </w:p>
    <w:p>
      <w:pPr>
        <w:spacing w:after="0" w:line="229" w:lineRule="exact"/>
        <w:rPr>
          <w:rFonts w:ascii="Arial" w:cs="Arial" w:eastAsia="Arial" w:hAnsi="Arial"/>
          <w:sz w:val="16"/>
          <w:szCs w:val="16"/>
          <w:color w:val="auto"/>
        </w:rPr>
      </w:pPr>
    </w:p>
    <w:p>
      <w:pPr>
        <w:ind w:left="660" w:hanging="328"/>
        <w:spacing w:after="0" w:line="251"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March 1, 2020, Wyoming Gas enacted new rates and implemented a new rider to recover integrity investments. The new, single statewide rate structure successfully completed the consolidation process of four natural gas utilities in the state and is expected to generate $13 million in new annual revenues. Going forward, the new rate structure and consolidated tariffs will contribute to improvements in customer service and reduce the complexity and number of rate reviews and other regulatory filings.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Power Generation</w:t>
      </w:r>
    </w:p>
    <w:p>
      <w:pPr>
        <w:spacing w:after="0" w:line="248" w:lineRule="exact"/>
        <w:rPr>
          <w:sz w:val="20"/>
          <w:szCs w:val="20"/>
          <w:color w:val="auto"/>
        </w:rPr>
      </w:pPr>
    </w:p>
    <w:p>
      <w:pPr>
        <w:ind w:left="660" w:right="22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October 15, 2020, the FERC approved a settlement agreement in the joint application filed by Black Hills Wyoming and Wyoming Electric on August 2, 2019 for approval of a new 60 MW PPA. See additional information in the Electric Utilities Segment highlights above.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248" w:lineRule="exact"/>
        <w:rPr>
          <w:sz w:val="20"/>
          <w:szCs w:val="20"/>
          <w:color w:val="auto"/>
        </w:rPr>
      </w:pPr>
    </w:p>
    <w:p>
      <w:pPr>
        <w:ind w:left="660" w:right="320" w:hanging="328"/>
        <w:spacing w:after="0" w:line="251"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August 3, 2020, we filed a shelf registration and DRSPP with the SEC. In conjunction with these shelf filings, we renewed the ATM. The renewed ATM program, which allows us to sell shares of our common stock, is the same as the prior program other than the aggregate value increased from $300 million to $400 million and a forward sales option was incorporated. This forward sales option allows us to sell our shares through the ATM program at the current trading price without actually issuing any shares to satisfy the sale until a future date.</w:t>
      </w:r>
    </w:p>
    <w:p>
      <w:pPr>
        <w:spacing w:after="0" w:line="229" w:lineRule="exact"/>
        <w:rPr>
          <w:rFonts w:ascii="Arial" w:cs="Arial" w:eastAsia="Arial" w:hAnsi="Arial"/>
          <w:sz w:val="16"/>
          <w:szCs w:val="16"/>
          <w:color w:val="auto"/>
        </w:rPr>
      </w:pPr>
    </w:p>
    <w:p>
      <w:pPr>
        <w:jc w:val="both"/>
        <w:ind w:left="660" w:right="140" w:hanging="328"/>
        <w:spacing w:after="0" w:line="25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June 17, 2020, we completed a public debt offering of $400 million principal amount in senior unsecured notes. The debt offering consisted of $400 million of 2.50%, 10-year senior notes due June 15, 2030. The proceeds were used to repay short-term debt, as well as for working capital and general corporate purposes.</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February 27, 2020, we issued 1.2 million shares of common stock at a price of $81.77 per share for net proceeds of $99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52"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i w:val="1"/>
          <w:iCs w:val="1"/>
          <w:color w:val="auto"/>
        </w:rPr>
        <w:t>Our discussion and analysis for the year ended December 31, 2020 compared to 2019 is included herein. For discussion and analysis for the year ended December 31, 2019 compared to 2018, please refer to Item 7 of Part II, “Management’s Discussion and Analysis of Financial Condition and Results of Operations” in our Annual Report on Form 10-K for the year ended December 31, 2019, which was filed with the SEC on February 14, 2020.</w:t>
      </w:r>
    </w:p>
    <w:p>
      <w:pPr>
        <w:spacing w:after="0" w:line="205"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i w:val="1"/>
          <w:iCs w:val="1"/>
          <w:color w:val="auto"/>
        </w:rPr>
        <w:t>Segment information does not include intercompany eliminations and all amounts are presented on a pre-tax basis unless otherwise indicated. Per share information references diluted shares unless otherwise noted.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24"/>
        </w:trPr>
        <w:tc>
          <w:tcPr>
            <w:tcW w:w="6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gridSpan w:val="4"/>
          </w:tcPr>
          <w:p>
            <w:pPr>
              <w:jc w:val="center"/>
              <w:ind w:left="659"/>
              <w:spacing w:after="0"/>
              <w:rPr>
                <w:sz w:val="20"/>
                <w:szCs w:val="20"/>
                <w:color w:val="auto"/>
              </w:rPr>
            </w:pPr>
            <w:r>
              <w:rPr>
                <w:rFonts w:ascii="Arial" w:cs="Arial" w:eastAsia="Arial" w:hAnsi="Arial"/>
                <w:sz w:val="16"/>
                <w:szCs w:val="16"/>
                <w:color w:val="auto"/>
              </w:rPr>
              <w:t>For the Years Ended December 31,</w:t>
            </w:r>
          </w:p>
        </w:tc>
        <w:tc>
          <w:tcPr>
            <w:tcW w:w="1120" w:type="dxa"/>
            <w:vAlign w:val="bottom"/>
          </w:tcPr>
          <w:p>
            <w:pPr>
              <w:spacing w:after="0"/>
              <w:rPr>
                <w:sz w:val="24"/>
                <w:szCs w:val="24"/>
                <w:color w:val="auto"/>
              </w:rPr>
            </w:pPr>
          </w:p>
        </w:tc>
      </w:tr>
      <w:tr>
        <w:trPr>
          <w:trHeight w:val="219"/>
        </w:trPr>
        <w:tc>
          <w:tcPr>
            <w:tcW w:w="6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2019</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2018</w:t>
            </w:r>
          </w:p>
        </w:tc>
      </w:tr>
      <w:tr>
        <w:trPr>
          <w:trHeight w:val="210"/>
        </w:trPr>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color w:val="auto"/>
              </w:rPr>
              <w:t>(in thousands)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260" w:type="dxa"/>
            <w:vAlign w:val="bottom"/>
            <w:shd w:val="clear" w:color="auto" w:fill="CEFEE7"/>
          </w:tcPr>
          <w:p>
            <w:pPr>
              <w:ind w:left="20"/>
              <w:spacing w:after="0" w:line="219" w:lineRule="exact"/>
              <w:rPr>
                <w:sz w:val="20"/>
                <w:szCs w:val="20"/>
                <w:color w:val="auto"/>
              </w:rPr>
            </w:pPr>
            <w:r>
              <w:rPr>
                <w:rFonts w:ascii="Arial" w:cs="Arial" w:eastAsia="Arial" w:hAnsi="Arial"/>
                <w:sz w:val="16"/>
                <w:szCs w:val="16"/>
                <w:color w:val="auto"/>
              </w:rPr>
              <w:t xml:space="preserve">Adjusted operating income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spacing w:after="0"/>
              <w:rPr>
                <w:sz w:val="19"/>
                <w:szCs w:val="19"/>
                <w:color w:val="auto"/>
              </w:rPr>
            </w:pPr>
          </w:p>
        </w:tc>
        <w:tc>
          <w:tcPr>
            <w:tcW w:w="220" w:type="dxa"/>
            <w:vAlign w:val="bottom"/>
            <w:shd w:val="clear" w:color="auto" w:fill="CEFEE7"/>
          </w:tcPr>
          <w:p>
            <w:pPr>
              <w:spacing w:after="0"/>
              <w:rPr>
                <w:sz w:val="19"/>
                <w:szCs w:val="19"/>
                <w:color w:val="auto"/>
              </w:rPr>
            </w:pPr>
          </w:p>
        </w:tc>
        <w:tc>
          <w:tcPr>
            <w:tcW w:w="1440" w:type="dxa"/>
            <w:vAlign w:val="bottom"/>
            <w:shd w:val="clear" w:color="auto" w:fill="CEFEE7"/>
          </w:tcPr>
          <w:p>
            <w:pPr>
              <w:spacing w:after="0"/>
              <w:rPr>
                <w:sz w:val="19"/>
                <w:szCs w:val="19"/>
                <w:color w:val="auto"/>
              </w:rPr>
            </w:pPr>
          </w:p>
        </w:tc>
        <w:tc>
          <w:tcPr>
            <w:tcW w:w="540" w:type="dxa"/>
            <w:vAlign w:val="bottom"/>
            <w:shd w:val="clear" w:color="auto" w:fill="CEFEE7"/>
          </w:tcPr>
          <w:p>
            <w:pPr>
              <w:spacing w:after="0"/>
              <w:rPr>
                <w:sz w:val="19"/>
                <w:szCs w:val="19"/>
                <w:color w:val="auto"/>
              </w:rPr>
            </w:pPr>
          </w:p>
        </w:tc>
        <w:tc>
          <w:tcPr>
            <w:tcW w:w="1120" w:type="dxa"/>
            <w:vAlign w:val="bottom"/>
            <w:shd w:val="clear" w:color="auto" w:fill="CEFEE7"/>
          </w:tcPr>
          <w:p>
            <w:pPr>
              <w:spacing w:after="0"/>
              <w:rPr>
                <w:sz w:val="19"/>
                <w:szCs w:val="19"/>
                <w:color w:val="auto"/>
              </w:rPr>
            </w:pPr>
          </w:p>
        </w:tc>
      </w:tr>
      <w:tr>
        <w:trPr>
          <w:trHeight w:val="213"/>
        </w:trPr>
        <w:tc>
          <w:tcPr>
            <w:tcW w:w="6260" w:type="dxa"/>
            <w:vAlign w:val="bottom"/>
          </w:tcPr>
          <w:p>
            <w:pPr>
              <w:ind w:left="240"/>
              <w:spacing w:after="0"/>
              <w:rPr>
                <w:sz w:val="20"/>
                <w:szCs w:val="20"/>
                <w:color w:val="auto"/>
              </w:rPr>
            </w:pPr>
            <w:r>
              <w:rPr>
                <w:rFonts w:ascii="Arial" w:cs="Arial" w:eastAsia="Arial" w:hAnsi="Arial"/>
                <w:sz w:val="16"/>
                <w:szCs w:val="16"/>
                <w:color w:val="auto"/>
              </w:rPr>
              <w:t>Electric Utilities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156,055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160,297</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155,869</w:t>
            </w:r>
          </w:p>
        </w:tc>
      </w:tr>
      <w:tr>
        <w:trPr>
          <w:trHeight w:val="219"/>
        </w:trPr>
        <w:tc>
          <w:tcPr>
            <w:tcW w:w="6260" w:type="dxa"/>
            <w:vAlign w:val="bottom"/>
            <w:shd w:val="clear" w:color="auto" w:fill="CEFEE7"/>
          </w:tcPr>
          <w:p>
            <w:pPr>
              <w:ind w:left="240"/>
              <w:spacing w:after="0"/>
              <w:rPr>
                <w:sz w:val="20"/>
                <w:szCs w:val="20"/>
                <w:color w:val="auto"/>
              </w:rPr>
            </w:pPr>
            <w:r>
              <w:rPr>
                <w:rFonts w:ascii="Arial" w:cs="Arial" w:eastAsia="Arial" w:hAnsi="Arial"/>
                <w:sz w:val="16"/>
                <w:szCs w:val="16"/>
                <w:color w:val="auto"/>
              </w:rPr>
              <w:t>Gas Utilities</w:t>
            </w: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215,889</w:t>
            </w:r>
          </w:p>
        </w:tc>
        <w:tc>
          <w:tcPr>
            <w:tcW w:w="220" w:type="dxa"/>
            <w:vAlign w:val="bottom"/>
            <w:shd w:val="clear" w:color="auto" w:fill="CEFEE7"/>
          </w:tcPr>
          <w:p>
            <w:pPr>
              <w:spacing w:after="0"/>
              <w:rPr>
                <w:sz w:val="19"/>
                <w:szCs w:val="19"/>
                <w:color w:val="auto"/>
              </w:rPr>
            </w:pPr>
          </w:p>
        </w:tc>
        <w:tc>
          <w:tcPr>
            <w:tcW w:w="14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189,971</w:t>
            </w:r>
          </w:p>
        </w:tc>
        <w:tc>
          <w:tcPr>
            <w:tcW w:w="540" w:type="dxa"/>
            <w:vAlign w:val="bottom"/>
            <w:shd w:val="clear" w:color="auto" w:fill="CEFEE7"/>
          </w:tcPr>
          <w:p>
            <w:pPr>
              <w:spacing w:after="0"/>
              <w:rPr>
                <w:sz w:val="19"/>
                <w:szCs w:val="19"/>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185,239</w:t>
            </w:r>
          </w:p>
        </w:tc>
      </w:tr>
      <w:tr>
        <w:trPr>
          <w:trHeight w:val="213"/>
        </w:trPr>
        <w:tc>
          <w:tcPr>
            <w:tcW w:w="6260" w:type="dxa"/>
            <w:vAlign w:val="bottom"/>
          </w:tcPr>
          <w:p>
            <w:pPr>
              <w:ind w:left="240"/>
              <w:spacing w:after="0"/>
              <w:rPr>
                <w:sz w:val="20"/>
                <w:szCs w:val="20"/>
                <w:color w:val="auto"/>
              </w:rPr>
            </w:pPr>
            <w:r>
              <w:rPr>
                <w:rFonts w:ascii="Arial" w:cs="Arial" w:eastAsia="Arial" w:hAnsi="Arial"/>
                <w:sz w:val="16"/>
                <w:szCs w:val="16"/>
                <w:color w:val="auto"/>
              </w:rPr>
              <w:t>Power Generation</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42,112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44,779</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42,614</w:t>
            </w:r>
          </w:p>
        </w:tc>
      </w:tr>
      <w:tr>
        <w:trPr>
          <w:trHeight w:val="219"/>
        </w:trPr>
        <w:tc>
          <w:tcPr>
            <w:tcW w:w="6260" w:type="dxa"/>
            <w:vAlign w:val="bottom"/>
            <w:shd w:val="clear" w:color="auto" w:fill="CEFEE7"/>
          </w:tcPr>
          <w:p>
            <w:pPr>
              <w:ind w:left="240"/>
              <w:spacing w:after="0"/>
              <w:rPr>
                <w:sz w:val="20"/>
                <w:szCs w:val="20"/>
                <w:color w:val="auto"/>
              </w:rPr>
            </w:pPr>
            <w:r>
              <w:rPr>
                <w:rFonts w:ascii="Arial" w:cs="Arial" w:eastAsia="Arial" w:hAnsi="Arial"/>
                <w:sz w:val="16"/>
                <w:szCs w:val="16"/>
                <w:color w:val="auto"/>
              </w:rPr>
              <w:t>Mining</w:t>
            </w: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12,807</w:t>
            </w:r>
          </w:p>
        </w:tc>
        <w:tc>
          <w:tcPr>
            <w:tcW w:w="220" w:type="dxa"/>
            <w:vAlign w:val="bottom"/>
            <w:shd w:val="clear" w:color="auto" w:fill="CEFEE7"/>
          </w:tcPr>
          <w:p>
            <w:pPr>
              <w:spacing w:after="0"/>
              <w:rPr>
                <w:sz w:val="19"/>
                <w:szCs w:val="19"/>
                <w:color w:val="auto"/>
              </w:rPr>
            </w:pPr>
          </w:p>
        </w:tc>
        <w:tc>
          <w:tcPr>
            <w:tcW w:w="14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12,627</w:t>
            </w:r>
          </w:p>
        </w:tc>
        <w:tc>
          <w:tcPr>
            <w:tcW w:w="540" w:type="dxa"/>
            <w:vAlign w:val="bottom"/>
            <w:shd w:val="clear" w:color="auto" w:fill="CEFEE7"/>
          </w:tcPr>
          <w:p>
            <w:pPr>
              <w:spacing w:after="0"/>
              <w:rPr>
                <w:sz w:val="19"/>
                <w:szCs w:val="19"/>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16,340</w:t>
            </w:r>
          </w:p>
        </w:tc>
      </w:tr>
      <w:tr>
        <w:trPr>
          <w:trHeight w:val="213"/>
        </w:trPr>
        <w:tc>
          <w:tcPr>
            <w:tcW w:w="6260" w:type="dxa"/>
            <w:vAlign w:val="bottom"/>
            <w:tcBorders>
              <w:bottom w:val="single" w:sz="8" w:color="CEFEE7"/>
            </w:tcBorders>
          </w:tcPr>
          <w:p>
            <w:pPr>
              <w:ind w:left="240"/>
              <w:spacing w:after="0"/>
              <w:rPr>
                <w:sz w:val="20"/>
                <w:szCs w:val="20"/>
                <w:color w:val="auto"/>
              </w:rPr>
            </w:pPr>
            <w:r>
              <w:rPr>
                <w:rFonts w:ascii="Arial" w:cs="Arial" w:eastAsia="Arial" w:hAnsi="Arial"/>
                <w:sz w:val="16"/>
                <w:szCs w:val="16"/>
                <w:color w:val="auto"/>
              </w:rPr>
              <w:t>Corporate and Other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(3,025)</w:t>
            </w:r>
          </w:p>
        </w:tc>
      </w:tr>
      <w:tr>
        <w:trPr>
          <w:trHeight w:val="209"/>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auto"/>
            </w:tcBorders>
            <w:shd w:val="clear" w:color="auto" w:fill="CEFEE7"/>
          </w:tcPr>
          <w:p>
            <w:pPr>
              <w:spacing w:after="0"/>
              <w:rPr>
                <w:sz w:val="18"/>
                <w:szCs w:val="18"/>
                <w:color w:val="auto"/>
              </w:rPr>
            </w:pPr>
          </w:p>
        </w:tc>
        <w:tc>
          <w:tcPr>
            <w:tcW w:w="12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428,303</w:t>
            </w:r>
          </w:p>
        </w:tc>
        <w:tc>
          <w:tcPr>
            <w:tcW w:w="220" w:type="dxa"/>
            <w:vAlign w:val="bottom"/>
            <w:tcBorders>
              <w:bottom w:val="single" w:sz="8" w:color="auto"/>
            </w:tcBorders>
            <w:shd w:val="clear" w:color="auto" w:fill="CEFEE7"/>
          </w:tcPr>
          <w:p>
            <w:pPr>
              <w:spacing w:after="0"/>
              <w:rPr>
                <w:sz w:val="18"/>
                <w:szCs w:val="18"/>
                <w:color w:val="auto"/>
              </w:rPr>
            </w:pPr>
          </w:p>
        </w:tc>
        <w:tc>
          <w:tcPr>
            <w:tcW w:w="14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406,042</w:t>
            </w:r>
          </w:p>
        </w:tc>
        <w:tc>
          <w:tcPr>
            <w:tcW w:w="540" w:type="dxa"/>
            <w:vAlign w:val="bottom"/>
            <w:tcBorders>
              <w:bottom w:val="single" w:sz="8" w:color="auto"/>
            </w:tcBorders>
            <w:shd w:val="clear" w:color="auto" w:fill="CEFEE7"/>
          </w:tcPr>
          <w:p>
            <w:pPr>
              <w:spacing w:after="0"/>
              <w:rPr>
                <w:sz w:val="18"/>
                <w:szCs w:val="18"/>
                <w:color w:val="auto"/>
              </w:rPr>
            </w:pPr>
          </w:p>
        </w:tc>
        <w:tc>
          <w:tcPr>
            <w:tcW w:w="11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397,037</w:t>
            </w:r>
          </w:p>
        </w:tc>
      </w:tr>
      <w:tr>
        <w:trPr>
          <w:trHeight w:val="199"/>
        </w:trPr>
        <w:tc>
          <w:tcPr>
            <w:tcW w:w="6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Interest expense, net</w:t>
            </w:r>
          </w:p>
        </w:tc>
        <w:tc>
          <w:tcPr>
            <w:tcW w:w="380" w:type="dxa"/>
            <w:vAlign w:val="bottom"/>
            <w:shd w:val="clear" w:color="auto" w:fill="CEFEE7"/>
          </w:tcPr>
          <w:p>
            <w:pPr>
              <w:spacing w:after="0"/>
              <w:rPr>
                <w:sz w:val="18"/>
                <w:szCs w:val="18"/>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(143,470)</w:t>
            </w:r>
          </w:p>
        </w:tc>
        <w:tc>
          <w:tcPr>
            <w:tcW w:w="220" w:type="dxa"/>
            <w:vAlign w:val="bottom"/>
            <w:shd w:val="clear" w:color="auto" w:fill="CEFEE7"/>
          </w:tcPr>
          <w:p>
            <w:pPr>
              <w:spacing w:after="0"/>
              <w:rPr>
                <w:sz w:val="18"/>
                <w:szCs w:val="18"/>
                <w:color w:val="auto"/>
              </w:rPr>
            </w:pPr>
          </w:p>
        </w:tc>
        <w:tc>
          <w:tcPr>
            <w:tcW w:w="14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(137,659)</w:t>
            </w:r>
          </w:p>
        </w:tc>
        <w:tc>
          <w:tcPr>
            <w:tcW w:w="540" w:type="dxa"/>
            <w:vAlign w:val="bottom"/>
            <w:shd w:val="clear" w:color="auto" w:fill="CEFEE7"/>
          </w:tcPr>
          <w:p>
            <w:pPr>
              <w:spacing w:after="0"/>
              <w:rPr>
                <w:sz w:val="18"/>
                <w:szCs w:val="18"/>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(139,975)</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(6,859)</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(19,741)</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shd w:val="clear" w:color="auto" w:fill="CEFEE7"/>
          </w:tcPr>
          <w:p>
            <w:pPr>
              <w:spacing w:after="0"/>
              <w:rPr>
                <w:sz w:val="19"/>
                <w:szCs w:val="19"/>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(2,293)</w:t>
            </w:r>
          </w:p>
        </w:tc>
        <w:tc>
          <w:tcPr>
            <w:tcW w:w="220" w:type="dxa"/>
            <w:vAlign w:val="bottom"/>
            <w:shd w:val="clear" w:color="auto" w:fill="CEFEE7"/>
          </w:tcPr>
          <w:p>
            <w:pPr>
              <w:spacing w:after="0"/>
              <w:rPr>
                <w:sz w:val="19"/>
                <w:szCs w:val="19"/>
                <w:color w:val="auto"/>
              </w:rPr>
            </w:pPr>
          </w:p>
        </w:tc>
        <w:tc>
          <w:tcPr>
            <w:tcW w:w="14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(5,740)</w:t>
            </w:r>
          </w:p>
        </w:tc>
        <w:tc>
          <w:tcPr>
            <w:tcW w:w="540" w:type="dxa"/>
            <w:vAlign w:val="bottom"/>
            <w:shd w:val="clear" w:color="auto" w:fill="CEFEE7"/>
          </w:tcPr>
          <w:p>
            <w:pPr>
              <w:spacing w:after="0"/>
              <w:rPr>
                <w:sz w:val="19"/>
                <w:szCs w:val="19"/>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(1,180)</w:t>
            </w:r>
          </w:p>
        </w:tc>
      </w:tr>
      <w:tr>
        <w:trPr>
          <w:trHeight w:val="213"/>
        </w:trPr>
        <w:tc>
          <w:tcPr>
            <w:tcW w:w="626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Income tax benefit (expense)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(32,918)</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(29,580)</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23,667</w:t>
            </w:r>
          </w:p>
        </w:tc>
      </w:tr>
      <w:tr>
        <w:trPr>
          <w:trHeight w:val="213"/>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shd w:val="clear" w:color="auto" w:fill="CEFEE7"/>
          </w:tcPr>
          <w:p>
            <w:pPr>
              <w:spacing w:after="0"/>
              <w:rPr>
                <w:sz w:val="18"/>
                <w:szCs w:val="18"/>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242,763</w:t>
            </w:r>
          </w:p>
        </w:tc>
        <w:tc>
          <w:tcPr>
            <w:tcW w:w="220" w:type="dxa"/>
            <w:vAlign w:val="bottom"/>
            <w:shd w:val="clear" w:color="auto" w:fill="CEFEE7"/>
          </w:tcPr>
          <w:p>
            <w:pPr>
              <w:spacing w:after="0"/>
              <w:rPr>
                <w:sz w:val="18"/>
                <w:szCs w:val="18"/>
                <w:color w:val="auto"/>
              </w:rPr>
            </w:pPr>
          </w:p>
        </w:tc>
        <w:tc>
          <w:tcPr>
            <w:tcW w:w="14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213,322</w:t>
            </w:r>
          </w:p>
        </w:tc>
        <w:tc>
          <w:tcPr>
            <w:tcW w:w="540" w:type="dxa"/>
            <w:vAlign w:val="bottom"/>
            <w:shd w:val="clear" w:color="auto" w:fill="CEFEE7"/>
          </w:tcPr>
          <w:p>
            <w:pPr>
              <w:spacing w:after="0"/>
              <w:rPr>
                <w:sz w:val="18"/>
                <w:szCs w:val="18"/>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279,549</w:t>
            </w:r>
          </w:p>
        </w:tc>
      </w:tr>
      <w:tr>
        <w:trPr>
          <w:trHeight w:val="213"/>
        </w:trPr>
        <w:tc>
          <w:tcPr>
            <w:tcW w:w="626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(6,887)</w:t>
            </w:r>
          </w:p>
        </w:tc>
      </w:tr>
      <w:tr>
        <w:trPr>
          <w:trHeight w:val="212"/>
        </w:trPr>
        <w:tc>
          <w:tcPr>
            <w:tcW w:w="6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EFEE7"/>
          </w:tcPr>
          <w:p>
            <w:pPr>
              <w:spacing w:after="0"/>
              <w:rPr>
                <w:sz w:val="18"/>
                <w:szCs w:val="18"/>
                <w:color w:val="auto"/>
              </w:rPr>
            </w:pP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242,763</w:t>
            </w:r>
          </w:p>
        </w:tc>
        <w:tc>
          <w:tcPr>
            <w:tcW w:w="220" w:type="dxa"/>
            <w:vAlign w:val="bottom"/>
            <w:shd w:val="clear" w:color="auto" w:fill="CEFEE7"/>
          </w:tcPr>
          <w:p>
            <w:pPr>
              <w:spacing w:after="0"/>
              <w:rPr>
                <w:sz w:val="18"/>
                <w:szCs w:val="18"/>
                <w:color w:val="auto"/>
              </w:rPr>
            </w:pPr>
          </w:p>
        </w:tc>
        <w:tc>
          <w:tcPr>
            <w:tcW w:w="14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213,322</w:t>
            </w:r>
          </w:p>
        </w:tc>
        <w:tc>
          <w:tcPr>
            <w:tcW w:w="540" w:type="dxa"/>
            <w:vAlign w:val="bottom"/>
            <w:shd w:val="clear" w:color="auto" w:fill="CEFEE7"/>
          </w:tcPr>
          <w:p>
            <w:pPr>
              <w:spacing w:after="0"/>
              <w:rPr>
                <w:sz w:val="18"/>
                <w:szCs w:val="18"/>
                <w:color w:val="auto"/>
              </w:rPr>
            </w:pP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272,662</w:t>
            </w:r>
          </w:p>
        </w:tc>
      </w:tr>
      <w:tr>
        <w:trPr>
          <w:trHeight w:val="213"/>
        </w:trPr>
        <w:tc>
          <w:tcPr>
            <w:tcW w:w="626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(15,155)</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(14,012)</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(14,220)</w:t>
            </w:r>
          </w:p>
        </w:tc>
      </w:tr>
      <w:tr>
        <w:trPr>
          <w:trHeight w:val="238"/>
        </w:trPr>
        <w:tc>
          <w:tcPr>
            <w:tcW w:w="626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380" w:type="dxa"/>
            <w:vAlign w:val="bottom"/>
            <w:tcBorders>
              <w:bottom w:val="single" w:sz="8" w:color="auto"/>
            </w:tcBorders>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227,608</w:t>
            </w:r>
          </w:p>
        </w:tc>
        <w:tc>
          <w:tcPr>
            <w:tcW w:w="220" w:type="dxa"/>
            <w:vAlign w:val="bottom"/>
            <w:tcBorders>
              <w:bottom w:val="single" w:sz="8" w:color="auto"/>
            </w:tcBorders>
            <w:shd w:val="clear" w:color="auto" w:fill="CEFEE7"/>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199,310</w:t>
            </w:r>
          </w:p>
        </w:tc>
        <w:tc>
          <w:tcPr>
            <w:tcW w:w="540" w:type="dxa"/>
            <w:vAlign w:val="bottom"/>
            <w:tcBorders>
              <w:bottom w:val="single" w:sz="8" w:color="auto"/>
            </w:tcBorders>
            <w:shd w:val="clear" w:color="auto" w:fill="CEFEE7"/>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258,442</w:t>
            </w:r>
          </w:p>
        </w:tc>
      </w:tr>
      <w:tr>
        <w:trPr>
          <w:trHeight w:val="20"/>
        </w:trPr>
        <w:tc>
          <w:tcPr>
            <w:tcW w:w="6260" w:type="dxa"/>
            <w:vAlign w:val="bottom"/>
            <w:tcBorders>
              <w:top w:val="single" w:sz="8" w:color="CEFEE7"/>
            </w:tcBorders>
          </w:tcPr>
          <w:p>
            <w:pPr>
              <w:spacing w:after="0" w:line="20" w:lineRule="exact"/>
              <w:rPr>
                <w:sz w:val="1"/>
                <w:szCs w:val="1"/>
                <w:color w:val="auto"/>
              </w:rPr>
            </w:pPr>
          </w:p>
        </w:tc>
        <w:tc>
          <w:tcPr>
            <w:tcW w:w="380" w:type="dxa"/>
            <w:vAlign w:val="bottom"/>
            <w:tcBorders>
              <w:top w:val="single" w:sz="8" w:color="CEFEE7"/>
              <w:bottom w:val="single" w:sz="8" w:color="auto"/>
            </w:tcBorders>
          </w:tcPr>
          <w:p>
            <w:pPr>
              <w:spacing w:after="0" w:line="20" w:lineRule="exact"/>
              <w:rPr>
                <w:sz w:val="1"/>
                <w:szCs w:val="1"/>
                <w:color w:val="auto"/>
              </w:rPr>
            </w:pPr>
          </w:p>
        </w:tc>
        <w:tc>
          <w:tcPr>
            <w:tcW w:w="1280" w:type="dxa"/>
            <w:vAlign w:val="bottom"/>
            <w:tcBorders>
              <w:top w:val="single" w:sz="8" w:color="CEFEE7"/>
              <w:bottom w:val="single" w:sz="8" w:color="auto"/>
            </w:tcBorders>
          </w:tcPr>
          <w:p>
            <w:pPr>
              <w:spacing w:after="0" w:line="20" w:lineRule="exact"/>
              <w:rPr>
                <w:sz w:val="1"/>
                <w:szCs w:val="1"/>
                <w:color w:val="auto"/>
              </w:rPr>
            </w:pPr>
          </w:p>
        </w:tc>
        <w:tc>
          <w:tcPr>
            <w:tcW w:w="220" w:type="dxa"/>
            <w:vAlign w:val="bottom"/>
            <w:tcBorders>
              <w:top w:val="single" w:sz="8" w:color="CEFEE7"/>
              <w:bottom w:val="single" w:sz="8" w:color="auto"/>
            </w:tcBorders>
          </w:tcPr>
          <w:p>
            <w:pPr>
              <w:spacing w:after="0" w:line="20" w:lineRule="exact"/>
              <w:rPr>
                <w:sz w:val="1"/>
                <w:szCs w:val="1"/>
                <w:color w:val="auto"/>
              </w:rPr>
            </w:pPr>
          </w:p>
        </w:tc>
        <w:tc>
          <w:tcPr>
            <w:tcW w:w="1440" w:type="dxa"/>
            <w:vAlign w:val="bottom"/>
            <w:tcBorders>
              <w:top w:val="single" w:sz="8" w:color="CEFEE7"/>
              <w:bottom w:val="single" w:sz="8" w:color="auto"/>
            </w:tcBorders>
          </w:tcPr>
          <w:p>
            <w:pPr>
              <w:spacing w:after="0" w:line="20" w:lineRule="exact"/>
              <w:rPr>
                <w:sz w:val="1"/>
                <w:szCs w:val="1"/>
                <w:color w:val="auto"/>
              </w:rPr>
            </w:pPr>
          </w:p>
        </w:tc>
        <w:tc>
          <w:tcPr>
            <w:tcW w:w="540" w:type="dxa"/>
            <w:vAlign w:val="bottom"/>
            <w:tcBorders>
              <w:top w:val="single" w:sz="8" w:color="CEFEE7"/>
              <w:bottom w:val="single" w:sz="8" w:color="auto"/>
            </w:tcBorders>
          </w:tcPr>
          <w:p>
            <w:pPr>
              <w:spacing w:after="0" w:line="20" w:lineRule="exact"/>
              <w:rPr>
                <w:sz w:val="1"/>
                <w:szCs w:val="1"/>
                <w:color w:val="auto"/>
              </w:rPr>
            </w:pPr>
          </w:p>
        </w:tc>
        <w:tc>
          <w:tcPr>
            <w:tcW w:w="1120" w:type="dxa"/>
            <w:vAlign w:val="bottom"/>
            <w:tcBorders>
              <w:top w:val="single" w:sz="8" w:color="CEFEE7"/>
              <w:bottom w:val="single" w:sz="8" w:color="auto"/>
            </w:tcBorders>
          </w:tcPr>
          <w:p>
            <w:pPr>
              <w:spacing w:after="0" w:line="20" w:lineRule="exact"/>
              <w:rPr>
                <w:sz w:val="1"/>
                <w:szCs w:val="1"/>
                <w:color w:val="auto"/>
              </w:rPr>
            </w:pPr>
          </w:p>
        </w:tc>
      </w:tr>
      <w:tr>
        <w:trPr>
          <w:trHeight w:val="203"/>
        </w:trPr>
        <w:tc>
          <w:tcPr>
            <w:tcW w:w="6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260" w:type="dxa"/>
            <w:vAlign w:val="bottom"/>
            <w:shd w:val="clear" w:color="auto" w:fill="CEFEE7"/>
          </w:tcPr>
          <w:p>
            <w:pPr>
              <w:ind w:left="40"/>
              <w:spacing w:after="0"/>
              <w:rPr>
                <w:sz w:val="20"/>
                <w:szCs w:val="20"/>
                <w:color w:val="auto"/>
              </w:rPr>
            </w:pPr>
            <w:r>
              <w:rPr>
                <w:rFonts w:ascii="Arial" w:cs="Arial" w:eastAsia="Arial" w:hAnsi="Arial"/>
                <w:sz w:val="16"/>
                <w:szCs w:val="16"/>
                <w:color w:val="auto"/>
              </w:rPr>
              <w:t>Earnings per share from continuing operations, Diluted</w:t>
            </w:r>
          </w:p>
        </w:tc>
        <w:tc>
          <w:tcPr>
            <w:tcW w:w="380" w:type="dxa"/>
            <w:vAlign w:val="bottom"/>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3.65</w:t>
            </w:r>
          </w:p>
        </w:tc>
        <w:tc>
          <w:tcPr>
            <w:tcW w:w="220" w:type="dxa"/>
            <w:vAlign w:val="bottom"/>
            <w:shd w:val="clear" w:color="auto" w:fill="CEFEE7"/>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3.28</w:t>
            </w:r>
          </w:p>
        </w:tc>
        <w:tc>
          <w:tcPr>
            <w:tcW w:w="540" w:type="dxa"/>
            <w:vAlign w:val="bottom"/>
            <w:shd w:val="clear" w:color="auto" w:fill="CEFEE7"/>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EFEE7"/>
          </w:tcPr>
          <w:p>
            <w:pPr>
              <w:jc w:val="right"/>
              <w:spacing w:after="0"/>
              <w:rPr>
                <w:sz w:val="20"/>
                <w:szCs w:val="20"/>
                <w:color w:val="auto"/>
              </w:rPr>
            </w:pPr>
            <w:r>
              <w:rPr>
                <w:rFonts w:ascii="Arial" w:cs="Arial" w:eastAsia="Arial" w:hAnsi="Arial"/>
                <w:sz w:val="16"/>
                <w:szCs w:val="16"/>
                <w:color w:val="auto"/>
              </w:rPr>
              <w:t>4.78</w:t>
            </w:r>
          </w:p>
        </w:tc>
      </w:tr>
      <w:tr>
        <w:trPr>
          <w:trHeight w:val="213"/>
        </w:trPr>
        <w:tc>
          <w:tcPr>
            <w:tcW w:w="6260" w:type="dxa"/>
            <w:vAlign w:val="bottom"/>
            <w:tcBorders>
              <w:bottom w:val="single" w:sz="8" w:color="CEFEE7"/>
            </w:tcBorders>
          </w:tcPr>
          <w:p>
            <w:pPr>
              <w:ind w:left="40"/>
              <w:spacing w:after="0"/>
              <w:rPr>
                <w:sz w:val="20"/>
                <w:szCs w:val="20"/>
                <w:color w:val="auto"/>
              </w:rPr>
            </w:pPr>
            <w:r>
              <w:rPr>
                <w:rFonts w:ascii="Arial" w:cs="Arial" w:eastAsia="Arial" w:hAnsi="Arial"/>
                <w:sz w:val="16"/>
                <w:szCs w:val="16"/>
                <w:color w:val="auto"/>
              </w:rPr>
              <w:t>(Loss) per share from discontinued operations, Diluted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r>
      <w:tr>
        <w:trPr>
          <w:trHeight w:val="238"/>
        </w:trPr>
        <w:tc>
          <w:tcPr>
            <w:tcW w:w="626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380" w:type="dxa"/>
            <w:vAlign w:val="bottom"/>
            <w:tcBorders>
              <w:bottom w:val="single" w:sz="8" w:color="auto"/>
            </w:tcBorders>
            <w:shd w:val="clear" w:color="auto" w:fill="CEFE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3.65</w:t>
            </w:r>
          </w:p>
        </w:tc>
        <w:tc>
          <w:tcPr>
            <w:tcW w:w="220" w:type="dxa"/>
            <w:vAlign w:val="bottom"/>
            <w:tcBorders>
              <w:bottom w:val="single" w:sz="8" w:color="auto"/>
            </w:tcBorders>
            <w:shd w:val="clear" w:color="auto" w:fill="CEFEE7"/>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3.28</w:t>
            </w:r>
          </w:p>
        </w:tc>
        <w:tc>
          <w:tcPr>
            <w:tcW w:w="540" w:type="dxa"/>
            <w:vAlign w:val="bottom"/>
            <w:tcBorders>
              <w:bottom w:val="single" w:sz="8" w:color="auto"/>
            </w:tcBorders>
            <w:shd w:val="clear" w:color="auto" w:fill="CEFEE7"/>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4.66</w:t>
            </w:r>
          </w:p>
        </w:tc>
      </w:tr>
      <w:tr>
        <w:trPr>
          <w:trHeight w:val="20"/>
        </w:trPr>
        <w:tc>
          <w:tcPr>
            <w:tcW w:w="6260" w:type="dxa"/>
            <w:vAlign w:val="bottom"/>
            <w:tcBorders>
              <w:top w:val="single" w:sz="8" w:color="CEFEE7"/>
            </w:tcBorders>
          </w:tcPr>
          <w:p>
            <w:pPr>
              <w:spacing w:after="0" w:line="20" w:lineRule="exact"/>
              <w:rPr>
                <w:sz w:val="1"/>
                <w:szCs w:val="1"/>
                <w:color w:val="auto"/>
              </w:rPr>
            </w:pPr>
          </w:p>
        </w:tc>
        <w:tc>
          <w:tcPr>
            <w:tcW w:w="380" w:type="dxa"/>
            <w:vAlign w:val="bottom"/>
            <w:tcBorders>
              <w:top w:val="single" w:sz="8" w:color="CEFEE7"/>
              <w:bottom w:val="single" w:sz="8" w:color="auto"/>
            </w:tcBorders>
          </w:tcPr>
          <w:p>
            <w:pPr>
              <w:spacing w:after="0" w:line="20" w:lineRule="exact"/>
              <w:rPr>
                <w:sz w:val="1"/>
                <w:szCs w:val="1"/>
                <w:color w:val="auto"/>
              </w:rPr>
            </w:pPr>
          </w:p>
        </w:tc>
        <w:tc>
          <w:tcPr>
            <w:tcW w:w="1280" w:type="dxa"/>
            <w:vAlign w:val="bottom"/>
            <w:tcBorders>
              <w:top w:val="single" w:sz="8" w:color="CEFEE7"/>
              <w:bottom w:val="single" w:sz="8" w:color="auto"/>
            </w:tcBorders>
          </w:tcPr>
          <w:p>
            <w:pPr>
              <w:spacing w:after="0" w:line="20" w:lineRule="exact"/>
              <w:rPr>
                <w:sz w:val="1"/>
                <w:szCs w:val="1"/>
                <w:color w:val="auto"/>
              </w:rPr>
            </w:pPr>
          </w:p>
        </w:tc>
        <w:tc>
          <w:tcPr>
            <w:tcW w:w="220" w:type="dxa"/>
            <w:vAlign w:val="bottom"/>
            <w:tcBorders>
              <w:top w:val="single" w:sz="8" w:color="CEFEE7"/>
              <w:bottom w:val="single" w:sz="8" w:color="auto"/>
            </w:tcBorders>
          </w:tcPr>
          <w:p>
            <w:pPr>
              <w:spacing w:after="0" w:line="20" w:lineRule="exact"/>
              <w:rPr>
                <w:sz w:val="1"/>
                <w:szCs w:val="1"/>
                <w:color w:val="auto"/>
              </w:rPr>
            </w:pPr>
          </w:p>
        </w:tc>
        <w:tc>
          <w:tcPr>
            <w:tcW w:w="1440" w:type="dxa"/>
            <w:vAlign w:val="bottom"/>
            <w:tcBorders>
              <w:top w:val="single" w:sz="8" w:color="CEFEE7"/>
              <w:bottom w:val="single" w:sz="8" w:color="auto"/>
            </w:tcBorders>
          </w:tcPr>
          <w:p>
            <w:pPr>
              <w:spacing w:after="0" w:line="20" w:lineRule="exact"/>
              <w:rPr>
                <w:sz w:val="1"/>
                <w:szCs w:val="1"/>
                <w:color w:val="auto"/>
              </w:rPr>
            </w:pPr>
          </w:p>
        </w:tc>
        <w:tc>
          <w:tcPr>
            <w:tcW w:w="540" w:type="dxa"/>
            <w:vAlign w:val="bottom"/>
            <w:tcBorders>
              <w:top w:val="single" w:sz="8" w:color="CEFEE7"/>
              <w:bottom w:val="single" w:sz="8" w:color="auto"/>
            </w:tcBorders>
          </w:tcPr>
          <w:p>
            <w:pPr>
              <w:spacing w:after="0" w:line="20" w:lineRule="exact"/>
              <w:rPr>
                <w:sz w:val="1"/>
                <w:szCs w:val="1"/>
                <w:color w:val="auto"/>
              </w:rPr>
            </w:pPr>
          </w:p>
        </w:tc>
        <w:tc>
          <w:tcPr>
            <w:tcW w:w="1120" w:type="dxa"/>
            <w:vAlign w:val="bottom"/>
            <w:tcBorders>
              <w:top w:val="single" w:sz="8" w:color="CEFEE7"/>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right="320" w:hanging="332"/>
        <w:spacing w:after="0" w:line="258" w:lineRule="auto"/>
        <w:tabs>
          <w:tab w:leader="none" w:pos="344"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2020 Compared to 2019</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ind w:left="660" w:right="34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COVID-19 related impacts to consolidated results included $3.6 million of lower gross margin driven primarily by lower volumes and waived customer late payment fees, $2.6 million of costs due to sequestration of essential employees and $3.3 million of additional bad debt expense which were partially offset by $3.8 million of lower travel, training, and outside services related expenses;</w:t>
      </w:r>
    </w:p>
    <w:p>
      <w:pPr>
        <w:spacing w:after="0" w:line="1" w:lineRule="exact"/>
        <w:rPr>
          <w:rFonts w:ascii="Arial" w:cs="Arial" w:eastAsia="Arial" w:hAnsi="Arial"/>
          <w:sz w:val="16"/>
          <w:szCs w:val="16"/>
          <w:color w:val="auto"/>
        </w:rPr>
      </w:pPr>
    </w:p>
    <w:p>
      <w:pPr>
        <w:ind w:left="660" w:right="22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Electric Utilities’ adjusted operating income decreased $4.2 million due to higher depreciation and amortization expense as a result of additional plant placed in service, lower commercial and industrial demand and COVID-19 impacts partially offset by benefits from the release of TCJA revenue reserves and increased rider revenues;</w:t>
      </w:r>
    </w:p>
    <w:p>
      <w:pPr>
        <w:spacing w:after="0" w:line="1" w:lineRule="exact"/>
        <w:rPr>
          <w:rFonts w:ascii="Arial" w:cs="Arial" w:eastAsia="Arial" w:hAnsi="Arial"/>
          <w:sz w:val="16"/>
          <w:szCs w:val="16"/>
          <w:color w:val="auto"/>
        </w:rPr>
      </w:pPr>
    </w:p>
    <w:p>
      <w:pPr>
        <w:ind w:left="660" w:right="10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Gas Utilities’ adjusted operating income increased $26 million primarily due to new customer rates in Wyoming and Nebraska and increased rider revenues, customer growth, mark-to-market gains on non-utility natural gas commodity contracts and prior year amortization of excess deferred income taxes partially offset by higher depreciation and amortization expense as a result of additional plant placed in service, COVID-19 impacts and unfavorable weather;</w:t>
      </w:r>
    </w:p>
    <w:p>
      <w:pPr>
        <w:spacing w:after="0" w:line="1" w:lineRule="exact"/>
        <w:rPr>
          <w:rFonts w:ascii="Arial" w:cs="Arial" w:eastAsia="Arial" w:hAnsi="Arial"/>
          <w:sz w:val="16"/>
          <w:szCs w:val="16"/>
          <w:color w:val="auto"/>
        </w:rPr>
      </w:pPr>
    </w:p>
    <w:p>
      <w:pPr>
        <w:ind w:left="660" w:right="24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Power Generation’s adjusted operating income decreased $2.7 million primarily due to higher depreciation and maintenance expense from new wind assets and expense related to the early retirement of certain assets;</w:t>
      </w: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Corporate and Other expenses decreased $3.1 million primarily due to lower unallocated employee costs;</w:t>
      </w:r>
    </w:p>
    <w:p>
      <w:pPr>
        <w:spacing w:after="0" w:line="5" w:lineRule="exact"/>
        <w:rPr>
          <w:rFonts w:ascii="Arial" w:cs="Arial" w:eastAsia="Arial" w:hAnsi="Arial"/>
          <w:sz w:val="16"/>
          <w:szCs w:val="16"/>
          <w:color w:val="auto"/>
        </w:rPr>
      </w:pPr>
    </w:p>
    <w:p>
      <w:pPr>
        <w:ind w:left="660" w:right="24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$6.9 million pre-tax non-cash impairment in 2020 of our investment in equity securities of a privately held oil and gas company compared to a similar $20 million impairment in 2019;</w:t>
      </w: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expense increased $5.8 million primarily due to higher debt balances partially offset by lower rates;</w:t>
      </w:r>
    </w:p>
    <w:p>
      <w:pPr>
        <w:spacing w:after="0" w:line="5" w:lineRule="exact"/>
        <w:rPr>
          <w:rFonts w:ascii="Arial" w:cs="Arial" w:eastAsia="Arial" w:hAnsi="Arial"/>
          <w:sz w:val="16"/>
          <w:szCs w:val="16"/>
          <w:color w:val="auto"/>
        </w:rPr>
      </w:pPr>
    </w:p>
    <w:p>
      <w:pPr>
        <w:ind w:left="660" w:right="8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expense decreased $3.4 million due to the prior year expensing of $5.4 million of development costs related to projects we no longer intend to construct partially offset by increased current year pension non-service costs; and</w:t>
      </w: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tax expense of $3.3 million primarily due to higher pre-tax income partially offset by a lower effective tax rate.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229"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Our gross margin measure may not be comparable to other companies’ gross margin measures.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years ended December 31 for the Electric Utilities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253"/>
        </w:trPr>
        <w:tc>
          <w:tcPr>
            <w:tcW w:w="3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3"/>
        </w:trPr>
        <w:tc>
          <w:tcPr>
            <w:tcW w:w="372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714,044</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center"/>
              <w:ind w:left="579"/>
              <w:spacing w:after="0"/>
              <w:rPr>
                <w:sz w:val="20"/>
                <w:szCs w:val="20"/>
                <w:color w:val="auto"/>
              </w:rPr>
            </w:pPr>
            <w:r>
              <w:rPr>
                <w:rFonts w:ascii="Arial" w:cs="Arial" w:eastAsia="Arial" w:hAnsi="Arial"/>
                <w:sz w:val="16"/>
                <w:szCs w:val="16"/>
                <w:color w:val="auto"/>
                <w:w w:val="99"/>
              </w:rPr>
              <w:t>1,292</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712,752</w:t>
            </w:r>
          </w:p>
        </w:tc>
        <w:tc>
          <w:tcPr>
            <w:tcW w:w="3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1,301</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711,451</w:t>
            </w:r>
          </w:p>
        </w:tc>
      </w:tr>
      <w:tr>
        <w:trPr>
          <w:trHeight w:val="253"/>
        </w:trPr>
        <w:tc>
          <w:tcPr>
            <w:tcW w:w="3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3"/>
        </w:trPr>
        <w:tc>
          <w:tcPr>
            <w:tcW w:w="372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fuel and purchased power</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267,045</w:t>
            </w:r>
          </w:p>
        </w:tc>
        <w:tc>
          <w:tcPr>
            <w:tcW w:w="3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center"/>
              <w:ind w:left="579"/>
              <w:spacing w:after="0"/>
              <w:rPr>
                <w:sz w:val="20"/>
                <w:szCs w:val="20"/>
                <w:color w:val="auto"/>
              </w:rPr>
            </w:pPr>
            <w:r>
              <w:rPr>
                <w:rFonts w:ascii="Arial" w:cs="Arial" w:eastAsia="Arial" w:hAnsi="Arial"/>
                <w:sz w:val="16"/>
                <w:szCs w:val="16"/>
                <w:color w:val="auto"/>
              </w:rPr>
              <w:t>(1,252)</w:t>
            </w:r>
          </w:p>
        </w:tc>
        <w:tc>
          <w:tcPr>
            <w:tcW w:w="34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268,297</w:t>
            </w:r>
          </w:p>
        </w:tc>
        <w:tc>
          <w:tcPr>
            <w:tcW w:w="32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(15,543)</w:t>
            </w:r>
          </w:p>
        </w:tc>
        <w:tc>
          <w:tcPr>
            <w:tcW w:w="34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283,840</w:t>
            </w:r>
          </w:p>
        </w:tc>
      </w:tr>
      <w:tr>
        <w:trPr>
          <w:trHeight w:val="253"/>
        </w:trPr>
        <w:tc>
          <w:tcPr>
            <w:tcW w:w="3720" w:type="dxa"/>
            <w:vAlign w:val="bottom"/>
            <w:tcBorders>
              <w:bottom w:val="single" w:sz="8" w:color="CEFFE7"/>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07"/>
        </w:trPr>
        <w:tc>
          <w:tcPr>
            <w:tcW w:w="3720" w:type="dxa"/>
            <w:vAlign w:val="bottom"/>
            <w:shd w:val="clear" w:color="auto" w:fill="CEFFE7"/>
          </w:tcPr>
          <w:p>
            <w:pPr>
              <w:ind w:left="20"/>
              <w:spacing w:after="0"/>
              <w:rPr>
                <w:sz w:val="20"/>
                <w:szCs w:val="20"/>
                <w:color w:val="auto"/>
              </w:rPr>
            </w:pPr>
            <w:r>
              <w:rPr>
                <w:rFonts w:ascii="Arial" w:cs="Arial" w:eastAsia="Arial" w:hAnsi="Arial"/>
                <w:sz w:val="16"/>
                <w:szCs w:val="16"/>
                <w:color w:val="auto"/>
              </w:rPr>
              <w:t>Gross margin (non-GAAP)</w:t>
            </w:r>
          </w:p>
        </w:tc>
        <w:tc>
          <w:tcPr>
            <w:tcW w:w="34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446,999</w:t>
            </w:r>
          </w:p>
        </w:tc>
        <w:tc>
          <w:tcPr>
            <w:tcW w:w="300" w:type="dxa"/>
            <w:vAlign w:val="bottom"/>
            <w:tcBorders>
              <w:bottom w:val="single" w:sz="8" w:color="auto"/>
            </w:tcBorders>
            <w:shd w:val="clear" w:color="auto" w:fill="CEFFE7"/>
          </w:tcPr>
          <w:p>
            <w:pPr>
              <w:spacing w:after="0"/>
              <w:rPr>
                <w:sz w:val="17"/>
                <w:szCs w:val="17"/>
                <w:color w:val="auto"/>
              </w:rPr>
            </w:pPr>
          </w:p>
        </w:tc>
        <w:tc>
          <w:tcPr>
            <w:tcW w:w="1220" w:type="dxa"/>
            <w:vAlign w:val="bottom"/>
            <w:tcBorders>
              <w:bottom w:val="single" w:sz="8" w:color="auto"/>
            </w:tcBorders>
            <w:shd w:val="clear" w:color="auto" w:fill="CEFFE7"/>
          </w:tcPr>
          <w:p>
            <w:pPr>
              <w:jc w:val="center"/>
              <w:ind w:left="579"/>
              <w:spacing w:after="0"/>
              <w:rPr>
                <w:sz w:val="20"/>
                <w:szCs w:val="20"/>
                <w:color w:val="auto"/>
              </w:rPr>
            </w:pPr>
            <w:r>
              <w:rPr>
                <w:rFonts w:ascii="Arial" w:cs="Arial" w:eastAsia="Arial" w:hAnsi="Arial"/>
                <w:sz w:val="16"/>
                <w:szCs w:val="16"/>
                <w:color w:val="auto"/>
                <w:w w:val="99"/>
              </w:rPr>
              <w:t>2,544</w:t>
            </w:r>
          </w:p>
        </w:tc>
        <w:tc>
          <w:tcPr>
            <w:tcW w:w="340" w:type="dxa"/>
            <w:vAlign w:val="bottom"/>
            <w:tcBorders>
              <w:bottom w:val="single" w:sz="8" w:color="auto"/>
            </w:tcBorders>
            <w:shd w:val="clear" w:color="auto" w:fill="CEFFE7"/>
          </w:tcPr>
          <w:p>
            <w:pPr>
              <w:spacing w:after="0"/>
              <w:rPr>
                <w:sz w:val="17"/>
                <w:szCs w:val="17"/>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444,455</w:t>
            </w:r>
          </w:p>
        </w:tc>
        <w:tc>
          <w:tcPr>
            <w:tcW w:w="320" w:type="dxa"/>
            <w:vAlign w:val="bottom"/>
            <w:tcBorders>
              <w:bottom w:val="single" w:sz="8" w:color="auto"/>
            </w:tcBorders>
            <w:shd w:val="clear" w:color="auto" w:fill="CEFFE7"/>
          </w:tcPr>
          <w:p>
            <w:pPr>
              <w:spacing w:after="0"/>
              <w:rPr>
                <w:sz w:val="17"/>
                <w:szCs w:val="17"/>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16,844</w:t>
            </w:r>
          </w:p>
        </w:tc>
        <w:tc>
          <w:tcPr>
            <w:tcW w:w="340" w:type="dxa"/>
            <w:vAlign w:val="bottom"/>
            <w:tcBorders>
              <w:bottom w:val="single" w:sz="8" w:color="auto"/>
            </w:tcBorders>
            <w:shd w:val="clear" w:color="auto" w:fill="CEFFE7"/>
          </w:tcPr>
          <w:p>
            <w:pPr>
              <w:spacing w:after="0"/>
              <w:rPr>
                <w:sz w:val="17"/>
                <w:szCs w:val="17"/>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427,611</w:t>
            </w:r>
          </w:p>
        </w:tc>
      </w:tr>
      <w:tr>
        <w:trPr>
          <w:trHeight w:val="253"/>
        </w:trPr>
        <w:tc>
          <w:tcPr>
            <w:tcW w:w="3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37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196,794</w:t>
            </w:r>
          </w:p>
        </w:tc>
        <w:tc>
          <w:tcPr>
            <w:tcW w:w="300" w:type="dxa"/>
            <w:vAlign w:val="bottom"/>
            <w:shd w:val="clear" w:color="auto" w:fill="CEFFE7"/>
          </w:tcPr>
          <w:p>
            <w:pPr>
              <w:spacing w:after="0"/>
              <w:rPr>
                <w:sz w:val="18"/>
                <w:szCs w:val="18"/>
                <w:color w:val="auto"/>
              </w:rPr>
            </w:pPr>
          </w:p>
        </w:tc>
        <w:tc>
          <w:tcPr>
            <w:tcW w:w="1220" w:type="dxa"/>
            <w:vAlign w:val="bottom"/>
            <w:shd w:val="clear" w:color="auto" w:fill="CEFFE7"/>
          </w:tcPr>
          <w:p>
            <w:pPr>
              <w:jc w:val="center"/>
              <w:ind w:left="579"/>
              <w:spacing w:after="0"/>
              <w:rPr>
                <w:sz w:val="20"/>
                <w:szCs w:val="20"/>
                <w:color w:val="auto"/>
              </w:rPr>
            </w:pPr>
            <w:r>
              <w:rPr>
                <w:rFonts w:ascii="Arial" w:cs="Arial" w:eastAsia="Arial" w:hAnsi="Arial"/>
                <w:sz w:val="16"/>
                <w:szCs w:val="16"/>
                <w:color w:val="auto"/>
                <w:w w:val="99"/>
              </w:rPr>
              <w:t>1,213</w:t>
            </w:r>
          </w:p>
        </w:tc>
        <w:tc>
          <w:tcPr>
            <w:tcW w:w="34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195,581</w:t>
            </w:r>
          </w:p>
        </w:tc>
        <w:tc>
          <w:tcPr>
            <w:tcW w:w="32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9,406</w:t>
            </w:r>
          </w:p>
        </w:tc>
        <w:tc>
          <w:tcPr>
            <w:tcW w:w="34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186,175</w:t>
            </w:r>
          </w:p>
        </w:tc>
      </w:tr>
      <w:tr>
        <w:trPr>
          <w:trHeight w:val="213"/>
        </w:trPr>
        <w:tc>
          <w:tcPr>
            <w:tcW w:w="37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94,150</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color w:val="auto"/>
                <w:w w:val="99"/>
              </w:rPr>
              <w:t>5,573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88,577</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85,567</w:t>
            </w:r>
          </w:p>
        </w:tc>
      </w:tr>
      <w:tr>
        <w:trPr>
          <w:trHeight w:val="209"/>
        </w:trPr>
        <w:tc>
          <w:tcPr>
            <w:tcW w:w="3720" w:type="dxa"/>
            <w:vAlign w:val="bottom"/>
            <w:shd w:val="clear" w:color="auto" w:fill="CEFFE7"/>
          </w:tcPr>
          <w:p>
            <w:pPr>
              <w:ind w:left="3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290,944</w:t>
            </w:r>
          </w:p>
        </w:tc>
        <w:tc>
          <w:tcPr>
            <w:tcW w:w="3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center"/>
              <w:ind w:left="579"/>
              <w:spacing w:after="0"/>
              <w:rPr>
                <w:sz w:val="20"/>
                <w:szCs w:val="20"/>
                <w:color w:val="auto"/>
              </w:rPr>
            </w:pPr>
            <w:r>
              <w:rPr>
                <w:rFonts w:ascii="Arial" w:cs="Arial" w:eastAsia="Arial" w:hAnsi="Arial"/>
                <w:sz w:val="16"/>
                <w:szCs w:val="16"/>
                <w:color w:val="auto"/>
                <w:w w:val="99"/>
              </w:rPr>
              <w:t>6,786</w:t>
            </w:r>
          </w:p>
        </w:tc>
        <w:tc>
          <w:tcPr>
            <w:tcW w:w="34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284,158</w:t>
            </w:r>
          </w:p>
        </w:tc>
        <w:tc>
          <w:tcPr>
            <w:tcW w:w="32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12,416</w:t>
            </w:r>
          </w:p>
        </w:tc>
        <w:tc>
          <w:tcPr>
            <w:tcW w:w="34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271,742</w:t>
            </w:r>
          </w:p>
        </w:tc>
      </w:tr>
      <w:tr>
        <w:trPr>
          <w:trHeight w:val="253"/>
        </w:trPr>
        <w:tc>
          <w:tcPr>
            <w:tcW w:w="3720" w:type="dxa"/>
            <w:vAlign w:val="bottom"/>
            <w:tcBorders>
              <w:bottom w:val="single" w:sz="8" w:color="CEFFE7"/>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35"/>
        </w:trPr>
        <w:tc>
          <w:tcPr>
            <w:tcW w:w="3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Adjusted operating income</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156,055</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center"/>
              <w:ind w:left="579"/>
              <w:spacing w:after="0"/>
              <w:rPr>
                <w:sz w:val="20"/>
                <w:szCs w:val="20"/>
                <w:color w:val="auto"/>
              </w:rPr>
            </w:pPr>
            <w:r>
              <w:rPr>
                <w:rFonts w:ascii="Arial" w:cs="Arial" w:eastAsia="Arial" w:hAnsi="Arial"/>
                <w:sz w:val="16"/>
                <w:szCs w:val="16"/>
                <w:color w:val="auto"/>
              </w:rPr>
              <w:t>(4,242)</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160,297</w:t>
            </w:r>
          </w:p>
        </w:tc>
        <w:tc>
          <w:tcPr>
            <w:tcW w:w="3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4,428</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155,869</w:t>
            </w:r>
          </w:p>
        </w:tc>
      </w:tr>
      <w:tr>
        <w:trPr>
          <w:trHeight w:val="20"/>
        </w:trPr>
        <w:tc>
          <w:tcPr>
            <w:tcW w:w="372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2020 Compared to 2019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increased over the prior year as a result of:</w:t>
      </w:r>
    </w:p>
    <w:p>
      <w:pPr>
        <w:spacing w:after="0" w:line="140"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Release of TCJA revenue reserves </w:t>
      </w:r>
      <w:r>
        <w:rPr>
          <w:rFonts w:ascii="Arial" w:cs="Arial" w:eastAsia="Arial" w:hAnsi="Arial"/>
          <w:sz w:val="21"/>
          <w:szCs w:val="21"/>
          <w:color w:val="auto"/>
          <w:vertAlign w:val="superscript"/>
        </w:rPr>
        <w:t>(a)</w:t>
      </w:r>
    </w:p>
    <w:p>
      <w:pPr>
        <w:ind w:left="40"/>
        <w:spacing w:after="0" w:line="217" w:lineRule="auto"/>
        <w:rPr>
          <w:sz w:val="20"/>
          <w:szCs w:val="20"/>
          <w:color w:val="auto"/>
        </w:rPr>
      </w:pPr>
      <w:r>
        <w:rPr>
          <w:rFonts w:ascii="Arial" w:cs="Arial" w:eastAsia="Arial" w:hAnsi="Arial"/>
          <w:sz w:val="16"/>
          <w:szCs w:val="16"/>
          <w:color w:val="auto"/>
        </w:rPr>
        <w:t xml:space="preserve">Rider recovery and true-up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Transmission services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customer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Lower commercial and industrial demand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COVID-19 impacts </w:t>
      </w:r>
      <w:r>
        <w:rPr>
          <w:rFonts w:ascii="Arial" w:cs="Arial" w:eastAsia="Arial" w:hAnsi="Arial"/>
          <w:sz w:val="21"/>
          <w:szCs w:val="21"/>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Weather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increase in Gross margin (non-GAAP)</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2.3</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1.4</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0.9</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13970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6" w:lineRule="exact"/>
        <w:rPr>
          <w:sz w:val="20"/>
          <w:szCs w:val="20"/>
          <w:color w:val="auto"/>
        </w:rPr>
      </w:pPr>
    </w:p>
    <w:p>
      <w:pPr>
        <w:spacing w:after="0"/>
        <w:tabs>
          <w:tab w:leader="none" w:pos="1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1397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9700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36195</wp:posOffset>
            </wp:positionV>
            <wp:extent cx="13970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8320" w:space="720"/>
            <w:col w:w="2200"/>
          </w:cols>
          <w:pgMar w:left="320" w:top="121" w:right="339" w:bottom="1440" w:gutter="0" w:footer="0" w:header="0"/>
          <w:type w:val="continuous"/>
        </w:sectPr>
      </w:pPr>
    </w:p>
    <w:p>
      <w:pPr>
        <w:ind w:left="340" w:right="140" w:hanging="332"/>
        <w:spacing w:after="0" w:line="241" w:lineRule="auto"/>
        <w:tabs>
          <w:tab w:leader="none" w:pos="3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In July 2020, regulatory proceedings resolved the last of the Company's open dockets seeking approval of its TCJA plans. As a result, the Company reversed certain TCJA-related liabilities, which resulted in an increase to Gross margin of $2.7 million. See </w:t>
      </w:r>
      <w:hyperlink w:anchor="page81">
        <w:r>
          <w:rPr>
            <w:rFonts w:ascii="Arial" w:cs="Arial" w:eastAsia="Arial" w:hAnsi="Arial"/>
            <w:sz w:val="14"/>
            <w:szCs w:val="14"/>
            <w:u w:val="single" w:color="auto"/>
            <w:color w:val="0000FF"/>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 for additional details.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Gross margin increased due to $3.5 million of rider revenues, which was partially offset by a $1.2 million rider true-up.</w:t>
      </w:r>
    </w:p>
    <w:p>
      <w:pPr>
        <w:spacing w:after="0" w:line="1" w:lineRule="exact"/>
        <w:rPr>
          <w:rFonts w:ascii="Arial" w:cs="Arial" w:eastAsia="Arial" w:hAnsi="Arial"/>
          <w:sz w:val="14"/>
          <w:szCs w:val="14"/>
          <w:color w:val="auto"/>
        </w:rPr>
      </w:pPr>
    </w:p>
    <w:p>
      <w:pPr>
        <w:ind w:left="340" w:right="40" w:hanging="332"/>
        <w:spacing w:after="0" w:line="258" w:lineRule="auto"/>
        <w:tabs>
          <w:tab w:leader="none" w:pos="341"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impacts to Electric Utilities’ gross margin from COVID-19 were primarily driven by reduced commercial volumes and waived customer late payment fees partially offset by higher residential usage.</w:t>
      </w:r>
    </w:p>
    <w:p>
      <w:pPr>
        <w:spacing w:after="0" w:line="218"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COVID-19 impacts which included $2.2 million of expenses related to the sequestration of essential employees and $0.8 million of additional bad debt expense which were partially offset by $1.2 million of lower travel, training and outside services related expenses. Additionally, lower employee costs of $1.9 million were partially offset by $1.0 million of higher property taxes due to a higher asset base driven by prior and current year capital expenditures.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higher asset base driven by prior and current year capital expenditures.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68"/>
              <w:spacing w:after="0"/>
              <w:rPr>
                <w:sz w:val="20"/>
                <w:szCs w:val="20"/>
                <w:color w:val="auto"/>
              </w:rPr>
            </w:pPr>
            <w:r>
              <w:rPr>
                <w:rFonts w:ascii="Arial" w:cs="Arial" w:eastAsia="Arial" w:hAnsi="Arial"/>
                <w:sz w:val="14"/>
                <w:szCs w:val="14"/>
                <w:color w:val="auto"/>
              </w:rPr>
              <w:t>Electric Revenue (in thousands)</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Quantities Sold (MWh)</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For the year ended December 31,</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color w:val="auto"/>
              </w:rPr>
              <w:t>2020</w:t>
            </w:r>
          </w:p>
        </w:tc>
        <w:tc>
          <w:tcPr>
            <w:tcW w:w="1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8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221,530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216,108</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
              <w:spacing w:after="0"/>
              <w:rPr>
                <w:sz w:val="20"/>
                <w:szCs w:val="20"/>
                <w:color w:val="auto"/>
              </w:rPr>
            </w:pPr>
            <w:r>
              <w:rPr>
                <w:rFonts w:ascii="Arial" w:cs="Arial" w:eastAsia="Arial" w:hAnsi="Arial"/>
                <w:sz w:val="14"/>
                <w:szCs w:val="14"/>
                <w:color w:val="auto"/>
              </w:rPr>
              <w:t>218,558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308"/>
              <w:spacing w:after="0"/>
              <w:rPr>
                <w:sz w:val="20"/>
                <w:szCs w:val="20"/>
                <w:color w:val="auto"/>
              </w:rPr>
            </w:pPr>
            <w:r>
              <w:rPr>
                <w:rFonts w:ascii="Arial" w:cs="Arial" w:eastAsia="Arial" w:hAnsi="Arial"/>
                <w:sz w:val="14"/>
                <w:szCs w:val="14"/>
                <w:color w:val="auto"/>
              </w:rPr>
              <w:t>1,477,514</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1,440,551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1,450,585</w:t>
            </w: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EFFE7"/>
          </w:tcPr>
          <w:p>
            <w:pPr>
              <w:ind w:left="2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EFFE7"/>
          </w:tcPr>
          <w:p>
            <w:pPr>
              <w:spacing w:after="0"/>
              <w:rPr>
                <w:sz w:val="16"/>
                <w:szCs w:val="16"/>
                <w:color w:val="auto"/>
              </w:rPr>
            </w:pPr>
          </w:p>
        </w:tc>
        <w:tc>
          <w:tcPr>
            <w:tcW w:w="66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680" w:type="dxa"/>
            <w:vAlign w:val="bottom"/>
            <w:shd w:val="clear" w:color="auto" w:fill="CEFFE7"/>
          </w:tcPr>
          <w:p>
            <w:pPr>
              <w:spacing w:after="0"/>
              <w:rPr>
                <w:sz w:val="16"/>
                <w:szCs w:val="16"/>
                <w:color w:val="auto"/>
              </w:rPr>
            </w:pPr>
          </w:p>
        </w:tc>
        <w:tc>
          <w:tcPr>
            <w:tcW w:w="240" w:type="dxa"/>
            <w:vAlign w:val="bottom"/>
            <w:shd w:val="clear" w:color="auto" w:fill="CEFFE7"/>
          </w:tcPr>
          <w:p>
            <w:pPr>
              <w:spacing w:after="0"/>
              <w:rPr>
                <w:sz w:val="16"/>
                <w:szCs w:val="16"/>
                <w:color w:val="auto"/>
              </w:rPr>
            </w:pPr>
          </w:p>
        </w:tc>
        <w:tc>
          <w:tcPr>
            <w:tcW w:w="820" w:type="dxa"/>
            <w:vAlign w:val="bottom"/>
            <w:gridSpan w:val="2"/>
            <w:shd w:val="clear" w:color="auto" w:fill="CEFFE7"/>
          </w:tcPr>
          <w:p>
            <w:pPr>
              <w:jc w:val="right"/>
              <w:spacing w:after="0"/>
              <w:rPr>
                <w:sz w:val="20"/>
                <w:szCs w:val="20"/>
                <w:color w:val="auto"/>
              </w:rPr>
            </w:pPr>
            <w:r>
              <w:rPr>
                <w:rFonts w:ascii="Arial" w:cs="Arial" w:eastAsia="Arial" w:hAnsi="Arial"/>
                <w:sz w:val="14"/>
                <w:szCs w:val="14"/>
                <w:color w:val="auto"/>
              </w:rPr>
              <w:t>239,166</w:t>
            </w:r>
          </w:p>
        </w:tc>
        <w:tc>
          <w:tcPr>
            <w:tcW w:w="240" w:type="dxa"/>
            <w:vAlign w:val="bottom"/>
            <w:shd w:val="clear" w:color="auto" w:fill="CEFFE7"/>
          </w:tcPr>
          <w:p>
            <w:pPr>
              <w:spacing w:after="0"/>
              <w:rPr>
                <w:sz w:val="16"/>
                <w:szCs w:val="16"/>
                <w:color w:val="auto"/>
              </w:rPr>
            </w:pPr>
          </w:p>
        </w:tc>
        <w:tc>
          <w:tcPr>
            <w:tcW w:w="940" w:type="dxa"/>
            <w:vAlign w:val="bottom"/>
            <w:gridSpan w:val="2"/>
            <w:shd w:val="clear" w:color="auto" w:fill="CEFFE7"/>
          </w:tcPr>
          <w:p>
            <w:pPr>
              <w:jc w:val="right"/>
              <w:spacing w:after="0"/>
              <w:rPr>
                <w:sz w:val="20"/>
                <w:szCs w:val="20"/>
                <w:color w:val="auto"/>
              </w:rPr>
            </w:pPr>
            <w:r>
              <w:rPr>
                <w:rFonts w:ascii="Arial" w:cs="Arial" w:eastAsia="Arial" w:hAnsi="Arial"/>
                <w:sz w:val="14"/>
                <w:szCs w:val="14"/>
                <w:color w:val="auto"/>
              </w:rPr>
              <w:t>246,704</w:t>
            </w:r>
          </w:p>
        </w:tc>
        <w:tc>
          <w:tcPr>
            <w:tcW w:w="140" w:type="dxa"/>
            <w:vAlign w:val="bottom"/>
            <w:shd w:val="clear" w:color="auto" w:fill="CEFFE7"/>
          </w:tcPr>
          <w:p>
            <w:pPr>
              <w:spacing w:after="0"/>
              <w:rPr>
                <w:sz w:val="16"/>
                <w:szCs w:val="16"/>
                <w:color w:val="auto"/>
              </w:rPr>
            </w:pPr>
          </w:p>
        </w:tc>
        <w:tc>
          <w:tcPr>
            <w:tcW w:w="1020" w:type="dxa"/>
            <w:vAlign w:val="bottom"/>
            <w:gridSpan w:val="3"/>
            <w:shd w:val="clear" w:color="auto" w:fill="CEFFE7"/>
          </w:tcPr>
          <w:p>
            <w:pPr>
              <w:jc w:val="right"/>
              <w:ind w:right="8"/>
              <w:spacing w:after="0"/>
              <w:rPr>
                <w:sz w:val="20"/>
                <w:szCs w:val="20"/>
                <w:color w:val="auto"/>
              </w:rPr>
            </w:pPr>
            <w:r>
              <w:rPr>
                <w:rFonts w:ascii="Arial" w:cs="Arial" w:eastAsia="Arial" w:hAnsi="Arial"/>
                <w:sz w:val="14"/>
                <w:szCs w:val="14"/>
                <w:color w:val="auto"/>
              </w:rPr>
              <w:t>250,894</w:t>
            </w:r>
          </w:p>
        </w:tc>
        <w:tc>
          <w:tcPr>
            <w:tcW w:w="120" w:type="dxa"/>
            <w:vAlign w:val="bottom"/>
            <w:shd w:val="clear" w:color="auto" w:fill="CEFFE7"/>
          </w:tcPr>
          <w:p>
            <w:pPr>
              <w:spacing w:after="0"/>
              <w:rPr>
                <w:sz w:val="16"/>
                <w:szCs w:val="16"/>
                <w:color w:val="auto"/>
              </w:rPr>
            </w:pPr>
          </w:p>
        </w:tc>
        <w:tc>
          <w:tcPr>
            <w:tcW w:w="320" w:type="dxa"/>
            <w:vAlign w:val="bottom"/>
            <w:shd w:val="clear" w:color="auto" w:fill="CEFFE7"/>
          </w:tcPr>
          <w:p>
            <w:pPr>
              <w:spacing w:after="0"/>
              <w:rPr>
                <w:sz w:val="16"/>
                <w:szCs w:val="16"/>
                <w:color w:val="auto"/>
              </w:rPr>
            </w:pPr>
          </w:p>
        </w:tc>
        <w:tc>
          <w:tcPr>
            <w:tcW w:w="1120" w:type="dxa"/>
            <w:vAlign w:val="bottom"/>
            <w:gridSpan w:val="2"/>
            <w:shd w:val="clear" w:color="auto" w:fill="CEFFE7"/>
          </w:tcPr>
          <w:p>
            <w:pPr>
              <w:jc w:val="right"/>
              <w:ind w:right="308"/>
              <w:spacing w:after="0"/>
              <w:rPr>
                <w:sz w:val="20"/>
                <w:szCs w:val="20"/>
                <w:color w:val="auto"/>
              </w:rPr>
            </w:pPr>
            <w:r>
              <w:rPr>
                <w:rFonts w:ascii="Arial" w:cs="Arial" w:eastAsia="Arial" w:hAnsi="Arial"/>
                <w:sz w:val="14"/>
                <w:szCs w:val="14"/>
                <w:color w:val="auto"/>
              </w:rPr>
              <w:t>1,974,043</w:t>
            </w:r>
          </w:p>
        </w:tc>
        <w:tc>
          <w:tcPr>
            <w:tcW w:w="110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2,055,253</w:t>
            </w:r>
          </w:p>
        </w:tc>
        <w:tc>
          <w:tcPr>
            <w:tcW w:w="8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2,034,917</w:t>
            </w: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Industrial</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131,154</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131,831</w:t>
            </w:r>
          </w:p>
        </w:tc>
        <w:tc>
          <w:tcPr>
            <w:tcW w:w="140" w:type="dxa"/>
            <w:vAlign w:val="bottom"/>
          </w:tcPr>
          <w:p>
            <w:pPr>
              <w:spacing w:after="0"/>
              <w:rPr>
                <w:sz w:val="16"/>
                <w:szCs w:val="16"/>
                <w:color w:val="auto"/>
              </w:rPr>
            </w:pPr>
          </w:p>
        </w:tc>
        <w:tc>
          <w:tcPr>
            <w:tcW w:w="1020" w:type="dxa"/>
            <w:vAlign w:val="bottom"/>
            <w:gridSpan w:val="3"/>
          </w:tcPr>
          <w:p>
            <w:pPr>
              <w:jc w:val="right"/>
              <w:ind w:right="8"/>
              <w:spacing w:after="0"/>
              <w:rPr>
                <w:sz w:val="20"/>
                <w:szCs w:val="20"/>
                <w:color w:val="auto"/>
              </w:rPr>
            </w:pPr>
            <w:r>
              <w:rPr>
                <w:rFonts w:ascii="Arial" w:cs="Arial" w:eastAsia="Arial" w:hAnsi="Arial"/>
                <w:sz w:val="14"/>
                <w:szCs w:val="14"/>
                <w:color w:val="auto"/>
              </w:rPr>
              <w:t>124,668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308"/>
              <w:spacing w:after="0"/>
              <w:rPr>
                <w:sz w:val="20"/>
                <w:szCs w:val="20"/>
                <w:color w:val="auto"/>
              </w:rPr>
            </w:pPr>
            <w:r>
              <w:rPr>
                <w:rFonts w:ascii="Arial" w:cs="Arial" w:eastAsia="Arial" w:hAnsi="Arial"/>
                <w:sz w:val="14"/>
                <w:szCs w:val="14"/>
                <w:color w:val="auto"/>
              </w:rPr>
              <w:t>1,794,795</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1,787,412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1,682,074</w:t>
            </w: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EFFE7"/>
          </w:tcPr>
          <w:p>
            <w:pPr>
              <w:ind w:left="20"/>
              <w:spacing w:after="0"/>
              <w:rPr>
                <w:sz w:val="20"/>
                <w:szCs w:val="20"/>
                <w:color w:val="auto"/>
              </w:rPr>
            </w:pPr>
            <w:r>
              <w:rPr>
                <w:rFonts w:ascii="Arial" w:cs="Arial" w:eastAsia="Arial" w:hAnsi="Arial"/>
                <w:sz w:val="14"/>
                <w:szCs w:val="14"/>
                <w:color w:val="auto"/>
              </w:rPr>
              <w:t>Municipal</w:t>
            </w:r>
          </w:p>
        </w:tc>
        <w:tc>
          <w:tcPr>
            <w:tcW w:w="220" w:type="dxa"/>
            <w:vAlign w:val="bottom"/>
            <w:shd w:val="clear" w:color="auto" w:fill="CEFFE7"/>
          </w:tcPr>
          <w:p>
            <w:pPr>
              <w:spacing w:after="0"/>
              <w:rPr>
                <w:sz w:val="16"/>
                <w:szCs w:val="16"/>
                <w:color w:val="auto"/>
              </w:rPr>
            </w:pPr>
          </w:p>
        </w:tc>
        <w:tc>
          <w:tcPr>
            <w:tcW w:w="66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680" w:type="dxa"/>
            <w:vAlign w:val="bottom"/>
            <w:shd w:val="clear" w:color="auto" w:fill="CEFFE7"/>
          </w:tcPr>
          <w:p>
            <w:pPr>
              <w:spacing w:after="0"/>
              <w:rPr>
                <w:sz w:val="16"/>
                <w:szCs w:val="16"/>
                <w:color w:val="auto"/>
              </w:rPr>
            </w:pPr>
          </w:p>
        </w:tc>
        <w:tc>
          <w:tcPr>
            <w:tcW w:w="240" w:type="dxa"/>
            <w:vAlign w:val="bottom"/>
            <w:tcBorders>
              <w:bottom w:val="single" w:sz="8" w:color="auto"/>
            </w:tcBorders>
            <w:shd w:val="clear" w:color="auto" w:fill="CEFFE7"/>
          </w:tcPr>
          <w:p>
            <w:pPr>
              <w:spacing w:after="0"/>
              <w:rPr>
                <w:sz w:val="16"/>
                <w:szCs w:val="16"/>
                <w:color w:val="auto"/>
              </w:rPr>
            </w:pPr>
          </w:p>
        </w:tc>
        <w:tc>
          <w:tcPr>
            <w:tcW w:w="8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4"/>
                <w:szCs w:val="14"/>
                <w:color w:val="auto"/>
              </w:rPr>
              <w:t>16,860</w:t>
            </w:r>
          </w:p>
        </w:tc>
        <w:tc>
          <w:tcPr>
            <w:tcW w:w="240" w:type="dxa"/>
            <w:vAlign w:val="bottom"/>
            <w:tcBorders>
              <w:bottom w:val="single" w:sz="8" w:color="auto"/>
            </w:tcBorders>
            <w:shd w:val="clear" w:color="auto" w:fill="CEFFE7"/>
          </w:tcPr>
          <w:p>
            <w:pPr>
              <w:spacing w:after="0"/>
              <w:rPr>
                <w:sz w:val="16"/>
                <w:szCs w:val="16"/>
                <w:color w:val="auto"/>
              </w:rPr>
            </w:pPr>
          </w:p>
        </w:tc>
        <w:tc>
          <w:tcPr>
            <w:tcW w:w="9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4"/>
                <w:szCs w:val="14"/>
                <w:color w:val="auto"/>
              </w:rPr>
              <w:t>17,206</w:t>
            </w:r>
          </w:p>
        </w:tc>
        <w:tc>
          <w:tcPr>
            <w:tcW w:w="140" w:type="dxa"/>
            <w:vAlign w:val="bottom"/>
            <w:tcBorders>
              <w:bottom w:val="single" w:sz="8" w:color="auto"/>
            </w:tcBorders>
            <w:shd w:val="clear" w:color="auto" w:fill="CEFFE7"/>
          </w:tcPr>
          <w:p>
            <w:pPr>
              <w:spacing w:after="0"/>
              <w:rPr>
                <w:sz w:val="16"/>
                <w:szCs w:val="16"/>
                <w:color w:val="auto"/>
              </w:rPr>
            </w:pPr>
          </w:p>
        </w:tc>
        <w:tc>
          <w:tcPr>
            <w:tcW w:w="480" w:type="dxa"/>
            <w:vAlign w:val="bottom"/>
            <w:tcBorders>
              <w:bottom w:val="single" w:sz="8" w:color="auto"/>
            </w:tcBorders>
            <w:shd w:val="clear" w:color="auto" w:fill="CEFFE7"/>
          </w:tcPr>
          <w:p>
            <w:pPr>
              <w:spacing w:after="0"/>
              <w:rPr>
                <w:sz w:val="16"/>
                <w:szCs w:val="16"/>
                <w:color w:val="auto"/>
              </w:rPr>
            </w:pPr>
          </w:p>
        </w:tc>
        <w:tc>
          <w:tcPr>
            <w:tcW w:w="540" w:type="dxa"/>
            <w:vAlign w:val="bottom"/>
            <w:tcBorders>
              <w:bottom w:val="single" w:sz="8" w:color="auto"/>
            </w:tcBorders>
            <w:gridSpan w:val="2"/>
            <w:shd w:val="clear" w:color="auto" w:fill="CEFFE7"/>
          </w:tcPr>
          <w:p>
            <w:pPr>
              <w:jc w:val="right"/>
              <w:ind w:right="8"/>
              <w:spacing w:after="0"/>
              <w:rPr>
                <w:sz w:val="20"/>
                <w:szCs w:val="20"/>
                <w:color w:val="auto"/>
              </w:rPr>
            </w:pPr>
            <w:r>
              <w:rPr>
                <w:rFonts w:ascii="Arial" w:cs="Arial" w:eastAsia="Arial" w:hAnsi="Arial"/>
                <w:sz w:val="14"/>
                <w:szCs w:val="14"/>
                <w:color w:val="auto"/>
              </w:rPr>
              <w:t>17,871</w:t>
            </w:r>
          </w:p>
        </w:tc>
        <w:tc>
          <w:tcPr>
            <w:tcW w:w="120" w:type="dxa"/>
            <w:vAlign w:val="bottom"/>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spacing w:after="0"/>
              <w:rPr>
                <w:sz w:val="16"/>
                <w:szCs w:val="16"/>
                <w:color w:val="auto"/>
              </w:rPr>
            </w:pPr>
          </w:p>
        </w:tc>
        <w:tc>
          <w:tcPr>
            <w:tcW w:w="1120" w:type="dxa"/>
            <w:vAlign w:val="bottom"/>
            <w:tcBorders>
              <w:bottom w:val="single" w:sz="8" w:color="auto"/>
            </w:tcBorders>
            <w:gridSpan w:val="2"/>
            <w:shd w:val="clear" w:color="auto" w:fill="CEFFE7"/>
          </w:tcPr>
          <w:p>
            <w:pPr>
              <w:jc w:val="right"/>
              <w:ind w:right="308"/>
              <w:spacing w:after="0"/>
              <w:rPr>
                <w:sz w:val="20"/>
                <w:szCs w:val="20"/>
                <w:color w:val="auto"/>
              </w:rPr>
            </w:pPr>
            <w:r>
              <w:rPr>
                <w:rFonts w:ascii="Arial" w:cs="Arial" w:eastAsia="Arial" w:hAnsi="Arial"/>
                <w:sz w:val="14"/>
                <w:szCs w:val="14"/>
                <w:color w:val="auto"/>
              </w:rPr>
              <w:t>158,222</w:t>
            </w:r>
          </w:p>
        </w:tc>
        <w:tc>
          <w:tcPr>
            <w:tcW w:w="1100" w:type="dxa"/>
            <w:vAlign w:val="bottom"/>
            <w:tcBorders>
              <w:bottom w:val="single" w:sz="8" w:color="auto"/>
            </w:tcBorders>
            <w:shd w:val="clear" w:color="auto" w:fill="CEFFE7"/>
          </w:tcPr>
          <w:p>
            <w:pPr>
              <w:jc w:val="right"/>
              <w:ind w:right="288"/>
              <w:spacing w:after="0"/>
              <w:rPr>
                <w:sz w:val="20"/>
                <w:szCs w:val="20"/>
                <w:color w:val="auto"/>
              </w:rPr>
            </w:pPr>
            <w:r>
              <w:rPr>
                <w:rFonts w:ascii="Arial" w:cs="Arial" w:eastAsia="Arial" w:hAnsi="Arial"/>
                <w:sz w:val="14"/>
                <w:szCs w:val="14"/>
                <w:color w:val="auto"/>
              </w:rPr>
              <w:t>157,298</w:t>
            </w:r>
          </w:p>
        </w:tc>
        <w:tc>
          <w:tcPr>
            <w:tcW w:w="8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160,913</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CEFFE7"/>
            </w:tcBorders>
            <w:gridSpan w:val="2"/>
          </w:tcPr>
          <w:p>
            <w:pPr>
              <w:ind w:left="220"/>
              <w:spacing w:after="0"/>
              <w:rPr>
                <w:sz w:val="20"/>
                <w:szCs w:val="20"/>
                <w:color w:val="auto"/>
              </w:rPr>
            </w:pPr>
            <w:r>
              <w:rPr>
                <w:rFonts w:ascii="Arial" w:cs="Arial" w:eastAsia="Arial" w:hAnsi="Arial"/>
                <w:sz w:val="14"/>
                <w:szCs w:val="14"/>
                <w:color w:val="auto"/>
              </w:rPr>
              <w:t>Subtotal Retail Revenue - Electric</w:t>
            </w:r>
          </w:p>
        </w:tc>
        <w:tc>
          <w:tcPr>
            <w:tcW w:w="220" w:type="dxa"/>
            <w:vAlign w:val="bottom"/>
            <w:tcBorders>
              <w:bottom w:val="single" w:sz="8" w:color="CEFFE7"/>
            </w:tcBorders>
          </w:tcPr>
          <w:p>
            <w:pPr>
              <w:spacing w:after="0"/>
              <w:rPr>
                <w:sz w:val="15"/>
                <w:szCs w:val="15"/>
                <w:color w:val="auto"/>
              </w:rPr>
            </w:pPr>
          </w:p>
        </w:tc>
        <w:tc>
          <w:tcPr>
            <w:tcW w:w="660" w:type="dxa"/>
            <w:vAlign w:val="bottom"/>
            <w:tcBorders>
              <w:bottom w:val="single" w:sz="8" w:color="CEFFE7"/>
            </w:tcBorders>
          </w:tcPr>
          <w:p>
            <w:pPr>
              <w:spacing w:after="0"/>
              <w:rPr>
                <w:sz w:val="15"/>
                <w:szCs w:val="15"/>
                <w:color w:val="auto"/>
              </w:rPr>
            </w:pPr>
          </w:p>
        </w:tc>
        <w:tc>
          <w:tcPr>
            <w:tcW w:w="220" w:type="dxa"/>
            <w:vAlign w:val="bottom"/>
            <w:tcBorders>
              <w:bottom w:val="single" w:sz="8" w:color="CEFFE7"/>
            </w:tcBorders>
          </w:tcPr>
          <w:p>
            <w:pPr>
              <w:spacing w:after="0"/>
              <w:rPr>
                <w:sz w:val="15"/>
                <w:szCs w:val="15"/>
                <w:color w:val="auto"/>
              </w:rPr>
            </w:pPr>
          </w:p>
        </w:tc>
        <w:tc>
          <w:tcPr>
            <w:tcW w:w="680" w:type="dxa"/>
            <w:vAlign w:val="bottom"/>
            <w:tcBorders>
              <w:bottom w:val="single" w:sz="8" w:color="CEFFE7"/>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608,710</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611,849</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611,991</w:t>
            </w:r>
          </w:p>
        </w:tc>
        <w:tc>
          <w:tcPr>
            <w:tcW w:w="120" w:type="dxa"/>
            <w:vAlign w:val="bottom"/>
            <w:tcBorders>
              <w:bottom w:val="single" w:sz="8" w:color="CEFFE7"/>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5,404,574</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5,440,514</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5,328,489</w:t>
            </w:r>
          </w:p>
        </w:tc>
        <w:tc>
          <w:tcPr>
            <w:tcW w:w="0" w:type="dxa"/>
            <w:vAlign w:val="bottom"/>
          </w:tcPr>
          <w:p>
            <w:pPr>
              <w:spacing w:after="0"/>
              <w:rPr>
                <w:sz w:val="1"/>
                <w:szCs w:val="1"/>
                <w:color w:val="auto"/>
              </w:rPr>
            </w:pPr>
          </w:p>
        </w:tc>
      </w:tr>
      <w:tr>
        <w:trPr>
          <w:trHeight w:val="183"/>
        </w:trPr>
        <w:tc>
          <w:tcPr>
            <w:tcW w:w="2480" w:type="dxa"/>
            <w:vAlign w:val="bottom"/>
            <w:gridSpan w:val="2"/>
            <w:shd w:val="clear" w:color="auto" w:fill="CEFFE7"/>
          </w:tcPr>
          <w:p>
            <w:pPr>
              <w:ind w:left="20"/>
              <w:spacing w:after="0" w:line="182" w:lineRule="exact"/>
              <w:rPr>
                <w:sz w:val="20"/>
                <w:szCs w:val="20"/>
                <w:color w:val="auto"/>
              </w:rPr>
            </w:pPr>
            <w:r>
              <w:rPr>
                <w:rFonts w:ascii="Arial" w:cs="Arial" w:eastAsia="Arial" w:hAnsi="Arial"/>
                <w:sz w:val="14"/>
                <w:szCs w:val="14"/>
                <w:color w:val="auto"/>
              </w:rPr>
              <w:t xml:space="preserve">Contract Wholesale </w:t>
            </w:r>
            <w:r>
              <w:rPr>
                <w:rFonts w:ascii="Arial" w:cs="Arial" w:eastAsia="Arial" w:hAnsi="Arial"/>
                <w:sz w:val="18"/>
                <w:szCs w:val="18"/>
                <w:color w:val="auto"/>
                <w:vertAlign w:val="superscript"/>
              </w:rPr>
              <w:t>(a)</w:t>
            </w:r>
          </w:p>
        </w:tc>
        <w:tc>
          <w:tcPr>
            <w:tcW w:w="220" w:type="dxa"/>
            <w:vAlign w:val="bottom"/>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68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20" w:type="dxa"/>
            <w:vAlign w:val="bottom"/>
            <w:gridSpan w:val="2"/>
            <w:shd w:val="clear" w:color="auto" w:fill="CEFFE7"/>
          </w:tcPr>
          <w:p>
            <w:pPr>
              <w:jc w:val="right"/>
              <w:spacing w:after="0"/>
              <w:rPr>
                <w:sz w:val="20"/>
                <w:szCs w:val="20"/>
                <w:color w:val="auto"/>
              </w:rPr>
            </w:pPr>
            <w:r>
              <w:rPr>
                <w:rFonts w:ascii="Arial" w:cs="Arial" w:eastAsia="Arial" w:hAnsi="Arial"/>
                <w:sz w:val="14"/>
                <w:szCs w:val="14"/>
                <w:color w:val="auto"/>
              </w:rPr>
              <w:t>17,847</w:t>
            </w:r>
          </w:p>
        </w:tc>
        <w:tc>
          <w:tcPr>
            <w:tcW w:w="240" w:type="dxa"/>
            <w:vAlign w:val="bottom"/>
            <w:shd w:val="clear" w:color="auto" w:fill="CEFFE7"/>
          </w:tcPr>
          <w:p>
            <w:pPr>
              <w:spacing w:after="0"/>
              <w:rPr>
                <w:sz w:val="15"/>
                <w:szCs w:val="15"/>
                <w:color w:val="auto"/>
              </w:rPr>
            </w:pPr>
          </w:p>
        </w:tc>
        <w:tc>
          <w:tcPr>
            <w:tcW w:w="940" w:type="dxa"/>
            <w:vAlign w:val="bottom"/>
            <w:gridSpan w:val="2"/>
            <w:shd w:val="clear" w:color="auto" w:fill="CEFFE7"/>
          </w:tcPr>
          <w:p>
            <w:pPr>
              <w:jc w:val="right"/>
              <w:spacing w:after="0"/>
              <w:rPr>
                <w:sz w:val="20"/>
                <w:szCs w:val="20"/>
                <w:color w:val="auto"/>
              </w:rPr>
            </w:pPr>
            <w:r>
              <w:rPr>
                <w:rFonts w:ascii="Arial" w:cs="Arial" w:eastAsia="Arial" w:hAnsi="Arial"/>
                <w:sz w:val="14"/>
                <w:szCs w:val="14"/>
                <w:color w:val="auto"/>
              </w:rPr>
              <w:t>19,078</w:t>
            </w:r>
          </w:p>
        </w:tc>
        <w:tc>
          <w:tcPr>
            <w:tcW w:w="140" w:type="dxa"/>
            <w:vAlign w:val="bottom"/>
            <w:shd w:val="clear" w:color="auto" w:fill="CEFFE7"/>
          </w:tcPr>
          <w:p>
            <w:pPr>
              <w:spacing w:after="0"/>
              <w:rPr>
                <w:sz w:val="15"/>
                <w:szCs w:val="15"/>
                <w:color w:val="auto"/>
              </w:rPr>
            </w:pPr>
          </w:p>
        </w:tc>
        <w:tc>
          <w:tcPr>
            <w:tcW w:w="480" w:type="dxa"/>
            <w:vAlign w:val="bottom"/>
            <w:shd w:val="clear" w:color="auto" w:fill="CEFFE7"/>
          </w:tcPr>
          <w:p>
            <w:pPr>
              <w:spacing w:after="0"/>
              <w:rPr>
                <w:sz w:val="15"/>
                <w:szCs w:val="15"/>
                <w:color w:val="auto"/>
              </w:rPr>
            </w:pPr>
          </w:p>
        </w:tc>
        <w:tc>
          <w:tcPr>
            <w:tcW w:w="540" w:type="dxa"/>
            <w:vAlign w:val="bottom"/>
            <w:gridSpan w:val="2"/>
            <w:shd w:val="clear" w:color="auto" w:fill="CEFFE7"/>
          </w:tcPr>
          <w:p>
            <w:pPr>
              <w:jc w:val="right"/>
              <w:ind w:right="8"/>
              <w:spacing w:after="0"/>
              <w:rPr>
                <w:sz w:val="20"/>
                <w:szCs w:val="20"/>
                <w:color w:val="auto"/>
              </w:rPr>
            </w:pPr>
            <w:r>
              <w:rPr>
                <w:rFonts w:ascii="Arial" w:cs="Arial" w:eastAsia="Arial" w:hAnsi="Arial"/>
                <w:sz w:val="14"/>
                <w:szCs w:val="14"/>
                <w:color w:val="auto"/>
              </w:rPr>
              <w:t>33,688</w:t>
            </w:r>
          </w:p>
        </w:tc>
        <w:tc>
          <w:tcPr>
            <w:tcW w:w="12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1120" w:type="dxa"/>
            <w:vAlign w:val="bottom"/>
            <w:gridSpan w:val="2"/>
            <w:shd w:val="clear" w:color="auto" w:fill="CEFFE7"/>
          </w:tcPr>
          <w:p>
            <w:pPr>
              <w:jc w:val="right"/>
              <w:ind w:right="308"/>
              <w:spacing w:after="0"/>
              <w:rPr>
                <w:sz w:val="20"/>
                <w:szCs w:val="20"/>
                <w:color w:val="auto"/>
              </w:rPr>
            </w:pPr>
            <w:r>
              <w:rPr>
                <w:rFonts w:ascii="Arial" w:cs="Arial" w:eastAsia="Arial" w:hAnsi="Arial"/>
                <w:sz w:val="14"/>
                <w:szCs w:val="14"/>
                <w:color w:val="auto"/>
              </w:rPr>
              <w:t>492,637</w:t>
            </w:r>
          </w:p>
        </w:tc>
        <w:tc>
          <w:tcPr>
            <w:tcW w:w="110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368,360</w:t>
            </w:r>
          </w:p>
        </w:tc>
        <w:tc>
          <w:tcPr>
            <w:tcW w:w="8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900,854</w:t>
            </w:r>
          </w:p>
        </w:tc>
        <w:tc>
          <w:tcPr>
            <w:tcW w:w="0" w:type="dxa"/>
            <w:vAlign w:val="bottom"/>
          </w:tcPr>
          <w:p>
            <w:pPr>
              <w:spacing w:after="0"/>
              <w:rPr>
                <w:sz w:val="1"/>
                <w:szCs w:val="1"/>
                <w:color w:val="auto"/>
              </w:rPr>
            </w:pPr>
          </w:p>
        </w:tc>
      </w:tr>
      <w:tr>
        <w:trPr>
          <w:trHeight w:val="189"/>
        </w:trPr>
        <w:tc>
          <w:tcPr>
            <w:tcW w:w="2700" w:type="dxa"/>
            <w:vAlign w:val="bottom"/>
            <w:gridSpan w:val="3"/>
          </w:tcPr>
          <w:p>
            <w:pPr>
              <w:ind w:left="20"/>
              <w:spacing w:after="0"/>
              <w:rPr>
                <w:sz w:val="20"/>
                <w:szCs w:val="20"/>
                <w:color w:val="auto"/>
              </w:rPr>
            </w:pPr>
            <w:r>
              <w:rPr>
                <w:rFonts w:ascii="Arial" w:cs="Arial" w:eastAsia="Arial" w:hAnsi="Arial"/>
                <w:sz w:val="14"/>
                <w:szCs w:val="14"/>
                <w:color w:val="auto"/>
              </w:rPr>
              <w:t>Off-system/Power Marketing Wholesale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24,308</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25,622</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4"/>
                <w:szCs w:val="14"/>
                <w:color w:val="auto"/>
              </w:rPr>
              <w:t>24,800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308"/>
              <w:spacing w:after="0"/>
              <w:rPr>
                <w:sz w:val="20"/>
                <w:szCs w:val="20"/>
                <w:color w:val="auto"/>
              </w:rPr>
            </w:pPr>
            <w:r>
              <w:rPr>
                <w:rFonts w:ascii="Arial" w:cs="Arial" w:eastAsia="Arial" w:hAnsi="Arial"/>
                <w:sz w:val="14"/>
                <w:szCs w:val="14"/>
                <w:color w:val="auto"/>
              </w:rPr>
              <w:t>648,928</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701,633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673,994</w:t>
            </w: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EFFE7"/>
          </w:tcPr>
          <w:p>
            <w:pPr>
              <w:ind w:left="2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EFFE7"/>
          </w:tcPr>
          <w:p>
            <w:pPr>
              <w:spacing w:after="0"/>
              <w:rPr>
                <w:sz w:val="16"/>
                <w:szCs w:val="16"/>
                <w:color w:val="auto"/>
              </w:rPr>
            </w:pPr>
          </w:p>
        </w:tc>
        <w:tc>
          <w:tcPr>
            <w:tcW w:w="66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680" w:type="dxa"/>
            <w:vAlign w:val="bottom"/>
            <w:shd w:val="clear" w:color="auto" w:fill="CEFFE7"/>
          </w:tcPr>
          <w:p>
            <w:pPr>
              <w:spacing w:after="0"/>
              <w:rPr>
                <w:sz w:val="16"/>
                <w:szCs w:val="16"/>
                <w:color w:val="auto"/>
              </w:rPr>
            </w:pPr>
          </w:p>
        </w:tc>
        <w:tc>
          <w:tcPr>
            <w:tcW w:w="240" w:type="dxa"/>
            <w:vAlign w:val="bottom"/>
            <w:tcBorders>
              <w:bottom w:val="single" w:sz="8" w:color="auto"/>
            </w:tcBorders>
            <w:shd w:val="clear" w:color="auto" w:fill="CEFFE7"/>
          </w:tcPr>
          <w:p>
            <w:pPr>
              <w:spacing w:after="0"/>
              <w:rPr>
                <w:sz w:val="16"/>
                <w:szCs w:val="16"/>
                <w:color w:val="auto"/>
              </w:rPr>
            </w:pPr>
          </w:p>
        </w:tc>
        <w:tc>
          <w:tcPr>
            <w:tcW w:w="8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4"/>
                <w:szCs w:val="14"/>
                <w:color w:val="auto"/>
              </w:rPr>
              <w:t>63,179</w:t>
            </w:r>
          </w:p>
        </w:tc>
        <w:tc>
          <w:tcPr>
            <w:tcW w:w="240" w:type="dxa"/>
            <w:vAlign w:val="bottom"/>
            <w:tcBorders>
              <w:bottom w:val="single" w:sz="8" w:color="auto"/>
            </w:tcBorders>
            <w:shd w:val="clear" w:color="auto" w:fill="CEFFE7"/>
          </w:tcPr>
          <w:p>
            <w:pPr>
              <w:spacing w:after="0"/>
              <w:rPr>
                <w:sz w:val="16"/>
                <w:szCs w:val="16"/>
                <w:color w:val="auto"/>
              </w:rPr>
            </w:pPr>
          </w:p>
        </w:tc>
        <w:tc>
          <w:tcPr>
            <w:tcW w:w="9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4"/>
                <w:szCs w:val="14"/>
                <w:color w:val="auto"/>
              </w:rPr>
              <w:t>56,203</w:t>
            </w:r>
          </w:p>
        </w:tc>
        <w:tc>
          <w:tcPr>
            <w:tcW w:w="140" w:type="dxa"/>
            <w:vAlign w:val="bottom"/>
            <w:tcBorders>
              <w:bottom w:val="single" w:sz="8" w:color="auto"/>
            </w:tcBorders>
            <w:shd w:val="clear" w:color="auto" w:fill="CEFFE7"/>
          </w:tcPr>
          <w:p>
            <w:pPr>
              <w:spacing w:after="0"/>
              <w:rPr>
                <w:sz w:val="16"/>
                <w:szCs w:val="16"/>
                <w:color w:val="auto"/>
              </w:rPr>
            </w:pPr>
          </w:p>
        </w:tc>
        <w:tc>
          <w:tcPr>
            <w:tcW w:w="480" w:type="dxa"/>
            <w:vAlign w:val="bottom"/>
            <w:tcBorders>
              <w:bottom w:val="single" w:sz="8" w:color="auto"/>
            </w:tcBorders>
            <w:shd w:val="clear" w:color="auto" w:fill="CEFFE7"/>
          </w:tcPr>
          <w:p>
            <w:pPr>
              <w:spacing w:after="0"/>
              <w:rPr>
                <w:sz w:val="16"/>
                <w:szCs w:val="16"/>
                <w:color w:val="auto"/>
              </w:rPr>
            </w:pPr>
          </w:p>
        </w:tc>
        <w:tc>
          <w:tcPr>
            <w:tcW w:w="540" w:type="dxa"/>
            <w:vAlign w:val="bottom"/>
            <w:tcBorders>
              <w:bottom w:val="single" w:sz="8" w:color="auto"/>
            </w:tcBorders>
            <w:gridSpan w:val="2"/>
            <w:shd w:val="clear" w:color="auto" w:fill="CEFFE7"/>
          </w:tcPr>
          <w:p>
            <w:pPr>
              <w:jc w:val="right"/>
              <w:ind w:right="8"/>
              <w:spacing w:after="0"/>
              <w:rPr>
                <w:sz w:val="20"/>
                <w:szCs w:val="20"/>
                <w:color w:val="auto"/>
              </w:rPr>
            </w:pPr>
            <w:r>
              <w:rPr>
                <w:rFonts w:ascii="Arial" w:cs="Arial" w:eastAsia="Arial" w:hAnsi="Arial"/>
                <w:sz w:val="14"/>
                <w:szCs w:val="14"/>
                <w:color w:val="auto"/>
              </w:rPr>
              <w:t>40,972</w:t>
            </w:r>
          </w:p>
        </w:tc>
        <w:tc>
          <w:tcPr>
            <w:tcW w:w="120" w:type="dxa"/>
            <w:vAlign w:val="bottom"/>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spacing w:after="0"/>
              <w:rPr>
                <w:sz w:val="16"/>
                <w:szCs w:val="16"/>
                <w:color w:val="auto"/>
              </w:rPr>
            </w:pPr>
          </w:p>
        </w:tc>
        <w:tc>
          <w:tcPr>
            <w:tcW w:w="12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EFFE7"/>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480" w:type="dxa"/>
            <w:vAlign w:val="bottom"/>
            <w:gridSpan w:val="2"/>
          </w:tcPr>
          <w:p>
            <w:pPr>
              <w:ind w:left="220"/>
              <w:spacing w:after="0"/>
              <w:rPr>
                <w:sz w:val="20"/>
                <w:szCs w:val="20"/>
                <w:color w:val="auto"/>
              </w:rPr>
            </w:pPr>
            <w:r>
              <w:rPr>
                <w:rFonts w:ascii="Arial" w:cs="Arial" w:eastAsia="Arial" w:hAnsi="Arial"/>
                <w:sz w:val="14"/>
                <w:szCs w:val="14"/>
                <w:color w:val="auto"/>
              </w:rPr>
              <w:t>Total Revenue and Energy Sold</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714,044</w:t>
            </w: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712,752</w:t>
            </w:r>
          </w:p>
        </w:tc>
        <w:tc>
          <w:tcPr>
            <w:tcW w:w="140" w:type="dxa"/>
            <w:vAlign w:val="bottom"/>
          </w:tcPr>
          <w:p>
            <w:pPr>
              <w:spacing w:after="0"/>
              <w:rPr>
                <w:sz w:val="15"/>
                <w:szCs w:val="15"/>
                <w:color w:val="auto"/>
              </w:rPr>
            </w:pPr>
          </w:p>
        </w:tc>
        <w:tc>
          <w:tcPr>
            <w:tcW w:w="1020" w:type="dxa"/>
            <w:vAlign w:val="bottom"/>
            <w:gridSpan w:val="3"/>
          </w:tcPr>
          <w:p>
            <w:pPr>
              <w:jc w:val="right"/>
              <w:ind w:right="8"/>
              <w:spacing w:after="0"/>
              <w:rPr>
                <w:sz w:val="20"/>
                <w:szCs w:val="20"/>
                <w:color w:val="auto"/>
              </w:rPr>
            </w:pPr>
            <w:r>
              <w:rPr>
                <w:rFonts w:ascii="Arial" w:cs="Arial" w:eastAsia="Arial" w:hAnsi="Arial"/>
                <w:sz w:val="14"/>
                <w:szCs w:val="14"/>
                <w:color w:val="auto"/>
              </w:rPr>
              <w:t>711,451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308"/>
              <w:spacing w:after="0"/>
              <w:rPr>
                <w:sz w:val="20"/>
                <w:szCs w:val="20"/>
                <w:color w:val="auto"/>
              </w:rPr>
            </w:pPr>
            <w:r>
              <w:rPr>
                <w:rFonts w:ascii="Arial" w:cs="Arial" w:eastAsia="Arial" w:hAnsi="Arial"/>
                <w:sz w:val="14"/>
                <w:szCs w:val="14"/>
                <w:color w:val="auto"/>
              </w:rPr>
              <w:t>6,546,139</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6,510,507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6,903,337</w:t>
            </w:r>
          </w:p>
        </w:tc>
        <w:tc>
          <w:tcPr>
            <w:tcW w:w="0" w:type="dxa"/>
            <w:vAlign w:val="bottom"/>
          </w:tcPr>
          <w:p>
            <w:pPr>
              <w:spacing w:after="0"/>
              <w:rPr>
                <w:sz w:val="1"/>
                <w:szCs w:val="1"/>
                <w:color w:val="auto"/>
              </w:rPr>
            </w:pPr>
          </w:p>
        </w:tc>
      </w:tr>
      <w:tr>
        <w:trPr>
          <w:trHeight w:val="189"/>
        </w:trPr>
        <w:tc>
          <w:tcPr>
            <w:tcW w:w="2700" w:type="dxa"/>
            <w:vAlign w:val="bottom"/>
            <w:gridSpan w:val="3"/>
            <w:shd w:val="clear" w:color="auto" w:fill="CEFFE7"/>
          </w:tcPr>
          <w:p>
            <w:pPr>
              <w:ind w:left="20"/>
              <w:spacing w:after="0" w:line="189" w:lineRule="exact"/>
              <w:rPr>
                <w:sz w:val="20"/>
                <w:szCs w:val="20"/>
                <w:color w:val="auto"/>
              </w:rPr>
            </w:pPr>
            <w:r>
              <w:rPr>
                <w:rFonts w:ascii="Arial" w:cs="Arial" w:eastAsia="Arial" w:hAnsi="Arial"/>
                <w:sz w:val="14"/>
                <w:szCs w:val="14"/>
                <w:color w:val="auto"/>
              </w:rPr>
              <w:t xml:space="preserve">Other Uses, Losses or Generation, net </w:t>
            </w:r>
            <w:r>
              <w:rPr>
                <w:rFonts w:ascii="Arial" w:cs="Arial" w:eastAsia="Arial" w:hAnsi="Arial"/>
                <w:sz w:val="18"/>
                <w:szCs w:val="18"/>
                <w:color w:val="auto"/>
                <w:vertAlign w:val="superscript"/>
              </w:rPr>
              <w:t>(b)</w:t>
            </w:r>
          </w:p>
        </w:tc>
        <w:tc>
          <w:tcPr>
            <w:tcW w:w="66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680" w:type="dxa"/>
            <w:vAlign w:val="bottom"/>
            <w:shd w:val="clear" w:color="auto" w:fill="CEFFE7"/>
          </w:tcPr>
          <w:p>
            <w:pPr>
              <w:spacing w:after="0"/>
              <w:rPr>
                <w:sz w:val="16"/>
                <w:szCs w:val="16"/>
                <w:color w:val="auto"/>
              </w:rPr>
            </w:pPr>
          </w:p>
        </w:tc>
        <w:tc>
          <w:tcPr>
            <w:tcW w:w="240" w:type="dxa"/>
            <w:vAlign w:val="bottom"/>
            <w:shd w:val="clear" w:color="auto" w:fill="CEFFE7"/>
          </w:tcPr>
          <w:p>
            <w:pPr>
              <w:spacing w:after="0"/>
              <w:rPr>
                <w:sz w:val="16"/>
                <w:szCs w:val="16"/>
                <w:color w:val="auto"/>
              </w:rPr>
            </w:pPr>
          </w:p>
        </w:tc>
        <w:tc>
          <w:tcPr>
            <w:tcW w:w="820" w:type="dxa"/>
            <w:vAlign w:val="bottom"/>
            <w:gridSpan w:val="2"/>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6"/>
                <w:szCs w:val="16"/>
                <w:color w:val="auto"/>
              </w:rPr>
            </w:pPr>
          </w:p>
        </w:tc>
        <w:tc>
          <w:tcPr>
            <w:tcW w:w="660" w:type="dxa"/>
            <w:vAlign w:val="bottom"/>
            <w:shd w:val="clear" w:color="auto" w:fill="CEFFE7"/>
          </w:tcPr>
          <w:p>
            <w:pPr>
              <w:spacing w:after="0"/>
              <w:rPr>
                <w:sz w:val="16"/>
                <w:szCs w:val="16"/>
                <w:color w:val="auto"/>
              </w:rPr>
            </w:pPr>
          </w:p>
        </w:tc>
        <w:tc>
          <w:tcPr>
            <w:tcW w:w="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6"/>
                <w:szCs w:val="16"/>
                <w:color w:val="auto"/>
              </w:rPr>
            </w:pPr>
          </w:p>
        </w:tc>
        <w:tc>
          <w:tcPr>
            <w:tcW w:w="480" w:type="dxa"/>
            <w:vAlign w:val="bottom"/>
            <w:shd w:val="clear" w:color="auto" w:fill="CEFFE7"/>
          </w:tcPr>
          <w:p>
            <w:pPr>
              <w:spacing w:after="0"/>
              <w:rPr>
                <w:sz w:val="16"/>
                <w:szCs w:val="16"/>
                <w:color w:val="auto"/>
              </w:rPr>
            </w:pPr>
          </w:p>
        </w:tc>
        <w:tc>
          <w:tcPr>
            <w:tcW w:w="240" w:type="dxa"/>
            <w:vAlign w:val="bottom"/>
            <w:shd w:val="clear" w:color="auto" w:fill="CEFFE7"/>
          </w:tcPr>
          <w:p>
            <w:pPr>
              <w:spacing w:after="0"/>
              <w:rPr>
                <w:sz w:val="16"/>
                <w:szCs w:val="16"/>
                <w:color w:val="auto"/>
              </w:rPr>
            </w:pPr>
          </w:p>
        </w:tc>
        <w:tc>
          <w:tcPr>
            <w:tcW w:w="740" w:type="dxa"/>
            <w:vAlign w:val="bottom"/>
            <w:gridSpan w:val="3"/>
            <w:shd w:val="clear" w:color="auto" w:fill="CEFFE7"/>
          </w:tcPr>
          <w:p>
            <w:pPr>
              <w:jc w:val="right"/>
              <w:ind w:right="5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EFFE7"/>
          </w:tcPr>
          <w:p>
            <w:pPr>
              <w:jc w:val="right"/>
              <w:ind w:right="308"/>
              <w:spacing w:after="0"/>
              <w:rPr>
                <w:sz w:val="20"/>
                <w:szCs w:val="20"/>
                <w:color w:val="auto"/>
              </w:rPr>
            </w:pPr>
            <w:r>
              <w:rPr>
                <w:rFonts w:ascii="Arial" w:cs="Arial" w:eastAsia="Arial" w:hAnsi="Arial"/>
                <w:sz w:val="14"/>
                <w:szCs w:val="14"/>
                <w:color w:val="auto"/>
              </w:rPr>
              <w:t>400,826</w:t>
            </w:r>
          </w:p>
        </w:tc>
        <w:tc>
          <w:tcPr>
            <w:tcW w:w="110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393,573</w:t>
            </w:r>
          </w:p>
        </w:tc>
        <w:tc>
          <w:tcPr>
            <w:tcW w:w="8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470,250</w:t>
            </w:r>
          </w:p>
        </w:tc>
        <w:tc>
          <w:tcPr>
            <w:tcW w:w="0" w:type="dxa"/>
            <w:vAlign w:val="bottom"/>
          </w:tcPr>
          <w:p>
            <w:pPr>
              <w:spacing w:after="0"/>
              <w:rPr>
                <w:sz w:val="1"/>
                <w:szCs w:val="1"/>
                <w:color w:val="auto"/>
              </w:rPr>
            </w:pPr>
          </w:p>
        </w:tc>
      </w:tr>
      <w:tr>
        <w:trPr>
          <w:trHeight w:val="183"/>
        </w:trPr>
        <w:tc>
          <w:tcPr>
            <w:tcW w:w="2480" w:type="dxa"/>
            <w:vAlign w:val="bottom"/>
            <w:gridSpan w:val="2"/>
          </w:tcPr>
          <w:p>
            <w:pPr>
              <w:ind w:left="220"/>
              <w:spacing w:after="0"/>
              <w:rPr>
                <w:sz w:val="20"/>
                <w:szCs w:val="20"/>
                <w:color w:val="auto"/>
              </w:rPr>
            </w:pPr>
            <w:r>
              <w:rPr>
                <w:rFonts w:ascii="Arial" w:cs="Arial" w:eastAsia="Arial" w:hAnsi="Arial"/>
                <w:sz w:val="14"/>
                <w:szCs w:val="14"/>
                <w:color w:val="auto"/>
              </w:rPr>
              <w:t>Total Revenue and Energy</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714,044</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712,752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4"/>
                <w:szCs w:val="14"/>
                <w:color w:val="auto"/>
              </w:rPr>
              <w:t>711,451</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6,946,965</w:t>
            </w:r>
          </w:p>
        </w:tc>
        <w:tc>
          <w:tcPr>
            <w:tcW w:w="11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6,904,080</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7,373,587</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EFFE7"/>
            </w:tcBorders>
          </w:tcPr>
          <w:p>
            <w:pPr>
              <w:spacing w:after="0" w:line="20" w:lineRule="exact"/>
              <w:rPr>
                <w:sz w:val="1"/>
                <w:szCs w:val="1"/>
                <w:color w:val="auto"/>
              </w:rPr>
            </w:pPr>
          </w:p>
        </w:tc>
        <w:tc>
          <w:tcPr>
            <w:tcW w:w="2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CEFFE7"/>
            </w:tcBorders>
          </w:tcPr>
          <w:p>
            <w:pPr>
              <w:spacing w:after="0" w:line="20" w:lineRule="exact"/>
              <w:rPr>
                <w:sz w:val="1"/>
                <w:szCs w:val="1"/>
                <w:color w:val="auto"/>
              </w:rPr>
            </w:pPr>
          </w:p>
        </w:tc>
        <w:tc>
          <w:tcPr>
            <w:tcW w:w="66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CEFFE7"/>
            </w:tcBorders>
          </w:tcPr>
          <w:p>
            <w:pPr>
              <w:spacing w:after="0" w:line="20" w:lineRule="exact"/>
              <w:rPr>
                <w:sz w:val="1"/>
                <w:szCs w:val="1"/>
                <w:color w:val="auto"/>
              </w:rPr>
            </w:pPr>
          </w:p>
        </w:tc>
        <w:tc>
          <w:tcPr>
            <w:tcW w:w="680" w:type="dxa"/>
            <w:vAlign w:val="bottom"/>
            <w:tcBorders>
              <w:bottom w:val="single" w:sz="8" w:color="CEFFE7"/>
            </w:tcBorders>
          </w:tcPr>
          <w:p>
            <w:pPr>
              <w:spacing w:after="0" w:line="20" w:lineRule="exact"/>
              <w:rPr>
                <w:sz w:val="1"/>
                <w:szCs w:val="1"/>
                <w:color w:val="auto"/>
              </w:rPr>
            </w:pPr>
          </w:p>
        </w:tc>
        <w:tc>
          <w:tcPr>
            <w:tcW w:w="240" w:type="dxa"/>
            <w:vAlign w:val="bottom"/>
            <w:tcBorders>
              <w:bottom w:val="single" w:sz="8" w:color="CEFFE7"/>
            </w:tcBorders>
          </w:tcPr>
          <w:p>
            <w:pPr>
              <w:spacing w:after="0" w:line="20" w:lineRule="exact"/>
              <w:rPr>
                <w:sz w:val="1"/>
                <w:szCs w:val="1"/>
                <w:color w:val="auto"/>
              </w:rPr>
            </w:pPr>
          </w:p>
        </w:tc>
        <w:tc>
          <w:tcPr>
            <w:tcW w:w="720" w:type="dxa"/>
            <w:vAlign w:val="bottom"/>
            <w:tcBorders>
              <w:bottom w:val="single" w:sz="8" w:color="CEFFE7"/>
            </w:tcBorders>
          </w:tcPr>
          <w:p>
            <w:pPr>
              <w:spacing w:after="0" w:line="20" w:lineRule="exact"/>
              <w:rPr>
                <w:sz w:val="1"/>
                <w:szCs w:val="1"/>
                <w:color w:val="auto"/>
              </w:rPr>
            </w:pPr>
          </w:p>
        </w:tc>
        <w:tc>
          <w:tcPr>
            <w:tcW w:w="100" w:type="dxa"/>
            <w:vAlign w:val="bottom"/>
            <w:tcBorders>
              <w:bottom w:val="single" w:sz="8" w:color="CEFFE7"/>
            </w:tcBorders>
          </w:tcPr>
          <w:p>
            <w:pPr>
              <w:spacing w:after="0" w:line="20" w:lineRule="exact"/>
              <w:rPr>
                <w:sz w:val="1"/>
                <w:szCs w:val="1"/>
                <w:color w:val="auto"/>
              </w:rPr>
            </w:pPr>
          </w:p>
        </w:tc>
        <w:tc>
          <w:tcPr>
            <w:tcW w:w="240" w:type="dxa"/>
            <w:vAlign w:val="bottom"/>
            <w:tcBorders>
              <w:bottom w:val="single" w:sz="8" w:color="CEFFE7"/>
            </w:tcBorders>
          </w:tcPr>
          <w:p>
            <w:pPr>
              <w:spacing w:after="0" w:line="20" w:lineRule="exact"/>
              <w:rPr>
                <w:sz w:val="1"/>
                <w:szCs w:val="1"/>
                <w:color w:val="auto"/>
              </w:rPr>
            </w:pPr>
          </w:p>
        </w:tc>
        <w:tc>
          <w:tcPr>
            <w:tcW w:w="660" w:type="dxa"/>
            <w:vAlign w:val="bottom"/>
            <w:tcBorders>
              <w:bottom w:val="single" w:sz="8" w:color="CEFFE7"/>
            </w:tcBorders>
          </w:tcPr>
          <w:p>
            <w:pPr>
              <w:spacing w:after="0" w:line="20" w:lineRule="exact"/>
              <w:rPr>
                <w:sz w:val="1"/>
                <w:szCs w:val="1"/>
                <w:color w:val="auto"/>
              </w:rPr>
            </w:pPr>
          </w:p>
        </w:tc>
        <w:tc>
          <w:tcPr>
            <w:tcW w:w="280" w:type="dxa"/>
            <w:vAlign w:val="bottom"/>
            <w:tcBorders>
              <w:bottom w:val="single" w:sz="8" w:color="CEFFE7"/>
            </w:tcBorders>
          </w:tcPr>
          <w:p>
            <w:pPr>
              <w:spacing w:after="0" w:line="20" w:lineRule="exact"/>
              <w:rPr>
                <w:sz w:val="1"/>
                <w:szCs w:val="1"/>
                <w:color w:val="auto"/>
              </w:rPr>
            </w:pPr>
          </w:p>
        </w:tc>
        <w:tc>
          <w:tcPr>
            <w:tcW w:w="140" w:type="dxa"/>
            <w:vAlign w:val="bottom"/>
            <w:tcBorders>
              <w:bottom w:val="single" w:sz="8" w:color="CEFFE7"/>
            </w:tcBorders>
          </w:tcPr>
          <w:p>
            <w:pPr>
              <w:spacing w:after="0" w:line="20" w:lineRule="exact"/>
              <w:rPr>
                <w:sz w:val="1"/>
                <w:szCs w:val="1"/>
                <w:color w:val="auto"/>
              </w:rPr>
            </w:pPr>
          </w:p>
        </w:tc>
        <w:tc>
          <w:tcPr>
            <w:tcW w:w="480" w:type="dxa"/>
            <w:vAlign w:val="bottom"/>
            <w:tcBorders>
              <w:bottom w:val="single" w:sz="8" w:color="CEFFE7"/>
            </w:tcBorders>
          </w:tcPr>
          <w:p>
            <w:pPr>
              <w:spacing w:after="0" w:line="20" w:lineRule="exact"/>
              <w:rPr>
                <w:sz w:val="1"/>
                <w:szCs w:val="1"/>
                <w:color w:val="auto"/>
              </w:rPr>
            </w:pPr>
          </w:p>
        </w:tc>
        <w:tc>
          <w:tcPr>
            <w:tcW w:w="240" w:type="dxa"/>
            <w:vAlign w:val="bottom"/>
            <w:tcBorders>
              <w:bottom w:val="single" w:sz="8" w:color="CEFFE7"/>
            </w:tcBorders>
          </w:tcPr>
          <w:p>
            <w:pPr>
              <w:spacing w:after="0" w:line="20" w:lineRule="exact"/>
              <w:rPr>
                <w:sz w:val="1"/>
                <w:szCs w:val="1"/>
                <w:color w:val="auto"/>
              </w:rPr>
            </w:pPr>
          </w:p>
        </w:tc>
        <w:tc>
          <w:tcPr>
            <w:tcW w:w="300" w:type="dxa"/>
            <w:vAlign w:val="bottom"/>
            <w:tcBorders>
              <w:bottom w:val="single" w:sz="8" w:color="CEFFE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gridSpan w:val="2"/>
            <w:shd w:val="clear" w:color="auto" w:fill="CEFFE7"/>
          </w:tcPr>
          <w:p>
            <w:pPr>
              <w:ind w:left="20"/>
              <w:spacing w:after="0" w:line="156" w:lineRule="exact"/>
              <w:rPr>
                <w:sz w:val="20"/>
                <w:szCs w:val="20"/>
                <w:color w:val="auto"/>
              </w:rPr>
            </w:pPr>
            <w:r>
              <w:rPr>
                <w:rFonts w:ascii="Arial" w:cs="Arial" w:eastAsia="Arial" w:hAnsi="Arial"/>
                <w:sz w:val="14"/>
                <w:szCs w:val="14"/>
                <w:color w:val="auto"/>
              </w:rPr>
              <w:t>Less cost of fuel and purchased power</w:t>
            </w:r>
          </w:p>
        </w:tc>
        <w:tc>
          <w:tcPr>
            <w:tcW w:w="220" w:type="dxa"/>
            <w:vAlign w:val="bottom"/>
            <w:shd w:val="clear" w:color="auto" w:fill="CEFFE7"/>
          </w:tcPr>
          <w:p>
            <w:pPr>
              <w:spacing w:after="0"/>
              <w:rPr>
                <w:sz w:val="13"/>
                <w:szCs w:val="13"/>
                <w:color w:val="auto"/>
              </w:rPr>
            </w:pPr>
          </w:p>
        </w:tc>
        <w:tc>
          <w:tcPr>
            <w:tcW w:w="660" w:type="dxa"/>
            <w:vAlign w:val="bottom"/>
            <w:shd w:val="clear" w:color="auto" w:fill="CEFFE7"/>
          </w:tcPr>
          <w:p>
            <w:pPr>
              <w:spacing w:after="0"/>
              <w:rPr>
                <w:sz w:val="13"/>
                <w:szCs w:val="13"/>
                <w:color w:val="auto"/>
              </w:rPr>
            </w:pPr>
          </w:p>
        </w:tc>
        <w:tc>
          <w:tcPr>
            <w:tcW w:w="220" w:type="dxa"/>
            <w:vAlign w:val="bottom"/>
            <w:shd w:val="clear" w:color="auto" w:fill="CEFFE7"/>
          </w:tcPr>
          <w:p>
            <w:pPr>
              <w:spacing w:after="0"/>
              <w:rPr>
                <w:sz w:val="13"/>
                <w:szCs w:val="13"/>
                <w:color w:val="auto"/>
              </w:rPr>
            </w:pPr>
          </w:p>
        </w:tc>
        <w:tc>
          <w:tcPr>
            <w:tcW w:w="680" w:type="dxa"/>
            <w:vAlign w:val="bottom"/>
            <w:shd w:val="clear" w:color="auto" w:fill="CEFFE7"/>
          </w:tcPr>
          <w:p>
            <w:pPr>
              <w:spacing w:after="0"/>
              <w:rPr>
                <w:sz w:val="13"/>
                <w:szCs w:val="13"/>
                <w:color w:val="auto"/>
              </w:rPr>
            </w:pPr>
          </w:p>
        </w:tc>
        <w:tc>
          <w:tcPr>
            <w:tcW w:w="240" w:type="dxa"/>
            <w:vAlign w:val="bottom"/>
            <w:tcBorders>
              <w:bottom w:val="single" w:sz="8" w:color="auto"/>
            </w:tcBorders>
            <w:shd w:val="clear" w:color="auto" w:fill="CEFFE7"/>
          </w:tcPr>
          <w:p>
            <w:pPr>
              <w:spacing w:after="0"/>
              <w:rPr>
                <w:sz w:val="13"/>
                <w:szCs w:val="13"/>
                <w:color w:val="auto"/>
              </w:rPr>
            </w:pPr>
          </w:p>
        </w:tc>
        <w:tc>
          <w:tcPr>
            <w:tcW w:w="820" w:type="dxa"/>
            <w:vAlign w:val="bottom"/>
            <w:tcBorders>
              <w:bottom w:val="single" w:sz="8" w:color="auto"/>
            </w:tcBorders>
            <w:gridSpan w:val="2"/>
            <w:shd w:val="clear" w:color="auto" w:fill="CEFFE7"/>
          </w:tcPr>
          <w:p>
            <w:pPr>
              <w:jc w:val="right"/>
              <w:spacing w:after="0" w:line="156" w:lineRule="exact"/>
              <w:rPr>
                <w:sz w:val="20"/>
                <w:szCs w:val="20"/>
                <w:color w:val="auto"/>
              </w:rPr>
            </w:pPr>
            <w:r>
              <w:rPr>
                <w:rFonts w:ascii="Arial" w:cs="Arial" w:eastAsia="Arial" w:hAnsi="Arial"/>
                <w:sz w:val="14"/>
                <w:szCs w:val="14"/>
                <w:color w:val="auto"/>
              </w:rPr>
              <w:t>267,045</w:t>
            </w:r>
          </w:p>
        </w:tc>
        <w:tc>
          <w:tcPr>
            <w:tcW w:w="240" w:type="dxa"/>
            <w:vAlign w:val="bottom"/>
            <w:tcBorders>
              <w:bottom w:val="single" w:sz="8" w:color="auto"/>
            </w:tcBorders>
            <w:shd w:val="clear" w:color="auto" w:fill="CEFFE7"/>
          </w:tcPr>
          <w:p>
            <w:pPr>
              <w:spacing w:after="0"/>
              <w:rPr>
                <w:sz w:val="13"/>
                <w:szCs w:val="13"/>
                <w:color w:val="auto"/>
              </w:rPr>
            </w:pPr>
          </w:p>
        </w:tc>
        <w:tc>
          <w:tcPr>
            <w:tcW w:w="940" w:type="dxa"/>
            <w:vAlign w:val="bottom"/>
            <w:tcBorders>
              <w:bottom w:val="single" w:sz="8" w:color="auto"/>
            </w:tcBorders>
            <w:gridSpan w:val="2"/>
            <w:shd w:val="clear" w:color="auto" w:fill="CEFFE7"/>
          </w:tcPr>
          <w:p>
            <w:pPr>
              <w:jc w:val="right"/>
              <w:spacing w:after="0" w:line="156" w:lineRule="exact"/>
              <w:rPr>
                <w:sz w:val="20"/>
                <w:szCs w:val="20"/>
                <w:color w:val="auto"/>
              </w:rPr>
            </w:pPr>
            <w:r>
              <w:rPr>
                <w:rFonts w:ascii="Arial" w:cs="Arial" w:eastAsia="Arial" w:hAnsi="Arial"/>
                <w:sz w:val="14"/>
                <w:szCs w:val="14"/>
                <w:color w:val="auto"/>
              </w:rPr>
              <w:t>268,297</w:t>
            </w:r>
          </w:p>
        </w:tc>
        <w:tc>
          <w:tcPr>
            <w:tcW w:w="140" w:type="dxa"/>
            <w:vAlign w:val="bottom"/>
            <w:tcBorders>
              <w:bottom w:val="single" w:sz="8" w:color="auto"/>
            </w:tcBorders>
            <w:shd w:val="clear" w:color="auto" w:fill="CEFFE7"/>
          </w:tcPr>
          <w:p>
            <w:pPr>
              <w:spacing w:after="0"/>
              <w:rPr>
                <w:sz w:val="13"/>
                <w:szCs w:val="13"/>
                <w:color w:val="auto"/>
              </w:rPr>
            </w:pPr>
          </w:p>
        </w:tc>
        <w:tc>
          <w:tcPr>
            <w:tcW w:w="1020" w:type="dxa"/>
            <w:vAlign w:val="bottom"/>
            <w:tcBorders>
              <w:bottom w:val="single" w:sz="8" w:color="auto"/>
            </w:tcBorders>
            <w:gridSpan w:val="3"/>
            <w:shd w:val="clear" w:color="auto" w:fill="CEFFE7"/>
          </w:tcPr>
          <w:p>
            <w:pPr>
              <w:jc w:val="right"/>
              <w:ind w:right="8"/>
              <w:spacing w:after="0" w:line="156" w:lineRule="exact"/>
              <w:rPr>
                <w:sz w:val="20"/>
                <w:szCs w:val="20"/>
                <w:color w:val="auto"/>
              </w:rPr>
            </w:pPr>
            <w:r>
              <w:rPr>
                <w:rFonts w:ascii="Arial" w:cs="Arial" w:eastAsia="Arial" w:hAnsi="Arial"/>
                <w:sz w:val="14"/>
                <w:szCs w:val="14"/>
                <w:color w:val="auto"/>
              </w:rPr>
              <w:t>283,840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80" w:type="dxa"/>
            <w:vAlign w:val="bottom"/>
            <w:gridSpan w:val="2"/>
          </w:tcPr>
          <w:p>
            <w:pPr>
              <w:ind w:left="220"/>
              <w:spacing w:after="0"/>
              <w:rPr>
                <w:sz w:val="20"/>
                <w:szCs w:val="20"/>
                <w:color w:val="auto"/>
              </w:rPr>
            </w:pPr>
            <w:r>
              <w:rPr>
                <w:rFonts w:ascii="Arial" w:cs="Arial" w:eastAsia="Arial" w:hAnsi="Arial"/>
                <w:sz w:val="14"/>
                <w:szCs w:val="14"/>
                <w:color w:val="auto"/>
              </w:rPr>
              <w:t>Gross Margin (non-GAAP)</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446,999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444,455</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427,611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2"/>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6"/>
            <w:vMerge w:val="restart"/>
          </w:tcPr>
          <w:p>
            <w:pPr>
              <w:jc w:val="right"/>
              <w:ind w:right="460"/>
              <w:spacing w:after="0"/>
              <w:rPr>
                <w:sz w:val="20"/>
                <w:szCs w:val="20"/>
                <w:color w:val="auto"/>
              </w:rPr>
            </w:pPr>
            <w:r>
              <w:rPr>
                <w:rFonts w:ascii="Arial" w:cs="Arial" w:eastAsia="Arial" w:hAnsi="Arial"/>
                <w:sz w:val="14"/>
                <w:szCs w:val="14"/>
                <w:color w:val="auto"/>
              </w:rPr>
              <w:t>Electric Revenue (in thousands)</w:t>
            </w:r>
          </w:p>
        </w:tc>
        <w:tc>
          <w:tcPr>
            <w:tcW w:w="240" w:type="dxa"/>
            <w:vAlign w:val="bottom"/>
          </w:tcPr>
          <w:p>
            <w:pPr>
              <w:spacing w:after="0"/>
              <w:rPr>
                <w:sz w:val="24"/>
                <w:szCs w:val="24"/>
                <w:color w:val="auto"/>
              </w:rPr>
            </w:pPr>
          </w:p>
        </w:tc>
        <w:tc>
          <w:tcPr>
            <w:tcW w:w="2540" w:type="dxa"/>
            <w:vAlign w:val="bottom"/>
            <w:gridSpan w:val="8"/>
          </w:tcPr>
          <w:p>
            <w:pPr>
              <w:jc w:val="right"/>
              <w:ind w:right="540"/>
              <w:spacing w:after="0"/>
              <w:rPr>
                <w:sz w:val="20"/>
                <w:szCs w:val="20"/>
                <w:color w:val="auto"/>
              </w:rPr>
            </w:pPr>
            <w:r>
              <w:rPr>
                <w:rFonts w:ascii="Arial" w:cs="Arial" w:eastAsia="Arial" w:hAnsi="Arial"/>
                <w:sz w:val="14"/>
                <w:szCs w:val="14"/>
                <w:color w:val="auto"/>
              </w:rPr>
              <w:t>Gross Margin (non-GAAP)</w:t>
            </w:r>
          </w:p>
        </w:tc>
        <w:tc>
          <w:tcPr>
            <w:tcW w:w="120" w:type="dxa"/>
            <w:vAlign w:val="bottom"/>
          </w:tcPr>
          <w:p>
            <w:pPr>
              <w:spacing w:after="0"/>
              <w:rPr>
                <w:sz w:val="24"/>
                <w:szCs w:val="24"/>
                <w:color w:val="auto"/>
              </w:rPr>
            </w:pPr>
          </w:p>
        </w:tc>
        <w:tc>
          <w:tcPr>
            <w:tcW w:w="2960" w:type="dxa"/>
            <w:vAlign w:val="bottom"/>
            <w:gridSpan w:val="3"/>
            <w:vMerge w:val="restart"/>
          </w:tcPr>
          <w:p>
            <w:pPr>
              <w:jc w:val="right"/>
              <w:ind w:right="608"/>
              <w:spacing w:after="0"/>
              <w:rPr>
                <w:sz w:val="20"/>
                <w:szCs w:val="20"/>
                <w:color w:val="auto"/>
              </w:rPr>
            </w:pPr>
            <w:r>
              <w:rPr>
                <w:rFonts w:ascii="Arial" w:cs="Arial" w:eastAsia="Arial" w:hAnsi="Arial"/>
                <w:sz w:val="14"/>
                <w:szCs w:val="14"/>
                <w:color w:val="auto"/>
              </w:rPr>
              <w:t xml:space="preserve">Quantities Sold (MWh) </w:t>
            </w:r>
            <w:r>
              <w:rPr>
                <w:rFonts w:ascii="Arial" w:cs="Arial" w:eastAsia="Arial" w:hAnsi="Arial"/>
                <w:sz w:val="18"/>
                <w:szCs w:val="18"/>
                <w:color w:val="auto"/>
                <w:vertAlign w:val="superscript"/>
              </w:rPr>
              <w:t>(b)</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For the year ended</w:t>
            </w:r>
          </w:p>
        </w:tc>
        <w:tc>
          <w:tcPr>
            <w:tcW w:w="22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1"/>
                <w:szCs w:val="11"/>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color w:val="auto"/>
              </w:rPr>
              <w:t>2019</w:t>
            </w:r>
          </w:p>
        </w:tc>
        <w:tc>
          <w:tcPr>
            <w:tcW w:w="240" w:type="dxa"/>
            <w:vAlign w:val="bottom"/>
          </w:tcPr>
          <w:p>
            <w:pPr>
              <w:spacing w:after="0"/>
              <w:rPr>
                <w:sz w:val="11"/>
                <w:szCs w:val="11"/>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color w:val="auto"/>
              </w:rPr>
              <w:t>2019</w:t>
            </w:r>
          </w:p>
        </w:tc>
        <w:tc>
          <w:tcPr>
            <w:tcW w:w="240" w:type="dxa"/>
            <w:vAlign w:val="bottom"/>
          </w:tcPr>
          <w:p>
            <w:pPr>
              <w:spacing w:after="0"/>
              <w:rPr>
                <w:sz w:val="11"/>
                <w:szCs w:val="11"/>
                <w:color w:val="auto"/>
              </w:rPr>
            </w:pPr>
          </w:p>
        </w:tc>
        <w:tc>
          <w:tcPr>
            <w:tcW w:w="7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2018</w:t>
            </w:r>
          </w:p>
        </w:tc>
        <w:tc>
          <w:tcPr>
            <w:tcW w:w="1120" w:type="dxa"/>
            <w:vAlign w:val="bottom"/>
            <w:gridSpan w:val="2"/>
            <w:vMerge w:val="restart"/>
          </w:tcPr>
          <w:p>
            <w:pPr>
              <w:jc w:val="right"/>
              <w:ind w:right="288"/>
              <w:spacing w:after="0"/>
              <w:rPr>
                <w:sz w:val="20"/>
                <w:szCs w:val="20"/>
                <w:color w:val="auto"/>
              </w:rPr>
            </w:pPr>
            <w:r>
              <w:rPr>
                <w:rFonts w:ascii="Arial" w:cs="Arial" w:eastAsia="Arial" w:hAnsi="Arial"/>
                <w:sz w:val="14"/>
                <w:szCs w:val="14"/>
                <w:color w:val="auto"/>
              </w:rPr>
              <w:t>2020</w:t>
            </w:r>
          </w:p>
        </w:tc>
        <w:tc>
          <w:tcPr>
            <w:tcW w:w="1100" w:type="dxa"/>
            <w:vAlign w:val="bottom"/>
            <w:vMerge w:val="restart"/>
          </w:tcPr>
          <w:p>
            <w:pPr>
              <w:jc w:val="right"/>
              <w:ind w:right="388"/>
              <w:spacing w:after="0"/>
              <w:rPr>
                <w:sz w:val="20"/>
                <w:szCs w:val="20"/>
                <w:color w:val="auto"/>
              </w:rPr>
            </w:pPr>
            <w:r>
              <w:rPr>
                <w:rFonts w:ascii="Arial" w:cs="Arial" w:eastAsia="Arial" w:hAnsi="Arial"/>
                <w:sz w:val="14"/>
                <w:szCs w:val="14"/>
                <w:color w:val="auto"/>
              </w:rPr>
              <w:t>2019</w:t>
            </w:r>
          </w:p>
        </w:tc>
        <w:tc>
          <w:tcPr>
            <w:tcW w:w="860" w:type="dxa"/>
            <w:vAlign w:val="bottom"/>
            <w:vMerge w:val="restart"/>
          </w:tcPr>
          <w:p>
            <w:pPr>
              <w:jc w:val="right"/>
              <w:ind w:right="26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December 31,</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Colorado Electric</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253,229</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247,332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251,218</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139,731</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137,323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138,901</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2,379,866</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2,180,985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2,151,918</w:t>
            </w: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EFFE7"/>
          </w:tcPr>
          <w:p>
            <w:pPr>
              <w:ind w:left="20"/>
              <w:spacing w:after="0" w:line="189" w:lineRule="exact"/>
              <w:rPr>
                <w:sz w:val="20"/>
                <w:szCs w:val="20"/>
                <w:color w:val="auto"/>
              </w:rPr>
            </w:pPr>
            <w:r>
              <w:rPr>
                <w:rFonts w:ascii="Arial" w:cs="Arial" w:eastAsia="Arial" w:hAnsi="Arial"/>
                <w:sz w:val="14"/>
                <w:szCs w:val="14"/>
                <w:color w:val="auto"/>
              </w:rPr>
              <w:t xml:space="preserve">South Dakota Electric </w:t>
            </w:r>
            <w:r>
              <w:rPr>
                <w:rFonts w:ascii="Arial" w:cs="Arial" w:eastAsia="Arial" w:hAnsi="Arial"/>
                <w:sz w:val="18"/>
                <w:szCs w:val="18"/>
                <w:color w:val="auto"/>
                <w:vertAlign w:val="superscript"/>
              </w:rPr>
              <w:t>(a)</w:t>
            </w:r>
          </w:p>
        </w:tc>
        <w:tc>
          <w:tcPr>
            <w:tcW w:w="22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283,153</w:t>
            </w:r>
          </w:p>
        </w:tc>
        <w:tc>
          <w:tcPr>
            <w:tcW w:w="220" w:type="dxa"/>
            <w:vAlign w:val="bottom"/>
            <w:shd w:val="clear" w:color="auto" w:fill="CEFFE7"/>
          </w:tcPr>
          <w:p>
            <w:pPr>
              <w:spacing w:after="0"/>
              <w:rPr>
                <w:sz w:val="16"/>
                <w:szCs w:val="16"/>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291,219</w:t>
            </w:r>
          </w:p>
        </w:tc>
        <w:tc>
          <w:tcPr>
            <w:tcW w:w="2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298,080</w:t>
            </w:r>
          </w:p>
        </w:tc>
        <w:tc>
          <w:tcPr>
            <w:tcW w:w="100" w:type="dxa"/>
            <w:vAlign w:val="bottom"/>
            <w:shd w:val="clear" w:color="auto" w:fill="CEFFE7"/>
          </w:tcPr>
          <w:p>
            <w:pPr>
              <w:spacing w:after="0"/>
              <w:rPr>
                <w:sz w:val="16"/>
                <w:szCs w:val="16"/>
                <w:color w:val="auto"/>
              </w:rPr>
            </w:pPr>
          </w:p>
        </w:tc>
        <w:tc>
          <w:tcPr>
            <w:tcW w:w="240" w:type="dxa"/>
            <w:vAlign w:val="bottom"/>
            <w:shd w:val="clear" w:color="auto" w:fill="CEFFE7"/>
          </w:tcPr>
          <w:p>
            <w:pPr>
              <w:spacing w:after="0"/>
              <w:rPr>
                <w:sz w:val="16"/>
                <w:szCs w:val="16"/>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220,456</w:t>
            </w:r>
          </w:p>
        </w:tc>
        <w:tc>
          <w:tcPr>
            <w:tcW w:w="280" w:type="dxa"/>
            <w:vAlign w:val="bottom"/>
            <w:shd w:val="clear" w:color="auto" w:fill="CEFFE7"/>
          </w:tcPr>
          <w:p>
            <w:pPr>
              <w:spacing w:after="0"/>
              <w:rPr>
                <w:sz w:val="16"/>
                <w:szCs w:val="16"/>
                <w:color w:val="auto"/>
              </w:rPr>
            </w:pPr>
          </w:p>
        </w:tc>
        <w:tc>
          <w:tcPr>
            <w:tcW w:w="620" w:type="dxa"/>
            <w:vAlign w:val="bottom"/>
            <w:gridSpan w:val="2"/>
            <w:shd w:val="clear" w:color="auto" w:fill="CEFFE7"/>
          </w:tcPr>
          <w:p>
            <w:pPr>
              <w:jc w:val="right"/>
              <w:spacing w:after="0"/>
              <w:rPr>
                <w:sz w:val="20"/>
                <w:szCs w:val="20"/>
                <w:color w:val="auto"/>
              </w:rPr>
            </w:pPr>
            <w:r>
              <w:rPr>
                <w:rFonts w:ascii="Arial" w:cs="Arial" w:eastAsia="Arial" w:hAnsi="Arial"/>
                <w:sz w:val="14"/>
                <w:szCs w:val="14"/>
                <w:color w:val="auto"/>
              </w:rPr>
              <w:t>218,104</w:t>
            </w:r>
          </w:p>
        </w:tc>
        <w:tc>
          <w:tcPr>
            <w:tcW w:w="240" w:type="dxa"/>
            <w:vAlign w:val="bottom"/>
            <w:shd w:val="clear" w:color="auto" w:fill="CEFFE7"/>
          </w:tcPr>
          <w:p>
            <w:pPr>
              <w:spacing w:after="0"/>
              <w:rPr>
                <w:sz w:val="16"/>
                <w:szCs w:val="16"/>
                <w:color w:val="auto"/>
              </w:rPr>
            </w:pPr>
          </w:p>
        </w:tc>
        <w:tc>
          <w:tcPr>
            <w:tcW w:w="740" w:type="dxa"/>
            <w:vAlign w:val="bottom"/>
            <w:gridSpan w:val="3"/>
            <w:shd w:val="clear" w:color="auto" w:fill="CEFFE7"/>
          </w:tcPr>
          <w:p>
            <w:pPr>
              <w:jc w:val="right"/>
              <w:ind w:right="60"/>
              <w:spacing w:after="0"/>
              <w:rPr>
                <w:sz w:val="20"/>
                <w:szCs w:val="20"/>
                <w:color w:val="auto"/>
              </w:rPr>
            </w:pPr>
            <w:r>
              <w:rPr>
                <w:rFonts w:ascii="Arial" w:cs="Arial" w:eastAsia="Arial" w:hAnsi="Arial"/>
                <w:sz w:val="14"/>
                <w:szCs w:val="14"/>
                <w:color w:val="auto"/>
              </w:rPr>
              <w:t>205,194</w:t>
            </w:r>
          </w:p>
        </w:tc>
        <w:tc>
          <w:tcPr>
            <w:tcW w:w="1120" w:type="dxa"/>
            <w:vAlign w:val="bottom"/>
            <w:gridSpan w:val="2"/>
            <w:shd w:val="clear" w:color="auto" w:fill="CEFFE7"/>
          </w:tcPr>
          <w:p>
            <w:pPr>
              <w:jc w:val="right"/>
              <w:ind w:right="8"/>
              <w:spacing w:after="0"/>
              <w:rPr>
                <w:sz w:val="20"/>
                <w:szCs w:val="20"/>
                <w:color w:val="auto"/>
              </w:rPr>
            </w:pPr>
            <w:r>
              <w:rPr>
                <w:rFonts w:ascii="Arial" w:cs="Arial" w:eastAsia="Arial" w:hAnsi="Arial"/>
                <w:sz w:val="14"/>
                <w:szCs w:val="14"/>
                <w:color w:val="auto"/>
              </w:rPr>
              <w:t>2,563,387</w:t>
            </w:r>
          </w:p>
        </w:tc>
        <w:tc>
          <w:tcPr>
            <w:tcW w:w="110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2,798,887</w:t>
            </w:r>
          </w:p>
        </w:tc>
        <w:tc>
          <w:tcPr>
            <w:tcW w:w="8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3,360,396</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Wyoming Electric</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177,662</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174,201</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162,153</w:t>
            </w:r>
          </w:p>
        </w:tc>
        <w:tc>
          <w:tcPr>
            <w:tcW w:w="100" w:type="dxa"/>
            <w:vAlign w:val="bottom"/>
            <w:tcBorders>
              <w:bottom w:val="single" w:sz="8" w:color="CEFFE7"/>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86,812</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89,028</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83,516</w:t>
            </w:r>
          </w:p>
        </w:tc>
        <w:tc>
          <w:tcPr>
            <w:tcW w:w="120" w:type="dxa"/>
            <w:vAlign w:val="bottom"/>
            <w:tcBorders>
              <w:bottom w:val="single" w:sz="8" w:color="CEFFE7"/>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2,003,712</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1,924,208</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1,861,273</w:t>
            </w:r>
          </w:p>
        </w:tc>
        <w:tc>
          <w:tcPr>
            <w:tcW w:w="0" w:type="dxa"/>
            <w:vAlign w:val="bottom"/>
          </w:tcPr>
          <w:p>
            <w:pPr>
              <w:spacing w:after="0"/>
              <w:rPr>
                <w:sz w:val="1"/>
                <w:szCs w:val="1"/>
                <w:color w:val="auto"/>
              </w:rPr>
            </w:pPr>
          </w:p>
        </w:tc>
      </w:tr>
      <w:tr>
        <w:trPr>
          <w:trHeight w:val="133"/>
        </w:trPr>
        <w:tc>
          <w:tcPr>
            <w:tcW w:w="2480" w:type="dxa"/>
            <w:vAlign w:val="bottom"/>
            <w:gridSpan w:val="2"/>
            <w:shd w:val="clear" w:color="auto" w:fill="CEFFE7"/>
          </w:tcPr>
          <w:p>
            <w:pPr>
              <w:ind w:left="220"/>
              <w:spacing w:after="0" w:line="133" w:lineRule="exact"/>
              <w:rPr>
                <w:sz w:val="20"/>
                <w:szCs w:val="20"/>
                <w:color w:val="auto"/>
              </w:rPr>
            </w:pPr>
            <w:r>
              <w:rPr>
                <w:rFonts w:ascii="Arial" w:cs="Arial" w:eastAsia="Arial" w:hAnsi="Arial"/>
                <w:sz w:val="14"/>
                <w:szCs w:val="14"/>
                <w:color w:val="auto"/>
              </w:rPr>
              <w:t>Total Revenue, Gross Margin</w:t>
            </w:r>
          </w:p>
        </w:tc>
        <w:tc>
          <w:tcPr>
            <w:tcW w:w="220" w:type="dxa"/>
            <w:vAlign w:val="bottom"/>
            <w:vMerge w:val="restart"/>
            <w:shd w:val="clear" w:color="auto" w:fill="CEFFE7"/>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714,044</w:t>
            </w:r>
          </w:p>
        </w:tc>
        <w:tc>
          <w:tcPr>
            <w:tcW w:w="220" w:type="dxa"/>
            <w:vAlign w:val="bottom"/>
            <w:vMerge w:val="restart"/>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712,752</w:t>
            </w:r>
          </w:p>
        </w:tc>
        <w:tc>
          <w:tcPr>
            <w:tcW w:w="240" w:type="dxa"/>
            <w:vAlign w:val="bottom"/>
            <w:vMerge w:val="restart"/>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711,451</w:t>
            </w:r>
          </w:p>
        </w:tc>
        <w:tc>
          <w:tcPr>
            <w:tcW w:w="100" w:type="dxa"/>
            <w:vAlign w:val="bottom"/>
            <w:shd w:val="clear" w:color="auto" w:fill="CEFFE7"/>
          </w:tcPr>
          <w:p>
            <w:pPr>
              <w:spacing w:after="0"/>
              <w:rPr>
                <w:sz w:val="11"/>
                <w:szCs w:val="11"/>
                <w:color w:val="auto"/>
              </w:rPr>
            </w:pPr>
          </w:p>
        </w:tc>
        <w:tc>
          <w:tcPr>
            <w:tcW w:w="240" w:type="dxa"/>
            <w:vAlign w:val="bottom"/>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446,999</w:t>
            </w:r>
          </w:p>
        </w:tc>
        <w:tc>
          <w:tcPr>
            <w:tcW w:w="280" w:type="dxa"/>
            <w:vAlign w:val="bottom"/>
            <w:vMerge w:val="restart"/>
            <w:shd w:val="clear" w:color="auto" w:fill="CEFFE7"/>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EFFE7"/>
          </w:tcPr>
          <w:p>
            <w:pPr>
              <w:jc w:val="right"/>
              <w:spacing w:after="0"/>
              <w:rPr>
                <w:sz w:val="20"/>
                <w:szCs w:val="20"/>
                <w:color w:val="auto"/>
              </w:rPr>
            </w:pPr>
            <w:r>
              <w:rPr>
                <w:rFonts w:ascii="Arial" w:cs="Arial" w:eastAsia="Arial" w:hAnsi="Arial"/>
                <w:sz w:val="14"/>
                <w:szCs w:val="14"/>
                <w:color w:val="auto"/>
              </w:rPr>
              <w:t>444,455</w:t>
            </w:r>
          </w:p>
        </w:tc>
        <w:tc>
          <w:tcPr>
            <w:tcW w:w="240" w:type="dxa"/>
            <w:vAlign w:val="bottom"/>
            <w:vMerge w:val="restart"/>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shd w:val="clear" w:color="auto" w:fill="CEFFE7"/>
          </w:tcPr>
          <w:p>
            <w:pPr>
              <w:jc w:val="right"/>
              <w:ind w:right="60"/>
              <w:spacing w:after="0"/>
              <w:rPr>
                <w:sz w:val="20"/>
                <w:szCs w:val="20"/>
                <w:color w:val="auto"/>
              </w:rPr>
            </w:pPr>
            <w:r>
              <w:rPr>
                <w:rFonts w:ascii="Arial" w:cs="Arial" w:eastAsia="Arial" w:hAnsi="Arial"/>
                <w:sz w:val="14"/>
                <w:szCs w:val="14"/>
                <w:color w:val="auto"/>
              </w:rPr>
              <w:t>427,611</w:t>
            </w:r>
          </w:p>
        </w:tc>
        <w:tc>
          <w:tcPr>
            <w:tcW w:w="1120" w:type="dxa"/>
            <w:vAlign w:val="bottom"/>
            <w:gridSpan w:val="2"/>
            <w:vMerge w:val="restart"/>
            <w:shd w:val="clear" w:color="auto" w:fill="CEFFE7"/>
          </w:tcPr>
          <w:p>
            <w:pPr>
              <w:jc w:val="right"/>
              <w:ind w:right="8"/>
              <w:spacing w:after="0"/>
              <w:rPr>
                <w:sz w:val="20"/>
                <w:szCs w:val="20"/>
                <w:color w:val="auto"/>
              </w:rPr>
            </w:pPr>
            <w:r>
              <w:rPr>
                <w:rFonts w:ascii="Arial" w:cs="Arial" w:eastAsia="Arial" w:hAnsi="Arial"/>
                <w:sz w:val="14"/>
                <w:szCs w:val="14"/>
                <w:color w:val="auto"/>
              </w:rPr>
              <w:t>6,946,965</w:t>
            </w:r>
          </w:p>
        </w:tc>
        <w:tc>
          <w:tcPr>
            <w:tcW w:w="1100" w:type="dxa"/>
            <w:vAlign w:val="bottom"/>
            <w:vMerge w:val="restart"/>
            <w:shd w:val="clear" w:color="auto" w:fill="CEFFE7"/>
          </w:tcPr>
          <w:p>
            <w:pPr>
              <w:jc w:val="right"/>
              <w:ind w:right="128"/>
              <w:spacing w:after="0"/>
              <w:rPr>
                <w:sz w:val="20"/>
                <w:szCs w:val="20"/>
                <w:color w:val="auto"/>
              </w:rPr>
            </w:pPr>
            <w:r>
              <w:rPr>
                <w:rFonts w:ascii="Arial" w:cs="Arial" w:eastAsia="Arial" w:hAnsi="Arial"/>
                <w:sz w:val="14"/>
                <w:szCs w:val="14"/>
                <w:color w:val="auto"/>
              </w:rPr>
              <w:t>6,904,080</w:t>
            </w:r>
          </w:p>
        </w:tc>
        <w:tc>
          <w:tcPr>
            <w:tcW w:w="860" w:type="dxa"/>
            <w:vAlign w:val="bottom"/>
            <w:vMerge w:val="restart"/>
            <w:shd w:val="clear" w:color="auto" w:fill="CEFFE7"/>
          </w:tcPr>
          <w:p>
            <w:pPr>
              <w:jc w:val="right"/>
              <w:ind w:right="8"/>
              <w:spacing w:after="0"/>
              <w:rPr>
                <w:sz w:val="20"/>
                <w:szCs w:val="20"/>
                <w:color w:val="auto"/>
              </w:rPr>
            </w:pPr>
            <w:r>
              <w:rPr>
                <w:rFonts w:ascii="Arial" w:cs="Arial" w:eastAsia="Arial" w:hAnsi="Arial"/>
                <w:sz w:val="14"/>
                <w:szCs w:val="14"/>
                <w:color w:val="auto"/>
              </w:rPr>
              <w:t>7,373,587</w:t>
            </w:r>
          </w:p>
        </w:tc>
        <w:tc>
          <w:tcPr>
            <w:tcW w:w="0" w:type="dxa"/>
            <w:vAlign w:val="bottom"/>
          </w:tcPr>
          <w:p>
            <w:pPr>
              <w:spacing w:after="0"/>
              <w:rPr>
                <w:sz w:val="1"/>
                <w:szCs w:val="1"/>
                <w:color w:val="auto"/>
              </w:rPr>
            </w:pPr>
          </w:p>
        </w:tc>
      </w:tr>
      <w:tr>
        <w:trPr>
          <w:trHeight w:val="164"/>
        </w:trPr>
        <w:tc>
          <w:tcPr>
            <w:tcW w:w="2480" w:type="dxa"/>
            <w:vAlign w:val="bottom"/>
            <w:gridSpan w:val="2"/>
            <w:shd w:val="clear" w:color="auto" w:fill="CEFFE7"/>
          </w:tcPr>
          <w:p>
            <w:pPr>
              <w:ind w:left="220"/>
              <w:spacing w:after="0" w:line="144" w:lineRule="exact"/>
              <w:rPr>
                <w:sz w:val="20"/>
                <w:szCs w:val="20"/>
                <w:color w:val="auto"/>
              </w:rPr>
            </w:pPr>
            <w:r>
              <w:rPr>
                <w:rFonts w:ascii="Arial" w:cs="Arial" w:eastAsia="Arial" w:hAnsi="Arial"/>
                <w:sz w:val="14"/>
                <w:szCs w:val="14"/>
                <w:color w:val="auto"/>
              </w:rPr>
              <w:t>(non-GAAP), and Quantities Sold</w:t>
            </w:r>
          </w:p>
        </w:tc>
        <w:tc>
          <w:tcPr>
            <w:tcW w:w="220" w:type="dxa"/>
            <w:vAlign w:val="bottom"/>
            <w:vMerge w:val="continue"/>
            <w:shd w:val="clear" w:color="auto" w:fill="CEFFE7"/>
          </w:tcPr>
          <w:p>
            <w:pPr>
              <w:spacing w:after="0"/>
              <w:rPr>
                <w:sz w:val="14"/>
                <w:szCs w:val="14"/>
                <w:color w:val="auto"/>
              </w:rPr>
            </w:pPr>
          </w:p>
        </w:tc>
        <w:tc>
          <w:tcPr>
            <w:tcW w:w="660" w:type="dxa"/>
            <w:vAlign w:val="bottom"/>
            <w:vMerge w:val="continue"/>
            <w:shd w:val="clear" w:color="auto" w:fill="CEFFE7"/>
          </w:tcPr>
          <w:p>
            <w:pPr>
              <w:spacing w:after="0"/>
              <w:rPr>
                <w:sz w:val="14"/>
                <w:szCs w:val="14"/>
                <w:color w:val="auto"/>
              </w:rPr>
            </w:pPr>
          </w:p>
        </w:tc>
        <w:tc>
          <w:tcPr>
            <w:tcW w:w="220" w:type="dxa"/>
            <w:vAlign w:val="bottom"/>
            <w:vMerge w:val="continue"/>
            <w:shd w:val="clear" w:color="auto" w:fill="CEFFE7"/>
          </w:tcPr>
          <w:p>
            <w:pPr>
              <w:spacing w:after="0"/>
              <w:rPr>
                <w:sz w:val="14"/>
                <w:szCs w:val="14"/>
                <w:color w:val="auto"/>
              </w:rPr>
            </w:pPr>
          </w:p>
        </w:tc>
        <w:tc>
          <w:tcPr>
            <w:tcW w:w="680" w:type="dxa"/>
            <w:vAlign w:val="bottom"/>
            <w:vMerge w:val="continue"/>
            <w:shd w:val="clear" w:color="auto" w:fill="CEFFE7"/>
          </w:tcPr>
          <w:p>
            <w:pPr>
              <w:spacing w:after="0"/>
              <w:rPr>
                <w:sz w:val="14"/>
                <w:szCs w:val="14"/>
                <w:color w:val="auto"/>
              </w:rPr>
            </w:pPr>
          </w:p>
        </w:tc>
        <w:tc>
          <w:tcPr>
            <w:tcW w:w="240" w:type="dxa"/>
            <w:vAlign w:val="bottom"/>
            <w:vMerge w:val="continue"/>
            <w:shd w:val="clear" w:color="auto" w:fill="CEFFE7"/>
          </w:tcPr>
          <w:p>
            <w:pPr>
              <w:spacing w:after="0"/>
              <w:rPr>
                <w:sz w:val="14"/>
                <w:szCs w:val="14"/>
                <w:color w:val="auto"/>
              </w:rPr>
            </w:pPr>
          </w:p>
        </w:tc>
        <w:tc>
          <w:tcPr>
            <w:tcW w:w="720" w:type="dxa"/>
            <w:vAlign w:val="bottom"/>
            <w:vMerge w:val="continue"/>
            <w:shd w:val="clear" w:color="auto" w:fill="CEFFE7"/>
          </w:tcPr>
          <w:p>
            <w:pPr>
              <w:spacing w:after="0"/>
              <w:rPr>
                <w:sz w:val="14"/>
                <w:szCs w:val="14"/>
                <w:color w:val="auto"/>
              </w:rPr>
            </w:pPr>
          </w:p>
        </w:tc>
        <w:tc>
          <w:tcPr>
            <w:tcW w:w="100" w:type="dxa"/>
            <w:vAlign w:val="bottom"/>
            <w:shd w:val="clear" w:color="auto" w:fill="CEFFE7"/>
          </w:tcPr>
          <w:p>
            <w:pPr>
              <w:spacing w:after="0"/>
              <w:rPr>
                <w:sz w:val="14"/>
                <w:szCs w:val="14"/>
                <w:color w:val="auto"/>
              </w:rPr>
            </w:pPr>
          </w:p>
        </w:tc>
        <w:tc>
          <w:tcPr>
            <w:tcW w:w="240" w:type="dxa"/>
            <w:vAlign w:val="bottom"/>
            <w:vMerge w:val="continue"/>
            <w:shd w:val="clear" w:color="auto" w:fill="CEFFE7"/>
          </w:tcPr>
          <w:p>
            <w:pPr>
              <w:spacing w:after="0"/>
              <w:rPr>
                <w:sz w:val="14"/>
                <w:szCs w:val="14"/>
                <w:color w:val="auto"/>
              </w:rPr>
            </w:pPr>
          </w:p>
        </w:tc>
        <w:tc>
          <w:tcPr>
            <w:tcW w:w="660" w:type="dxa"/>
            <w:vAlign w:val="bottom"/>
            <w:vMerge w:val="continue"/>
            <w:shd w:val="clear" w:color="auto" w:fill="CEFFE7"/>
          </w:tcPr>
          <w:p>
            <w:pPr>
              <w:spacing w:after="0"/>
              <w:rPr>
                <w:sz w:val="14"/>
                <w:szCs w:val="14"/>
                <w:color w:val="auto"/>
              </w:rPr>
            </w:pPr>
          </w:p>
        </w:tc>
        <w:tc>
          <w:tcPr>
            <w:tcW w:w="280" w:type="dxa"/>
            <w:vAlign w:val="bottom"/>
            <w:vMerge w:val="continue"/>
            <w:shd w:val="clear" w:color="auto" w:fill="CEFFE7"/>
          </w:tcPr>
          <w:p>
            <w:pPr>
              <w:spacing w:after="0"/>
              <w:rPr>
                <w:sz w:val="14"/>
                <w:szCs w:val="14"/>
                <w:color w:val="auto"/>
              </w:rPr>
            </w:pPr>
          </w:p>
        </w:tc>
        <w:tc>
          <w:tcPr>
            <w:tcW w:w="620" w:type="dxa"/>
            <w:vAlign w:val="bottom"/>
            <w:gridSpan w:val="2"/>
            <w:vMerge w:val="continue"/>
            <w:shd w:val="clear" w:color="auto" w:fill="CEFFE7"/>
          </w:tcPr>
          <w:p>
            <w:pPr>
              <w:spacing w:after="0"/>
              <w:rPr>
                <w:sz w:val="14"/>
                <w:szCs w:val="14"/>
                <w:color w:val="auto"/>
              </w:rPr>
            </w:pPr>
          </w:p>
        </w:tc>
        <w:tc>
          <w:tcPr>
            <w:tcW w:w="240" w:type="dxa"/>
            <w:vAlign w:val="bottom"/>
            <w:vMerge w:val="continue"/>
            <w:shd w:val="clear" w:color="auto" w:fill="CEFFE7"/>
          </w:tcPr>
          <w:p>
            <w:pPr>
              <w:spacing w:after="0"/>
              <w:rPr>
                <w:sz w:val="14"/>
                <w:szCs w:val="14"/>
                <w:color w:val="auto"/>
              </w:rPr>
            </w:pPr>
          </w:p>
        </w:tc>
        <w:tc>
          <w:tcPr>
            <w:tcW w:w="740" w:type="dxa"/>
            <w:vAlign w:val="bottom"/>
            <w:gridSpan w:val="3"/>
            <w:vMerge w:val="continue"/>
            <w:shd w:val="clear" w:color="auto" w:fill="CEFFE7"/>
          </w:tcPr>
          <w:p>
            <w:pPr>
              <w:spacing w:after="0"/>
              <w:rPr>
                <w:sz w:val="14"/>
                <w:szCs w:val="14"/>
                <w:color w:val="auto"/>
              </w:rPr>
            </w:pPr>
          </w:p>
        </w:tc>
        <w:tc>
          <w:tcPr>
            <w:tcW w:w="1120" w:type="dxa"/>
            <w:vAlign w:val="bottom"/>
            <w:gridSpan w:val="2"/>
            <w:vMerge w:val="continue"/>
            <w:shd w:val="clear" w:color="auto" w:fill="CEFFE7"/>
          </w:tcPr>
          <w:p>
            <w:pPr>
              <w:spacing w:after="0"/>
              <w:rPr>
                <w:sz w:val="14"/>
                <w:szCs w:val="14"/>
                <w:color w:val="auto"/>
              </w:rPr>
            </w:pPr>
          </w:p>
        </w:tc>
        <w:tc>
          <w:tcPr>
            <w:tcW w:w="1100" w:type="dxa"/>
            <w:vAlign w:val="bottom"/>
            <w:vMerge w:val="continue"/>
            <w:shd w:val="clear" w:color="auto" w:fill="CEFFE7"/>
          </w:tcPr>
          <w:p>
            <w:pPr>
              <w:spacing w:after="0"/>
              <w:rPr>
                <w:sz w:val="14"/>
                <w:szCs w:val="14"/>
                <w:color w:val="auto"/>
              </w:rPr>
            </w:pPr>
          </w:p>
        </w:tc>
        <w:tc>
          <w:tcPr>
            <w:tcW w:w="860" w:type="dxa"/>
            <w:vAlign w:val="bottom"/>
            <w:vMerge w:val="continue"/>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160" w:hanging="332"/>
        <w:spacing w:after="0" w:line="241" w:lineRule="auto"/>
        <w:tabs>
          <w:tab w:leader="none" w:pos="352" w:val="left"/>
        </w:tabs>
        <w:numPr>
          <w:ilvl w:val="0"/>
          <w:numId w:val="31"/>
        </w:numPr>
        <w:rPr>
          <w:rFonts w:ascii="Arial" w:cs="Arial" w:eastAsia="Arial" w:hAnsi="Arial"/>
          <w:sz w:val="14"/>
          <w:szCs w:val="14"/>
          <w:color w:val="auto"/>
        </w:rPr>
      </w:pPr>
      <w:r>
        <w:rPr>
          <w:rFonts w:ascii="Arial" w:cs="Arial" w:eastAsia="Arial" w:hAnsi="Arial"/>
          <w:sz w:val="14"/>
          <w:szCs w:val="14"/>
          <w:color w:val="auto"/>
        </w:rPr>
        <w:t>2020 and 2019 revenue and purchased power, as well as associated quantities, for certain wholesale contracts have been presented on a net basis. 2018 amounts were presented on a gross basis and, due to their immaterial nature, were not revised. This presentation change has no impact on Gross margin.</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company uses, line losses, and excess exchange production.</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For the year ended December 31,</w:t>
            </w:r>
          </w:p>
        </w:tc>
        <w:tc>
          <w:tcPr>
            <w:tcW w:w="1020" w:type="dxa"/>
            <w:vAlign w:val="bottom"/>
          </w:tcPr>
          <w:p>
            <w:pPr>
              <w:spacing w:after="0"/>
              <w:rPr>
                <w:sz w:val="16"/>
                <w:szCs w:val="16"/>
                <w:color w:val="auto"/>
              </w:rPr>
            </w:pPr>
          </w:p>
        </w:tc>
      </w:tr>
      <w:tr>
        <w:trPr>
          <w:trHeight w:val="21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Quantities Generated and Purchased by Fuel Type (MWh)</w:t>
            </w:r>
          </w:p>
        </w:tc>
        <w:tc>
          <w:tcPr>
            <w:tcW w:w="17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2020</w:t>
            </w:r>
          </w:p>
        </w:tc>
        <w:tc>
          <w:tcPr>
            <w:tcW w:w="17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2019</w:t>
            </w: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209"/>
        </w:trPr>
        <w:tc>
          <w:tcPr>
            <w:tcW w:w="660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600" w:type="dxa"/>
            <w:vAlign w:val="bottom"/>
            <w:shd w:val="clear" w:color="auto" w:fill="CEFFE7"/>
          </w:tcPr>
          <w:p>
            <w:pPr>
              <w:ind w:left="240"/>
              <w:spacing w:after="0"/>
              <w:rPr>
                <w:sz w:val="20"/>
                <w:szCs w:val="20"/>
                <w:color w:val="auto"/>
              </w:rPr>
            </w:pPr>
            <w:r>
              <w:rPr>
                <w:rFonts w:ascii="Arial" w:cs="Arial" w:eastAsia="Arial" w:hAnsi="Arial"/>
                <w:sz w:val="16"/>
                <w:szCs w:val="16"/>
                <w:color w:val="auto"/>
              </w:rPr>
              <w:t>Coal</w:t>
            </w:r>
          </w:p>
        </w:tc>
        <w:tc>
          <w:tcPr>
            <w:tcW w:w="178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2,273,635</w:t>
            </w:r>
          </w:p>
        </w:tc>
        <w:tc>
          <w:tcPr>
            <w:tcW w:w="1780" w:type="dxa"/>
            <w:vAlign w:val="bottom"/>
            <w:shd w:val="clear" w:color="auto" w:fill="CEFFE7"/>
          </w:tcPr>
          <w:p>
            <w:pPr>
              <w:jc w:val="right"/>
              <w:ind w:right="479"/>
              <w:spacing w:after="0"/>
              <w:rPr>
                <w:sz w:val="20"/>
                <w:szCs w:val="20"/>
                <w:color w:val="auto"/>
              </w:rPr>
            </w:pPr>
            <w:r>
              <w:rPr>
                <w:rFonts w:ascii="Arial" w:cs="Arial" w:eastAsia="Arial" w:hAnsi="Arial"/>
                <w:sz w:val="16"/>
                <w:szCs w:val="16"/>
                <w:color w:val="auto"/>
              </w:rPr>
              <w:t>2,226,028</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2,368,506</w:t>
            </w: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Natural Gas and Oil</w:t>
            </w: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581,554</w:t>
            </w:r>
          </w:p>
        </w:tc>
        <w:tc>
          <w:tcPr>
            <w:tcW w:w="1780" w:type="dxa"/>
            <w:vAlign w:val="bottom"/>
          </w:tcPr>
          <w:p>
            <w:pPr>
              <w:jc w:val="right"/>
              <w:ind w:right="479"/>
              <w:spacing w:after="0"/>
              <w:rPr>
                <w:sz w:val="20"/>
                <w:szCs w:val="20"/>
                <w:color w:val="auto"/>
              </w:rPr>
            </w:pPr>
            <w:r>
              <w:rPr>
                <w:rFonts w:ascii="Arial" w:cs="Arial" w:eastAsia="Arial" w:hAnsi="Arial"/>
                <w:sz w:val="16"/>
                <w:szCs w:val="16"/>
                <w:color w:val="auto"/>
              </w:rPr>
              <w:t>600,002</w:t>
            </w:r>
          </w:p>
        </w:tc>
        <w:tc>
          <w:tcPr>
            <w:tcW w:w="1020" w:type="dxa"/>
            <w:vAlign w:val="bottom"/>
          </w:tcPr>
          <w:p>
            <w:pPr>
              <w:jc w:val="right"/>
              <w:spacing w:after="0"/>
              <w:rPr>
                <w:sz w:val="20"/>
                <w:szCs w:val="20"/>
                <w:color w:val="auto"/>
              </w:rPr>
            </w:pPr>
            <w:r>
              <w:rPr>
                <w:rFonts w:ascii="Arial" w:cs="Arial" w:eastAsia="Arial" w:hAnsi="Arial"/>
                <w:sz w:val="16"/>
                <w:szCs w:val="16"/>
                <w:color w:val="auto"/>
              </w:rPr>
              <w:t>446,373</w:t>
            </w:r>
          </w:p>
        </w:tc>
      </w:tr>
      <w:tr>
        <w:trPr>
          <w:trHeight w:val="216"/>
        </w:trPr>
        <w:tc>
          <w:tcPr>
            <w:tcW w:w="660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7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261,400</w:t>
            </w:r>
          </w:p>
        </w:tc>
        <w:tc>
          <w:tcPr>
            <w:tcW w:w="1780" w:type="dxa"/>
            <w:vAlign w:val="bottom"/>
            <w:tcBorders>
              <w:bottom w:val="single" w:sz="8" w:color="auto"/>
            </w:tcBorders>
            <w:shd w:val="clear" w:color="auto" w:fill="CEFFE7"/>
          </w:tcPr>
          <w:p>
            <w:pPr>
              <w:jc w:val="right"/>
              <w:ind w:right="479"/>
              <w:spacing w:after="0"/>
              <w:rPr>
                <w:sz w:val="20"/>
                <w:szCs w:val="20"/>
                <w:color w:val="auto"/>
              </w:rPr>
            </w:pPr>
            <w:r>
              <w:rPr>
                <w:rFonts w:ascii="Arial" w:cs="Arial" w:eastAsia="Arial" w:hAnsi="Arial"/>
                <w:sz w:val="16"/>
                <w:szCs w:val="16"/>
                <w:color w:val="auto"/>
              </w:rPr>
              <w:t>238,999</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253,180</w:t>
            </w:r>
          </w:p>
        </w:tc>
      </w:tr>
      <w:tr>
        <w:trPr>
          <w:trHeight w:val="209"/>
        </w:trPr>
        <w:tc>
          <w:tcPr>
            <w:tcW w:w="6600" w:type="dxa"/>
            <w:vAlign w:val="bottom"/>
            <w:tcBorders>
              <w:bottom w:val="single" w:sz="8" w:color="CEFFE7"/>
            </w:tcBorders>
          </w:tcPr>
          <w:p>
            <w:pPr>
              <w:ind w:left="440"/>
              <w:spacing w:after="0"/>
              <w:rPr>
                <w:sz w:val="20"/>
                <w:szCs w:val="20"/>
                <w:color w:val="auto"/>
              </w:rPr>
            </w:pPr>
            <w:r>
              <w:rPr>
                <w:rFonts w:ascii="Arial" w:cs="Arial" w:eastAsia="Arial" w:hAnsi="Arial"/>
                <w:sz w:val="16"/>
                <w:szCs w:val="16"/>
                <w:color w:val="auto"/>
              </w:rPr>
              <w:t>Total Generated</w:t>
            </w: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3,116,589</w:t>
            </w:r>
          </w:p>
        </w:tc>
        <w:tc>
          <w:tcPr>
            <w:tcW w:w="17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3,065,029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3,068,059</w:t>
            </w:r>
          </w:p>
        </w:tc>
      </w:tr>
      <w:tr>
        <w:trPr>
          <w:trHeight w:val="199"/>
        </w:trPr>
        <w:tc>
          <w:tcPr>
            <w:tcW w:w="6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780" w:type="dxa"/>
            <w:vAlign w:val="bottom"/>
            <w:shd w:val="clear" w:color="auto" w:fill="CEFFE7"/>
          </w:tcPr>
          <w:p>
            <w:pPr>
              <w:spacing w:after="0"/>
              <w:rPr>
                <w:sz w:val="17"/>
                <w:szCs w:val="17"/>
                <w:color w:val="auto"/>
              </w:rPr>
            </w:pPr>
          </w:p>
        </w:tc>
        <w:tc>
          <w:tcPr>
            <w:tcW w:w="1780" w:type="dxa"/>
            <w:vAlign w:val="bottom"/>
            <w:shd w:val="clear" w:color="auto" w:fill="CEFFE7"/>
          </w:tcPr>
          <w:p>
            <w:pPr>
              <w:spacing w:after="0"/>
              <w:rPr>
                <w:sz w:val="17"/>
                <w:szCs w:val="17"/>
                <w:color w:val="auto"/>
              </w:rPr>
            </w:pPr>
          </w:p>
        </w:tc>
        <w:tc>
          <w:tcPr>
            <w:tcW w:w="1020" w:type="dxa"/>
            <w:vAlign w:val="bottom"/>
            <w:shd w:val="clear" w:color="auto" w:fill="CEFFE7"/>
          </w:tcPr>
          <w:p>
            <w:pPr>
              <w:spacing w:after="0"/>
              <w:rPr>
                <w:sz w:val="17"/>
                <w:szCs w:val="17"/>
                <w:color w:val="auto"/>
              </w:rPr>
            </w:pPr>
          </w:p>
        </w:tc>
      </w:tr>
      <w:tr>
        <w:trPr>
          <w:trHeight w:val="216"/>
        </w:trPr>
        <w:tc>
          <w:tcPr>
            <w:tcW w:w="660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Coal, Natural Gas, Oil and Other Market Purchases </w:t>
            </w:r>
            <w:r>
              <w:rPr>
                <w:rFonts w:ascii="Arial" w:cs="Arial" w:eastAsia="Arial" w:hAnsi="Arial"/>
                <w:sz w:val="21"/>
                <w:szCs w:val="21"/>
                <w:color w:val="auto"/>
                <w:vertAlign w:val="superscript"/>
              </w:rPr>
              <w:t>(a)</w:t>
            </w: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3,235,086</w:t>
            </w:r>
          </w:p>
        </w:tc>
        <w:tc>
          <w:tcPr>
            <w:tcW w:w="1780" w:type="dxa"/>
            <w:vAlign w:val="bottom"/>
          </w:tcPr>
          <w:p>
            <w:pPr>
              <w:jc w:val="right"/>
              <w:ind w:right="479"/>
              <w:spacing w:after="0"/>
              <w:rPr>
                <w:sz w:val="20"/>
                <w:szCs w:val="20"/>
                <w:color w:val="auto"/>
              </w:rPr>
            </w:pPr>
            <w:r>
              <w:rPr>
                <w:rFonts w:ascii="Arial" w:cs="Arial" w:eastAsia="Arial" w:hAnsi="Arial"/>
                <w:sz w:val="16"/>
                <w:szCs w:val="16"/>
                <w:color w:val="auto"/>
              </w:rPr>
              <w:t>3,576,394</w:t>
            </w:r>
          </w:p>
        </w:tc>
        <w:tc>
          <w:tcPr>
            <w:tcW w:w="1020" w:type="dxa"/>
            <w:vAlign w:val="bottom"/>
          </w:tcPr>
          <w:p>
            <w:pPr>
              <w:jc w:val="right"/>
              <w:spacing w:after="0"/>
              <w:rPr>
                <w:sz w:val="20"/>
                <w:szCs w:val="20"/>
                <w:color w:val="auto"/>
              </w:rPr>
            </w:pPr>
            <w:r>
              <w:rPr>
                <w:rFonts w:ascii="Arial" w:cs="Arial" w:eastAsia="Arial" w:hAnsi="Arial"/>
                <w:sz w:val="16"/>
                <w:szCs w:val="16"/>
                <w:color w:val="auto"/>
              </w:rPr>
              <w:t>4,134,145</w:t>
            </w:r>
          </w:p>
        </w:tc>
      </w:tr>
      <w:tr>
        <w:trPr>
          <w:trHeight w:val="213"/>
        </w:trPr>
        <w:tc>
          <w:tcPr>
            <w:tcW w:w="660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7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595,290</w:t>
            </w:r>
          </w:p>
        </w:tc>
        <w:tc>
          <w:tcPr>
            <w:tcW w:w="1780" w:type="dxa"/>
            <w:vAlign w:val="bottom"/>
            <w:tcBorders>
              <w:bottom w:val="single" w:sz="8" w:color="auto"/>
            </w:tcBorders>
            <w:shd w:val="clear" w:color="auto" w:fill="CEFFE7"/>
          </w:tcPr>
          <w:p>
            <w:pPr>
              <w:jc w:val="right"/>
              <w:ind w:right="479"/>
              <w:spacing w:after="0"/>
              <w:rPr>
                <w:sz w:val="20"/>
                <w:szCs w:val="20"/>
                <w:color w:val="auto"/>
              </w:rPr>
            </w:pPr>
            <w:r>
              <w:rPr>
                <w:rFonts w:ascii="Arial" w:cs="Arial" w:eastAsia="Arial" w:hAnsi="Arial"/>
                <w:sz w:val="16"/>
                <w:szCs w:val="16"/>
                <w:color w:val="auto"/>
              </w:rPr>
              <w:t>262,657</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171,383</w:t>
            </w:r>
          </w:p>
        </w:tc>
      </w:tr>
      <w:tr>
        <w:trPr>
          <w:trHeight w:val="209"/>
        </w:trPr>
        <w:tc>
          <w:tcPr>
            <w:tcW w:w="6600" w:type="dxa"/>
            <w:vAlign w:val="bottom"/>
            <w:tcBorders>
              <w:bottom w:val="single" w:sz="8" w:color="CEFFE7"/>
            </w:tcBorders>
          </w:tcPr>
          <w:p>
            <w:pPr>
              <w:ind w:left="440"/>
              <w:spacing w:after="0"/>
              <w:rPr>
                <w:sz w:val="20"/>
                <w:szCs w:val="20"/>
                <w:color w:val="auto"/>
              </w:rPr>
            </w:pPr>
            <w:r>
              <w:rPr>
                <w:rFonts w:ascii="Arial" w:cs="Arial" w:eastAsia="Arial" w:hAnsi="Arial"/>
                <w:sz w:val="16"/>
                <w:szCs w:val="16"/>
                <w:color w:val="auto"/>
              </w:rPr>
              <w:t>Total Purchased</w:t>
            </w: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3,830,376</w:t>
            </w:r>
          </w:p>
        </w:tc>
        <w:tc>
          <w:tcPr>
            <w:tcW w:w="17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3,839,051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4,305,528</w:t>
            </w:r>
          </w:p>
        </w:tc>
      </w:tr>
      <w:tr>
        <w:trPr>
          <w:trHeight w:val="238"/>
        </w:trPr>
        <w:tc>
          <w:tcPr>
            <w:tcW w:w="6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Generated and Purchased</w:t>
            </w:r>
          </w:p>
        </w:tc>
        <w:tc>
          <w:tcPr>
            <w:tcW w:w="17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6,946,965</w:t>
            </w:r>
          </w:p>
        </w:tc>
        <w:tc>
          <w:tcPr>
            <w:tcW w:w="1780" w:type="dxa"/>
            <w:vAlign w:val="bottom"/>
            <w:tcBorders>
              <w:bottom w:val="single" w:sz="8" w:color="auto"/>
            </w:tcBorders>
            <w:shd w:val="clear" w:color="auto" w:fill="CEFFE7"/>
          </w:tcPr>
          <w:p>
            <w:pPr>
              <w:jc w:val="right"/>
              <w:ind w:right="479"/>
              <w:spacing w:after="0"/>
              <w:rPr>
                <w:sz w:val="20"/>
                <w:szCs w:val="20"/>
                <w:color w:val="auto"/>
              </w:rPr>
            </w:pPr>
            <w:r>
              <w:rPr>
                <w:rFonts w:ascii="Arial" w:cs="Arial" w:eastAsia="Arial" w:hAnsi="Arial"/>
                <w:sz w:val="16"/>
                <w:szCs w:val="16"/>
                <w:color w:val="auto"/>
              </w:rPr>
              <w:t>6,904,080</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7,373,587</w:t>
            </w:r>
          </w:p>
        </w:tc>
      </w:tr>
      <w:tr>
        <w:trPr>
          <w:trHeight w:val="20"/>
        </w:trPr>
        <w:tc>
          <w:tcPr>
            <w:tcW w:w="6600" w:type="dxa"/>
            <w:vAlign w:val="bottom"/>
            <w:tcBorders>
              <w:top w:val="single" w:sz="8" w:color="CEFFE7"/>
            </w:tcBorders>
          </w:tcPr>
          <w:p>
            <w:pPr>
              <w:spacing w:after="0" w:line="20" w:lineRule="exact"/>
              <w:rPr>
                <w:sz w:val="1"/>
                <w:szCs w:val="1"/>
                <w:color w:val="auto"/>
              </w:rPr>
            </w:pPr>
          </w:p>
        </w:tc>
        <w:tc>
          <w:tcPr>
            <w:tcW w:w="1780" w:type="dxa"/>
            <w:vAlign w:val="bottom"/>
            <w:tcBorders>
              <w:top w:val="single" w:sz="8" w:color="CEFFE7"/>
              <w:bottom w:val="single" w:sz="8" w:color="auto"/>
            </w:tcBorders>
          </w:tcPr>
          <w:p>
            <w:pPr>
              <w:spacing w:after="0" w:line="20" w:lineRule="exact"/>
              <w:rPr>
                <w:sz w:val="1"/>
                <w:szCs w:val="1"/>
                <w:color w:val="auto"/>
              </w:rPr>
            </w:pPr>
          </w:p>
        </w:tc>
        <w:tc>
          <w:tcPr>
            <w:tcW w:w="178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4"/>
        </w:trPr>
        <w:tc>
          <w:tcPr>
            <w:tcW w:w="6660" w:type="dxa"/>
            <w:vAlign w:val="bottom"/>
          </w:tcPr>
          <w:p>
            <w:pPr>
              <w:spacing w:after="0"/>
              <w:rPr>
                <w:sz w:val="24"/>
                <w:szCs w:val="24"/>
                <w:color w:val="auto"/>
              </w:rPr>
            </w:pPr>
          </w:p>
        </w:tc>
        <w:tc>
          <w:tcPr>
            <w:tcW w:w="3580" w:type="dxa"/>
            <w:vAlign w:val="bottom"/>
            <w:gridSpan w:val="2"/>
          </w:tcPr>
          <w:p>
            <w:pPr>
              <w:jc w:val="right"/>
              <w:spacing w:after="0"/>
              <w:rPr>
                <w:sz w:val="20"/>
                <w:szCs w:val="20"/>
                <w:color w:val="auto"/>
              </w:rPr>
            </w:pPr>
            <w:r>
              <w:rPr>
                <w:rFonts w:ascii="Arial" w:cs="Arial" w:eastAsia="Arial" w:hAnsi="Arial"/>
                <w:sz w:val="16"/>
                <w:szCs w:val="16"/>
                <w:color w:val="auto"/>
              </w:rPr>
              <w:t>For the 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7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2020</w:t>
            </w:r>
          </w:p>
        </w:tc>
        <w:tc>
          <w:tcPr>
            <w:tcW w:w="18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2019</w:t>
            </w: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178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364,058</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443,770</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481,446</w:t>
            </w: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South Dakota Electric</w:t>
            </w: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1,901,009</w:t>
            </w:r>
          </w:p>
        </w:tc>
        <w:tc>
          <w:tcPr>
            <w:tcW w:w="1800" w:type="dxa"/>
            <w:vAlign w:val="bottom"/>
          </w:tcPr>
          <w:p>
            <w:pPr>
              <w:jc w:val="right"/>
              <w:ind w:right="519"/>
              <w:spacing w:after="0"/>
              <w:rPr>
                <w:sz w:val="20"/>
                <w:szCs w:val="20"/>
                <w:color w:val="auto"/>
              </w:rPr>
            </w:pPr>
            <w:r>
              <w:rPr>
                <w:rFonts w:ascii="Arial" w:cs="Arial" w:eastAsia="Arial" w:hAnsi="Arial"/>
                <w:sz w:val="16"/>
                <w:szCs w:val="16"/>
                <w:color w:val="auto"/>
              </w:rPr>
              <w:t>1,768,456</w:t>
            </w:r>
          </w:p>
        </w:tc>
        <w:tc>
          <w:tcPr>
            <w:tcW w:w="1000" w:type="dxa"/>
            <w:vAlign w:val="bottom"/>
          </w:tcPr>
          <w:p>
            <w:pPr>
              <w:jc w:val="right"/>
              <w:spacing w:after="0"/>
              <w:rPr>
                <w:sz w:val="20"/>
                <w:szCs w:val="20"/>
                <w:color w:val="auto"/>
              </w:rPr>
            </w:pPr>
            <w:r>
              <w:rPr>
                <w:rFonts w:ascii="Arial" w:cs="Arial" w:eastAsia="Arial" w:hAnsi="Arial"/>
                <w:sz w:val="16"/>
                <w:szCs w:val="16"/>
                <w:color w:val="auto"/>
              </w:rPr>
              <w:t>1,734,222</w:t>
            </w:r>
          </w:p>
        </w:tc>
        <w:tc>
          <w:tcPr>
            <w:tcW w:w="0" w:type="dxa"/>
            <w:vAlign w:val="bottom"/>
          </w:tcPr>
          <w:p>
            <w:pPr>
              <w:spacing w:after="0"/>
              <w:rPr>
                <w:sz w:val="1"/>
                <w:szCs w:val="1"/>
                <w:color w:val="auto"/>
              </w:rPr>
            </w:pPr>
          </w:p>
        </w:tc>
      </w:tr>
      <w:tr>
        <w:trPr>
          <w:trHeight w:val="216"/>
        </w:trPr>
        <w:tc>
          <w:tcPr>
            <w:tcW w:w="66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17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851,522</w:t>
            </w:r>
          </w:p>
        </w:tc>
        <w:tc>
          <w:tcPr>
            <w:tcW w:w="1800" w:type="dxa"/>
            <w:vAlign w:val="bottom"/>
            <w:tcBorders>
              <w:bottom w:val="single" w:sz="8" w:color="auto"/>
            </w:tcBorders>
            <w:shd w:val="clear" w:color="auto" w:fill="CEFFE7"/>
          </w:tcPr>
          <w:p>
            <w:pPr>
              <w:jc w:val="right"/>
              <w:ind w:right="519"/>
              <w:spacing w:after="0"/>
              <w:rPr>
                <w:sz w:val="20"/>
                <w:szCs w:val="20"/>
                <w:color w:val="auto"/>
              </w:rPr>
            </w:pPr>
            <w:r>
              <w:rPr>
                <w:rFonts w:ascii="Arial" w:cs="Arial" w:eastAsia="Arial" w:hAnsi="Arial"/>
                <w:sz w:val="16"/>
                <w:szCs w:val="16"/>
                <w:color w:val="auto"/>
              </w:rPr>
              <w:t>852,803</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852,391</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EFFE7"/>
            </w:tcBorders>
          </w:tcPr>
          <w:p>
            <w:pPr>
              <w:ind w:left="480"/>
              <w:spacing w:after="0"/>
              <w:rPr>
                <w:sz w:val="20"/>
                <w:szCs w:val="20"/>
                <w:color w:val="auto"/>
              </w:rPr>
            </w:pPr>
            <w:r>
              <w:rPr>
                <w:rFonts w:ascii="Arial" w:cs="Arial" w:eastAsia="Arial" w:hAnsi="Arial"/>
                <w:sz w:val="16"/>
                <w:szCs w:val="16"/>
                <w:color w:val="auto"/>
              </w:rPr>
              <w:t>Total Generated</w:t>
            </w: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3,116,589</w:t>
            </w:r>
          </w:p>
        </w:tc>
        <w:tc>
          <w:tcPr>
            <w:tcW w:w="18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3,065,029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3,068,059</w:t>
            </w:r>
          </w:p>
        </w:tc>
        <w:tc>
          <w:tcPr>
            <w:tcW w:w="0" w:type="dxa"/>
            <w:vAlign w:val="bottom"/>
          </w:tcPr>
          <w:p>
            <w:pPr>
              <w:spacing w:after="0"/>
              <w:rPr>
                <w:sz w:val="1"/>
                <w:szCs w:val="1"/>
                <w:color w:val="auto"/>
              </w:rPr>
            </w:pPr>
          </w:p>
        </w:tc>
      </w:tr>
      <w:tr>
        <w:trPr>
          <w:trHeight w:val="199"/>
        </w:trPr>
        <w:tc>
          <w:tcPr>
            <w:tcW w:w="6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780" w:type="dxa"/>
            <w:vAlign w:val="bottom"/>
            <w:shd w:val="clear" w:color="auto" w:fill="CEFFE7"/>
          </w:tcPr>
          <w:p>
            <w:pPr>
              <w:spacing w:after="0"/>
              <w:rPr>
                <w:sz w:val="17"/>
                <w:szCs w:val="17"/>
                <w:color w:val="auto"/>
              </w:rPr>
            </w:pPr>
          </w:p>
        </w:tc>
        <w:tc>
          <w:tcPr>
            <w:tcW w:w="1800" w:type="dxa"/>
            <w:vAlign w:val="bottom"/>
            <w:shd w:val="clear" w:color="auto" w:fill="CEFFE7"/>
          </w:tcPr>
          <w:p>
            <w:pPr>
              <w:spacing w:after="0"/>
              <w:rPr>
                <w:sz w:val="17"/>
                <w:szCs w:val="17"/>
                <w:color w:val="auto"/>
              </w:rPr>
            </w:pPr>
          </w:p>
        </w:tc>
        <w:tc>
          <w:tcPr>
            <w:tcW w:w="100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Colorado Electric</w:t>
            </w: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2,015,808</w:t>
            </w:r>
          </w:p>
        </w:tc>
        <w:tc>
          <w:tcPr>
            <w:tcW w:w="1800" w:type="dxa"/>
            <w:vAlign w:val="bottom"/>
          </w:tcPr>
          <w:p>
            <w:pPr>
              <w:jc w:val="right"/>
              <w:ind w:right="519"/>
              <w:spacing w:after="0"/>
              <w:rPr>
                <w:sz w:val="20"/>
                <w:szCs w:val="20"/>
                <w:color w:val="auto"/>
              </w:rPr>
            </w:pPr>
            <w:r>
              <w:rPr>
                <w:rFonts w:ascii="Arial" w:cs="Arial" w:eastAsia="Arial" w:hAnsi="Arial"/>
                <w:sz w:val="16"/>
                <w:szCs w:val="16"/>
                <w:color w:val="auto"/>
              </w:rPr>
              <w:t>1,737,215</w:t>
            </w:r>
          </w:p>
        </w:tc>
        <w:tc>
          <w:tcPr>
            <w:tcW w:w="1000" w:type="dxa"/>
            <w:vAlign w:val="bottom"/>
          </w:tcPr>
          <w:p>
            <w:pPr>
              <w:jc w:val="right"/>
              <w:spacing w:after="0"/>
              <w:rPr>
                <w:sz w:val="20"/>
                <w:szCs w:val="20"/>
                <w:color w:val="auto"/>
              </w:rPr>
            </w:pPr>
            <w:r>
              <w:rPr>
                <w:rFonts w:ascii="Arial" w:cs="Arial" w:eastAsia="Arial" w:hAnsi="Arial"/>
                <w:sz w:val="16"/>
                <w:szCs w:val="16"/>
                <w:color w:val="auto"/>
              </w:rPr>
              <w:t>1,670,472</w:t>
            </w:r>
          </w:p>
        </w:tc>
        <w:tc>
          <w:tcPr>
            <w:tcW w:w="0" w:type="dxa"/>
            <w:vAlign w:val="bottom"/>
          </w:tcPr>
          <w:p>
            <w:pPr>
              <w:spacing w:after="0"/>
              <w:rPr>
                <w:sz w:val="1"/>
                <w:szCs w:val="1"/>
                <w:color w:val="auto"/>
              </w:rPr>
            </w:pPr>
          </w:p>
        </w:tc>
      </w:tr>
      <w:tr>
        <w:trPr>
          <w:trHeight w:val="219"/>
        </w:trPr>
        <w:tc>
          <w:tcPr>
            <w:tcW w:w="6660" w:type="dxa"/>
            <w:vAlign w:val="bottom"/>
            <w:shd w:val="clear" w:color="auto" w:fill="CEFFE7"/>
          </w:tcPr>
          <w:p>
            <w:pPr>
              <w:ind w:left="220"/>
              <w:spacing w:after="0" w:line="219"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178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662,378</w:t>
            </w:r>
          </w:p>
        </w:tc>
        <w:tc>
          <w:tcPr>
            <w:tcW w:w="1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1,030,431</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1,626,174</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EFFE7"/>
            </w:tcBorders>
          </w:tcPr>
          <w:p>
            <w:pPr>
              <w:ind w:left="220"/>
              <w:spacing w:after="0"/>
              <w:rPr>
                <w:sz w:val="20"/>
                <w:szCs w:val="20"/>
                <w:color w:val="auto"/>
              </w:rPr>
            </w:pPr>
            <w:r>
              <w:rPr>
                <w:rFonts w:ascii="Arial" w:cs="Arial" w:eastAsia="Arial" w:hAnsi="Arial"/>
                <w:sz w:val="16"/>
                <w:szCs w:val="16"/>
                <w:color w:val="auto"/>
              </w:rPr>
              <w:t>Wyoming Electric</w:t>
            </w: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1,152,190</w:t>
            </w:r>
          </w:p>
        </w:tc>
        <w:tc>
          <w:tcPr>
            <w:tcW w:w="18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1,071,405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1,008,882</w:t>
            </w:r>
          </w:p>
        </w:tc>
        <w:tc>
          <w:tcPr>
            <w:tcW w:w="0" w:type="dxa"/>
            <w:vAlign w:val="bottom"/>
          </w:tcPr>
          <w:p>
            <w:pPr>
              <w:spacing w:after="0"/>
              <w:rPr>
                <w:sz w:val="1"/>
                <w:szCs w:val="1"/>
                <w:color w:val="auto"/>
              </w:rPr>
            </w:pPr>
          </w:p>
        </w:tc>
      </w:tr>
      <w:tr>
        <w:trPr>
          <w:trHeight w:val="209"/>
        </w:trPr>
        <w:tc>
          <w:tcPr>
            <w:tcW w:w="66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17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3,830,376</w:t>
            </w:r>
          </w:p>
        </w:tc>
        <w:tc>
          <w:tcPr>
            <w:tcW w:w="1800" w:type="dxa"/>
            <w:vAlign w:val="bottom"/>
            <w:tcBorders>
              <w:bottom w:val="single" w:sz="8" w:color="auto"/>
            </w:tcBorders>
            <w:shd w:val="clear" w:color="auto" w:fill="CEFFE7"/>
          </w:tcPr>
          <w:p>
            <w:pPr>
              <w:jc w:val="right"/>
              <w:ind w:right="519"/>
              <w:spacing w:after="0"/>
              <w:rPr>
                <w:sz w:val="20"/>
                <w:szCs w:val="20"/>
                <w:color w:val="auto"/>
              </w:rPr>
            </w:pPr>
            <w:r>
              <w:rPr>
                <w:rFonts w:ascii="Arial" w:cs="Arial" w:eastAsia="Arial" w:hAnsi="Arial"/>
                <w:sz w:val="16"/>
                <w:szCs w:val="16"/>
                <w:color w:val="auto"/>
              </w:rPr>
              <w:t>3,839,051</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4,305,528</w:t>
            </w:r>
          </w:p>
        </w:tc>
        <w:tc>
          <w:tcPr>
            <w:tcW w:w="0" w:type="dxa"/>
            <w:vAlign w:val="bottom"/>
          </w:tcPr>
          <w:p>
            <w:pPr>
              <w:spacing w:after="0"/>
              <w:rPr>
                <w:sz w:val="1"/>
                <w:szCs w:val="1"/>
                <w:color w:val="auto"/>
              </w:rPr>
            </w:pPr>
          </w:p>
        </w:tc>
      </w:tr>
      <w:tr>
        <w:trPr>
          <w:trHeight w:val="145"/>
        </w:trPr>
        <w:tc>
          <w:tcPr>
            <w:tcW w:w="6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6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Generated and Purchased</w:t>
            </w:r>
          </w:p>
        </w:tc>
        <w:tc>
          <w:tcPr>
            <w:tcW w:w="17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6,946,965</w:t>
            </w:r>
          </w:p>
        </w:tc>
        <w:tc>
          <w:tcPr>
            <w:tcW w:w="1800" w:type="dxa"/>
            <w:vAlign w:val="bottom"/>
            <w:tcBorders>
              <w:bottom w:val="single" w:sz="8" w:color="auto"/>
            </w:tcBorders>
            <w:shd w:val="clear" w:color="auto" w:fill="CEFFE7"/>
          </w:tcPr>
          <w:p>
            <w:pPr>
              <w:jc w:val="right"/>
              <w:ind w:right="519"/>
              <w:spacing w:after="0"/>
              <w:rPr>
                <w:sz w:val="20"/>
                <w:szCs w:val="20"/>
                <w:color w:val="auto"/>
              </w:rPr>
            </w:pPr>
            <w:r>
              <w:rPr>
                <w:rFonts w:ascii="Arial" w:cs="Arial" w:eastAsia="Arial" w:hAnsi="Arial"/>
                <w:sz w:val="16"/>
                <w:szCs w:val="16"/>
                <w:color w:val="auto"/>
              </w:rPr>
              <w:t>6,904,080</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7,373,587</w:t>
            </w:r>
          </w:p>
        </w:tc>
        <w:tc>
          <w:tcPr>
            <w:tcW w:w="0" w:type="dxa"/>
            <w:vAlign w:val="bottom"/>
          </w:tcPr>
          <w:p>
            <w:pPr>
              <w:spacing w:after="0"/>
              <w:rPr>
                <w:sz w:val="1"/>
                <w:szCs w:val="1"/>
                <w:color w:val="auto"/>
              </w:rPr>
            </w:pPr>
          </w:p>
        </w:tc>
      </w:tr>
      <w:tr>
        <w:trPr>
          <w:trHeight w:val="20"/>
        </w:trPr>
        <w:tc>
          <w:tcPr>
            <w:tcW w:w="666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4"/>
                <w:szCs w:val="14"/>
                <w:color w:val="auto"/>
              </w:rPr>
              <w:t>____________________</w:t>
            </w:r>
          </w:p>
        </w:tc>
        <w:tc>
          <w:tcPr>
            <w:tcW w:w="178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60" w:hanging="332"/>
        <w:spacing w:after="0" w:line="258" w:lineRule="auto"/>
        <w:tabs>
          <w:tab w:leader="none" w:pos="352" w:val="left"/>
        </w:tabs>
        <w:numPr>
          <w:ilvl w:val="0"/>
          <w:numId w:val="32"/>
        </w:numPr>
        <w:rPr>
          <w:rFonts w:ascii="Arial" w:cs="Arial" w:eastAsia="Arial" w:hAnsi="Arial"/>
          <w:sz w:val="14"/>
          <w:szCs w:val="14"/>
          <w:color w:val="auto"/>
        </w:rPr>
      </w:pPr>
      <w:r>
        <w:rPr>
          <w:rFonts w:ascii="Arial" w:cs="Arial" w:eastAsia="Arial" w:hAnsi="Arial"/>
          <w:sz w:val="14"/>
          <w:szCs w:val="14"/>
          <w:color w:val="auto"/>
        </w:rPr>
        <w:t>2020 and 2019 purchased power quantities for a wholesale contract have been presented on a net basis. 2018 amounts were presented on a gross basis and, due to their immaterial nature, were not revised. This presentation change has no impact on Gross margin.</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40" w:type="dxa"/>
            <w:vAlign w:val="bottom"/>
            <w:gridSpan w:val="3"/>
          </w:tcPr>
          <w:p>
            <w:pPr>
              <w:ind w:left="20"/>
              <w:spacing w:after="0"/>
              <w:rPr>
                <w:sz w:val="20"/>
                <w:szCs w:val="20"/>
                <w:color w:val="auto"/>
              </w:rPr>
            </w:pPr>
            <w:r>
              <w:rPr>
                <w:rFonts w:ascii="Arial" w:cs="Arial" w:eastAsia="Arial" w:hAnsi="Arial"/>
                <w:sz w:val="16"/>
                <w:szCs w:val="16"/>
                <w:color w:val="auto"/>
              </w:rPr>
              <w:t>For the year ended December 31,</w:t>
            </w: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Degree Days</w:t>
            </w:r>
          </w:p>
        </w:tc>
        <w:tc>
          <w:tcPr>
            <w:tcW w:w="20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ind w:left="800"/>
              <w:spacing w:after="0"/>
              <w:rPr>
                <w:sz w:val="20"/>
                <w:szCs w:val="20"/>
                <w:color w:val="auto"/>
              </w:rPr>
            </w:pPr>
            <w:r>
              <w:rPr>
                <w:rFonts w:ascii="Arial" w:cs="Arial" w:eastAsia="Arial" w:hAnsi="Arial"/>
                <w:sz w:val="16"/>
                <w:szCs w:val="16"/>
                <w:color w:val="auto"/>
              </w:rPr>
              <w:t>2019</w:t>
            </w:r>
          </w:p>
        </w:tc>
        <w:tc>
          <w:tcPr>
            <w:tcW w:w="194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19"/>
                <w:szCs w:val="19"/>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2"/>
          </w:tcPr>
          <w:p>
            <w:pPr>
              <w:jc w:val="center"/>
              <w:ind w:right="19"/>
              <w:spacing w:after="0" w:line="174" w:lineRule="exact"/>
              <w:rPr>
                <w:sz w:val="20"/>
                <w:szCs w:val="20"/>
                <w:color w:val="auto"/>
              </w:rPr>
            </w:pPr>
            <w:r>
              <w:rPr>
                <w:rFonts w:ascii="Arial" w:cs="Arial" w:eastAsia="Arial" w:hAnsi="Arial"/>
                <w:sz w:val="16"/>
                <w:szCs w:val="16"/>
                <w:color w:val="auto"/>
              </w:rPr>
              <w:t>Variance from</w:t>
            </w:r>
          </w:p>
        </w:tc>
        <w:tc>
          <w:tcPr>
            <w:tcW w:w="900" w:type="dxa"/>
            <w:vAlign w:val="bottom"/>
          </w:tcPr>
          <w:p>
            <w:pPr>
              <w:spacing w:after="0"/>
              <w:rPr>
                <w:sz w:val="15"/>
                <w:szCs w:val="15"/>
                <w:color w:val="auto"/>
              </w:rPr>
            </w:pPr>
          </w:p>
        </w:tc>
        <w:tc>
          <w:tcPr>
            <w:tcW w:w="1400" w:type="dxa"/>
            <w:vAlign w:val="bottom"/>
          </w:tcPr>
          <w:p>
            <w:pPr>
              <w:jc w:val="center"/>
              <w:ind w:right="159"/>
              <w:spacing w:after="0" w:line="174" w:lineRule="exact"/>
              <w:rPr>
                <w:sz w:val="20"/>
                <w:szCs w:val="20"/>
                <w:color w:val="auto"/>
              </w:rPr>
            </w:pPr>
            <w:r>
              <w:rPr>
                <w:rFonts w:ascii="Arial" w:cs="Arial" w:eastAsia="Arial" w:hAnsi="Arial"/>
                <w:sz w:val="16"/>
                <w:szCs w:val="16"/>
                <w:color w:val="auto"/>
              </w:rPr>
              <w:t>Variance from</w:t>
            </w:r>
          </w:p>
        </w:tc>
        <w:tc>
          <w:tcPr>
            <w:tcW w:w="780" w:type="dxa"/>
            <w:vAlign w:val="bottom"/>
          </w:tcPr>
          <w:p>
            <w:pPr>
              <w:spacing w:after="0"/>
              <w:rPr>
                <w:sz w:val="15"/>
                <w:szCs w:val="15"/>
                <w:color w:val="auto"/>
              </w:rPr>
            </w:pPr>
          </w:p>
        </w:tc>
        <w:tc>
          <w:tcPr>
            <w:tcW w:w="1160" w:type="dxa"/>
            <w:vAlign w:val="bottom"/>
          </w:tcPr>
          <w:p>
            <w:pPr>
              <w:jc w:val="center"/>
              <w:spacing w:after="0" w:line="174" w:lineRule="exact"/>
              <w:rPr>
                <w:sz w:val="20"/>
                <w:szCs w:val="20"/>
                <w:color w:val="auto"/>
              </w:rPr>
            </w:pPr>
            <w:r>
              <w:rPr>
                <w:rFonts w:ascii="Arial" w:cs="Arial" w:eastAsia="Arial" w:hAnsi="Arial"/>
                <w:sz w:val="16"/>
                <w:szCs w:val="16"/>
                <w:color w:val="auto"/>
              </w:rPr>
              <w:t>Variance from</w:t>
            </w:r>
          </w:p>
        </w:tc>
        <w:tc>
          <w:tcPr>
            <w:tcW w:w="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Actual</w:t>
            </w:r>
          </w:p>
        </w:tc>
        <w:tc>
          <w:tcPr>
            <w:tcW w:w="126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color w:val="auto"/>
              </w:rPr>
              <w:t>Normal</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Actual</w:t>
            </w:r>
          </w:p>
        </w:tc>
        <w:tc>
          <w:tcPr>
            <w:tcW w:w="14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Normal</w:t>
            </w: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Actual</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Normal</w:t>
            </w:r>
          </w:p>
        </w:tc>
        <w:tc>
          <w:tcPr>
            <w:tcW w:w="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Heating Degree Days: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5,103</w:t>
            </w:r>
          </w:p>
        </w:tc>
        <w:tc>
          <w:tcPr>
            <w:tcW w:w="10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(9)%</w:t>
            </w:r>
          </w:p>
        </w:tc>
        <w:tc>
          <w:tcPr>
            <w:tcW w:w="24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5,453</w:t>
            </w:r>
          </w:p>
        </w:tc>
        <w:tc>
          <w:tcPr>
            <w:tcW w:w="1400" w:type="dxa"/>
            <w:vAlign w:val="bottom"/>
            <w:shd w:val="clear" w:color="auto" w:fill="CEFFE7"/>
          </w:tcPr>
          <w:p>
            <w:pPr>
              <w:jc w:val="center"/>
              <w:ind w:right="139"/>
              <w:spacing w:after="0"/>
              <w:rPr>
                <w:sz w:val="20"/>
                <w:szCs w:val="20"/>
                <w:color w:val="auto"/>
              </w:rPr>
            </w:pPr>
            <w:r>
              <w:rPr>
                <w:rFonts w:ascii="Arial" w:cs="Arial" w:eastAsia="Arial" w:hAnsi="Arial"/>
                <w:sz w:val="16"/>
                <w:szCs w:val="16"/>
                <w:color w:val="auto"/>
              </w:rPr>
              <w:t>(3)%</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5,119</w:t>
            </w:r>
          </w:p>
        </w:tc>
        <w:tc>
          <w:tcPr>
            <w:tcW w:w="11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6"/>
                <w:szCs w:val="16"/>
                <w:color w:val="auto"/>
              </w:rPr>
              <w:t>South Dakota Electric</w:t>
            </w:r>
          </w:p>
        </w:tc>
        <w:tc>
          <w:tcPr>
            <w:tcW w:w="1020" w:type="dxa"/>
            <w:vAlign w:val="bottom"/>
          </w:tcPr>
          <w:p>
            <w:pPr>
              <w:jc w:val="right"/>
              <w:spacing w:after="0"/>
              <w:rPr>
                <w:sz w:val="20"/>
                <w:szCs w:val="20"/>
                <w:color w:val="auto"/>
              </w:rPr>
            </w:pPr>
            <w:r>
              <w:rPr>
                <w:rFonts w:ascii="Arial" w:cs="Arial" w:eastAsia="Arial" w:hAnsi="Arial"/>
                <w:sz w:val="16"/>
                <w:szCs w:val="16"/>
                <w:color w:val="auto"/>
              </w:rPr>
              <w:t>6,910</w:t>
            </w:r>
          </w:p>
        </w:tc>
        <w:tc>
          <w:tcPr>
            <w:tcW w:w="1020" w:type="dxa"/>
            <w:vAlign w:val="bottom"/>
          </w:tcPr>
          <w:p>
            <w:pPr>
              <w:jc w:val="center"/>
              <w:ind w:lef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8,284</w:t>
            </w:r>
          </w:p>
        </w:tc>
        <w:tc>
          <w:tcPr>
            <w:tcW w:w="1400" w:type="dxa"/>
            <w:vAlign w:val="bottom"/>
          </w:tcPr>
          <w:p>
            <w:pPr>
              <w:jc w:val="center"/>
              <w:ind w:right="159"/>
              <w:spacing w:after="0"/>
              <w:rPr>
                <w:sz w:val="20"/>
                <w:szCs w:val="20"/>
                <w:color w:val="auto"/>
              </w:rPr>
            </w:pPr>
            <w:r>
              <w:rPr>
                <w:rFonts w:ascii="Arial" w:cs="Arial" w:eastAsia="Arial" w:hAnsi="Arial"/>
                <w:sz w:val="16"/>
                <w:szCs w:val="16"/>
                <w:color w:val="auto"/>
                <w:w w:val="99"/>
              </w:rPr>
              <w:t>16%</w:t>
            </w:r>
          </w:p>
        </w:tc>
        <w:tc>
          <w:tcPr>
            <w:tcW w:w="780" w:type="dxa"/>
            <w:vAlign w:val="bottom"/>
          </w:tcPr>
          <w:p>
            <w:pPr>
              <w:jc w:val="right"/>
              <w:spacing w:after="0"/>
              <w:rPr>
                <w:sz w:val="20"/>
                <w:szCs w:val="20"/>
                <w:color w:val="auto"/>
              </w:rPr>
            </w:pPr>
            <w:r>
              <w:rPr>
                <w:rFonts w:ascii="Arial" w:cs="Arial" w:eastAsia="Arial" w:hAnsi="Arial"/>
                <w:sz w:val="16"/>
                <w:szCs w:val="16"/>
                <w:color w:val="auto"/>
              </w:rPr>
              <w:t>7,749</w:t>
            </w:r>
          </w:p>
        </w:tc>
        <w:tc>
          <w:tcPr>
            <w:tcW w:w="1160" w:type="dxa"/>
            <w:vAlign w:val="bottom"/>
          </w:tcPr>
          <w:p>
            <w:pPr>
              <w:jc w:val="center"/>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6,771</w:t>
            </w:r>
          </w:p>
        </w:tc>
        <w:tc>
          <w:tcPr>
            <w:tcW w:w="10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(5)%</w:t>
            </w:r>
          </w:p>
        </w:tc>
        <w:tc>
          <w:tcPr>
            <w:tcW w:w="24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7,406</w:t>
            </w:r>
          </w:p>
        </w:tc>
        <w:tc>
          <w:tcPr>
            <w:tcW w:w="1400" w:type="dxa"/>
            <w:vAlign w:val="bottom"/>
            <w:shd w:val="clear" w:color="auto" w:fill="CEFFE7"/>
          </w:tcPr>
          <w:p>
            <w:pPr>
              <w:jc w:val="center"/>
              <w:ind w:right="159"/>
              <w:spacing w:after="0"/>
              <w:rPr>
                <w:sz w:val="20"/>
                <w:szCs w:val="20"/>
                <w:color w:val="auto"/>
              </w:rPr>
            </w:pPr>
            <w:r>
              <w:rPr>
                <w:rFonts w:ascii="Arial" w:cs="Arial" w:eastAsia="Arial" w:hAnsi="Arial"/>
                <w:sz w:val="16"/>
                <w:szCs w:val="16"/>
                <w:color w:val="auto"/>
              </w:rPr>
              <w:t>1%</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7,036</w:t>
            </w:r>
          </w:p>
        </w:tc>
        <w:tc>
          <w:tcPr>
            <w:tcW w:w="11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60"/>
              <w:spacing w:after="0" w:line="216"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020" w:type="dxa"/>
            <w:vAlign w:val="bottom"/>
          </w:tcPr>
          <w:p>
            <w:pPr>
              <w:jc w:val="right"/>
              <w:spacing w:after="0"/>
              <w:rPr>
                <w:sz w:val="20"/>
                <w:szCs w:val="20"/>
                <w:color w:val="auto"/>
              </w:rPr>
            </w:pPr>
            <w:r>
              <w:rPr>
                <w:rFonts w:ascii="Arial" w:cs="Arial" w:eastAsia="Arial" w:hAnsi="Arial"/>
                <w:sz w:val="16"/>
                <w:szCs w:val="16"/>
                <w:color w:val="auto"/>
              </w:rPr>
              <w:t>6,056</w:t>
            </w:r>
          </w:p>
        </w:tc>
        <w:tc>
          <w:tcPr>
            <w:tcW w:w="1020" w:type="dxa"/>
            <w:vAlign w:val="bottom"/>
          </w:tcPr>
          <w:p>
            <w:pPr>
              <w:jc w:val="center"/>
              <w:ind w:left="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6,813</w:t>
            </w:r>
          </w:p>
        </w:tc>
        <w:tc>
          <w:tcPr>
            <w:tcW w:w="1400" w:type="dxa"/>
            <w:vAlign w:val="bottom"/>
          </w:tcPr>
          <w:p>
            <w:pPr>
              <w:jc w:val="center"/>
              <w:ind w:right="159"/>
              <w:spacing w:after="0"/>
              <w:rPr>
                <w:sz w:val="20"/>
                <w:szCs w:val="20"/>
                <w:color w:val="auto"/>
              </w:rPr>
            </w:pPr>
            <w:r>
              <w:rPr>
                <w:rFonts w:ascii="Arial" w:cs="Arial" w:eastAsia="Arial" w:hAnsi="Arial"/>
                <w:sz w:val="16"/>
                <w:szCs w:val="16"/>
                <w:color w:val="auto"/>
              </w:rPr>
              <w:t>5%</w:t>
            </w:r>
          </w:p>
        </w:tc>
        <w:tc>
          <w:tcPr>
            <w:tcW w:w="780" w:type="dxa"/>
            <w:vAlign w:val="bottom"/>
          </w:tcPr>
          <w:p>
            <w:pPr>
              <w:jc w:val="right"/>
              <w:spacing w:after="0"/>
              <w:rPr>
                <w:sz w:val="20"/>
                <w:szCs w:val="20"/>
                <w:color w:val="auto"/>
              </w:rPr>
            </w:pPr>
            <w:r>
              <w:rPr>
                <w:rFonts w:ascii="Arial" w:cs="Arial" w:eastAsia="Arial" w:hAnsi="Arial"/>
                <w:sz w:val="16"/>
                <w:szCs w:val="16"/>
                <w:color w:val="auto"/>
              </w:rPr>
              <w:t>6,405</w:t>
            </w:r>
          </w:p>
        </w:tc>
        <w:tc>
          <w:tcPr>
            <w:tcW w:w="1160" w:type="dxa"/>
            <w:vAlign w:val="bottom"/>
          </w:tcPr>
          <w:p>
            <w:pPr>
              <w:jc w:val="center"/>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EFFE7"/>
          </w:tcPr>
          <w:p>
            <w:pPr>
              <w:spacing w:after="0"/>
              <w:rPr>
                <w:sz w:val="22"/>
                <w:szCs w:val="22"/>
                <w:color w:val="auto"/>
              </w:rPr>
            </w:pPr>
          </w:p>
        </w:tc>
        <w:tc>
          <w:tcPr>
            <w:tcW w:w="1020" w:type="dxa"/>
            <w:vAlign w:val="bottom"/>
            <w:shd w:val="clear" w:color="auto" w:fill="CEFFE7"/>
          </w:tcPr>
          <w:p>
            <w:pPr>
              <w:spacing w:after="0"/>
              <w:rPr>
                <w:sz w:val="22"/>
                <w:szCs w:val="22"/>
                <w:color w:val="auto"/>
              </w:rPr>
            </w:pPr>
          </w:p>
        </w:tc>
        <w:tc>
          <w:tcPr>
            <w:tcW w:w="1020" w:type="dxa"/>
            <w:vAlign w:val="bottom"/>
            <w:shd w:val="clear" w:color="auto" w:fill="CEFFE7"/>
          </w:tcPr>
          <w:p>
            <w:pPr>
              <w:spacing w:after="0"/>
              <w:rPr>
                <w:sz w:val="22"/>
                <w:szCs w:val="22"/>
                <w:color w:val="auto"/>
              </w:rPr>
            </w:pPr>
          </w:p>
        </w:tc>
        <w:tc>
          <w:tcPr>
            <w:tcW w:w="240" w:type="dxa"/>
            <w:vAlign w:val="bottom"/>
            <w:shd w:val="clear" w:color="auto" w:fill="CEFFE7"/>
          </w:tcPr>
          <w:p>
            <w:pPr>
              <w:spacing w:after="0"/>
              <w:rPr>
                <w:sz w:val="22"/>
                <w:szCs w:val="22"/>
                <w:color w:val="auto"/>
              </w:rPr>
            </w:pPr>
          </w:p>
        </w:tc>
        <w:tc>
          <w:tcPr>
            <w:tcW w:w="900" w:type="dxa"/>
            <w:vAlign w:val="bottom"/>
            <w:shd w:val="clear" w:color="auto" w:fill="CEFFE7"/>
          </w:tcPr>
          <w:p>
            <w:pPr>
              <w:spacing w:after="0"/>
              <w:rPr>
                <w:sz w:val="22"/>
                <w:szCs w:val="22"/>
                <w:color w:val="auto"/>
              </w:rPr>
            </w:pPr>
          </w:p>
        </w:tc>
        <w:tc>
          <w:tcPr>
            <w:tcW w:w="1400" w:type="dxa"/>
            <w:vAlign w:val="bottom"/>
            <w:shd w:val="clear" w:color="auto" w:fill="CEFFE7"/>
          </w:tcPr>
          <w:p>
            <w:pPr>
              <w:spacing w:after="0"/>
              <w:rPr>
                <w:sz w:val="22"/>
                <w:szCs w:val="22"/>
                <w:color w:val="auto"/>
              </w:rPr>
            </w:pPr>
          </w:p>
        </w:tc>
        <w:tc>
          <w:tcPr>
            <w:tcW w:w="780" w:type="dxa"/>
            <w:vAlign w:val="bottom"/>
            <w:shd w:val="clear" w:color="auto" w:fill="CEFFE7"/>
          </w:tcPr>
          <w:p>
            <w:pPr>
              <w:spacing w:after="0"/>
              <w:rPr>
                <w:sz w:val="22"/>
                <w:szCs w:val="22"/>
                <w:color w:val="auto"/>
              </w:rPr>
            </w:pPr>
          </w:p>
        </w:tc>
        <w:tc>
          <w:tcPr>
            <w:tcW w:w="1160" w:type="dxa"/>
            <w:vAlign w:val="bottom"/>
            <w:shd w:val="clear" w:color="auto" w:fill="CEFFE7"/>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Cooling Degree Days:</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1,384</w:t>
            </w:r>
          </w:p>
        </w:tc>
        <w:tc>
          <w:tcPr>
            <w:tcW w:w="1020" w:type="dxa"/>
            <w:vAlign w:val="bottom"/>
            <w:shd w:val="clear" w:color="auto" w:fill="CEFFE7"/>
          </w:tcPr>
          <w:p>
            <w:pPr>
              <w:jc w:val="center"/>
              <w:ind w:left="59"/>
              <w:spacing w:after="0"/>
              <w:rPr>
                <w:sz w:val="20"/>
                <w:szCs w:val="20"/>
                <w:color w:val="auto"/>
              </w:rPr>
            </w:pPr>
            <w:r>
              <w:rPr>
                <w:rFonts w:ascii="Arial" w:cs="Arial" w:eastAsia="Arial" w:hAnsi="Arial"/>
                <w:sz w:val="16"/>
                <w:szCs w:val="16"/>
                <w:color w:val="auto"/>
                <w:w w:val="99"/>
              </w:rPr>
              <w:t>54%</w:t>
            </w:r>
          </w:p>
        </w:tc>
        <w:tc>
          <w:tcPr>
            <w:tcW w:w="24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1,226</w:t>
            </w:r>
          </w:p>
        </w:tc>
        <w:tc>
          <w:tcPr>
            <w:tcW w:w="1400" w:type="dxa"/>
            <w:vAlign w:val="bottom"/>
            <w:shd w:val="clear" w:color="auto" w:fill="CEFFE7"/>
          </w:tcPr>
          <w:p>
            <w:pPr>
              <w:jc w:val="center"/>
              <w:ind w:right="159"/>
              <w:spacing w:after="0"/>
              <w:rPr>
                <w:sz w:val="20"/>
                <w:szCs w:val="20"/>
                <w:color w:val="auto"/>
              </w:rPr>
            </w:pPr>
            <w:r>
              <w:rPr>
                <w:rFonts w:ascii="Arial" w:cs="Arial" w:eastAsia="Arial" w:hAnsi="Arial"/>
                <w:sz w:val="16"/>
                <w:szCs w:val="16"/>
                <w:color w:val="auto"/>
                <w:w w:val="99"/>
              </w:rPr>
              <w:t>37%</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1,420</w:t>
            </w:r>
          </w:p>
        </w:tc>
        <w:tc>
          <w:tcPr>
            <w:tcW w:w="11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58%</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6"/>
                <w:szCs w:val="16"/>
                <w:color w:val="auto"/>
              </w:rPr>
              <w:t>South Dakota Electric</w:t>
            </w:r>
          </w:p>
        </w:tc>
        <w:tc>
          <w:tcPr>
            <w:tcW w:w="1020" w:type="dxa"/>
            <w:vAlign w:val="bottom"/>
          </w:tcPr>
          <w:p>
            <w:pPr>
              <w:jc w:val="right"/>
              <w:spacing w:after="0"/>
              <w:rPr>
                <w:sz w:val="20"/>
                <w:szCs w:val="20"/>
                <w:color w:val="auto"/>
              </w:rPr>
            </w:pPr>
            <w:r>
              <w:rPr>
                <w:rFonts w:ascii="Arial" w:cs="Arial" w:eastAsia="Arial" w:hAnsi="Arial"/>
                <w:sz w:val="16"/>
                <w:szCs w:val="16"/>
                <w:color w:val="auto"/>
              </w:rPr>
              <w:t>682</w:t>
            </w:r>
          </w:p>
        </w:tc>
        <w:tc>
          <w:tcPr>
            <w:tcW w:w="1020" w:type="dxa"/>
            <w:vAlign w:val="bottom"/>
          </w:tcPr>
          <w:p>
            <w:pPr>
              <w:jc w:val="center"/>
              <w:ind w:left="39"/>
              <w:spacing w:after="0"/>
              <w:rPr>
                <w:sz w:val="20"/>
                <w:szCs w:val="20"/>
                <w:color w:val="auto"/>
              </w:rPr>
            </w:pPr>
            <w:r>
              <w:rPr>
                <w:rFonts w:ascii="Arial" w:cs="Arial" w:eastAsia="Arial" w:hAnsi="Arial"/>
                <w:sz w:val="16"/>
                <w:szCs w:val="16"/>
                <w:color w:val="auto"/>
                <w:w w:val="94"/>
              </w:rPr>
              <w:t>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404</w:t>
            </w:r>
          </w:p>
        </w:tc>
        <w:tc>
          <w:tcPr>
            <w:tcW w:w="1400" w:type="dxa"/>
            <w:vAlign w:val="bottom"/>
          </w:tcPr>
          <w:p>
            <w:pPr>
              <w:jc w:val="center"/>
              <w:ind w:right="159"/>
              <w:spacing w:after="0"/>
              <w:rPr>
                <w:sz w:val="20"/>
                <w:szCs w:val="20"/>
                <w:color w:val="auto"/>
              </w:rPr>
            </w:pPr>
            <w:r>
              <w:rPr>
                <w:rFonts w:ascii="Arial" w:cs="Arial" w:eastAsia="Arial" w:hAnsi="Arial"/>
                <w:sz w:val="16"/>
                <w:szCs w:val="16"/>
                <w:color w:val="auto"/>
              </w:rPr>
              <w:t>(36)%</w:t>
            </w:r>
          </w:p>
        </w:tc>
        <w:tc>
          <w:tcPr>
            <w:tcW w:w="780" w:type="dxa"/>
            <w:vAlign w:val="bottom"/>
          </w:tcPr>
          <w:p>
            <w:pPr>
              <w:jc w:val="right"/>
              <w:spacing w:after="0"/>
              <w:rPr>
                <w:sz w:val="20"/>
                <w:szCs w:val="20"/>
                <w:color w:val="auto"/>
              </w:rPr>
            </w:pPr>
            <w:r>
              <w:rPr>
                <w:rFonts w:ascii="Arial" w:cs="Arial" w:eastAsia="Arial" w:hAnsi="Arial"/>
                <w:sz w:val="16"/>
                <w:szCs w:val="16"/>
                <w:color w:val="auto"/>
              </w:rPr>
              <w:t>488</w:t>
            </w:r>
          </w:p>
        </w:tc>
        <w:tc>
          <w:tcPr>
            <w:tcW w:w="1160" w:type="dxa"/>
            <w:vAlign w:val="bottom"/>
          </w:tcPr>
          <w:p>
            <w:pPr>
              <w:jc w:val="center"/>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594</w:t>
            </w:r>
          </w:p>
        </w:tc>
        <w:tc>
          <w:tcPr>
            <w:tcW w:w="1020" w:type="dxa"/>
            <w:vAlign w:val="bottom"/>
            <w:shd w:val="clear" w:color="auto" w:fill="CEFFE7"/>
          </w:tcPr>
          <w:p>
            <w:pPr>
              <w:jc w:val="center"/>
              <w:ind w:left="59"/>
              <w:spacing w:after="0"/>
              <w:rPr>
                <w:sz w:val="20"/>
                <w:szCs w:val="20"/>
                <w:color w:val="auto"/>
              </w:rPr>
            </w:pPr>
            <w:r>
              <w:rPr>
                <w:rFonts w:ascii="Arial" w:cs="Arial" w:eastAsia="Arial" w:hAnsi="Arial"/>
                <w:sz w:val="16"/>
                <w:szCs w:val="16"/>
                <w:color w:val="auto"/>
                <w:w w:val="99"/>
              </w:rPr>
              <w:t>71%</w:t>
            </w:r>
          </w:p>
        </w:tc>
        <w:tc>
          <w:tcPr>
            <w:tcW w:w="24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462</w:t>
            </w:r>
          </w:p>
        </w:tc>
        <w:tc>
          <w:tcPr>
            <w:tcW w:w="1400" w:type="dxa"/>
            <w:vAlign w:val="bottom"/>
            <w:shd w:val="clear" w:color="auto" w:fill="CEFFE7"/>
          </w:tcPr>
          <w:p>
            <w:pPr>
              <w:jc w:val="center"/>
              <w:ind w:right="159"/>
              <w:spacing w:after="0"/>
              <w:rPr>
                <w:sz w:val="20"/>
                <w:szCs w:val="20"/>
                <w:color w:val="auto"/>
              </w:rPr>
            </w:pPr>
            <w:r>
              <w:rPr>
                <w:rFonts w:ascii="Arial" w:cs="Arial" w:eastAsia="Arial" w:hAnsi="Arial"/>
                <w:sz w:val="16"/>
                <w:szCs w:val="16"/>
                <w:color w:val="auto"/>
                <w:w w:val="99"/>
              </w:rPr>
              <w:t>33%</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430</w:t>
            </w:r>
          </w:p>
        </w:tc>
        <w:tc>
          <w:tcPr>
            <w:tcW w:w="11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24%</w:t>
            </w:r>
          </w:p>
        </w:tc>
        <w:tc>
          <w:tcPr>
            <w:tcW w:w="20" w:type="dxa"/>
            <w:vAlign w:val="bottom"/>
          </w:tcPr>
          <w:p>
            <w:pPr>
              <w:spacing w:after="0"/>
              <w:rPr>
                <w:sz w:val="19"/>
                <w:szCs w:val="19"/>
                <w:color w:val="auto"/>
              </w:rPr>
            </w:pPr>
          </w:p>
        </w:tc>
      </w:tr>
      <w:tr>
        <w:trPr>
          <w:trHeight w:val="281"/>
        </w:trPr>
        <w:tc>
          <w:tcPr>
            <w:tcW w:w="20" w:type="dxa"/>
            <w:vAlign w:val="bottom"/>
          </w:tcPr>
          <w:p>
            <w:pPr>
              <w:spacing w:after="0"/>
              <w:rPr>
                <w:sz w:val="24"/>
                <w:szCs w:val="24"/>
                <w:color w:val="auto"/>
              </w:rPr>
            </w:pPr>
          </w:p>
        </w:tc>
        <w:tc>
          <w:tcPr>
            <w:tcW w:w="4680" w:type="dxa"/>
            <w:vAlign w:val="bottom"/>
          </w:tcPr>
          <w:p>
            <w:pPr>
              <w:ind w:left="46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020" w:type="dxa"/>
            <w:vAlign w:val="bottom"/>
          </w:tcPr>
          <w:p>
            <w:pPr>
              <w:jc w:val="right"/>
              <w:spacing w:after="0"/>
              <w:rPr>
                <w:sz w:val="20"/>
                <w:szCs w:val="20"/>
                <w:color w:val="auto"/>
              </w:rPr>
            </w:pPr>
            <w:r>
              <w:rPr>
                <w:rFonts w:ascii="Arial" w:cs="Arial" w:eastAsia="Arial" w:hAnsi="Arial"/>
                <w:sz w:val="16"/>
                <w:szCs w:val="16"/>
                <w:color w:val="auto"/>
              </w:rPr>
              <w:t>985</w:t>
            </w:r>
          </w:p>
        </w:tc>
        <w:tc>
          <w:tcPr>
            <w:tcW w:w="1020" w:type="dxa"/>
            <w:vAlign w:val="bottom"/>
          </w:tcPr>
          <w:p>
            <w:pPr>
              <w:jc w:val="center"/>
              <w:ind w:left="59"/>
              <w:spacing w:after="0"/>
              <w:rPr>
                <w:sz w:val="20"/>
                <w:szCs w:val="20"/>
                <w:color w:val="auto"/>
              </w:rPr>
            </w:pPr>
            <w:r>
              <w:rPr>
                <w:rFonts w:ascii="Arial" w:cs="Arial" w:eastAsia="Arial" w:hAnsi="Arial"/>
                <w:sz w:val="16"/>
                <w:szCs w:val="16"/>
                <w:color w:val="auto"/>
                <w:w w:val="99"/>
              </w:rPr>
              <w:t>41%</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791</w:t>
            </w:r>
          </w:p>
        </w:tc>
        <w:tc>
          <w:tcPr>
            <w:tcW w:w="1400" w:type="dxa"/>
            <w:vAlign w:val="bottom"/>
          </w:tcPr>
          <w:p>
            <w:pPr>
              <w:jc w:val="center"/>
              <w:ind w:right="159"/>
              <w:spacing w:after="0"/>
              <w:rPr>
                <w:sz w:val="20"/>
                <w:szCs w:val="20"/>
                <w:color w:val="auto"/>
              </w:rPr>
            </w:pPr>
            <w:r>
              <w:rPr>
                <w:rFonts w:ascii="Arial" w:cs="Arial" w:eastAsia="Arial" w:hAnsi="Arial"/>
                <w:sz w:val="16"/>
                <w:szCs w:val="16"/>
                <w:color w:val="auto"/>
                <w:w w:val="99"/>
              </w:rPr>
              <w:t>14%</w:t>
            </w:r>
          </w:p>
        </w:tc>
        <w:tc>
          <w:tcPr>
            <w:tcW w:w="780" w:type="dxa"/>
            <w:vAlign w:val="bottom"/>
          </w:tcPr>
          <w:p>
            <w:pPr>
              <w:jc w:val="right"/>
              <w:spacing w:after="0"/>
              <w:rPr>
                <w:sz w:val="20"/>
                <w:szCs w:val="20"/>
                <w:color w:val="auto"/>
              </w:rPr>
            </w:pPr>
            <w:r>
              <w:rPr>
                <w:rFonts w:ascii="Arial" w:cs="Arial" w:eastAsia="Arial" w:hAnsi="Arial"/>
                <w:sz w:val="16"/>
                <w:szCs w:val="16"/>
                <w:color w:val="auto"/>
              </w:rPr>
              <w:t>902</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29%</w:t>
            </w:r>
          </w:p>
        </w:tc>
        <w:tc>
          <w:tcPr>
            <w:tcW w:w="20" w:type="dxa"/>
            <w:vAlign w:val="bottom"/>
          </w:tcPr>
          <w:p>
            <w:pPr>
              <w:spacing w:after="0"/>
              <w:rPr>
                <w:sz w:val="24"/>
                <w:szCs w:val="24"/>
                <w:color w:val="auto"/>
              </w:rPr>
            </w:pPr>
          </w:p>
        </w:tc>
      </w:tr>
      <w:tr>
        <w:trPr>
          <w:trHeight w:val="196"/>
        </w:trPr>
        <w:tc>
          <w:tcPr>
            <w:tcW w:w="4700" w:type="dxa"/>
            <w:vAlign w:val="bottom"/>
            <w:gridSpan w:val="2"/>
          </w:tcPr>
          <w:p>
            <w:pPr>
              <w:spacing w:after="0"/>
              <w:rPr>
                <w:sz w:val="20"/>
                <w:szCs w:val="20"/>
                <w:color w:val="auto"/>
              </w:rPr>
            </w:pPr>
            <w:r>
              <w:rPr>
                <w:rFonts w:ascii="Arial" w:cs="Arial" w:eastAsia="Arial" w:hAnsi="Arial"/>
                <w:sz w:val="14"/>
                <w:szCs w:val="14"/>
                <w:color w:val="auto"/>
              </w:rPr>
              <w:t>________________</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2"/>
        </w:trPr>
        <w:tc>
          <w:tcPr>
            <w:tcW w:w="6980" w:type="dxa"/>
            <w:vAlign w:val="bottom"/>
            <w:gridSpan w:val="5"/>
          </w:tcPr>
          <w:p>
            <w:pPr>
              <w:spacing w:after="0"/>
              <w:rPr>
                <w:sz w:val="20"/>
                <w:szCs w:val="20"/>
                <w:color w:val="auto"/>
              </w:rPr>
            </w:pPr>
            <w:r>
              <w:rPr>
                <w:rFonts w:ascii="Arial" w:cs="Arial" w:eastAsia="Arial" w:hAnsi="Arial"/>
                <w:sz w:val="14"/>
                <w:szCs w:val="14"/>
                <w:color w:val="auto"/>
              </w:rPr>
              <w:t>(a)  The combined degree days are calculated based on a weighted average of total customers by state.</w:t>
            </w: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4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color w:val="auto"/>
              </w:rPr>
              <w:t>For the year ended December 31,</w:t>
            </w:r>
          </w:p>
        </w:tc>
        <w:tc>
          <w:tcPr>
            <w:tcW w:w="20" w:type="dxa"/>
            <w:vAlign w:val="bottom"/>
            <w:tcBorders>
              <w:bottom w:val="single" w:sz="8" w:color="auto"/>
            </w:tcBorders>
          </w:tcPr>
          <w:p>
            <w:pPr>
              <w:spacing w:after="0"/>
              <w:rPr>
                <w:sz w:val="24"/>
                <w:szCs w:val="24"/>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line="216" w:lineRule="exact"/>
              <w:rPr>
                <w:sz w:val="20"/>
                <w:szCs w:val="20"/>
                <w:color w:val="auto"/>
              </w:rPr>
            </w:pPr>
            <w:r>
              <w:rPr>
                <w:rFonts w:ascii="Arial" w:cs="Arial" w:eastAsia="Arial" w:hAnsi="Arial"/>
                <w:sz w:val="16"/>
                <w:szCs w:val="16"/>
                <w:color w:val="auto"/>
              </w:rPr>
              <w:t>Contracted generating facilities availability by fuel type</w:t>
            </w:r>
            <w:r>
              <w:rPr>
                <w:rFonts w:ascii="Arial" w:cs="Arial" w:eastAsia="Arial" w:hAnsi="Arial"/>
                <w:sz w:val="21"/>
                <w:szCs w:val="21"/>
                <w:color w:val="auto"/>
                <w:vertAlign w:val="superscript"/>
              </w:rPr>
              <w:t>(a)</w:t>
            </w: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2020</w:t>
            </w:r>
          </w:p>
        </w:tc>
        <w:tc>
          <w:tcPr>
            <w:tcW w:w="140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2018</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shd w:val="clear" w:color="auto" w:fill="CEFFE7"/>
          </w:tcPr>
          <w:p>
            <w:pPr>
              <w:spacing w:after="0"/>
              <w:rPr>
                <w:sz w:val="18"/>
                <w:szCs w:val="18"/>
                <w:color w:val="auto"/>
              </w:rPr>
            </w:pPr>
          </w:p>
        </w:tc>
        <w:tc>
          <w:tcPr>
            <w:tcW w:w="4680" w:type="dxa"/>
            <w:vAlign w:val="bottom"/>
            <w:shd w:val="clear" w:color="auto" w:fill="CEFFE7"/>
          </w:tcPr>
          <w:p>
            <w:pPr>
              <w:spacing w:after="0"/>
              <w:rPr>
                <w:sz w:val="20"/>
                <w:szCs w:val="20"/>
                <w:color w:val="auto"/>
              </w:rPr>
            </w:pPr>
            <w:r>
              <w:rPr>
                <w:rFonts w:ascii="Arial" w:cs="Arial" w:eastAsia="Arial" w:hAnsi="Arial"/>
                <w:sz w:val="16"/>
                <w:szCs w:val="16"/>
                <w:color w:val="auto"/>
              </w:rPr>
              <w:t>Coal</w:t>
            </w:r>
          </w:p>
        </w:tc>
        <w:tc>
          <w:tcPr>
            <w:tcW w:w="102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90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94.1%</w:t>
            </w:r>
          </w:p>
        </w:tc>
        <w:tc>
          <w:tcPr>
            <w:tcW w:w="1400" w:type="dxa"/>
            <w:vAlign w:val="bottom"/>
            <w:shd w:val="clear" w:color="auto" w:fill="CEFFE7"/>
          </w:tcPr>
          <w:p>
            <w:pPr>
              <w:jc w:val="center"/>
              <w:ind w:left="739"/>
              <w:spacing w:after="0"/>
              <w:rPr>
                <w:sz w:val="20"/>
                <w:szCs w:val="20"/>
                <w:color w:val="auto"/>
              </w:rPr>
            </w:pPr>
            <w:r>
              <w:rPr>
                <w:rFonts w:ascii="Arial" w:cs="Arial" w:eastAsia="Arial" w:hAnsi="Arial"/>
                <w:sz w:val="16"/>
                <w:szCs w:val="16"/>
                <w:color w:val="auto"/>
              </w:rPr>
              <w:t>92.1%</w:t>
            </w:r>
          </w:p>
        </w:tc>
        <w:tc>
          <w:tcPr>
            <w:tcW w:w="780" w:type="dxa"/>
            <w:vAlign w:val="bottom"/>
            <w:shd w:val="clear" w:color="auto" w:fill="CEFFE7"/>
          </w:tcPr>
          <w:p>
            <w:pPr>
              <w:spacing w:after="0"/>
              <w:rPr>
                <w:sz w:val="18"/>
                <w:szCs w:val="18"/>
                <w:color w:val="auto"/>
              </w:rPr>
            </w:pPr>
          </w:p>
        </w:tc>
        <w:tc>
          <w:tcPr>
            <w:tcW w:w="1160" w:type="dxa"/>
            <w:vAlign w:val="bottom"/>
            <w:shd w:val="clear" w:color="auto" w:fill="CEFFE7"/>
          </w:tcPr>
          <w:p>
            <w:pPr>
              <w:jc w:val="center"/>
              <w:ind w:right="219"/>
              <w:spacing w:after="0"/>
              <w:rPr>
                <w:sz w:val="20"/>
                <w:szCs w:val="20"/>
                <w:color w:val="auto"/>
              </w:rPr>
            </w:pPr>
            <w:r>
              <w:rPr>
                <w:rFonts w:ascii="Arial" w:cs="Arial" w:eastAsia="Arial" w:hAnsi="Arial"/>
                <w:sz w:val="16"/>
                <w:szCs w:val="16"/>
                <w:color w:val="auto"/>
              </w:rPr>
              <w:t>93.9%</w:t>
            </w:r>
          </w:p>
        </w:tc>
        <w:tc>
          <w:tcPr>
            <w:tcW w:w="20" w:type="dxa"/>
            <w:vAlign w:val="bottom"/>
            <w:shd w:val="clear" w:color="auto" w:fill="CEFFE7"/>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39"/>
              <w:spacing w:after="0"/>
              <w:rPr>
                <w:sz w:val="20"/>
                <w:szCs w:val="20"/>
                <w:color w:val="auto"/>
              </w:rPr>
            </w:pPr>
            <w:r>
              <w:rPr>
                <w:rFonts w:ascii="Arial" w:cs="Arial" w:eastAsia="Arial" w:hAnsi="Arial"/>
                <w:sz w:val="16"/>
                <w:szCs w:val="16"/>
                <w:color w:val="auto"/>
              </w:rPr>
              <w:t>80.6%</w:t>
            </w:r>
          </w:p>
        </w:tc>
        <w:tc>
          <w:tcPr>
            <w:tcW w:w="1400" w:type="dxa"/>
            <w:vAlign w:val="bottom"/>
          </w:tcPr>
          <w:p>
            <w:pPr>
              <w:jc w:val="center"/>
              <w:ind w:left="739"/>
              <w:spacing w:after="0"/>
              <w:rPr>
                <w:sz w:val="20"/>
                <w:szCs w:val="20"/>
                <w:color w:val="auto"/>
              </w:rPr>
            </w:pPr>
            <w:r>
              <w:rPr>
                <w:rFonts w:ascii="Arial" w:cs="Arial" w:eastAsia="Arial" w:hAnsi="Arial"/>
                <w:sz w:val="16"/>
                <w:szCs w:val="16"/>
                <w:color w:val="auto"/>
              </w:rPr>
              <w:t>87.9%</w:t>
            </w:r>
          </w:p>
        </w:tc>
        <w:tc>
          <w:tcPr>
            <w:tcW w:w="78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color w:val="auto"/>
              </w:rPr>
              <w:t>96.4%</w:t>
            </w:r>
          </w:p>
        </w:tc>
        <w:tc>
          <w:tcPr>
            <w:tcW w:w="20" w:type="dxa"/>
            <w:vAlign w:val="bottom"/>
          </w:tcPr>
          <w:p>
            <w:pPr>
              <w:spacing w:after="0"/>
              <w:rPr>
                <w:sz w:val="18"/>
                <w:szCs w:val="18"/>
                <w:color w:val="auto"/>
              </w:rPr>
            </w:pPr>
          </w:p>
        </w:tc>
      </w:tr>
      <w:tr>
        <w:trPr>
          <w:trHeight w:val="216"/>
        </w:trPr>
        <w:tc>
          <w:tcPr>
            <w:tcW w:w="20" w:type="dxa"/>
            <w:vAlign w:val="bottom"/>
            <w:shd w:val="clear" w:color="auto" w:fill="CEFFE7"/>
          </w:tcPr>
          <w:p>
            <w:pPr>
              <w:spacing w:after="0"/>
              <w:rPr>
                <w:sz w:val="18"/>
                <w:szCs w:val="18"/>
                <w:color w:val="auto"/>
              </w:rPr>
            </w:pPr>
          </w:p>
        </w:tc>
        <w:tc>
          <w:tcPr>
            <w:tcW w:w="4680" w:type="dxa"/>
            <w:vAlign w:val="bottom"/>
            <w:shd w:val="clear" w:color="auto" w:fill="CEFFE7"/>
          </w:tcPr>
          <w:p>
            <w:pPr>
              <w:spacing w:after="0"/>
              <w:rPr>
                <w:sz w:val="20"/>
                <w:szCs w:val="20"/>
                <w:color w:val="auto"/>
              </w:rPr>
            </w:pPr>
            <w:r>
              <w:rPr>
                <w:rFonts w:ascii="Arial" w:cs="Arial" w:eastAsia="Arial" w:hAnsi="Arial"/>
                <w:sz w:val="16"/>
                <w:szCs w:val="16"/>
                <w:color w:val="auto"/>
              </w:rPr>
              <w:t>Wind</w:t>
            </w:r>
          </w:p>
        </w:tc>
        <w:tc>
          <w:tcPr>
            <w:tcW w:w="102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90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98.1%</w:t>
            </w:r>
          </w:p>
        </w:tc>
        <w:tc>
          <w:tcPr>
            <w:tcW w:w="1400" w:type="dxa"/>
            <w:vAlign w:val="bottom"/>
            <w:shd w:val="clear" w:color="auto" w:fill="CEFFE7"/>
          </w:tcPr>
          <w:p>
            <w:pPr>
              <w:jc w:val="center"/>
              <w:ind w:left="739"/>
              <w:spacing w:after="0"/>
              <w:rPr>
                <w:sz w:val="20"/>
                <w:szCs w:val="20"/>
                <w:color w:val="auto"/>
              </w:rPr>
            </w:pPr>
            <w:r>
              <w:rPr>
                <w:rFonts w:ascii="Arial" w:cs="Arial" w:eastAsia="Arial" w:hAnsi="Arial"/>
                <w:sz w:val="16"/>
                <w:szCs w:val="16"/>
                <w:color w:val="auto"/>
              </w:rPr>
              <w:t>95.6%</w:t>
            </w:r>
          </w:p>
        </w:tc>
        <w:tc>
          <w:tcPr>
            <w:tcW w:w="780" w:type="dxa"/>
            <w:vAlign w:val="bottom"/>
            <w:shd w:val="clear" w:color="auto" w:fill="CEFFE7"/>
          </w:tcPr>
          <w:p>
            <w:pPr>
              <w:spacing w:after="0"/>
              <w:rPr>
                <w:sz w:val="18"/>
                <w:szCs w:val="18"/>
                <w:color w:val="auto"/>
              </w:rPr>
            </w:pPr>
          </w:p>
        </w:tc>
        <w:tc>
          <w:tcPr>
            <w:tcW w:w="1160" w:type="dxa"/>
            <w:vAlign w:val="bottom"/>
            <w:shd w:val="clear" w:color="auto" w:fill="CEFFE7"/>
          </w:tcPr>
          <w:p>
            <w:pPr>
              <w:jc w:val="center"/>
              <w:ind w:right="219"/>
              <w:spacing w:after="0"/>
              <w:rPr>
                <w:sz w:val="20"/>
                <w:szCs w:val="20"/>
                <w:color w:val="auto"/>
              </w:rPr>
            </w:pPr>
            <w:r>
              <w:rPr>
                <w:rFonts w:ascii="Arial" w:cs="Arial" w:eastAsia="Arial" w:hAnsi="Arial"/>
                <w:sz w:val="16"/>
                <w:szCs w:val="16"/>
                <w:color w:val="auto"/>
              </w:rPr>
              <w:t>96.9%</w:t>
            </w:r>
          </w:p>
        </w:tc>
        <w:tc>
          <w:tcPr>
            <w:tcW w:w="20" w:type="dxa"/>
            <w:vAlign w:val="bottom"/>
            <w:shd w:val="clear" w:color="auto" w:fill="CEFFE7"/>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Total availability</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39"/>
              <w:spacing w:after="0"/>
              <w:rPr>
                <w:sz w:val="20"/>
                <w:szCs w:val="20"/>
                <w:color w:val="auto"/>
              </w:rPr>
            </w:pPr>
            <w:r>
              <w:rPr>
                <w:rFonts w:ascii="Arial" w:cs="Arial" w:eastAsia="Arial" w:hAnsi="Arial"/>
                <w:sz w:val="16"/>
                <w:szCs w:val="16"/>
                <w:color w:val="auto"/>
              </w:rPr>
              <w:t>87.0%</w:t>
            </w:r>
          </w:p>
        </w:tc>
        <w:tc>
          <w:tcPr>
            <w:tcW w:w="1400" w:type="dxa"/>
            <w:vAlign w:val="bottom"/>
          </w:tcPr>
          <w:p>
            <w:pPr>
              <w:jc w:val="center"/>
              <w:ind w:left="739"/>
              <w:spacing w:after="0"/>
              <w:rPr>
                <w:sz w:val="20"/>
                <w:szCs w:val="20"/>
                <w:color w:val="auto"/>
              </w:rPr>
            </w:pPr>
            <w:r>
              <w:rPr>
                <w:rFonts w:ascii="Arial" w:cs="Arial" w:eastAsia="Arial" w:hAnsi="Arial"/>
                <w:sz w:val="16"/>
                <w:szCs w:val="16"/>
                <w:color w:val="auto"/>
              </w:rPr>
              <w:t>89.9%</w:t>
            </w:r>
          </w:p>
        </w:tc>
        <w:tc>
          <w:tcPr>
            <w:tcW w:w="78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color w:val="auto"/>
              </w:rPr>
              <w:t>95.6%</w:t>
            </w:r>
          </w:p>
        </w:tc>
        <w:tc>
          <w:tcPr>
            <w:tcW w:w="20" w:type="dxa"/>
            <w:vAlign w:val="bottom"/>
          </w:tcPr>
          <w:p>
            <w:pPr>
              <w:spacing w:after="0"/>
              <w:rPr>
                <w:sz w:val="18"/>
                <w:szCs w:val="18"/>
                <w:color w:val="auto"/>
              </w:rPr>
            </w:pPr>
          </w:p>
        </w:tc>
      </w:tr>
      <w:tr>
        <w:trPr>
          <w:trHeight w:val="273"/>
        </w:trPr>
        <w:tc>
          <w:tcPr>
            <w:tcW w:w="20" w:type="dxa"/>
            <w:vAlign w:val="bottom"/>
            <w:shd w:val="clear" w:color="auto" w:fill="CEFFE7"/>
          </w:tcPr>
          <w:p>
            <w:pPr>
              <w:spacing w:after="0"/>
              <w:rPr>
                <w:sz w:val="23"/>
                <w:szCs w:val="23"/>
                <w:color w:val="auto"/>
              </w:rPr>
            </w:pPr>
          </w:p>
        </w:tc>
        <w:tc>
          <w:tcPr>
            <w:tcW w:w="468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90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Wind capacity factor</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39"/>
              <w:spacing w:after="0"/>
              <w:rPr>
                <w:sz w:val="20"/>
                <w:szCs w:val="20"/>
                <w:color w:val="auto"/>
              </w:rPr>
            </w:pPr>
            <w:r>
              <w:rPr>
                <w:rFonts w:ascii="Arial" w:cs="Arial" w:eastAsia="Arial" w:hAnsi="Arial"/>
                <w:sz w:val="16"/>
                <w:szCs w:val="16"/>
                <w:color w:val="auto"/>
              </w:rPr>
              <w:t>38.9%</w:t>
            </w:r>
          </w:p>
        </w:tc>
        <w:tc>
          <w:tcPr>
            <w:tcW w:w="1400" w:type="dxa"/>
            <w:vAlign w:val="bottom"/>
          </w:tcPr>
          <w:p>
            <w:pPr>
              <w:jc w:val="center"/>
              <w:ind w:left="739"/>
              <w:spacing w:after="0"/>
              <w:rPr>
                <w:sz w:val="20"/>
                <w:szCs w:val="20"/>
                <w:color w:val="auto"/>
              </w:rPr>
            </w:pPr>
            <w:r>
              <w:rPr>
                <w:rFonts w:ascii="Arial" w:cs="Arial" w:eastAsia="Arial" w:hAnsi="Arial"/>
                <w:sz w:val="16"/>
                <w:szCs w:val="16"/>
                <w:color w:val="auto"/>
              </w:rPr>
              <w:t>38.7%</w:t>
            </w:r>
          </w:p>
        </w:tc>
        <w:tc>
          <w:tcPr>
            <w:tcW w:w="78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color w:val="auto"/>
              </w:rPr>
              <w:t>39.2%</w:t>
            </w:r>
          </w:p>
        </w:tc>
        <w:tc>
          <w:tcPr>
            <w:tcW w:w="20" w:type="dxa"/>
            <w:vAlign w:val="bottom"/>
          </w:tcPr>
          <w:p>
            <w:pPr>
              <w:spacing w:after="0"/>
              <w:rPr>
                <w:sz w:val="18"/>
                <w:szCs w:val="18"/>
                <w:color w:val="auto"/>
              </w:rPr>
            </w:pPr>
          </w:p>
        </w:tc>
      </w:tr>
      <w:tr>
        <w:trPr>
          <w:trHeight w:val="267"/>
        </w:trPr>
        <w:tc>
          <w:tcPr>
            <w:tcW w:w="4700" w:type="dxa"/>
            <w:vAlign w:val="bottom"/>
            <w:gridSpan w:val="2"/>
          </w:tcPr>
          <w:p>
            <w:pPr>
              <w:spacing w:after="0"/>
              <w:rPr>
                <w:sz w:val="20"/>
                <w:szCs w:val="20"/>
                <w:color w:val="auto"/>
              </w:rPr>
            </w:pPr>
            <w:r>
              <w:rPr>
                <w:rFonts w:ascii="Arial" w:cs="Arial" w:eastAsia="Arial" w:hAnsi="Arial"/>
                <w:sz w:val="14"/>
                <w:szCs w:val="14"/>
                <w:color w:val="auto"/>
              </w:rPr>
              <w:t>____________________</w:t>
            </w: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 w:lineRule="exact"/>
        <w:rPr>
          <w:rFonts w:ascii="Arial" w:cs="Arial" w:eastAsia="Arial" w:hAnsi="Arial"/>
          <w:sz w:val="14"/>
          <w:szCs w:val="14"/>
          <w:color w:val="auto"/>
        </w:rPr>
      </w:pPr>
    </w:p>
    <w:p>
      <w:pPr>
        <w:ind w:left="340" w:right="60" w:hanging="332"/>
        <w:spacing w:after="0" w:line="258" w:lineRule="auto"/>
        <w:tabs>
          <w:tab w:leader="none" w:pos="3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2020 included a planned outage at Cheyenne Prairie and unplanned outages at Pueblo Airport Generation and Lange CT. 2019 included planned outages at Neil Simpson CT and Lange 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5"/>
        </w:trPr>
        <w:tc>
          <w:tcPr>
            <w:tcW w:w="3700" w:type="dxa"/>
            <w:vAlign w:val="bottom"/>
            <w:gridSpan w:val="3"/>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9"/>
        </w:trPr>
        <w:tc>
          <w:tcPr>
            <w:tcW w:w="3700" w:type="dxa"/>
            <w:vAlign w:val="bottom"/>
            <w:gridSpan w:val="3"/>
          </w:tcPr>
          <w:p>
            <w:pPr>
              <w:spacing w:after="0"/>
              <w:rPr>
                <w:sz w:val="20"/>
                <w:szCs w:val="20"/>
                <w:color w:val="auto"/>
              </w:rPr>
            </w:pPr>
            <w:r>
              <w:rPr>
                <w:rFonts w:ascii="Arial" w:cs="Arial" w:eastAsia="Arial" w:hAnsi="Arial"/>
                <w:sz w:val="16"/>
                <w:szCs w:val="16"/>
                <w:b w:val="1"/>
                <w:bCs w:val="1"/>
                <w:color w:val="auto"/>
              </w:rPr>
              <w:t>Gas Utilities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gridSpan w:val="9"/>
          </w:tcPr>
          <w:p>
            <w:pPr>
              <w:spacing w:after="0"/>
              <w:rPr>
                <w:sz w:val="20"/>
                <w:szCs w:val="20"/>
                <w:color w:val="auto"/>
              </w:rPr>
            </w:pPr>
            <w:r>
              <w:rPr>
                <w:rFonts w:ascii="Arial" w:cs="Arial" w:eastAsia="Arial" w:hAnsi="Arial"/>
                <w:sz w:val="16"/>
                <w:szCs w:val="16"/>
                <w:color w:val="auto"/>
              </w:rPr>
              <w:t>Operating results for the years ended December 31 for the Gas Utilities were as follows (in thousands):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980" w:type="dxa"/>
            <w:vAlign w:val="bottom"/>
            <w:tcBorders>
              <w:bottom w:val="single" w:sz="8" w:color="CEFFE7"/>
            </w:tcBorders>
          </w:tcPr>
          <w:p>
            <w:pPr>
              <w:spacing w:after="0"/>
              <w:rPr>
                <w:sz w:val="24"/>
                <w:szCs w:val="24"/>
                <w:color w:val="auto"/>
              </w:rPr>
            </w:pPr>
          </w:p>
        </w:tc>
        <w:tc>
          <w:tcPr>
            <w:tcW w:w="780" w:type="dxa"/>
            <w:vAlign w:val="bottom"/>
            <w:tcBorders>
              <w:bottom w:val="single" w:sz="8" w:color="CEFFE7"/>
            </w:tcBorders>
          </w:tcPr>
          <w:p>
            <w:pPr>
              <w:spacing w:after="0"/>
              <w:rPr>
                <w:sz w:val="24"/>
                <w:szCs w:val="24"/>
                <w:color w:val="auto"/>
              </w:rPr>
            </w:pPr>
          </w:p>
        </w:tc>
        <w:tc>
          <w:tcPr>
            <w:tcW w:w="1940" w:type="dxa"/>
            <w:vAlign w:val="bottom"/>
            <w:tcBorders>
              <w:bottom w:val="single" w:sz="8" w:color="CEFFE7"/>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2018</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70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500" w:type="dxa"/>
            <w:vAlign w:val="bottom"/>
            <w:shd w:val="clear" w:color="auto" w:fill="CEFFE7"/>
          </w:tcPr>
          <w:p>
            <w:pPr>
              <w:spacing w:after="0"/>
              <w:rPr>
                <w:sz w:val="17"/>
                <w:szCs w:val="17"/>
                <w:color w:val="auto"/>
              </w:rPr>
            </w:pPr>
          </w:p>
        </w:tc>
        <w:tc>
          <w:tcPr>
            <w:tcW w:w="98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122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320" w:type="dxa"/>
            <w:vAlign w:val="bottom"/>
            <w:shd w:val="clear" w:color="auto" w:fill="CEFFE7"/>
          </w:tcPr>
          <w:p>
            <w:pPr>
              <w:spacing w:after="0"/>
              <w:rPr>
                <w:sz w:val="17"/>
                <w:szCs w:val="17"/>
                <w:color w:val="auto"/>
              </w:rPr>
            </w:pPr>
          </w:p>
        </w:tc>
        <w:tc>
          <w:tcPr>
            <w:tcW w:w="5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ind w:left="140"/>
              <w:spacing w:after="0"/>
              <w:rPr>
                <w:sz w:val="20"/>
                <w:szCs w:val="20"/>
                <w:color w:val="auto"/>
              </w:rPr>
            </w:pPr>
            <w:r>
              <w:rPr>
                <w:rFonts w:ascii="Arial" w:cs="Arial" w:eastAsia="Arial" w:hAnsi="Arial"/>
                <w:sz w:val="16"/>
                <w:szCs w:val="16"/>
                <w:color w:val="auto"/>
              </w:rPr>
              <w:t>Natural gas - regulated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900,637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(31,474)</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932,111</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(10,813)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942,924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EFFE7"/>
          </w:tcPr>
          <w:p>
            <w:pPr>
              <w:ind w:left="140"/>
              <w:spacing w:after="0"/>
              <w:rPr>
                <w:sz w:val="20"/>
                <w:szCs w:val="20"/>
                <w:color w:val="auto"/>
              </w:rPr>
            </w:pPr>
            <w:r>
              <w:rPr>
                <w:rFonts w:ascii="Arial" w:cs="Arial" w:eastAsia="Arial" w:hAnsi="Arial"/>
                <w:sz w:val="16"/>
                <w:szCs w:val="16"/>
                <w:color w:val="auto"/>
              </w:rPr>
              <w:t>Other - non-regulated services</w:t>
            </w:r>
          </w:p>
        </w:tc>
        <w:tc>
          <w:tcPr>
            <w:tcW w:w="50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74,033</w:t>
            </w:r>
          </w:p>
        </w:tc>
        <w:tc>
          <w:tcPr>
            <w:tcW w:w="3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(3,886)</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77,919</w:t>
            </w:r>
          </w:p>
        </w:tc>
        <w:tc>
          <w:tcPr>
            <w:tcW w:w="32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(4,464)</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82,383</w:t>
            </w:r>
          </w:p>
        </w:tc>
        <w:tc>
          <w:tcPr>
            <w:tcW w:w="4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CEFFE7"/>
            </w:tcBorders>
            <w:gridSpan w:val="3"/>
          </w:tcPr>
          <w:p>
            <w:pPr>
              <w:ind w:left="480"/>
              <w:spacing w:after="0"/>
              <w:rPr>
                <w:sz w:val="20"/>
                <w:szCs w:val="20"/>
                <w:color w:val="auto"/>
              </w:rPr>
            </w:pPr>
            <w:r>
              <w:rPr>
                <w:rFonts w:ascii="Arial" w:cs="Arial" w:eastAsia="Arial" w:hAnsi="Arial"/>
                <w:sz w:val="16"/>
                <w:szCs w:val="16"/>
                <w:color w:val="auto"/>
              </w:rPr>
              <w:t>Total revenue</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974,670</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(35,360)</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1,010,030</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(15,277)</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1,025,307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980" w:type="dxa"/>
            <w:vAlign w:val="bottom"/>
            <w:shd w:val="clear" w:color="auto" w:fill="CEFFE7"/>
          </w:tcPr>
          <w:p>
            <w:pPr>
              <w:spacing w:after="0"/>
              <w:rPr>
                <w:sz w:val="22"/>
                <w:szCs w:val="22"/>
                <w:color w:val="auto"/>
              </w:rPr>
            </w:pPr>
          </w:p>
        </w:tc>
        <w:tc>
          <w:tcPr>
            <w:tcW w:w="780" w:type="dxa"/>
            <w:vAlign w:val="bottom"/>
            <w:shd w:val="clear" w:color="auto" w:fill="CEFFE7"/>
          </w:tcPr>
          <w:p>
            <w:pPr>
              <w:spacing w:after="0"/>
              <w:rPr>
                <w:sz w:val="22"/>
                <w:szCs w:val="22"/>
                <w:color w:val="auto"/>
              </w:rPr>
            </w:pPr>
          </w:p>
        </w:tc>
        <w:tc>
          <w:tcPr>
            <w:tcW w:w="1940" w:type="dxa"/>
            <w:vAlign w:val="bottom"/>
            <w:shd w:val="clear" w:color="auto" w:fill="CEFFE7"/>
          </w:tcPr>
          <w:p>
            <w:pPr>
              <w:spacing w:after="0"/>
              <w:rPr>
                <w:sz w:val="22"/>
                <w:szCs w:val="22"/>
                <w:color w:val="auto"/>
              </w:rPr>
            </w:pPr>
          </w:p>
        </w:tc>
        <w:tc>
          <w:tcPr>
            <w:tcW w:w="500" w:type="dxa"/>
            <w:vAlign w:val="bottom"/>
            <w:shd w:val="clear" w:color="auto" w:fill="CEFFE7"/>
          </w:tcPr>
          <w:p>
            <w:pPr>
              <w:spacing w:after="0"/>
              <w:rPr>
                <w:sz w:val="22"/>
                <w:szCs w:val="22"/>
                <w:color w:val="auto"/>
              </w:rPr>
            </w:pPr>
          </w:p>
        </w:tc>
        <w:tc>
          <w:tcPr>
            <w:tcW w:w="980" w:type="dxa"/>
            <w:vAlign w:val="bottom"/>
            <w:shd w:val="clear" w:color="auto" w:fill="CEFFE7"/>
          </w:tcPr>
          <w:p>
            <w:pPr>
              <w:spacing w:after="0"/>
              <w:rPr>
                <w:sz w:val="22"/>
                <w:szCs w:val="22"/>
                <w:color w:val="auto"/>
              </w:rPr>
            </w:pPr>
          </w:p>
        </w:tc>
        <w:tc>
          <w:tcPr>
            <w:tcW w:w="300" w:type="dxa"/>
            <w:vAlign w:val="bottom"/>
            <w:shd w:val="clear" w:color="auto" w:fill="CEFFE7"/>
          </w:tcPr>
          <w:p>
            <w:pPr>
              <w:spacing w:after="0"/>
              <w:rPr>
                <w:sz w:val="22"/>
                <w:szCs w:val="22"/>
                <w:color w:val="auto"/>
              </w:rPr>
            </w:pPr>
          </w:p>
        </w:tc>
        <w:tc>
          <w:tcPr>
            <w:tcW w:w="1220" w:type="dxa"/>
            <w:vAlign w:val="bottom"/>
            <w:shd w:val="clear" w:color="auto" w:fill="CEFFE7"/>
          </w:tcPr>
          <w:p>
            <w:pPr>
              <w:spacing w:after="0"/>
              <w:rPr>
                <w:sz w:val="22"/>
                <w:szCs w:val="22"/>
                <w:color w:val="auto"/>
              </w:rPr>
            </w:pPr>
          </w:p>
        </w:tc>
        <w:tc>
          <w:tcPr>
            <w:tcW w:w="340" w:type="dxa"/>
            <w:vAlign w:val="bottom"/>
            <w:shd w:val="clear" w:color="auto" w:fill="CEFFE7"/>
          </w:tcPr>
          <w:p>
            <w:pPr>
              <w:spacing w:after="0"/>
              <w:rPr>
                <w:sz w:val="22"/>
                <w:szCs w:val="22"/>
                <w:color w:val="auto"/>
              </w:rPr>
            </w:pPr>
          </w:p>
        </w:tc>
        <w:tc>
          <w:tcPr>
            <w:tcW w:w="1140" w:type="dxa"/>
            <w:vAlign w:val="bottom"/>
            <w:shd w:val="clear" w:color="auto" w:fill="CEFFE7"/>
          </w:tcPr>
          <w:p>
            <w:pPr>
              <w:spacing w:after="0"/>
              <w:rPr>
                <w:sz w:val="22"/>
                <w:szCs w:val="22"/>
                <w:color w:val="auto"/>
              </w:rPr>
            </w:pPr>
          </w:p>
        </w:tc>
        <w:tc>
          <w:tcPr>
            <w:tcW w:w="320" w:type="dxa"/>
            <w:vAlign w:val="bottom"/>
            <w:shd w:val="clear" w:color="auto" w:fill="CEFFE7"/>
          </w:tcPr>
          <w:p>
            <w:pPr>
              <w:spacing w:after="0"/>
              <w:rPr>
                <w:sz w:val="22"/>
                <w:szCs w:val="22"/>
                <w:color w:val="auto"/>
              </w:rPr>
            </w:pPr>
          </w:p>
        </w:tc>
        <w:tc>
          <w:tcPr>
            <w:tcW w:w="500" w:type="dxa"/>
            <w:vAlign w:val="bottom"/>
            <w:shd w:val="clear" w:color="auto" w:fill="CEFFE7"/>
          </w:tcPr>
          <w:p>
            <w:pPr>
              <w:spacing w:after="0"/>
              <w:rPr>
                <w:sz w:val="22"/>
                <w:szCs w:val="22"/>
                <w:color w:val="auto"/>
              </w:rPr>
            </w:pPr>
          </w:p>
        </w:tc>
        <w:tc>
          <w:tcPr>
            <w:tcW w:w="720" w:type="dxa"/>
            <w:vAlign w:val="bottom"/>
            <w:shd w:val="clear" w:color="auto" w:fill="CEFFE7"/>
          </w:tcPr>
          <w:p>
            <w:pPr>
              <w:spacing w:after="0"/>
              <w:rPr>
                <w:sz w:val="22"/>
                <w:szCs w:val="22"/>
                <w:color w:val="auto"/>
              </w:rPr>
            </w:pPr>
          </w:p>
        </w:tc>
        <w:tc>
          <w:tcPr>
            <w:tcW w:w="340" w:type="dxa"/>
            <w:vAlign w:val="bottom"/>
            <w:shd w:val="clear" w:color="auto" w:fill="CEFFE7"/>
          </w:tcPr>
          <w:p>
            <w:pPr>
              <w:spacing w:after="0"/>
              <w:rPr>
                <w:sz w:val="22"/>
                <w:szCs w:val="22"/>
                <w:color w:val="auto"/>
              </w:rPr>
            </w:pPr>
          </w:p>
        </w:tc>
        <w:tc>
          <w:tcPr>
            <w:tcW w:w="1140" w:type="dxa"/>
            <w:vAlign w:val="bottom"/>
            <w:shd w:val="clear" w:color="auto" w:fill="CEFFE7"/>
          </w:tcPr>
          <w:p>
            <w:pPr>
              <w:spacing w:after="0"/>
              <w:rPr>
                <w:sz w:val="22"/>
                <w:szCs w:val="22"/>
                <w:color w:val="auto"/>
              </w:rPr>
            </w:pPr>
          </w:p>
        </w:tc>
        <w:tc>
          <w:tcPr>
            <w:tcW w:w="4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Cost of natural gas sold:</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gridSpan w:val="3"/>
            <w:shd w:val="clear" w:color="auto" w:fill="CEFFE7"/>
          </w:tcPr>
          <w:p>
            <w:pPr>
              <w:ind w:left="140"/>
              <w:spacing w:after="0"/>
              <w:rPr>
                <w:sz w:val="20"/>
                <w:szCs w:val="20"/>
                <w:color w:val="auto"/>
              </w:rPr>
            </w:pPr>
            <w:r>
              <w:rPr>
                <w:rFonts w:ascii="Arial" w:cs="Arial" w:eastAsia="Arial" w:hAnsi="Arial"/>
                <w:sz w:val="16"/>
                <w:szCs w:val="16"/>
                <w:color w:val="auto"/>
              </w:rPr>
              <w:t>Natural gas - regulated</w:t>
            </w:r>
          </w:p>
        </w:tc>
        <w:tc>
          <w:tcPr>
            <w:tcW w:w="5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347,611</w:t>
            </w:r>
          </w:p>
        </w:tc>
        <w:tc>
          <w:tcPr>
            <w:tcW w:w="300" w:type="dxa"/>
            <w:vAlign w:val="bottom"/>
            <w:shd w:val="clear" w:color="auto" w:fill="CEFFE7"/>
          </w:tcPr>
          <w:p>
            <w:pPr>
              <w:spacing w:after="0"/>
              <w:rPr>
                <w:sz w:val="19"/>
                <w:szCs w:val="19"/>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(59,032)</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406,643</w:t>
            </w:r>
          </w:p>
        </w:tc>
        <w:tc>
          <w:tcPr>
            <w:tcW w:w="320" w:type="dxa"/>
            <w:vAlign w:val="bottom"/>
            <w:shd w:val="clear" w:color="auto" w:fill="CEFFE7"/>
          </w:tcPr>
          <w:p>
            <w:pPr>
              <w:spacing w:after="0"/>
              <w:rPr>
                <w:sz w:val="19"/>
                <w:szCs w:val="19"/>
                <w:color w:val="auto"/>
              </w:rPr>
            </w:pPr>
          </w:p>
        </w:tc>
        <w:tc>
          <w:tcPr>
            <w:tcW w:w="12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(35,887)</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442,530</w:t>
            </w:r>
          </w:p>
        </w:tc>
        <w:tc>
          <w:tcPr>
            <w:tcW w:w="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Borders>
              <w:bottom w:val="single" w:sz="8" w:color="CEFFE7"/>
            </w:tcBorders>
            <w:gridSpan w:val="3"/>
          </w:tcPr>
          <w:p>
            <w:pPr>
              <w:ind w:left="140"/>
              <w:spacing w:after="0"/>
              <w:rPr>
                <w:sz w:val="20"/>
                <w:szCs w:val="20"/>
                <w:color w:val="auto"/>
              </w:rPr>
            </w:pPr>
            <w:r>
              <w:rPr>
                <w:rFonts w:ascii="Arial" w:cs="Arial" w:eastAsia="Arial" w:hAnsi="Arial"/>
                <w:sz w:val="16"/>
                <w:szCs w:val="16"/>
                <w:color w:val="auto"/>
              </w:rPr>
              <w:t>Other - non-regulated services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7,034</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19,255</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(368)</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gridSpan w:val="3"/>
            <w:shd w:val="clear" w:color="auto" w:fill="CEFFE7"/>
          </w:tcPr>
          <w:p>
            <w:pPr>
              <w:ind w:left="480"/>
              <w:spacing w:after="0"/>
              <w:rPr>
                <w:sz w:val="20"/>
                <w:szCs w:val="20"/>
                <w:color w:val="auto"/>
              </w:rPr>
            </w:pPr>
            <w:r>
              <w:rPr>
                <w:rFonts w:ascii="Arial" w:cs="Arial" w:eastAsia="Arial" w:hAnsi="Arial"/>
                <w:sz w:val="16"/>
                <w:szCs w:val="16"/>
                <w:color w:val="auto"/>
              </w:rPr>
              <w:t>Total cost of sales</w:t>
            </w:r>
          </w:p>
        </w:tc>
        <w:tc>
          <w:tcPr>
            <w:tcW w:w="50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354,645</w:t>
            </w:r>
          </w:p>
        </w:tc>
        <w:tc>
          <w:tcPr>
            <w:tcW w:w="3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(71,253)</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425,898</w:t>
            </w:r>
          </w:p>
        </w:tc>
        <w:tc>
          <w:tcPr>
            <w:tcW w:w="32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(36,255)</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462,153</w:t>
            </w:r>
          </w:p>
        </w:tc>
        <w:tc>
          <w:tcPr>
            <w:tcW w:w="4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980" w:type="dxa"/>
            <w:vAlign w:val="bottom"/>
            <w:tcBorders>
              <w:bottom w:val="single" w:sz="8" w:color="CEFFE7"/>
            </w:tcBorders>
          </w:tcPr>
          <w:p>
            <w:pPr>
              <w:spacing w:after="0"/>
              <w:rPr>
                <w:sz w:val="22"/>
                <w:szCs w:val="22"/>
                <w:color w:val="auto"/>
              </w:rPr>
            </w:pPr>
          </w:p>
        </w:tc>
        <w:tc>
          <w:tcPr>
            <w:tcW w:w="780" w:type="dxa"/>
            <w:vAlign w:val="bottom"/>
            <w:tcBorders>
              <w:bottom w:val="single" w:sz="8" w:color="CEFFE7"/>
            </w:tcBorders>
          </w:tcPr>
          <w:p>
            <w:pPr>
              <w:spacing w:after="0"/>
              <w:rPr>
                <w:sz w:val="22"/>
                <w:szCs w:val="22"/>
                <w:color w:val="auto"/>
              </w:rPr>
            </w:pPr>
          </w:p>
        </w:tc>
        <w:tc>
          <w:tcPr>
            <w:tcW w:w="1940" w:type="dxa"/>
            <w:vAlign w:val="bottom"/>
            <w:tcBorders>
              <w:bottom w:val="single" w:sz="8" w:color="CEFFE7"/>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70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Gross margin (non-GAAP)</w:t>
            </w:r>
          </w:p>
        </w:tc>
        <w:tc>
          <w:tcPr>
            <w:tcW w:w="500" w:type="dxa"/>
            <w:vAlign w:val="bottom"/>
            <w:tcBorders>
              <w:bottom w:val="single" w:sz="8" w:color="auto"/>
            </w:tcBorders>
            <w:shd w:val="clear" w:color="auto" w:fill="CEFFE7"/>
          </w:tcPr>
          <w:p>
            <w:pPr>
              <w:spacing w:after="0"/>
              <w:rPr>
                <w:sz w:val="17"/>
                <w:szCs w:val="17"/>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620,025</w:t>
            </w:r>
          </w:p>
        </w:tc>
        <w:tc>
          <w:tcPr>
            <w:tcW w:w="300" w:type="dxa"/>
            <w:vAlign w:val="bottom"/>
            <w:tcBorders>
              <w:bottom w:val="single" w:sz="8" w:color="auto"/>
            </w:tcBorders>
            <w:shd w:val="clear" w:color="auto" w:fill="CEFFE7"/>
          </w:tcPr>
          <w:p>
            <w:pPr>
              <w:spacing w:after="0"/>
              <w:rPr>
                <w:sz w:val="17"/>
                <w:szCs w:val="17"/>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35,893</w:t>
            </w:r>
          </w:p>
        </w:tc>
        <w:tc>
          <w:tcPr>
            <w:tcW w:w="34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584,132</w:t>
            </w:r>
          </w:p>
        </w:tc>
        <w:tc>
          <w:tcPr>
            <w:tcW w:w="320" w:type="dxa"/>
            <w:vAlign w:val="bottom"/>
            <w:tcBorders>
              <w:bottom w:val="single" w:sz="8" w:color="auto"/>
            </w:tcBorders>
            <w:shd w:val="clear" w:color="auto" w:fill="CEFFE7"/>
          </w:tcPr>
          <w:p>
            <w:pPr>
              <w:spacing w:after="0"/>
              <w:rPr>
                <w:sz w:val="17"/>
                <w:szCs w:val="17"/>
                <w:color w:val="auto"/>
              </w:rPr>
            </w:pPr>
          </w:p>
        </w:tc>
        <w:tc>
          <w:tcPr>
            <w:tcW w:w="12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20,978</w:t>
            </w:r>
          </w:p>
        </w:tc>
        <w:tc>
          <w:tcPr>
            <w:tcW w:w="34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563,154</w:t>
            </w:r>
          </w:p>
        </w:tc>
        <w:tc>
          <w:tcPr>
            <w:tcW w:w="40" w:type="dxa"/>
            <w:vAlign w:val="bottom"/>
            <w:tcBorders>
              <w:bottom w:val="single" w:sz="8" w:color="auto"/>
            </w:tcBorders>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5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303,577</w:t>
            </w:r>
          </w:p>
        </w:tc>
        <w:tc>
          <w:tcPr>
            <w:tcW w:w="3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1,733</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301,844</w:t>
            </w:r>
          </w:p>
        </w:tc>
        <w:tc>
          <w:tcPr>
            <w:tcW w:w="320" w:type="dxa"/>
            <w:vAlign w:val="bottom"/>
            <w:shd w:val="clear" w:color="auto" w:fill="CEFFE7"/>
          </w:tcPr>
          <w:p>
            <w:pPr>
              <w:spacing w:after="0"/>
              <w:rPr>
                <w:sz w:val="18"/>
                <w:szCs w:val="18"/>
                <w:color w:val="auto"/>
              </w:rPr>
            </w:pPr>
          </w:p>
        </w:tc>
        <w:tc>
          <w:tcPr>
            <w:tcW w:w="12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10,363</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291,481</w:t>
            </w:r>
          </w:p>
        </w:tc>
        <w:tc>
          <w:tcPr>
            <w:tcW w:w="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100,559</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92,317</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5,883</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86,434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3"/>
            <w:shd w:val="clear" w:color="auto" w:fill="CEFFE7"/>
          </w:tcPr>
          <w:p>
            <w:pPr>
              <w:ind w:left="48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404,136</w:t>
            </w:r>
          </w:p>
        </w:tc>
        <w:tc>
          <w:tcPr>
            <w:tcW w:w="3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9,975</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394,161</w:t>
            </w:r>
          </w:p>
        </w:tc>
        <w:tc>
          <w:tcPr>
            <w:tcW w:w="32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16,246</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377,915</w:t>
            </w:r>
          </w:p>
        </w:tc>
        <w:tc>
          <w:tcPr>
            <w:tcW w:w="4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980" w:type="dxa"/>
            <w:vAlign w:val="bottom"/>
            <w:tcBorders>
              <w:bottom w:val="single" w:sz="8" w:color="CEFFE7"/>
            </w:tcBorders>
          </w:tcPr>
          <w:p>
            <w:pPr>
              <w:spacing w:after="0"/>
              <w:rPr>
                <w:sz w:val="22"/>
                <w:szCs w:val="22"/>
                <w:color w:val="auto"/>
              </w:rPr>
            </w:pPr>
          </w:p>
        </w:tc>
        <w:tc>
          <w:tcPr>
            <w:tcW w:w="780" w:type="dxa"/>
            <w:vAlign w:val="bottom"/>
            <w:tcBorders>
              <w:bottom w:val="single" w:sz="8" w:color="CEFFE7"/>
            </w:tcBorders>
          </w:tcPr>
          <w:p>
            <w:pPr>
              <w:spacing w:after="0"/>
              <w:rPr>
                <w:sz w:val="22"/>
                <w:szCs w:val="22"/>
                <w:color w:val="auto"/>
              </w:rPr>
            </w:pPr>
          </w:p>
        </w:tc>
        <w:tc>
          <w:tcPr>
            <w:tcW w:w="1940" w:type="dxa"/>
            <w:vAlign w:val="bottom"/>
            <w:tcBorders>
              <w:bottom w:val="single" w:sz="8" w:color="CEFFE7"/>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70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Adjusted operating income</w:t>
            </w:r>
          </w:p>
        </w:tc>
        <w:tc>
          <w:tcPr>
            <w:tcW w:w="50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215,889</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25,918</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189,971</w:t>
            </w:r>
          </w:p>
        </w:tc>
        <w:tc>
          <w:tcPr>
            <w:tcW w:w="3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4,732</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185,239</w:t>
            </w:r>
          </w:p>
        </w:tc>
        <w:tc>
          <w:tcPr>
            <w:tcW w:w="40" w:type="dxa"/>
            <w:vAlign w:val="bottom"/>
            <w:tcBorders>
              <w:bottom w:val="single" w:sz="8" w:color="auto"/>
            </w:tcBorders>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EFFE7"/>
              <w:bottom w:val="single" w:sz="8" w:color="CEFFE7"/>
            </w:tcBorders>
            <w:gridSpan w:val="2"/>
            <w:vMerge w:val="restart"/>
          </w:tcPr>
          <w:p>
            <w:pPr>
              <w:spacing w:after="0"/>
              <w:rPr>
                <w:sz w:val="20"/>
                <w:szCs w:val="20"/>
                <w:color w:val="auto"/>
              </w:rPr>
            </w:pPr>
            <w:r>
              <w:rPr>
                <w:rFonts w:ascii="Arial" w:cs="Arial" w:eastAsia="Arial" w:hAnsi="Arial"/>
                <w:sz w:val="16"/>
                <w:szCs w:val="16"/>
                <w:color w:val="auto"/>
              </w:rPr>
              <w:t>2020 Compared to 2019</w:t>
            </w:r>
          </w:p>
        </w:tc>
        <w:tc>
          <w:tcPr>
            <w:tcW w:w="1940" w:type="dxa"/>
            <w:vAlign w:val="bottom"/>
            <w:tcBorders>
              <w:top w:val="single" w:sz="8" w:color="CEFFE7"/>
              <w:bottom w:val="single" w:sz="8" w:color="CEFFE7"/>
            </w:tcBorders>
            <w:vMerge w:val="restart"/>
          </w:tcPr>
          <w:p>
            <w:pPr>
              <w:spacing w:after="0" w:line="20" w:lineRule="exact"/>
              <w:rPr>
                <w:sz w:val="1"/>
                <w:szCs w:val="1"/>
                <w:color w:val="auto"/>
              </w:rPr>
            </w:pPr>
          </w:p>
        </w:tc>
        <w:tc>
          <w:tcPr>
            <w:tcW w:w="50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50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760" w:type="dxa"/>
            <w:vAlign w:val="bottom"/>
            <w:tcBorders>
              <w:bottom w:val="single" w:sz="8" w:color="auto"/>
            </w:tcBorders>
            <w:gridSpan w:val="2"/>
            <w:vMerge w:val="continue"/>
          </w:tcPr>
          <w:p>
            <w:pPr>
              <w:spacing w:after="0"/>
              <w:rPr>
                <w:sz w:val="24"/>
                <w:szCs w:val="24"/>
                <w:color w:val="auto"/>
              </w:rPr>
            </w:pPr>
          </w:p>
        </w:tc>
        <w:tc>
          <w:tcPr>
            <w:tcW w:w="19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00" w:type="dxa"/>
            <w:vAlign w:val="bottom"/>
            <w:gridSpan w:val="4"/>
          </w:tcPr>
          <w:p>
            <w:pPr>
              <w:spacing w:after="0"/>
              <w:rPr>
                <w:sz w:val="20"/>
                <w:szCs w:val="20"/>
                <w:color w:val="auto"/>
              </w:rPr>
            </w:pPr>
            <w:r>
              <w:rPr>
                <w:rFonts w:ascii="Arial" w:cs="Arial" w:eastAsia="Arial" w:hAnsi="Arial"/>
                <w:sz w:val="16"/>
                <w:szCs w:val="16"/>
                <w:color w:val="auto"/>
              </w:rPr>
              <w:t>Gross margin increased over the prior year as a result of:</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40" w:type="dxa"/>
            <w:vAlign w:val="bottom"/>
            <w:gridSpan w:val="4"/>
          </w:tcPr>
          <w:p>
            <w:pPr>
              <w:ind w:left="68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13"/>
        </w:trPr>
        <w:tc>
          <w:tcPr>
            <w:tcW w:w="3700" w:type="dxa"/>
            <w:vAlign w:val="bottom"/>
            <w:tcBorders>
              <w:top w:val="single" w:sz="8" w:color="auto"/>
            </w:tcBorders>
            <w:gridSpan w:val="3"/>
            <w:shd w:val="clear" w:color="auto" w:fill="CEFEE7"/>
          </w:tcPr>
          <w:p>
            <w:pPr>
              <w:ind w:left="20"/>
              <w:spacing w:after="0"/>
              <w:rPr>
                <w:sz w:val="20"/>
                <w:szCs w:val="20"/>
                <w:color w:val="auto"/>
              </w:rPr>
            </w:pPr>
            <w:r>
              <w:rPr>
                <w:rFonts w:ascii="Arial" w:cs="Arial" w:eastAsia="Arial" w:hAnsi="Arial"/>
                <w:sz w:val="16"/>
                <w:szCs w:val="16"/>
                <w:color w:val="auto"/>
              </w:rPr>
              <w:t>New rates</w:t>
            </w:r>
          </w:p>
        </w:tc>
        <w:tc>
          <w:tcPr>
            <w:tcW w:w="500" w:type="dxa"/>
            <w:vAlign w:val="bottom"/>
            <w:tcBorders>
              <w:top w:val="single" w:sz="8" w:color="auto"/>
            </w:tcBorders>
            <w:shd w:val="clear" w:color="auto" w:fill="CEFEE7"/>
          </w:tcPr>
          <w:p>
            <w:pPr>
              <w:spacing w:after="0"/>
              <w:rPr>
                <w:sz w:val="18"/>
                <w:szCs w:val="18"/>
                <w:color w:val="auto"/>
              </w:rPr>
            </w:pPr>
          </w:p>
        </w:tc>
        <w:tc>
          <w:tcPr>
            <w:tcW w:w="980" w:type="dxa"/>
            <w:vAlign w:val="bottom"/>
            <w:tcBorders>
              <w:top w:val="single" w:sz="8" w:color="auto"/>
            </w:tcBorders>
            <w:shd w:val="clear" w:color="auto" w:fill="CEFEE7"/>
          </w:tcPr>
          <w:p>
            <w:pPr>
              <w:spacing w:after="0"/>
              <w:rPr>
                <w:sz w:val="18"/>
                <w:szCs w:val="18"/>
                <w:color w:val="auto"/>
              </w:rPr>
            </w:pPr>
          </w:p>
        </w:tc>
        <w:tc>
          <w:tcPr>
            <w:tcW w:w="300" w:type="dxa"/>
            <w:vAlign w:val="bottom"/>
            <w:tcBorders>
              <w:top w:val="single" w:sz="8" w:color="auto"/>
            </w:tcBorders>
            <w:shd w:val="clear" w:color="auto" w:fill="CEFEE7"/>
          </w:tcPr>
          <w:p>
            <w:pPr>
              <w:spacing w:after="0"/>
              <w:rPr>
                <w:sz w:val="18"/>
                <w:szCs w:val="18"/>
                <w:color w:val="auto"/>
              </w:rPr>
            </w:pPr>
          </w:p>
        </w:tc>
        <w:tc>
          <w:tcPr>
            <w:tcW w:w="1220" w:type="dxa"/>
            <w:vAlign w:val="bottom"/>
            <w:tcBorders>
              <w:top w:val="single" w:sz="8" w:color="auto"/>
            </w:tcBorders>
            <w:shd w:val="clear" w:color="auto" w:fill="CEFEE7"/>
          </w:tcPr>
          <w:p>
            <w:pPr>
              <w:spacing w:after="0"/>
              <w:rPr>
                <w:sz w:val="18"/>
                <w:szCs w:val="18"/>
                <w:color w:val="auto"/>
              </w:rPr>
            </w:pPr>
          </w:p>
        </w:tc>
        <w:tc>
          <w:tcPr>
            <w:tcW w:w="340" w:type="dxa"/>
            <w:vAlign w:val="bottom"/>
            <w:tcBorders>
              <w:top w:val="single" w:sz="8" w:color="auto"/>
            </w:tcBorders>
            <w:shd w:val="clear" w:color="auto" w:fill="CEFEE7"/>
          </w:tcPr>
          <w:p>
            <w:pPr>
              <w:spacing w:after="0"/>
              <w:rPr>
                <w:sz w:val="18"/>
                <w:szCs w:val="18"/>
                <w:color w:val="auto"/>
              </w:rPr>
            </w:pPr>
          </w:p>
        </w:tc>
        <w:tc>
          <w:tcPr>
            <w:tcW w:w="1140" w:type="dxa"/>
            <w:vAlign w:val="bottom"/>
            <w:tcBorders>
              <w:top w:val="single" w:sz="8" w:color="auto"/>
            </w:tcBorders>
            <w:shd w:val="clear" w:color="auto" w:fill="CEFEE7"/>
          </w:tcPr>
          <w:p>
            <w:pPr>
              <w:spacing w:after="0"/>
              <w:rPr>
                <w:sz w:val="18"/>
                <w:szCs w:val="18"/>
                <w:color w:val="auto"/>
              </w:rPr>
            </w:pPr>
          </w:p>
        </w:tc>
        <w:tc>
          <w:tcPr>
            <w:tcW w:w="320" w:type="dxa"/>
            <w:vAlign w:val="bottom"/>
            <w:tcBorders>
              <w:top w:val="single" w:sz="8" w:color="auto"/>
            </w:tcBorders>
            <w:shd w:val="clear" w:color="auto" w:fill="CEFEE7"/>
          </w:tcPr>
          <w:p>
            <w:pPr>
              <w:spacing w:after="0"/>
              <w:rPr>
                <w:sz w:val="18"/>
                <w:szCs w:val="18"/>
                <w:color w:val="auto"/>
              </w:rPr>
            </w:pPr>
          </w:p>
        </w:tc>
        <w:tc>
          <w:tcPr>
            <w:tcW w:w="1220" w:type="dxa"/>
            <w:vAlign w:val="bottom"/>
            <w:tcBorders>
              <w:top w:val="single" w:sz="8" w:color="auto"/>
            </w:tcBorders>
            <w:gridSpan w:val="2"/>
            <w:shd w:val="clear" w:color="auto" w:fill="CEFEE7"/>
          </w:tcPr>
          <w:p>
            <w:pPr>
              <w:jc w:val="right"/>
              <w:ind w:right="53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EFEE7"/>
          </w:tcPr>
          <w:p>
            <w:pPr>
              <w:spacing w:after="0"/>
              <w:rPr>
                <w:sz w:val="18"/>
                <w:szCs w:val="18"/>
                <w:color w:val="auto"/>
              </w:rPr>
            </w:pPr>
          </w:p>
        </w:tc>
        <w:tc>
          <w:tcPr>
            <w:tcW w:w="114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Customer growth - distribution</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gridSpan w:val="5"/>
            <w:shd w:val="clear" w:color="auto" w:fill="CEFEE7"/>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300" w:type="dxa"/>
            <w:vAlign w:val="bottom"/>
            <w:shd w:val="clear" w:color="auto" w:fill="CEFEE7"/>
          </w:tcPr>
          <w:p>
            <w:pPr>
              <w:spacing w:after="0"/>
              <w:rPr>
                <w:sz w:val="19"/>
                <w:szCs w:val="19"/>
                <w:color w:val="auto"/>
              </w:rPr>
            </w:pPr>
          </w:p>
        </w:tc>
        <w:tc>
          <w:tcPr>
            <w:tcW w:w="1220" w:type="dxa"/>
            <w:vAlign w:val="bottom"/>
            <w:shd w:val="clear" w:color="auto" w:fill="CEFEE7"/>
          </w:tcPr>
          <w:p>
            <w:pPr>
              <w:spacing w:after="0"/>
              <w:rPr>
                <w:sz w:val="19"/>
                <w:szCs w:val="19"/>
                <w:color w:val="auto"/>
              </w:rPr>
            </w:pPr>
          </w:p>
        </w:tc>
        <w:tc>
          <w:tcPr>
            <w:tcW w:w="340" w:type="dxa"/>
            <w:vAlign w:val="bottom"/>
            <w:shd w:val="clear" w:color="auto" w:fill="CEFEE7"/>
          </w:tcPr>
          <w:p>
            <w:pPr>
              <w:spacing w:after="0"/>
              <w:rPr>
                <w:sz w:val="19"/>
                <w:szCs w:val="19"/>
                <w:color w:val="auto"/>
              </w:rPr>
            </w:pPr>
          </w:p>
        </w:tc>
        <w:tc>
          <w:tcPr>
            <w:tcW w:w="1140" w:type="dxa"/>
            <w:vAlign w:val="bottom"/>
            <w:shd w:val="clear" w:color="auto" w:fill="CEFEE7"/>
          </w:tcPr>
          <w:p>
            <w:pPr>
              <w:spacing w:after="0"/>
              <w:rPr>
                <w:sz w:val="19"/>
                <w:szCs w:val="19"/>
                <w:color w:val="auto"/>
              </w:rPr>
            </w:pPr>
          </w:p>
        </w:tc>
        <w:tc>
          <w:tcPr>
            <w:tcW w:w="320" w:type="dxa"/>
            <w:vAlign w:val="bottom"/>
            <w:shd w:val="clear" w:color="auto" w:fill="CEFEE7"/>
          </w:tcPr>
          <w:p>
            <w:pPr>
              <w:spacing w:after="0"/>
              <w:rPr>
                <w:sz w:val="19"/>
                <w:szCs w:val="19"/>
                <w:color w:val="auto"/>
              </w:rPr>
            </w:pPr>
          </w:p>
        </w:tc>
        <w:tc>
          <w:tcPr>
            <w:tcW w:w="500" w:type="dxa"/>
            <w:vAlign w:val="bottom"/>
            <w:shd w:val="clear" w:color="auto" w:fill="CEFEE7"/>
          </w:tcPr>
          <w:p>
            <w:pPr>
              <w:spacing w:after="0"/>
              <w:rPr>
                <w:sz w:val="19"/>
                <w:szCs w:val="19"/>
                <w:color w:val="auto"/>
              </w:rPr>
            </w:pPr>
          </w:p>
        </w:tc>
        <w:tc>
          <w:tcPr>
            <w:tcW w:w="720" w:type="dxa"/>
            <w:vAlign w:val="bottom"/>
            <w:shd w:val="clear" w:color="auto" w:fill="CEFEE7"/>
          </w:tcPr>
          <w:p>
            <w:pPr>
              <w:spacing w:after="0"/>
              <w:rPr>
                <w:sz w:val="19"/>
                <w:szCs w:val="19"/>
                <w:color w:val="auto"/>
              </w:rPr>
            </w:pPr>
          </w:p>
        </w:tc>
        <w:tc>
          <w:tcPr>
            <w:tcW w:w="340" w:type="dxa"/>
            <w:vAlign w:val="bottom"/>
            <w:shd w:val="clear" w:color="auto" w:fill="CEFEE7"/>
          </w:tcPr>
          <w:p>
            <w:pPr>
              <w:spacing w:after="0"/>
              <w:rPr>
                <w:sz w:val="19"/>
                <w:szCs w:val="19"/>
                <w:color w:val="auto"/>
              </w:rPr>
            </w:pPr>
          </w:p>
        </w:tc>
        <w:tc>
          <w:tcPr>
            <w:tcW w:w="11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gridSpan w:val="4"/>
          </w:tcPr>
          <w:p>
            <w:pPr>
              <w:ind w:left="20"/>
              <w:spacing w:after="0"/>
              <w:rPr>
                <w:sz w:val="20"/>
                <w:szCs w:val="20"/>
                <w:color w:val="auto"/>
              </w:rPr>
            </w:pPr>
            <w:r>
              <w:rPr>
                <w:rFonts w:ascii="Arial" w:cs="Arial" w:eastAsia="Arial" w:hAnsi="Arial"/>
                <w:sz w:val="16"/>
                <w:szCs w:val="16"/>
                <w:color w:val="auto"/>
              </w:rPr>
              <w:t>Prior year amortization of excess deferred income taxes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gridSpan w:val="3"/>
            <w:shd w:val="clear" w:color="auto" w:fill="CEFEE7"/>
          </w:tcPr>
          <w:p>
            <w:pPr>
              <w:ind w:left="20"/>
              <w:spacing w:after="0"/>
              <w:rPr>
                <w:sz w:val="20"/>
                <w:szCs w:val="20"/>
                <w:color w:val="auto"/>
              </w:rPr>
            </w:pPr>
            <w:r>
              <w:rPr>
                <w:rFonts w:ascii="Arial" w:cs="Arial" w:eastAsia="Arial" w:hAnsi="Arial"/>
                <w:sz w:val="16"/>
                <w:szCs w:val="16"/>
                <w:color w:val="auto"/>
              </w:rPr>
              <w:t>Weather</w:t>
            </w:r>
          </w:p>
        </w:tc>
        <w:tc>
          <w:tcPr>
            <w:tcW w:w="500" w:type="dxa"/>
            <w:vAlign w:val="bottom"/>
            <w:shd w:val="clear" w:color="auto" w:fill="CEFEE7"/>
          </w:tcPr>
          <w:p>
            <w:pPr>
              <w:spacing w:after="0"/>
              <w:rPr>
                <w:sz w:val="19"/>
                <w:szCs w:val="19"/>
                <w:color w:val="auto"/>
              </w:rPr>
            </w:pPr>
          </w:p>
        </w:tc>
        <w:tc>
          <w:tcPr>
            <w:tcW w:w="980" w:type="dxa"/>
            <w:vAlign w:val="bottom"/>
            <w:shd w:val="clear" w:color="auto" w:fill="CEFEE7"/>
          </w:tcPr>
          <w:p>
            <w:pPr>
              <w:spacing w:after="0"/>
              <w:rPr>
                <w:sz w:val="19"/>
                <w:szCs w:val="19"/>
                <w:color w:val="auto"/>
              </w:rPr>
            </w:pPr>
          </w:p>
        </w:tc>
        <w:tc>
          <w:tcPr>
            <w:tcW w:w="300" w:type="dxa"/>
            <w:vAlign w:val="bottom"/>
            <w:shd w:val="clear" w:color="auto" w:fill="CEFEE7"/>
          </w:tcPr>
          <w:p>
            <w:pPr>
              <w:spacing w:after="0"/>
              <w:rPr>
                <w:sz w:val="19"/>
                <w:szCs w:val="19"/>
                <w:color w:val="auto"/>
              </w:rPr>
            </w:pPr>
          </w:p>
        </w:tc>
        <w:tc>
          <w:tcPr>
            <w:tcW w:w="1220" w:type="dxa"/>
            <w:vAlign w:val="bottom"/>
            <w:shd w:val="clear" w:color="auto" w:fill="CEFEE7"/>
          </w:tcPr>
          <w:p>
            <w:pPr>
              <w:spacing w:after="0"/>
              <w:rPr>
                <w:sz w:val="19"/>
                <w:szCs w:val="19"/>
                <w:color w:val="auto"/>
              </w:rPr>
            </w:pPr>
          </w:p>
        </w:tc>
        <w:tc>
          <w:tcPr>
            <w:tcW w:w="340" w:type="dxa"/>
            <w:vAlign w:val="bottom"/>
            <w:shd w:val="clear" w:color="auto" w:fill="CEFEE7"/>
          </w:tcPr>
          <w:p>
            <w:pPr>
              <w:spacing w:after="0"/>
              <w:rPr>
                <w:sz w:val="19"/>
                <w:szCs w:val="19"/>
                <w:color w:val="auto"/>
              </w:rPr>
            </w:pPr>
          </w:p>
        </w:tc>
        <w:tc>
          <w:tcPr>
            <w:tcW w:w="1140" w:type="dxa"/>
            <w:vAlign w:val="bottom"/>
            <w:shd w:val="clear" w:color="auto" w:fill="CEFEE7"/>
          </w:tcPr>
          <w:p>
            <w:pPr>
              <w:spacing w:after="0"/>
              <w:rPr>
                <w:sz w:val="19"/>
                <w:szCs w:val="19"/>
                <w:color w:val="auto"/>
              </w:rPr>
            </w:pPr>
          </w:p>
        </w:tc>
        <w:tc>
          <w:tcPr>
            <w:tcW w:w="320" w:type="dxa"/>
            <w:vAlign w:val="bottom"/>
            <w:shd w:val="clear" w:color="auto" w:fill="CEFEE7"/>
          </w:tcPr>
          <w:p>
            <w:pPr>
              <w:spacing w:after="0"/>
              <w:rPr>
                <w:sz w:val="19"/>
                <w:szCs w:val="19"/>
                <w:color w:val="auto"/>
              </w:rPr>
            </w:pPr>
          </w:p>
        </w:tc>
        <w:tc>
          <w:tcPr>
            <w:tcW w:w="500" w:type="dxa"/>
            <w:vAlign w:val="bottom"/>
            <w:shd w:val="clear" w:color="auto" w:fill="CEFEE7"/>
          </w:tcPr>
          <w:p>
            <w:pPr>
              <w:spacing w:after="0"/>
              <w:rPr>
                <w:sz w:val="19"/>
                <w:szCs w:val="19"/>
                <w:color w:val="auto"/>
              </w:rPr>
            </w:pPr>
          </w:p>
        </w:tc>
        <w:tc>
          <w:tcPr>
            <w:tcW w:w="720" w:type="dxa"/>
            <w:vAlign w:val="bottom"/>
            <w:shd w:val="clear" w:color="auto" w:fill="CEFEE7"/>
          </w:tcPr>
          <w:p>
            <w:pPr>
              <w:spacing w:after="0"/>
              <w:rPr>
                <w:sz w:val="19"/>
                <w:szCs w:val="19"/>
                <w:color w:val="auto"/>
              </w:rPr>
            </w:pPr>
          </w:p>
        </w:tc>
        <w:tc>
          <w:tcPr>
            <w:tcW w:w="340" w:type="dxa"/>
            <w:vAlign w:val="bottom"/>
            <w:shd w:val="clear" w:color="auto" w:fill="CEFEE7"/>
          </w:tcPr>
          <w:p>
            <w:pPr>
              <w:spacing w:after="0"/>
              <w:rPr>
                <w:sz w:val="19"/>
                <w:szCs w:val="19"/>
                <w:color w:val="auto"/>
              </w:rPr>
            </w:pPr>
          </w:p>
        </w:tc>
        <w:tc>
          <w:tcPr>
            <w:tcW w:w="11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COVID-19 impacts </w:t>
            </w:r>
            <w:r>
              <w:rPr>
                <w:rFonts w:ascii="Arial" w:cs="Arial" w:eastAsia="Arial" w:hAnsi="Arial"/>
                <w:sz w:val="21"/>
                <w:szCs w:val="21"/>
                <w:color w:val="auto"/>
                <w:vertAlign w:val="superscript"/>
              </w:rPr>
              <w:t>(a)</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gridSpan w:val="3"/>
            <w:shd w:val="clear" w:color="auto" w:fill="CEFEE7"/>
          </w:tcPr>
          <w:p>
            <w:pPr>
              <w:ind w:left="20"/>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EFEE7"/>
          </w:tcPr>
          <w:p>
            <w:pPr>
              <w:spacing w:after="0"/>
              <w:rPr>
                <w:sz w:val="18"/>
                <w:szCs w:val="18"/>
                <w:color w:val="auto"/>
              </w:rPr>
            </w:pPr>
          </w:p>
        </w:tc>
        <w:tc>
          <w:tcPr>
            <w:tcW w:w="980" w:type="dxa"/>
            <w:vAlign w:val="bottom"/>
            <w:shd w:val="clear" w:color="auto" w:fill="CEFEE7"/>
          </w:tcPr>
          <w:p>
            <w:pPr>
              <w:spacing w:after="0"/>
              <w:rPr>
                <w:sz w:val="18"/>
                <w:szCs w:val="18"/>
                <w:color w:val="auto"/>
              </w:rPr>
            </w:pPr>
          </w:p>
        </w:tc>
        <w:tc>
          <w:tcPr>
            <w:tcW w:w="300" w:type="dxa"/>
            <w:vAlign w:val="bottom"/>
            <w:shd w:val="clear" w:color="auto" w:fill="CEFEE7"/>
          </w:tcPr>
          <w:p>
            <w:pPr>
              <w:spacing w:after="0"/>
              <w:rPr>
                <w:sz w:val="18"/>
                <w:szCs w:val="18"/>
                <w:color w:val="auto"/>
              </w:rPr>
            </w:pPr>
          </w:p>
        </w:tc>
        <w:tc>
          <w:tcPr>
            <w:tcW w:w="1220" w:type="dxa"/>
            <w:vAlign w:val="bottom"/>
            <w:shd w:val="clear" w:color="auto" w:fill="CEFEE7"/>
          </w:tcPr>
          <w:p>
            <w:pPr>
              <w:spacing w:after="0"/>
              <w:rPr>
                <w:sz w:val="18"/>
                <w:szCs w:val="18"/>
                <w:color w:val="auto"/>
              </w:rPr>
            </w:pPr>
          </w:p>
        </w:tc>
        <w:tc>
          <w:tcPr>
            <w:tcW w:w="340" w:type="dxa"/>
            <w:vAlign w:val="bottom"/>
            <w:shd w:val="clear" w:color="auto" w:fill="CEFEE7"/>
          </w:tcPr>
          <w:p>
            <w:pPr>
              <w:spacing w:after="0"/>
              <w:rPr>
                <w:sz w:val="18"/>
                <w:szCs w:val="18"/>
                <w:color w:val="auto"/>
              </w:rPr>
            </w:pPr>
          </w:p>
        </w:tc>
        <w:tc>
          <w:tcPr>
            <w:tcW w:w="1140" w:type="dxa"/>
            <w:vAlign w:val="bottom"/>
            <w:shd w:val="clear" w:color="auto" w:fill="CEFEE7"/>
          </w:tcPr>
          <w:p>
            <w:pPr>
              <w:spacing w:after="0"/>
              <w:rPr>
                <w:sz w:val="18"/>
                <w:szCs w:val="18"/>
                <w:color w:val="auto"/>
              </w:rPr>
            </w:pPr>
          </w:p>
        </w:tc>
        <w:tc>
          <w:tcPr>
            <w:tcW w:w="320" w:type="dxa"/>
            <w:vAlign w:val="bottom"/>
            <w:shd w:val="clear" w:color="auto" w:fill="CEFEE7"/>
          </w:tcPr>
          <w:p>
            <w:pPr>
              <w:spacing w:after="0"/>
              <w:rPr>
                <w:sz w:val="18"/>
                <w:szCs w:val="18"/>
                <w:color w:val="auto"/>
              </w:rPr>
            </w:pPr>
          </w:p>
        </w:tc>
        <w:tc>
          <w:tcPr>
            <w:tcW w:w="500" w:type="dxa"/>
            <w:vAlign w:val="bottom"/>
            <w:shd w:val="clear" w:color="auto" w:fill="CEFEE7"/>
          </w:tcPr>
          <w:p>
            <w:pPr>
              <w:spacing w:after="0"/>
              <w:rPr>
                <w:sz w:val="18"/>
                <w:szCs w:val="18"/>
                <w:color w:val="auto"/>
              </w:rPr>
            </w:pPr>
          </w:p>
        </w:tc>
        <w:tc>
          <w:tcPr>
            <w:tcW w:w="720" w:type="dxa"/>
            <w:vAlign w:val="bottom"/>
            <w:tcBorders>
              <w:bottom w:val="single" w:sz="8" w:color="auto"/>
            </w:tcBorders>
            <w:shd w:val="clear" w:color="auto" w:fill="CEFEE7"/>
          </w:tcPr>
          <w:p>
            <w:pPr>
              <w:spacing w:after="0"/>
              <w:rPr>
                <w:sz w:val="18"/>
                <w:szCs w:val="18"/>
                <w:color w:val="auto"/>
              </w:rPr>
            </w:pPr>
          </w:p>
        </w:tc>
        <w:tc>
          <w:tcPr>
            <w:tcW w:w="340" w:type="dxa"/>
            <w:vAlign w:val="bottom"/>
            <w:tcBorders>
              <w:bottom w:val="single" w:sz="8" w:color="auto"/>
            </w:tcBorders>
            <w:shd w:val="clear" w:color="auto" w:fill="CEFEE7"/>
          </w:tcPr>
          <w:p>
            <w:pPr>
              <w:spacing w:after="0"/>
              <w:rPr>
                <w:sz w:val="18"/>
                <w:szCs w:val="18"/>
                <w:color w:val="auto"/>
              </w:rPr>
            </w:pPr>
          </w:p>
        </w:tc>
        <w:tc>
          <w:tcPr>
            <w:tcW w:w="11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Total increase in Gross margin (non-GAAP)</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140" w:hanging="332"/>
        <w:spacing w:after="0" w:line="258" w:lineRule="auto"/>
        <w:tabs>
          <w:tab w:leader="none" w:pos="349"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impacts to Gas Utilities’ gross margin from COVID-19 were primarily driven by reduced volumes from certain transport customers and waived customer late payment fees.</w:t>
      </w:r>
    </w:p>
    <w:p>
      <w:pPr>
        <w:spacing w:after="0" w:line="21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property taxes due to a higher asset base driven by prior and current year capital expenditures. Lower employee costs were mostly offset by various other current year expenses. COVID-19 impacts to operations and maintenance expense included $2.5 million of additional bad debt expense which was partially offset by $2.4 million of lower travel, training, and outside services related expenses.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and current year capital expenditures.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vMerge w:val="restart"/>
          </w:tcPr>
          <w:p>
            <w:pPr>
              <w:jc w:val="center"/>
              <w:ind w:left="428"/>
              <w:spacing w:after="0"/>
              <w:rPr>
                <w:sz w:val="20"/>
                <w:szCs w:val="20"/>
                <w:color w:val="auto"/>
              </w:rPr>
            </w:pPr>
            <w:r>
              <w:rPr>
                <w:rFonts w:ascii="Arial" w:cs="Arial" w:eastAsia="Arial" w:hAnsi="Arial"/>
                <w:sz w:val="14"/>
                <w:szCs w:val="14"/>
                <w:color w:val="auto"/>
              </w:rPr>
              <w:t>Revenue (in thousands)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6"/>
          </w:tcPr>
          <w:p>
            <w:pPr>
              <w:jc w:val="center"/>
              <w:ind w:right="240"/>
              <w:spacing w:after="0"/>
              <w:rPr>
                <w:sz w:val="20"/>
                <w:szCs w:val="20"/>
                <w:color w:val="auto"/>
              </w:rPr>
            </w:pPr>
            <w:r>
              <w:rPr>
                <w:rFonts w:ascii="Arial" w:cs="Arial" w:eastAsia="Arial" w:hAnsi="Arial"/>
                <w:sz w:val="14"/>
                <w:szCs w:val="14"/>
                <w:color w:val="auto"/>
              </w:rPr>
              <w:t>Gross Margin (non-GAAP)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gridSpan w:val="3"/>
            <w:vMerge w:val="restart"/>
          </w:tcPr>
          <w:p>
            <w:pPr>
              <w:jc w:val="center"/>
              <w:spacing w:after="0"/>
              <w:rPr>
                <w:sz w:val="20"/>
                <w:szCs w:val="20"/>
                <w:color w:val="auto"/>
              </w:rPr>
            </w:pPr>
            <w:r>
              <w:rPr>
                <w:rFonts w:ascii="Arial" w:cs="Arial" w:eastAsia="Arial" w:hAnsi="Arial"/>
                <w:sz w:val="14"/>
                <w:szCs w:val="14"/>
                <w:color w:val="auto"/>
              </w:rPr>
              <w:t>Quantities Sold and Transported (Dth)</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6"/>
          </w:tcPr>
          <w:p>
            <w:pPr>
              <w:ind w:left="200"/>
              <w:spacing w:after="0"/>
              <w:rPr>
                <w:sz w:val="20"/>
                <w:szCs w:val="20"/>
                <w:color w:val="auto"/>
              </w:rPr>
            </w:pPr>
            <w:r>
              <w:rPr>
                <w:rFonts w:ascii="Arial" w:cs="Arial" w:eastAsia="Arial" w:hAnsi="Arial"/>
                <w:sz w:val="14"/>
                <w:szCs w:val="14"/>
                <w:color w:val="auto"/>
              </w:rPr>
              <w:t>For the year ended December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6"/>
          </w:tcPr>
          <w:p>
            <w:pPr>
              <w:jc w:val="right"/>
              <w:ind w:right="400"/>
              <w:spacing w:after="0"/>
              <w:rPr>
                <w:sz w:val="20"/>
                <w:szCs w:val="20"/>
                <w:color w:val="auto"/>
              </w:rPr>
            </w:pPr>
            <w:r>
              <w:rPr>
                <w:rFonts w:ascii="Arial" w:cs="Arial" w:eastAsia="Arial" w:hAnsi="Arial"/>
                <w:sz w:val="14"/>
                <w:szCs w:val="14"/>
                <w:color w:val="auto"/>
              </w:rPr>
              <w:t>For the year ended 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gridSpan w:val="3"/>
          </w:tcPr>
          <w:p>
            <w:pPr>
              <w:jc w:val="center"/>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88"/>
        </w:trPr>
        <w:tc>
          <w:tcPr>
            <w:tcW w:w="1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color w:val="auto"/>
              </w:rPr>
              <w:t>2018</w:t>
            </w: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2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EFFE7"/>
          </w:tcPr>
          <w:p>
            <w:pPr>
              <w:spacing w:after="0"/>
              <w:rPr>
                <w:sz w:val="20"/>
                <w:szCs w:val="20"/>
                <w:color w:val="auto"/>
              </w:rPr>
            </w:pPr>
            <w:r>
              <w:rPr>
                <w:rFonts w:ascii="Arial" w:cs="Arial" w:eastAsia="Arial" w:hAnsi="Arial"/>
                <w:sz w:val="14"/>
                <w:szCs w:val="14"/>
                <w:color w:val="auto"/>
              </w:rPr>
              <w:t>Residential</w:t>
            </w:r>
          </w:p>
        </w:tc>
        <w:tc>
          <w:tcPr>
            <w:tcW w:w="220" w:type="dxa"/>
            <w:vAlign w:val="bottom"/>
            <w:gridSpan w:val="2"/>
            <w:shd w:val="clear" w:color="auto" w:fill="CEFFE7"/>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527,518</w:t>
            </w:r>
          </w:p>
        </w:tc>
        <w:tc>
          <w:tcPr>
            <w:tcW w:w="2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EFFE7"/>
          </w:tcPr>
          <w:p>
            <w:pPr>
              <w:jc w:val="right"/>
              <w:ind w:right="60"/>
              <w:spacing w:after="0"/>
              <w:rPr>
                <w:sz w:val="20"/>
                <w:szCs w:val="20"/>
                <w:color w:val="auto"/>
              </w:rPr>
            </w:pPr>
            <w:r>
              <w:rPr>
                <w:rFonts w:ascii="Arial" w:cs="Arial" w:eastAsia="Arial" w:hAnsi="Arial"/>
                <w:sz w:val="14"/>
                <w:szCs w:val="14"/>
                <w:color w:val="auto"/>
              </w:rPr>
              <w:t>551,701</w:t>
            </w:r>
          </w:p>
        </w:tc>
        <w:tc>
          <w:tcPr>
            <w:tcW w:w="280" w:type="dxa"/>
            <w:vAlign w:val="bottom"/>
            <w:shd w:val="clear" w:color="auto" w:fill="CEFFE7"/>
          </w:tcPr>
          <w:p>
            <w:pPr>
              <w:jc w:val="right"/>
              <w:ind w:right="86"/>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567,785</w:t>
            </w:r>
          </w:p>
        </w:tc>
        <w:tc>
          <w:tcPr>
            <w:tcW w:w="320" w:type="dxa"/>
            <w:vAlign w:val="bottom"/>
            <w:gridSpan w:val="3"/>
            <w:shd w:val="clear" w:color="auto" w:fill="CEFFE7"/>
          </w:tcPr>
          <w:p>
            <w:pPr>
              <w:jc w:val="right"/>
              <w:ind w:right="39"/>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298,707</w:t>
            </w:r>
          </w:p>
        </w:tc>
        <w:tc>
          <w:tcPr>
            <w:tcW w:w="2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285,802</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276,858</w:t>
            </w:r>
          </w:p>
        </w:tc>
        <w:tc>
          <w:tcPr>
            <w:tcW w:w="20" w:type="dxa"/>
            <w:vAlign w:val="bottom"/>
            <w:shd w:val="clear" w:color="auto" w:fill="CEFFE7"/>
          </w:tcPr>
          <w:p>
            <w:pPr>
              <w:spacing w:after="0"/>
              <w:rPr>
                <w:sz w:val="16"/>
                <w:szCs w:val="16"/>
                <w:color w:val="auto"/>
              </w:rPr>
            </w:pPr>
          </w:p>
        </w:tc>
        <w:tc>
          <w:tcPr>
            <w:tcW w:w="1320" w:type="dxa"/>
            <w:vAlign w:val="bottom"/>
            <w:gridSpan w:val="3"/>
            <w:shd w:val="clear" w:color="auto" w:fill="CEFFE7"/>
          </w:tcPr>
          <w:p>
            <w:pPr>
              <w:jc w:val="right"/>
              <w:ind w:right="68"/>
              <w:spacing w:after="0"/>
              <w:rPr>
                <w:sz w:val="20"/>
                <w:szCs w:val="20"/>
                <w:color w:val="auto"/>
              </w:rPr>
            </w:pPr>
            <w:r>
              <w:rPr>
                <w:rFonts w:ascii="Arial" w:cs="Arial" w:eastAsia="Arial" w:hAnsi="Arial"/>
                <w:sz w:val="14"/>
                <w:szCs w:val="14"/>
                <w:color w:val="auto"/>
              </w:rPr>
              <w:t>61,962,171</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66,956,080</w:t>
            </w: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65,352,164</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4"/>
                <w:szCs w:val="14"/>
                <w:color w:val="auto"/>
              </w:rPr>
              <w:t>Commercial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193,017</w:t>
            </w:r>
          </w:p>
        </w:tc>
        <w:tc>
          <w:tcPr>
            <w:tcW w:w="2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212,229</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214,718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89,590</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88,264</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82,529</w:t>
            </w:r>
          </w:p>
        </w:tc>
        <w:tc>
          <w:tcPr>
            <w:tcW w:w="20" w:type="dxa"/>
            <w:vAlign w:val="bottom"/>
          </w:tcPr>
          <w:p>
            <w:pPr>
              <w:spacing w:after="0"/>
              <w:rPr>
                <w:sz w:val="16"/>
                <w:szCs w:val="16"/>
                <w:color w:val="auto"/>
              </w:rPr>
            </w:pPr>
          </w:p>
        </w:tc>
        <w:tc>
          <w:tcPr>
            <w:tcW w:w="1320" w:type="dxa"/>
            <w:vAlign w:val="bottom"/>
            <w:gridSpan w:val="3"/>
          </w:tcPr>
          <w:p>
            <w:pPr>
              <w:jc w:val="right"/>
              <w:ind w:right="68"/>
              <w:spacing w:after="0"/>
              <w:rPr>
                <w:sz w:val="20"/>
                <w:szCs w:val="20"/>
                <w:color w:val="auto"/>
              </w:rPr>
            </w:pPr>
            <w:r>
              <w:rPr>
                <w:rFonts w:ascii="Arial" w:cs="Arial" w:eastAsia="Arial" w:hAnsi="Arial"/>
                <w:sz w:val="14"/>
                <w:szCs w:val="14"/>
                <w:color w:val="auto"/>
              </w:rPr>
              <w:t>28,784,319</w:t>
            </w:r>
          </w:p>
        </w:tc>
        <w:tc>
          <w:tcPr>
            <w:tcW w:w="1080" w:type="dxa"/>
            <w:vAlign w:val="bottom"/>
          </w:tcPr>
          <w:p>
            <w:pPr>
              <w:jc w:val="right"/>
              <w:spacing w:after="0"/>
              <w:rPr>
                <w:sz w:val="20"/>
                <w:szCs w:val="20"/>
                <w:color w:val="auto"/>
              </w:rPr>
            </w:pPr>
            <w:r>
              <w:rPr>
                <w:rFonts w:ascii="Arial" w:cs="Arial" w:eastAsia="Arial" w:hAnsi="Arial"/>
                <w:sz w:val="14"/>
                <w:szCs w:val="14"/>
                <w:color w:val="auto"/>
              </w:rPr>
              <w:t>32,241,441</w:t>
            </w:r>
          </w:p>
        </w:tc>
        <w:tc>
          <w:tcPr>
            <w:tcW w:w="1200" w:type="dxa"/>
            <w:vAlign w:val="bottom"/>
          </w:tcPr>
          <w:p>
            <w:pPr>
              <w:jc w:val="right"/>
              <w:spacing w:after="0"/>
              <w:rPr>
                <w:sz w:val="20"/>
                <w:szCs w:val="20"/>
                <w:color w:val="auto"/>
              </w:rPr>
            </w:pPr>
            <w:r>
              <w:rPr>
                <w:rFonts w:ascii="Arial" w:cs="Arial" w:eastAsia="Arial" w:hAnsi="Arial"/>
                <w:sz w:val="14"/>
                <w:szCs w:val="14"/>
                <w:color w:val="auto"/>
              </w:rPr>
              <w:t>30,753,361</w:t>
            </w:r>
          </w:p>
        </w:tc>
        <w:tc>
          <w:tcPr>
            <w:tcW w:w="0" w:type="dxa"/>
            <w:vAlign w:val="bottom"/>
          </w:tcPr>
          <w:p>
            <w:pPr>
              <w:spacing w:after="0"/>
              <w:rPr>
                <w:sz w:val="1"/>
                <w:szCs w:val="1"/>
                <w:color w:val="auto"/>
              </w:rPr>
            </w:pPr>
          </w:p>
        </w:tc>
      </w:tr>
      <w:tr>
        <w:trPr>
          <w:trHeight w:val="189"/>
        </w:trPr>
        <w:tc>
          <w:tcPr>
            <w:tcW w:w="1560" w:type="dxa"/>
            <w:vAlign w:val="bottom"/>
            <w:shd w:val="clear" w:color="auto" w:fill="CEFFE7"/>
          </w:tcPr>
          <w:p>
            <w:pPr>
              <w:spacing w:after="0"/>
              <w:rPr>
                <w:sz w:val="20"/>
                <w:szCs w:val="20"/>
                <w:color w:val="auto"/>
              </w:rPr>
            </w:pPr>
            <w:r>
              <w:rPr>
                <w:rFonts w:ascii="Arial" w:cs="Arial" w:eastAsia="Arial" w:hAnsi="Arial"/>
                <w:sz w:val="14"/>
                <w:szCs w:val="14"/>
                <w:color w:val="auto"/>
              </w:rPr>
              <w:t>Industrial</w:t>
            </w:r>
          </w:p>
        </w:tc>
        <w:tc>
          <w:tcPr>
            <w:tcW w:w="2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24,014</w:t>
            </w:r>
          </w:p>
        </w:tc>
        <w:tc>
          <w:tcPr>
            <w:tcW w:w="200" w:type="dxa"/>
            <w:vAlign w:val="bottom"/>
            <w:shd w:val="clear" w:color="auto" w:fill="CEFFE7"/>
          </w:tcPr>
          <w:p>
            <w:pPr>
              <w:spacing w:after="0"/>
              <w:rPr>
                <w:sz w:val="16"/>
                <w:szCs w:val="16"/>
                <w:color w:val="auto"/>
              </w:rPr>
            </w:pPr>
          </w:p>
        </w:tc>
        <w:tc>
          <w:tcPr>
            <w:tcW w:w="800" w:type="dxa"/>
            <w:vAlign w:val="bottom"/>
            <w:gridSpan w:val="2"/>
            <w:shd w:val="clear" w:color="auto" w:fill="CEFFE7"/>
          </w:tcPr>
          <w:p>
            <w:pPr>
              <w:jc w:val="right"/>
              <w:ind w:right="60"/>
              <w:spacing w:after="0"/>
              <w:rPr>
                <w:sz w:val="20"/>
                <w:szCs w:val="20"/>
                <w:color w:val="auto"/>
              </w:rPr>
            </w:pPr>
            <w:r>
              <w:rPr>
                <w:rFonts w:ascii="Arial" w:cs="Arial" w:eastAsia="Arial" w:hAnsi="Arial"/>
                <w:sz w:val="14"/>
                <w:szCs w:val="14"/>
                <w:color w:val="auto"/>
              </w:rPr>
              <w:t>24,832</w:t>
            </w:r>
          </w:p>
        </w:tc>
        <w:tc>
          <w:tcPr>
            <w:tcW w:w="28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26,466</w:t>
            </w:r>
          </w:p>
        </w:tc>
        <w:tc>
          <w:tcPr>
            <w:tcW w:w="100" w:type="dxa"/>
            <w:vAlign w:val="bottom"/>
            <w:shd w:val="clear" w:color="auto" w:fill="CEFFE7"/>
          </w:tcPr>
          <w:p>
            <w:pPr>
              <w:spacing w:after="0"/>
              <w:rPr>
                <w:sz w:val="16"/>
                <w:szCs w:val="16"/>
                <w:color w:val="auto"/>
              </w:rPr>
            </w:pPr>
          </w:p>
        </w:tc>
        <w:tc>
          <w:tcPr>
            <w:tcW w:w="2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8,670</w:t>
            </w:r>
          </w:p>
        </w:tc>
        <w:tc>
          <w:tcPr>
            <w:tcW w:w="240" w:type="dxa"/>
            <w:vAlign w:val="bottom"/>
            <w:shd w:val="clear" w:color="auto" w:fill="CEFFE7"/>
          </w:tcPr>
          <w:p>
            <w:pPr>
              <w:spacing w:after="0"/>
              <w:rPr>
                <w:sz w:val="16"/>
                <w:szCs w:val="16"/>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8,053</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7,056</w:t>
            </w:r>
          </w:p>
        </w:tc>
        <w:tc>
          <w:tcPr>
            <w:tcW w:w="20" w:type="dxa"/>
            <w:vAlign w:val="bottom"/>
            <w:shd w:val="clear" w:color="auto" w:fill="CEFFE7"/>
          </w:tcPr>
          <w:p>
            <w:pPr>
              <w:spacing w:after="0"/>
              <w:rPr>
                <w:sz w:val="16"/>
                <w:szCs w:val="16"/>
                <w:color w:val="auto"/>
              </w:rPr>
            </w:pPr>
          </w:p>
        </w:tc>
        <w:tc>
          <w:tcPr>
            <w:tcW w:w="1320" w:type="dxa"/>
            <w:vAlign w:val="bottom"/>
            <w:gridSpan w:val="3"/>
            <w:shd w:val="clear" w:color="auto" w:fill="CEFFE7"/>
          </w:tcPr>
          <w:p>
            <w:pPr>
              <w:jc w:val="right"/>
              <w:ind w:right="68"/>
              <w:spacing w:after="0"/>
              <w:rPr>
                <w:sz w:val="20"/>
                <w:szCs w:val="20"/>
                <w:color w:val="auto"/>
              </w:rPr>
            </w:pPr>
            <w:r>
              <w:rPr>
                <w:rFonts w:ascii="Arial" w:cs="Arial" w:eastAsia="Arial" w:hAnsi="Arial"/>
                <w:sz w:val="14"/>
                <w:szCs w:val="14"/>
                <w:color w:val="auto"/>
              </w:rPr>
              <w:t>6,881,354</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6,548,023</w:t>
            </w: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6,309,211</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CEFFE7"/>
            </w:tcBorders>
          </w:tcPr>
          <w:p>
            <w:pPr>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CEFFE7"/>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(1,361)</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(7,899)</w:t>
            </w:r>
          </w:p>
        </w:tc>
        <w:tc>
          <w:tcPr>
            <w:tcW w:w="100" w:type="dxa"/>
            <w:vAlign w:val="bottom"/>
            <w:tcBorders>
              <w:bottom w:val="single" w:sz="8" w:color="CEFFE7"/>
            </w:tcBorders>
          </w:tcPr>
          <w:p>
            <w:pPr>
              <w:spacing w:after="0"/>
              <w:rPr>
                <w:sz w:val="16"/>
                <w:szCs w:val="16"/>
                <w:color w:val="auto"/>
              </w:rPr>
            </w:pPr>
          </w:p>
        </w:tc>
        <w:tc>
          <w:tcPr>
            <w:tcW w:w="20" w:type="dxa"/>
            <w:vAlign w:val="bottom"/>
            <w:tcBorders>
              <w:bottom w:val="single" w:sz="8" w:color="CEFFE7"/>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EFFE7"/>
            </w:tcBorders>
          </w:tcPr>
          <w:p>
            <w:pPr>
              <w:spacing w:after="0"/>
              <w:rPr>
                <w:sz w:val="16"/>
                <w:szCs w:val="16"/>
                <w:color w:val="auto"/>
              </w:rPr>
            </w:pPr>
          </w:p>
        </w:tc>
        <w:tc>
          <w:tcPr>
            <w:tcW w:w="20" w:type="dxa"/>
            <w:vAlign w:val="bottom"/>
            <w:tcBorders>
              <w:bottom w:val="single" w:sz="8" w:color="CEFFE7"/>
            </w:tcBorders>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560" w:type="dxa"/>
            <w:vAlign w:val="bottom"/>
            <w:shd w:val="clear" w:color="auto" w:fill="CEFFE7"/>
          </w:tcPr>
          <w:p>
            <w:pPr>
              <w:spacing w:after="0"/>
              <w:rPr>
                <w:sz w:val="20"/>
                <w:szCs w:val="20"/>
                <w:color w:val="auto"/>
              </w:rPr>
            </w:pPr>
            <w:r>
              <w:rPr>
                <w:rFonts w:ascii="Arial" w:cs="Arial" w:eastAsia="Arial" w:hAnsi="Arial"/>
                <w:sz w:val="14"/>
                <w:szCs w:val="14"/>
                <w:color w:val="auto"/>
              </w:rPr>
              <w:t>Total Distribution</w:t>
            </w:r>
          </w:p>
        </w:tc>
        <w:tc>
          <w:tcPr>
            <w:tcW w:w="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745,131</w:t>
            </w:r>
          </w:p>
        </w:tc>
        <w:tc>
          <w:tcPr>
            <w:tcW w:w="20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ind w:right="60"/>
              <w:spacing w:after="0"/>
              <w:rPr>
                <w:sz w:val="20"/>
                <w:szCs w:val="20"/>
                <w:color w:val="auto"/>
              </w:rPr>
            </w:pPr>
            <w:r>
              <w:rPr>
                <w:rFonts w:ascii="Arial" w:cs="Arial" w:eastAsia="Arial" w:hAnsi="Arial"/>
                <w:sz w:val="14"/>
                <w:szCs w:val="14"/>
                <w:color w:val="auto"/>
              </w:rPr>
              <w:t>787,401</w:t>
            </w:r>
          </w:p>
        </w:tc>
        <w:tc>
          <w:tcPr>
            <w:tcW w:w="28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801,070</w:t>
            </w:r>
          </w:p>
        </w:tc>
        <w:tc>
          <w:tcPr>
            <w:tcW w:w="1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397,549</w:t>
            </w:r>
          </w:p>
        </w:tc>
        <w:tc>
          <w:tcPr>
            <w:tcW w:w="2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380,758</w:t>
            </w:r>
          </w:p>
        </w:tc>
        <w:tc>
          <w:tcPr>
            <w:tcW w:w="160" w:type="dxa"/>
            <w:vAlign w:val="bottom"/>
            <w:shd w:val="clear" w:color="auto" w:fill="CEFFE7"/>
          </w:tcPr>
          <w:p>
            <w:pPr>
              <w:spacing w:after="0"/>
              <w:rPr>
                <w:sz w:val="15"/>
                <w:szCs w:val="15"/>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358,544</w:t>
            </w:r>
          </w:p>
        </w:tc>
        <w:tc>
          <w:tcPr>
            <w:tcW w:w="20" w:type="dxa"/>
            <w:vAlign w:val="bottom"/>
            <w:shd w:val="clear" w:color="auto" w:fill="CEFFE7"/>
          </w:tcPr>
          <w:p>
            <w:pPr>
              <w:spacing w:after="0"/>
              <w:rPr>
                <w:sz w:val="15"/>
                <w:szCs w:val="15"/>
                <w:color w:val="auto"/>
              </w:rPr>
            </w:pPr>
          </w:p>
        </w:tc>
        <w:tc>
          <w:tcPr>
            <w:tcW w:w="1320" w:type="dxa"/>
            <w:vAlign w:val="bottom"/>
            <w:gridSpan w:val="3"/>
            <w:shd w:val="clear" w:color="auto" w:fill="CEFFE7"/>
          </w:tcPr>
          <w:p>
            <w:pPr>
              <w:jc w:val="right"/>
              <w:ind w:right="68"/>
              <w:spacing w:after="0"/>
              <w:rPr>
                <w:sz w:val="20"/>
                <w:szCs w:val="20"/>
                <w:color w:val="auto"/>
              </w:rPr>
            </w:pPr>
            <w:r>
              <w:rPr>
                <w:rFonts w:ascii="Arial" w:cs="Arial" w:eastAsia="Arial" w:hAnsi="Arial"/>
                <w:sz w:val="14"/>
                <w:szCs w:val="14"/>
                <w:color w:val="auto"/>
              </w:rPr>
              <w:t>97,627,844</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105,745,544</w:t>
            </w: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102,414,736</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EFFE7"/>
          </w:tcPr>
          <w:p>
            <w:pPr>
              <w:spacing w:after="0" w:line="153" w:lineRule="exact"/>
              <w:rPr>
                <w:sz w:val="20"/>
                <w:szCs w:val="20"/>
                <w:color w:val="auto"/>
              </w:rPr>
            </w:pPr>
            <w:r>
              <w:rPr>
                <w:rFonts w:ascii="Arial" w:cs="Arial" w:eastAsia="Arial" w:hAnsi="Arial"/>
                <w:sz w:val="14"/>
                <w:szCs w:val="14"/>
                <w:color w:val="auto"/>
              </w:rPr>
              <w:t>Transportation and</w:t>
            </w:r>
          </w:p>
        </w:tc>
        <w:tc>
          <w:tcPr>
            <w:tcW w:w="20" w:type="dxa"/>
            <w:vAlign w:val="bottom"/>
            <w:shd w:val="clear" w:color="auto" w:fill="CEFFE7"/>
          </w:tcPr>
          <w:p>
            <w:pPr>
              <w:spacing w:after="0"/>
              <w:rPr>
                <w:sz w:val="13"/>
                <w:szCs w:val="13"/>
                <w:color w:val="auto"/>
              </w:rPr>
            </w:pPr>
          </w:p>
        </w:tc>
        <w:tc>
          <w:tcPr>
            <w:tcW w:w="200" w:type="dxa"/>
            <w:vAlign w:val="bottom"/>
            <w:shd w:val="clear" w:color="auto" w:fill="CEFFE7"/>
          </w:tcPr>
          <w:p>
            <w:pPr>
              <w:spacing w:after="0"/>
              <w:rPr>
                <w:sz w:val="13"/>
                <w:szCs w:val="13"/>
                <w:color w:val="auto"/>
              </w:rPr>
            </w:pPr>
          </w:p>
        </w:tc>
        <w:tc>
          <w:tcPr>
            <w:tcW w:w="7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155,506</w:t>
            </w:r>
          </w:p>
        </w:tc>
        <w:tc>
          <w:tcPr>
            <w:tcW w:w="200" w:type="dxa"/>
            <w:vAlign w:val="bottom"/>
            <w:shd w:val="clear" w:color="auto" w:fill="CEFFE7"/>
          </w:tcPr>
          <w:p>
            <w:pPr>
              <w:spacing w:after="0"/>
              <w:rPr>
                <w:sz w:val="13"/>
                <w:szCs w:val="13"/>
                <w:color w:val="auto"/>
              </w:rPr>
            </w:pPr>
          </w:p>
        </w:tc>
        <w:tc>
          <w:tcPr>
            <w:tcW w:w="800" w:type="dxa"/>
            <w:vAlign w:val="bottom"/>
            <w:gridSpan w:val="2"/>
            <w:vMerge w:val="restart"/>
            <w:shd w:val="clear" w:color="auto" w:fill="CEFFE7"/>
          </w:tcPr>
          <w:p>
            <w:pPr>
              <w:jc w:val="right"/>
              <w:ind w:right="60"/>
              <w:spacing w:after="0"/>
              <w:rPr>
                <w:sz w:val="20"/>
                <w:szCs w:val="20"/>
                <w:color w:val="auto"/>
              </w:rPr>
            </w:pPr>
            <w:r>
              <w:rPr>
                <w:rFonts w:ascii="Arial" w:cs="Arial" w:eastAsia="Arial" w:hAnsi="Arial"/>
                <w:sz w:val="14"/>
                <w:szCs w:val="14"/>
                <w:color w:val="auto"/>
              </w:rPr>
              <w:t>144,710</w:t>
            </w:r>
          </w:p>
        </w:tc>
        <w:tc>
          <w:tcPr>
            <w:tcW w:w="280" w:type="dxa"/>
            <w:vAlign w:val="bottom"/>
            <w:shd w:val="clear" w:color="auto" w:fill="CEFFE7"/>
          </w:tcPr>
          <w:p>
            <w:pPr>
              <w:spacing w:after="0"/>
              <w:rPr>
                <w:sz w:val="13"/>
                <w:szCs w:val="13"/>
                <w:color w:val="auto"/>
              </w:rPr>
            </w:pP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141,854</w:t>
            </w:r>
          </w:p>
        </w:tc>
        <w:tc>
          <w:tcPr>
            <w:tcW w:w="100" w:type="dxa"/>
            <w:vAlign w:val="bottom"/>
            <w:shd w:val="clear" w:color="auto" w:fill="CEFFE7"/>
          </w:tcPr>
          <w:p>
            <w:pPr>
              <w:spacing w:after="0"/>
              <w:rPr>
                <w:sz w:val="13"/>
                <w:szCs w:val="13"/>
                <w:color w:val="auto"/>
              </w:rPr>
            </w:pPr>
          </w:p>
        </w:tc>
        <w:tc>
          <w:tcPr>
            <w:tcW w:w="20" w:type="dxa"/>
            <w:vAlign w:val="bottom"/>
            <w:shd w:val="clear" w:color="auto" w:fill="CEFFE7"/>
          </w:tcPr>
          <w:p>
            <w:pPr>
              <w:spacing w:after="0"/>
              <w:rPr>
                <w:sz w:val="13"/>
                <w:szCs w:val="13"/>
                <w:color w:val="auto"/>
              </w:rPr>
            </w:pPr>
          </w:p>
        </w:tc>
        <w:tc>
          <w:tcPr>
            <w:tcW w:w="200" w:type="dxa"/>
            <w:vAlign w:val="bottom"/>
            <w:shd w:val="clear" w:color="auto" w:fill="CEFFE7"/>
          </w:tcPr>
          <w:p>
            <w:pPr>
              <w:spacing w:after="0"/>
              <w:rPr>
                <w:sz w:val="13"/>
                <w:szCs w:val="13"/>
                <w:color w:val="auto"/>
              </w:rPr>
            </w:pP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155,477</w:t>
            </w:r>
          </w:p>
        </w:tc>
        <w:tc>
          <w:tcPr>
            <w:tcW w:w="240" w:type="dxa"/>
            <w:vAlign w:val="bottom"/>
            <w:shd w:val="clear" w:color="auto" w:fill="CEFFE7"/>
          </w:tcPr>
          <w:p>
            <w:pPr>
              <w:spacing w:after="0"/>
              <w:rPr>
                <w:sz w:val="13"/>
                <w:szCs w:val="13"/>
                <w:color w:val="auto"/>
              </w:rPr>
            </w:pPr>
          </w:p>
        </w:tc>
        <w:tc>
          <w:tcPr>
            <w:tcW w:w="7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144,710</w:t>
            </w:r>
          </w:p>
        </w:tc>
        <w:tc>
          <w:tcPr>
            <w:tcW w:w="160" w:type="dxa"/>
            <w:vAlign w:val="bottom"/>
            <w:shd w:val="clear" w:color="auto" w:fill="CEFFE7"/>
          </w:tcPr>
          <w:p>
            <w:pPr>
              <w:spacing w:after="0"/>
              <w:rPr>
                <w:sz w:val="13"/>
                <w:szCs w:val="13"/>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141,850</w:t>
            </w:r>
          </w:p>
        </w:tc>
        <w:tc>
          <w:tcPr>
            <w:tcW w:w="20" w:type="dxa"/>
            <w:vAlign w:val="bottom"/>
            <w:shd w:val="clear" w:color="auto" w:fill="CEFFE7"/>
          </w:tcPr>
          <w:p>
            <w:pPr>
              <w:spacing w:after="0"/>
              <w:rPr>
                <w:sz w:val="13"/>
                <w:szCs w:val="13"/>
                <w:color w:val="auto"/>
              </w:rPr>
            </w:pPr>
          </w:p>
        </w:tc>
        <w:tc>
          <w:tcPr>
            <w:tcW w:w="1320" w:type="dxa"/>
            <w:vAlign w:val="bottom"/>
            <w:gridSpan w:val="3"/>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149,062,476</w:t>
            </w: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153,101,264</w:t>
            </w:r>
          </w:p>
        </w:tc>
        <w:tc>
          <w:tcPr>
            <w:tcW w:w="120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148,299,003</w:t>
            </w:r>
          </w:p>
        </w:tc>
        <w:tc>
          <w:tcPr>
            <w:tcW w:w="0" w:type="dxa"/>
            <w:vAlign w:val="bottom"/>
          </w:tcPr>
          <w:p>
            <w:pPr>
              <w:spacing w:after="0"/>
              <w:rPr>
                <w:sz w:val="1"/>
                <w:szCs w:val="1"/>
                <w:color w:val="auto"/>
              </w:rPr>
            </w:pPr>
          </w:p>
        </w:tc>
      </w:tr>
      <w:tr>
        <w:trPr>
          <w:trHeight w:val="171"/>
        </w:trPr>
        <w:tc>
          <w:tcPr>
            <w:tcW w:w="1560" w:type="dxa"/>
            <w:vAlign w:val="bottom"/>
            <w:shd w:val="clear" w:color="auto" w:fill="CEFFE7"/>
          </w:tcPr>
          <w:p>
            <w:pPr>
              <w:spacing w:after="0"/>
              <w:rPr>
                <w:sz w:val="20"/>
                <w:szCs w:val="20"/>
                <w:color w:val="auto"/>
              </w:rPr>
            </w:pPr>
            <w:r>
              <w:rPr>
                <w:rFonts w:ascii="Arial" w:cs="Arial" w:eastAsia="Arial" w:hAnsi="Arial"/>
                <w:sz w:val="14"/>
                <w:szCs w:val="14"/>
                <w:color w:val="auto"/>
              </w:rPr>
              <w:t>Transmission</w:t>
            </w:r>
          </w:p>
        </w:tc>
        <w:tc>
          <w:tcPr>
            <w:tcW w:w="2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760" w:type="dxa"/>
            <w:vAlign w:val="bottom"/>
            <w:vMerge w:val="continue"/>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800" w:type="dxa"/>
            <w:vAlign w:val="bottom"/>
            <w:gridSpan w:val="2"/>
            <w:vMerge w:val="continue"/>
            <w:shd w:val="clear" w:color="auto" w:fill="CEFFE7"/>
          </w:tcPr>
          <w:p>
            <w:pPr>
              <w:spacing w:after="0"/>
              <w:rPr>
                <w:sz w:val="14"/>
                <w:szCs w:val="14"/>
                <w:color w:val="auto"/>
              </w:rPr>
            </w:pPr>
          </w:p>
        </w:tc>
        <w:tc>
          <w:tcPr>
            <w:tcW w:w="280" w:type="dxa"/>
            <w:vAlign w:val="bottom"/>
            <w:shd w:val="clear" w:color="auto" w:fill="CEFFE7"/>
          </w:tcPr>
          <w:p>
            <w:pPr>
              <w:spacing w:after="0"/>
              <w:rPr>
                <w:sz w:val="14"/>
                <w:szCs w:val="14"/>
                <w:color w:val="auto"/>
              </w:rPr>
            </w:pPr>
          </w:p>
        </w:tc>
        <w:tc>
          <w:tcPr>
            <w:tcW w:w="720" w:type="dxa"/>
            <w:vAlign w:val="bottom"/>
            <w:vMerge w:val="continue"/>
            <w:shd w:val="clear" w:color="auto" w:fill="CEFFE7"/>
          </w:tcPr>
          <w:p>
            <w:pPr>
              <w:spacing w:after="0"/>
              <w:rPr>
                <w:sz w:val="14"/>
                <w:szCs w:val="14"/>
                <w:color w:val="auto"/>
              </w:rPr>
            </w:pPr>
          </w:p>
        </w:tc>
        <w:tc>
          <w:tcPr>
            <w:tcW w:w="100" w:type="dxa"/>
            <w:vAlign w:val="bottom"/>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720" w:type="dxa"/>
            <w:vAlign w:val="bottom"/>
            <w:vMerge w:val="continue"/>
            <w:shd w:val="clear" w:color="auto" w:fill="CEFFE7"/>
          </w:tcPr>
          <w:p>
            <w:pPr>
              <w:spacing w:after="0"/>
              <w:rPr>
                <w:sz w:val="14"/>
                <w:szCs w:val="14"/>
                <w:color w:val="auto"/>
              </w:rPr>
            </w:pPr>
          </w:p>
        </w:tc>
        <w:tc>
          <w:tcPr>
            <w:tcW w:w="240" w:type="dxa"/>
            <w:vAlign w:val="bottom"/>
            <w:shd w:val="clear" w:color="auto" w:fill="CEFFE7"/>
          </w:tcPr>
          <w:p>
            <w:pPr>
              <w:spacing w:after="0"/>
              <w:rPr>
                <w:sz w:val="14"/>
                <w:szCs w:val="14"/>
                <w:color w:val="auto"/>
              </w:rPr>
            </w:pPr>
          </w:p>
        </w:tc>
        <w:tc>
          <w:tcPr>
            <w:tcW w:w="760" w:type="dxa"/>
            <w:vAlign w:val="bottom"/>
            <w:vMerge w:val="continue"/>
            <w:shd w:val="clear" w:color="auto" w:fill="CEFFE7"/>
          </w:tcPr>
          <w:p>
            <w:pPr>
              <w:spacing w:after="0"/>
              <w:rPr>
                <w:sz w:val="14"/>
                <w:szCs w:val="14"/>
                <w:color w:val="auto"/>
              </w:rPr>
            </w:pPr>
          </w:p>
        </w:tc>
        <w:tc>
          <w:tcPr>
            <w:tcW w:w="160" w:type="dxa"/>
            <w:vAlign w:val="bottom"/>
            <w:shd w:val="clear" w:color="auto" w:fill="CEFFE7"/>
          </w:tcPr>
          <w:p>
            <w:pPr>
              <w:spacing w:after="0"/>
              <w:rPr>
                <w:sz w:val="14"/>
                <w:szCs w:val="14"/>
                <w:color w:val="auto"/>
              </w:rPr>
            </w:pPr>
          </w:p>
        </w:tc>
        <w:tc>
          <w:tcPr>
            <w:tcW w:w="820" w:type="dxa"/>
            <w:vAlign w:val="bottom"/>
            <w:vMerge w:val="continue"/>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1320" w:type="dxa"/>
            <w:vAlign w:val="bottom"/>
            <w:gridSpan w:val="3"/>
            <w:vMerge w:val="continue"/>
            <w:shd w:val="clear" w:color="auto" w:fill="CEFFE7"/>
          </w:tcPr>
          <w:p>
            <w:pPr>
              <w:spacing w:after="0"/>
              <w:rPr>
                <w:sz w:val="14"/>
                <w:szCs w:val="14"/>
                <w:color w:val="auto"/>
              </w:rPr>
            </w:pPr>
          </w:p>
        </w:tc>
        <w:tc>
          <w:tcPr>
            <w:tcW w:w="1080" w:type="dxa"/>
            <w:vAlign w:val="bottom"/>
            <w:vMerge w:val="continue"/>
            <w:shd w:val="clear" w:color="auto" w:fill="CEFFE7"/>
          </w:tcPr>
          <w:p>
            <w:pPr>
              <w:spacing w:after="0"/>
              <w:rPr>
                <w:sz w:val="14"/>
                <w:szCs w:val="14"/>
                <w:color w:val="auto"/>
              </w:rPr>
            </w:pPr>
          </w:p>
        </w:tc>
        <w:tc>
          <w:tcPr>
            <w:tcW w:w="1200" w:type="dxa"/>
            <w:vAlign w:val="bottom"/>
            <w:vMerge w:val="continue"/>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60" w:type="dxa"/>
            <w:vAlign w:val="bottom"/>
            <w:shd w:val="clear" w:color="auto" w:fill="CEFFE7"/>
          </w:tcPr>
          <w:p>
            <w:pPr>
              <w:spacing w:after="0"/>
              <w:rPr>
                <w:sz w:val="20"/>
                <w:szCs w:val="20"/>
                <w:color w:val="auto"/>
              </w:rPr>
            </w:pPr>
            <w:r>
              <w:rPr>
                <w:rFonts w:ascii="Arial" w:cs="Arial" w:eastAsia="Arial" w:hAnsi="Arial"/>
                <w:sz w:val="14"/>
                <w:szCs w:val="14"/>
                <w:color w:val="auto"/>
              </w:rPr>
              <w:t>Total Regulated</w:t>
            </w:r>
          </w:p>
        </w:tc>
        <w:tc>
          <w:tcPr>
            <w:tcW w:w="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900,637</w:t>
            </w:r>
          </w:p>
        </w:tc>
        <w:tc>
          <w:tcPr>
            <w:tcW w:w="20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ind w:right="60"/>
              <w:spacing w:after="0"/>
              <w:rPr>
                <w:sz w:val="20"/>
                <w:szCs w:val="20"/>
                <w:color w:val="auto"/>
              </w:rPr>
            </w:pPr>
            <w:r>
              <w:rPr>
                <w:rFonts w:ascii="Arial" w:cs="Arial" w:eastAsia="Arial" w:hAnsi="Arial"/>
                <w:sz w:val="14"/>
                <w:szCs w:val="14"/>
                <w:color w:val="auto"/>
              </w:rPr>
              <w:t>932,111</w:t>
            </w:r>
          </w:p>
        </w:tc>
        <w:tc>
          <w:tcPr>
            <w:tcW w:w="28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942,924</w:t>
            </w:r>
          </w:p>
        </w:tc>
        <w:tc>
          <w:tcPr>
            <w:tcW w:w="10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553,026</w:t>
            </w:r>
          </w:p>
        </w:tc>
        <w:tc>
          <w:tcPr>
            <w:tcW w:w="2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525,468</w:t>
            </w:r>
          </w:p>
        </w:tc>
        <w:tc>
          <w:tcPr>
            <w:tcW w:w="160" w:type="dxa"/>
            <w:vAlign w:val="bottom"/>
            <w:shd w:val="clear" w:color="auto" w:fill="CEFFE7"/>
          </w:tcPr>
          <w:p>
            <w:pPr>
              <w:spacing w:after="0"/>
              <w:rPr>
                <w:sz w:val="15"/>
                <w:szCs w:val="15"/>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500,394</w:t>
            </w:r>
          </w:p>
        </w:tc>
        <w:tc>
          <w:tcPr>
            <w:tcW w:w="20" w:type="dxa"/>
            <w:vAlign w:val="bottom"/>
            <w:shd w:val="clear" w:color="auto" w:fill="CEFFE7"/>
          </w:tcPr>
          <w:p>
            <w:pPr>
              <w:spacing w:after="0"/>
              <w:rPr>
                <w:sz w:val="15"/>
                <w:szCs w:val="15"/>
                <w:color w:val="auto"/>
              </w:rPr>
            </w:pPr>
          </w:p>
        </w:tc>
        <w:tc>
          <w:tcPr>
            <w:tcW w:w="1320" w:type="dxa"/>
            <w:vAlign w:val="bottom"/>
            <w:gridSpan w:val="3"/>
            <w:shd w:val="clear" w:color="auto" w:fill="CEFFE7"/>
          </w:tcPr>
          <w:p>
            <w:pPr>
              <w:jc w:val="right"/>
              <w:ind w:right="68"/>
              <w:spacing w:after="0"/>
              <w:rPr>
                <w:sz w:val="20"/>
                <w:szCs w:val="20"/>
                <w:color w:val="auto"/>
              </w:rPr>
            </w:pPr>
            <w:r>
              <w:rPr>
                <w:rFonts w:ascii="Arial" w:cs="Arial" w:eastAsia="Arial" w:hAnsi="Arial"/>
                <w:sz w:val="14"/>
                <w:szCs w:val="14"/>
                <w:color w:val="auto"/>
              </w:rPr>
              <w:t>246,690,320</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258,846,808</w:t>
            </w: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250,713,739</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EFFE7"/>
          </w:tcPr>
          <w:p>
            <w:pPr>
              <w:spacing w:after="0" w:line="153" w:lineRule="exact"/>
              <w:rPr>
                <w:sz w:val="20"/>
                <w:szCs w:val="20"/>
                <w:color w:val="auto"/>
              </w:rPr>
            </w:pPr>
            <w:r>
              <w:rPr>
                <w:rFonts w:ascii="Arial" w:cs="Arial" w:eastAsia="Arial" w:hAnsi="Arial"/>
                <w:sz w:val="14"/>
                <w:szCs w:val="14"/>
                <w:color w:val="auto"/>
              </w:rPr>
              <w:t>Non-regulated</w:t>
            </w:r>
          </w:p>
        </w:tc>
        <w:tc>
          <w:tcPr>
            <w:tcW w:w="20" w:type="dxa"/>
            <w:vAlign w:val="bottom"/>
            <w:shd w:val="clear" w:color="auto" w:fill="CEFFE7"/>
          </w:tcPr>
          <w:p>
            <w:pPr>
              <w:spacing w:after="0"/>
              <w:rPr>
                <w:sz w:val="13"/>
                <w:szCs w:val="13"/>
                <w:color w:val="auto"/>
              </w:rPr>
            </w:pPr>
          </w:p>
        </w:tc>
        <w:tc>
          <w:tcPr>
            <w:tcW w:w="200" w:type="dxa"/>
            <w:vAlign w:val="bottom"/>
            <w:shd w:val="clear" w:color="auto" w:fill="CEFFE7"/>
          </w:tcPr>
          <w:p>
            <w:pPr>
              <w:spacing w:after="0"/>
              <w:rPr>
                <w:sz w:val="13"/>
                <w:szCs w:val="13"/>
                <w:color w:val="auto"/>
              </w:rPr>
            </w:pPr>
          </w:p>
        </w:tc>
        <w:tc>
          <w:tcPr>
            <w:tcW w:w="7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74,033</w:t>
            </w:r>
          </w:p>
        </w:tc>
        <w:tc>
          <w:tcPr>
            <w:tcW w:w="200" w:type="dxa"/>
            <w:vAlign w:val="bottom"/>
            <w:shd w:val="clear" w:color="auto" w:fill="CEFFE7"/>
          </w:tcPr>
          <w:p>
            <w:pPr>
              <w:spacing w:after="0"/>
              <w:rPr>
                <w:sz w:val="13"/>
                <w:szCs w:val="13"/>
                <w:color w:val="auto"/>
              </w:rPr>
            </w:pPr>
          </w:p>
        </w:tc>
        <w:tc>
          <w:tcPr>
            <w:tcW w:w="800" w:type="dxa"/>
            <w:vAlign w:val="bottom"/>
            <w:gridSpan w:val="2"/>
            <w:vMerge w:val="restart"/>
            <w:shd w:val="clear" w:color="auto" w:fill="CEFFE7"/>
          </w:tcPr>
          <w:p>
            <w:pPr>
              <w:jc w:val="right"/>
              <w:ind w:right="60"/>
              <w:spacing w:after="0"/>
              <w:rPr>
                <w:sz w:val="20"/>
                <w:szCs w:val="20"/>
                <w:color w:val="auto"/>
              </w:rPr>
            </w:pPr>
            <w:r>
              <w:rPr>
                <w:rFonts w:ascii="Arial" w:cs="Arial" w:eastAsia="Arial" w:hAnsi="Arial"/>
                <w:sz w:val="14"/>
                <w:szCs w:val="14"/>
                <w:color w:val="auto"/>
              </w:rPr>
              <w:t>77,919</w:t>
            </w:r>
          </w:p>
        </w:tc>
        <w:tc>
          <w:tcPr>
            <w:tcW w:w="280" w:type="dxa"/>
            <w:vAlign w:val="bottom"/>
            <w:shd w:val="clear" w:color="auto" w:fill="CEFFE7"/>
          </w:tcPr>
          <w:p>
            <w:pPr>
              <w:spacing w:after="0"/>
              <w:rPr>
                <w:sz w:val="13"/>
                <w:szCs w:val="13"/>
                <w:color w:val="auto"/>
              </w:rPr>
            </w:pP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82,383</w:t>
            </w:r>
          </w:p>
        </w:tc>
        <w:tc>
          <w:tcPr>
            <w:tcW w:w="100" w:type="dxa"/>
            <w:vAlign w:val="bottom"/>
            <w:shd w:val="clear" w:color="auto" w:fill="CEFFE7"/>
          </w:tcPr>
          <w:p>
            <w:pPr>
              <w:spacing w:after="0"/>
              <w:rPr>
                <w:sz w:val="13"/>
                <w:szCs w:val="13"/>
                <w:color w:val="auto"/>
              </w:rPr>
            </w:pPr>
          </w:p>
        </w:tc>
        <w:tc>
          <w:tcPr>
            <w:tcW w:w="20" w:type="dxa"/>
            <w:vAlign w:val="bottom"/>
            <w:shd w:val="clear" w:color="auto" w:fill="CEFFE7"/>
          </w:tcPr>
          <w:p>
            <w:pPr>
              <w:spacing w:after="0"/>
              <w:rPr>
                <w:sz w:val="13"/>
                <w:szCs w:val="13"/>
                <w:color w:val="auto"/>
              </w:rPr>
            </w:pPr>
          </w:p>
        </w:tc>
        <w:tc>
          <w:tcPr>
            <w:tcW w:w="200" w:type="dxa"/>
            <w:vAlign w:val="bottom"/>
            <w:shd w:val="clear" w:color="auto" w:fill="CEFFE7"/>
          </w:tcPr>
          <w:p>
            <w:pPr>
              <w:spacing w:after="0"/>
              <w:rPr>
                <w:sz w:val="13"/>
                <w:szCs w:val="13"/>
                <w:color w:val="auto"/>
              </w:rPr>
            </w:pP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66,999</w:t>
            </w:r>
          </w:p>
        </w:tc>
        <w:tc>
          <w:tcPr>
            <w:tcW w:w="240" w:type="dxa"/>
            <w:vAlign w:val="bottom"/>
            <w:shd w:val="clear" w:color="auto" w:fill="CEFFE7"/>
          </w:tcPr>
          <w:p>
            <w:pPr>
              <w:spacing w:after="0"/>
              <w:rPr>
                <w:sz w:val="13"/>
                <w:szCs w:val="13"/>
                <w:color w:val="auto"/>
              </w:rPr>
            </w:pPr>
          </w:p>
        </w:tc>
        <w:tc>
          <w:tcPr>
            <w:tcW w:w="7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58,664</w:t>
            </w:r>
          </w:p>
        </w:tc>
        <w:tc>
          <w:tcPr>
            <w:tcW w:w="160" w:type="dxa"/>
            <w:vAlign w:val="bottom"/>
            <w:shd w:val="clear" w:color="auto" w:fill="CEFFE7"/>
          </w:tcPr>
          <w:p>
            <w:pPr>
              <w:spacing w:after="0"/>
              <w:rPr>
                <w:sz w:val="13"/>
                <w:szCs w:val="13"/>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62,760</w:t>
            </w:r>
          </w:p>
        </w:tc>
        <w:tc>
          <w:tcPr>
            <w:tcW w:w="20" w:type="dxa"/>
            <w:vAlign w:val="bottom"/>
            <w:shd w:val="clear" w:color="auto" w:fill="CEFFE7"/>
          </w:tcPr>
          <w:p>
            <w:pPr>
              <w:spacing w:after="0"/>
              <w:rPr>
                <w:sz w:val="13"/>
                <w:szCs w:val="13"/>
                <w:color w:val="auto"/>
              </w:rPr>
            </w:pPr>
          </w:p>
        </w:tc>
        <w:tc>
          <w:tcPr>
            <w:tcW w:w="80" w:type="dxa"/>
            <w:vAlign w:val="bottom"/>
            <w:shd w:val="clear" w:color="auto" w:fill="CEFFE7"/>
          </w:tcPr>
          <w:p>
            <w:pPr>
              <w:spacing w:after="0"/>
              <w:rPr>
                <w:sz w:val="13"/>
                <w:szCs w:val="13"/>
                <w:color w:val="auto"/>
              </w:rPr>
            </w:pPr>
          </w:p>
        </w:tc>
        <w:tc>
          <w:tcPr>
            <w:tcW w:w="20" w:type="dxa"/>
            <w:vAlign w:val="bottom"/>
            <w:shd w:val="clear" w:color="auto" w:fill="CEFFE7"/>
          </w:tcPr>
          <w:p>
            <w:pPr>
              <w:spacing w:after="0"/>
              <w:rPr>
                <w:sz w:val="13"/>
                <w:szCs w:val="13"/>
                <w:color w:val="auto"/>
              </w:rPr>
            </w:pPr>
          </w:p>
        </w:tc>
        <w:tc>
          <w:tcPr>
            <w:tcW w:w="1220" w:type="dxa"/>
            <w:vAlign w:val="bottom"/>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560" w:type="dxa"/>
            <w:vAlign w:val="bottom"/>
            <w:shd w:val="clear" w:color="auto" w:fill="CEFFE7"/>
          </w:tcPr>
          <w:p>
            <w:pPr>
              <w:spacing w:after="0"/>
              <w:rPr>
                <w:sz w:val="20"/>
                <w:szCs w:val="20"/>
                <w:color w:val="auto"/>
              </w:rPr>
            </w:pPr>
            <w:r>
              <w:rPr>
                <w:rFonts w:ascii="Arial" w:cs="Arial" w:eastAsia="Arial" w:hAnsi="Arial"/>
                <w:sz w:val="14"/>
                <w:szCs w:val="14"/>
                <w:color w:val="auto"/>
              </w:rPr>
              <w:t>Services</w:t>
            </w:r>
          </w:p>
        </w:tc>
        <w:tc>
          <w:tcPr>
            <w:tcW w:w="2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760" w:type="dxa"/>
            <w:vAlign w:val="bottom"/>
            <w:vMerge w:val="continue"/>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800" w:type="dxa"/>
            <w:vAlign w:val="bottom"/>
            <w:gridSpan w:val="2"/>
            <w:vMerge w:val="continue"/>
            <w:shd w:val="clear" w:color="auto" w:fill="CEFFE7"/>
          </w:tcPr>
          <w:p>
            <w:pPr>
              <w:spacing w:after="0"/>
              <w:rPr>
                <w:sz w:val="14"/>
                <w:szCs w:val="14"/>
                <w:color w:val="auto"/>
              </w:rPr>
            </w:pPr>
          </w:p>
        </w:tc>
        <w:tc>
          <w:tcPr>
            <w:tcW w:w="280" w:type="dxa"/>
            <w:vAlign w:val="bottom"/>
            <w:shd w:val="clear" w:color="auto" w:fill="CEFFE7"/>
          </w:tcPr>
          <w:p>
            <w:pPr>
              <w:spacing w:after="0"/>
              <w:rPr>
                <w:sz w:val="14"/>
                <w:szCs w:val="14"/>
                <w:color w:val="auto"/>
              </w:rPr>
            </w:pPr>
          </w:p>
        </w:tc>
        <w:tc>
          <w:tcPr>
            <w:tcW w:w="720" w:type="dxa"/>
            <w:vAlign w:val="bottom"/>
            <w:vMerge w:val="continue"/>
            <w:shd w:val="clear" w:color="auto" w:fill="CEFFE7"/>
          </w:tcPr>
          <w:p>
            <w:pPr>
              <w:spacing w:after="0"/>
              <w:rPr>
                <w:sz w:val="14"/>
                <w:szCs w:val="14"/>
                <w:color w:val="auto"/>
              </w:rPr>
            </w:pPr>
          </w:p>
        </w:tc>
        <w:tc>
          <w:tcPr>
            <w:tcW w:w="100" w:type="dxa"/>
            <w:vAlign w:val="bottom"/>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720" w:type="dxa"/>
            <w:vAlign w:val="bottom"/>
            <w:vMerge w:val="continue"/>
            <w:shd w:val="clear" w:color="auto" w:fill="CEFFE7"/>
          </w:tcPr>
          <w:p>
            <w:pPr>
              <w:spacing w:after="0"/>
              <w:rPr>
                <w:sz w:val="14"/>
                <w:szCs w:val="14"/>
                <w:color w:val="auto"/>
              </w:rPr>
            </w:pPr>
          </w:p>
        </w:tc>
        <w:tc>
          <w:tcPr>
            <w:tcW w:w="240" w:type="dxa"/>
            <w:vAlign w:val="bottom"/>
            <w:shd w:val="clear" w:color="auto" w:fill="CEFFE7"/>
          </w:tcPr>
          <w:p>
            <w:pPr>
              <w:spacing w:after="0"/>
              <w:rPr>
                <w:sz w:val="14"/>
                <w:szCs w:val="14"/>
                <w:color w:val="auto"/>
              </w:rPr>
            </w:pPr>
          </w:p>
        </w:tc>
        <w:tc>
          <w:tcPr>
            <w:tcW w:w="760" w:type="dxa"/>
            <w:vAlign w:val="bottom"/>
            <w:vMerge w:val="continue"/>
            <w:shd w:val="clear" w:color="auto" w:fill="CEFFE7"/>
          </w:tcPr>
          <w:p>
            <w:pPr>
              <w:spacing w:after="0"/>
              <w:rPr>
                <w:sz w:val="14"/>
                <w:szCs w:val="14"/>
                <w:color w:val="auto"/>
              </w:rPr>
            </w:pPr>
          </w:p>
        </w:tc>
        <w:tc>
          <w:tcPr>
            <w:tcW w:w="160" w:type="dxa"/>
            <w:vAlign w:val="bottom"/>
            <w:shd w:val="clear" w:color="auto" w:fill="CEFFE7"/>
          </w:tcPr>
          <w:p>
            <w:pPr>
              <w:spacing w:after="0"/>
              <w:rPr>
                <w:sz w:val="14"/>
                <w:szCs w:val="14"/>
                <w:color w:val="auto"/>
              </w:rPr>
            </w:pPr>
          </w:p>
        </w:tc>
        <w:tc>
          <w:tcPr>
            <w:tcW w:w="820" w:type="dxa"/>
            <w:vAlign w:val="bottom"/>
            <w:vMerge w:val="continue"/>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80" w:type="dxa"/>
            <w:vAlign w:val="bottom"/>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1220" w:type="dxa"/>
            <w:vAlign w:val="bottom"/>
            <w:vMerge w:val="continue"/>
            <w:shd w:val="clear" w:color="auto" w:fill="CEFFE7"/>
          </w:tcPr>
          <w:p>
            <w:pPr>
              <w:spacing w:after="0"/>
              <w:rPr>
                <w:sz w:val="14"/>
                <w:szCs w:val="14"/>
                <w:color w:val="auto"/>
              </w:rPr>
            </w:pPr>
          </w:p>
        </w:tc>
        <w:tc>
          <w:tcPr>
            <w:tcW w:w="1080" w:type="dxa"/>
            <w:vAlign w:val="bottom"/>
            <w:vMerge w:val="continue"/>
            <w:shd w:val="clear" w:color="auto" w:fill="CEFFE7"/>
          </w:tcPr>
          <w:p>
            <w:pPr>
              <w:spacing w:after="0"/>
              <w:rPr>
                <w:sz w:val="14"/>
                <w:szCs w:val="14"/>
                <w:color w:val="auto"/>
              </w:rPr>
            </w:pPr>
          </w:p>
        </w:tc>
        <w:tc>
          <w:tcPr>
            <w:tcW w:w="1200" w:type="dxa"/>
            <w:vAlign w:val="bottom"/>
            <w:vMerge w:val="continue"/>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EFFE7"/>
          </w:tcPr>
          <w:p>
            <w:pPr>
              <w:spacing w:after="0" w:line="133" w:lineRule="exact"/>
              <w:rPr>
                <w:sz w:val="20"/>
                <w:szCs w:val="20"/>
                <w:color w:val="auto"/>
              </w:rPr>
            </w:pPr>
            <w:r>
              <w:rPr>
                <w:rFonts w:ascii="Arial" w:cs="Arial" w:eastAsia="Arial" w:hAnsi="Arial"/>
                <w:sz w:val="14"/>
                <w:szCs w:val="14"/>
                <w:color w:val="auto"/>
              </w:rPr>
              <w:t>Total Revenue, Gross</w:t>
            </w:r>
          </w:p>
        </w:tc>
        <w:tc>
          <w:tcPr>
            <w:tcW w:w="20" w:type="dxa"/>
            <w:vAlign w:val="bottom"/>
            <w:shd w:val="clear" w:color="auto" w:fill="CEFFE7"/>
          </w:tcPr>
          <w:p>
            <w:pPr>
              <w:spacing w:after="0"/>
              <w:rPr>
                <w:sz w:val="11"/>
                <w:szCs w:val="11"/>
                <w:color w:val="auto"/>
              </w:rPr>
            </w:pPr>
          </w:p>
        </w:tc>
        <w:tc>
          <w:tcPr>
            <w:tcW w:w="200" w:type="dxa"/>
            <w:vAlign w:val="bottom"/>
            <w:shd w:val="clear" w:color="auto" w:fill="CEFFE7"/>
          </w:tcPr>
          <w:p>
            <w:pPr>
              <w:spacing w:after="0"/>
              <w:rPr>
                <w:sz w:val="11"/>
                <w:szCs w:val="11"/>
                <w:color w:val="auto"/>
              </w:rPr>
            </w:pPr>
          </w:p>
        </w:tc>
        <w:tc>
          <w:tcPr>
            <w:tcW w:w="760" w:type="dxa"/>
            <w:vAlign w:val="bottom"/>
            <w:shd w:val="clear" w:color="auto" w:fill="CEFFE7"/>
          </w:tcPr>
          <w:p>
            <w:pPr>
              <w:spacing w:after="0"/>
              <w:rPr>
                <w:sz w:val="11"/>
                <w:szCs w:val="11"/>
                <w:color w:val="auto"/>
              </w:rPr>
            </w:pPr>
          </w:p>
        </w:tc>
        <w:tc>
          <w:tcPr>
            <w:tcW w:w="200" w:type="dxa"/>
            <w:vAlign w:val="bottom"/>
            <w:shd w:val="clear" w:color="auto" w:fill="CEFFE7"/>
          </w:tcPr>
          <w:p>
            <w:pPr>
              <w:spacing w:after="0"/>
              <w:rPr>
                <w:sz w:val="11"/>
                <w:szCs w:val="11"/>
                <w:color w:val="auto"/>
              </w:rPr>
            </w:pPr>
          </w:p>
        </w:tc>
        <w:tc>
          <w:tcPr>
            <w:tcW w:w="580" w:type="dxa"/>
            <w:vAlign w:val="bottom"/>
            <w:shd w:val="clear" w:color="auto" w:fill="CEFFE7"/>
          </w:tcPr>
          <w:p>
            <w:pPr>
              <w:spacing w:after="0"/>
              <w:rPr>
                <w:sz w:val="11"/>
                <w:szCs w:val="11"/>
                <w:color w:val="auto"/>
              </w:rPr>
            </w:pPr>
          </w:p>
        </w:tc>
        <w:tc>
          <w:tcPr>
            <w:tcW w:w="220" w:type="dxa"/>
            <w:vAlign w:val="bottom"/>
            <w:shd w:val="clear" w:color="auto" w:fill="CEFFE7"/>
          </w:tcPr>
          <w:p>
            <w:pPr>
              <w:spacing w:after="0"/>
              <w:rPr>
                <w:sz w:val="11"/>
                <w:szCs w:val="11"/>
                <w:color w:val="auto"/>
              </w:rPr>
            </w:pPr>
          </w:p>
        </w:tc>
        <w:tc>
          <w:tcPr>
            <w:tcW w:w="280" w:type="dxa"/>
            <w:vAlign w:val="bottom"/>
            <w:shd w:val="clear" w:color="auto" w:fill="CEFFE7"/>
          </w:tcPr>
          <w:p>
            <w:pPr>
              <w:spacing w:after="0"/>
              <w:rPr>
                <w:sz w:val="11"/>
                <w:szCs w:val="11"/>
                <w:color w:val="auto"/>
              </w:rPr>
            </w:pPr>
          </w:p>
        </w:tc>
        <w:tc>
          <w:tcPr>
            <w:tcW w:w="720" w:type="dxa"/>
            <w:vAlign w:val="bottom"/>
            <w:shd w:val="clear" w:color="auto" w:fill="CEFFE7"/>
          </w:tcPr>
          <w:p>
            <w:pPr>
              <w:spacing w:after="0"/>
              <w:rPr>
                <w:sz w:val="11"/>
                <w:szCs w:val="11"/>
                <w:color w:val="auto"/>
              </w:rPr>
            </w:pPr>
          </w:p>
        </w:tc>
        <w:tc>
          <w:tcPr>
            <w:tcW w:w="100" w:type="dxa"/>
            <w:vAlign w:val="bottom"/>
            <w:shd w:val="clear" w:color="auto" w:fill="CEFFE7"/>
          </w:tcPr>
          <w:p>
            <w:pPr>
              <w:spacing w:after="0"/>
              <w:rPr>
                <w:sz w:val="11"/>
                <w:szCs w:val="11"/>
                <w:color w:val="auto"/>
              </w:rPr>
            </w:pPr>
          </w:p>
        </w:tc>
        <w:tc>
          <w:tcPr>
            <w:tcW w:w="20" w:type="dxa"/>
            <w:vAlign w:val="bottom"/>
            <w:shd w:val="clear" w:color="auto" w:fill="CEFFE7"/>
          </w:tcPr>
          <w:p>
            <w:pPr>
              <w:spacing w:after="0"/>
              <w:rPr>
                <w:sz w:val="11"/>
                <w:szCs w:val="11"/>
                <w:color w:val="auto"/>
              </w:rPr>
            </w:pPr>
          </w:p>
        </w:tc>
        <w:tc>
          <w:tcPr>
            <w:tcW w:w="200" w:type="dxa"/>
            <w:vAlign w:val="bottom"/>
            <w:shd w:val="clear" w:color="auto" w:fill="CEFFE7"/>
          </w:tcPr>
          <w:p>
            <w:pPr>
              <w:spacing w:after="0"/>
              <w:rPr>
                <w:sz w:val="11"/>
                <w:szCs w:val="11"/>
                <w:color w:val="auto"/>
              </w:rPr>
            </w:pPr>
          </w:p>
        </w:tc>
        <w:tc>
          <w:tcPr>
            <w:tcW w:w="720" w:type="dxa"/>
            <w:vAlign w:val="bottom"/>
            <w:shd w:val="clear" w:color="auto" w:fill="CEFFE7"/>
          </w:tcPr>
          <w:p>
            <w:pPr>
              <w:spacing w:after="0"/>
              <w:rPr>
                <w:sz w:val="11"/>
                <w:szCs w:val="11"/>
                <w:color w:val="auto"/>
              </w:rPr>
            </w:pPr>
          </w:p>
        </w:tc>
        <w:tc>
          <w:tcPr>
            <w:tcW w:w="240" w:type="dxa"/>
            <w:vAlign w:val="bottom"/>
            <w:shd w:val="clear" w:color="auto" w:fill="CEFFE7"/>
          </w:tcPr>
          <w:p>
            <w:pPr>
              <w:spacing w:after="0"/>
              <w:rPr>
                <w:sz w:val="11"/>
                <w:szCs w:val="11"/>
                <w:color w:val="auto"/>
              </w:rPr>
            </w:pPr>
          </w:p>
        </w:tc>
        <w:tc>
          <w:tcPr>
            <w:tcW w:w="760" w:type="dxa"/>
            <w:vAlign w:val="bottom"/>
            <w:shd w:val="clear" w:color="auto" w:fill="CEFFE7"/>
          </w:tcPr>
          <w:p>
            <w:pPr>
              <w:spacing w:after="0"/>
              <w:rPr>
                <w:sz w:val="11"/>
                <w:szCs w:val="11"/>
                <w:color w:val="auto"/>
              </w:rPr>
            </w:pPr>
          </w:p>
        </w:tc>
        <w:tc>
          <w:tcPr>
            <w:tcW w:w="160" w:type="dxa"/>
            <w:vAlign w:val="bottom"/>
            <w:shd w:val="clear" w:color="auto" w:fill="CEFFE7"/>
          </w:tcPr>
          <w:p>
            <w:pPr>
              <w:spacing w:after="0"/>
              <w:rPr>
                <w:sz w:val="11"/>
                <w:szCs w:val="11"/>
                <w:color w:val="auto"/>
              </w:rPr>
            </w:pPr>
          </w:p>
        </w:tc>
        <w:tc>
          <w:tcPr>
            <w:tcW w:w="820" w:type="dxa"/>
            <w:vAlign w:val="bottom"/>
            <w:shd w:val="clear" w:color="auto" w:fill="CEFFE7"/>
          </w:tcPr>
          <w:p>
            <w:pPr>
              <w:spacing w:after="0"/>
              <w:rPr>
                <w:sz w:val="11"/>
                <w:szCs w:val="11"/>
                <w:color w:val="auto"/>
              </w:rPr>
            </w:pPr>
          </w:p>
        </w:tc>
        <w:tc>
          <w:tcPr>
            <w:tcW w:w="20" w:type="dxa"/>
            <w:vAlign w:val="bottom"/>
            <w:shd w:val="clear" w:color="auto" w:fill="CEFFE7"/>
          </w:tcPr>
          <w:p>
            <w:pPr>
              <w:spacing w:after="0"/>
              <w:rPr>
                <w:sz w:val="11"/>
                <w:szCs w:val="11"/>
                <w:color w:val="auto"/>
              </w:rPr>
            </w:pPr>
          </w:p>
        </w:tc>
        <w:tc>
          <w:tcPr>
            <w:tcW w:w="80" w:type="dxa"/>
            <w:vAlign w:val="bottom"/>
            <w:shd w:val="clear" w:color="auto" w:fill="CEFFE7"/>
          </w:tcPr>
          <w:p>
            <w:pPr>
              <w:spacing w:after="0"/>
              <w:rPr>
                <w:sz w:val="11"/>
                <w:szCs w:val="11"/>
                <w:color w:val="auto"/>
              </w:rPr>
            </w:pPr>
          </w:p>
        </w:tc>
        <w:tc>
          <w:tcPr>
            <w:tcW w:w="20" w:type="dxa"/>
            <w:vAlign w:val="bottom"/>
            <w:shd w:val="clear" w:color="auto" w:fill="CEFFE7"/>
          </w:tcPr>
          <w:p>
            <w:pPr>
              <w:spacing w:after="0"/>
              <w:rPr>
                <w:sz w:val="11"/>
                <w:szCs w:val="11"/>
                <w:color w:val="auto"/>
              </w:rPr>
            </w:pPr>
          </w:p>
        </w:tc>
        <w:tc>
          <w:tcPr>
            <w:tcW w:w="1220" w:type="dxa"/>
            <w:vAlign w:val="bottom"/>
            <w:shd w:val="clear" w:color="auto" w:fill="CEFFE7"/>
          </w:tcPr>
          <w:p>
            <w:pPr>
              <w:spacing w:after="0"/>
              <w:rPr>
                <w:sz w:val="11"/>
                <w:szCs w:val="11"/>
                <w:color w:val="auto"/>
              </w:rPr>
            </w:pPr>
          </w:p>
        </w:tc>
        <w:tc>
          <w:tcPr>
            <w:tcW w:w="1080" w:type="dxa"/>
            <w:vAlign w:val="bottom"/>
            <w:shd w:val="clear" w:color="auto" w:fill="CEFFE7"/>
          </w:tcPr>
          <w:p>
            <w:pPr>
              <w:spacing w:after="0"/>
              <w:rPr>
                <w:sz w:val="11"/>
                <w:szCs w:val="11"/>
                <w:color w:val="auto"/>
              </w:rPr>
            </w:pPr>
          </w:p>
        </w:tc>
        <w:tc>
          <w:tcPr>
            <w:tcW w:w="1200" w:type="dxa"/>
            <w:vAlign w:val="bottom"/>
            <w:shd w:val="clear" w:color="auto" w:fill="CEFFE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EFFE7"/>
          </w:tcPr>
          <w:p>
            <w:pPr>
              <w:spacing w:after="0" w:line="135" w:lineRule="exact"/>
              <w:rPr>
                <w:sz w:val="20"/>
                <w:szCs w:val="20"/>
                <w:color w:val="auto"/>
              </w:rPr>
            </w:pPr>
            <w:r>
              <w:rPr>
                <w:rFonts w:ascii="Arial" w:cs="Arial" w:eastAsia="Arial" w:hAnsi="Arial"/>
                <w:sz w:val="14"/>
                <w:szCs w:val="14"/>
                <w:color w:val="auto"/>
              </w:rPr>
              <w:t>Margin (non-GAAP)</w:t>
            </w:r>
          </w:p>
        </w:tc>
        <w:tc>
          <w:tcPr>
            <w:tcW w:w="220" w:type="dxa"/>
            <w:vAlign w:val="bottom"/>
            <w:gridSpan w:val="2"/>
            <w:vMerge w:val="restart"/>
            <w:shd w:val="clear" w:color="auto" w:fill="CEFFE7"/>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974,670</w:t>
            </w:r>
          </w:p>
        </w:tc>
        <w:tc>
          <w:tcPr>
            <w:tcW w:w="200" w:type="dxa"/>
            <w:vAlign w:val="bottom"/>
            <w:vMerge w:val="restart"/>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EFFE7"/>
          </w:tcPr>
          <w:p>
            <w:pPr>
              <w:jc w:val="right"/>
              <w:ind w:right="60"/>
              <w:spacing w:after="0"/>
              <w:rPr>
                <w:sz w:val="20"/>
                <w:szCs w:val="20"/>
                <w:color w:val="auto"/>
              </w:rPr>
            </w:pPr>
            <w:r>
              <w:rPr>
                <w:rFonts w:ascii="Arial" w:cs="Arial" w:eastAsia="Arial" w:hAnsi="Arial"/>
                <w:sz w:val="14"/>
                <w:szCs w:val="14"/>
                <w:color w:val="auto"/>
              </w:rPr>
              <w:t>1,010,030</w:t>
            </w:r>
          </w:p>
        </w:tc>
        <w:tc>
          <w:tcPr>
            <w:tcW w:w="280" w:type="dxa"/>
            <w:vAlign w:val="bottom"/>
            <w:vMerge w:val="restart"/>
            <w:shd w:val="clear" w:color="auto" w:fill="CEFFE7"/>
          </w:tcPr>
          <w:p>
            <w:pPr>
              <w:jc w:val="right"/>
              <w:ind w:right="86"/>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1,025,307</w:t>
            </w:r>
          </w:p>
        </w:tc>
        <w:tc>
          <w:tcPr>
            <w:tcW w:w="320" w:type="dxa"/>
            <w:vAlign w:val="bottom"/>
            <w:gridSpan w:val="3"/>
            <w:vMerge w:val="restart"/>
            <w:shd w:val="clear" w:color="auto" w:fill="CEFFE7"/>
          </w:tcPr>
          <w:p>
            <w:pPr>
              <w:jc w:val="right"/>
              <w:ind w:right="39"/>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620,025</w:t>
            </w:r>
          </w:p>
        </w:tc>
        <w:tc>
          <w:tcPr>
            <w:tcW w:w="240" w:type="dxa"/>
            <w:vAlign w:val="bottom"/>
            <w:vMerge w:val="restart"/>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584,132</w:t>
            </w:r>
          </w:p>
        </w:tc>
        <w:tc>
          <w:tcPr>
            <w:tcW w:w="1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563,154</w:t>
            </w:r>
          </w:p>
        </w:tc>
        <w:tc>
          <w:tcPr>
            <w:tcW w:w="20" w:type="dxa"/>
            <w:vAlign w:val="bottom"/>
            <w:shd w:val="clear" w:color="auto" w:fill="CEFFE7"/>
          </w:tcPr>
          <w:p>
            <w:pPr>
              <w:spacing w:after="0"/>
              <w:rPr>
                <w:sz w:val="11"/>
                <w:szCs w:val="11"/>
                <w:color w:val="auto"/>
              </w:rPr>
            </w:pPr>
          </w:p>
        </w:tc>
        <w:tc>
          <w:tcPr>
            <w:tcW w:w="1320" w:type="dxa"/>
            <w:vAlign w:val="bottom"/>
            <w:gridSpan w:val="3"/>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246,690,320</w:t>
            </w: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258,846,808</w:t>
            </w:r>
          </w:p>
        </w:tc>
        <w:tc>
          <w:tcPr>
            <w:tcW w:w="120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250,713,739</w:t>
            </w:r>
          </w:p>
        </w:tc>
        <w:tc>
          <w:tcPr>
            <w:tcW w:w="0" w:type="dxa"/>
            <w:vAlign w:val="bottom"/>
          </w:tcPr>
          <w:p>
            <w:pPr>
              <w:spacing w:after="0"/>
              <w:rPr>
                <w:sz w:val="1"/>
                <w:szCs w:val="1"/>
                <w:color w:val="auto"/>
              </w:rPr>
            </w:pPr>
          </w:p>
        </w:tc>
      </w:tr>
      <w:tr>
        <w:trPr>
          <w:trHeight w:val="164"/>
        </w:trPr>
        <w:tc>
          <w:tcPr>
            <w:tcW w:w="1560" w:type="dxa"/>
            <w:vAlign w:val="bottom"/>
            <w:shd w:val="clear" w:color="auto" w:fill="CEFFE7"/>
          </w:tcPr>
          <w:p>
            <w:pPr>
              <w:spacing w:after="0" w:line="144" w:lineRule="exact"/>
              <w:rPr>
                <w:sz w:val="20"/>
                <w:szCs w:val="20"/>
                <w:color w:val="auto"/>
              </w:rPr>
            </w:pPr>
            <w:r>
              <w:rPr>
                <w:rFonts w:ascii="Arial" w:cs="Arial" w:eastAsia="Arial" w:hAnsi="Arial"/>
                <w:sz w:val="14"/>
                <w:szCs w:val="14"/>
                <w:color w:val="auto"/>
              </w:rPr>
              <w:t>and Quantities Sold</w:t>
            </w:r>
          </w:p>
        </w:tc>
        <w:tc>
          <w:tcPr>
            <w:tcW w:w="220" w:type="dxa"/>
            <w:vAlign w:val="bottom"/>
            <w:gridSpan w:val="2"/>
            <w:vMerge w:val="continue"/>
            <w:shd w:val="clear" w:color="auto" w:fill="CEFFE7"/>
          </w:tcPr>
          <w:p>
            <w:pPr>
              <w:spacing w:after="0"/>
              <w:rPr>
                <w:sz w:val="14"/>
                <w:szCs w:val="14"/>
                <w:color w:val="auto"/>
              </w:rPr>
            </w:pPr>
          </w:p>
        </w:tc>
        <w:tc>
          <w:tcPr>
            <w:tcW w:w="760" w:type="dxa"/>
            <w:vAlign w:val="bottom"/>
            <w:vMerge w:val="continue"/>
            <w:shd w:val="clear" w:color="auto" w:fill="CEFFE7"/>
          </w:tcPr>
          <w:p>
            <w:pPr>
              <w:spacing w:after="0"/>
              <w:rPr>
                <w:sz w:val="14"/>
                <w:szCs w:val="14"/>
                <w:color w:val="auto"/>
              </w:rPr>
            </w:pPr>
          </w:p>
        </w:tc>
        <w:tc>
          <w:tcPr>
            <w:tcW w:w="200" w:type="dxa"/>
            <w:vAlign w:val="bottom"/>
            <w:vMerge w:val="continue"/>
            <w:shd w:val="clear" w:color="auto" w:fill="CEFFE7"/>
          </w:tcPr>
          <w:p>
            <w:pPr>
              <w:spacing w:after="0"/>
              <w:rPr>
                <w:sz w:val="14"/>
                <w:szCs w:val="14"/>
                <w:color w:val="auto"/>
              </w:rPr>
            </w:pPr>
          </w:p>
        </w:tc>
        <w:tc>
          <w:tcPr>
            <w:tcW w:w="800" w:type="dxa"/>
            <w:vAlign w:val="bottom"/>
            <w:gridSpan w:val="2"/>
            <w:vMerge w:val="continue"/>
            <w:shd w:val="clear" w:color="auto" w:fill="CEFFE7"/>
          </w:tcPr>
          <w:p>
            <w:pPr>
              <w:spacing w:after="0"/>
              <w:rPr>
                <w:sz w:val="14"/>
                <w:szCs w:val="14"/>
                <w:color w:val="auto"/>
              </w:rPr>
            </w:pPr>
          </w:p>
        </w:tc>
        <w:tc>
          <w:tcPr>
            <w:tcW w:w="280" w:type="dxa"/>
            <w:vAlign w:val="bottom"/>
            <w:vMerge w:val="continue"/>
            <w:shd w:val="clear" w:color="auto" w:fill="CEFFE7"/>
          </w:tcPr>
          <w:p>
            <w:pPr>
              <w:spacing w:after="0"/>
              <w:rPr>
                <w:sz w:val="14"/>
                <w:szCs w:val="14"/>
                <w:color w:val="auto"/>
              </w:rPr>
            </w:pPr>
          </w:p>
        </w:tc>
        <w:tc>
          <w:tcPr>
            <w:tcW w:w="720" w:type="dxa"/>
            <w:vAlign w:val="bottom"/>
            <w:vMerge w:val="continue"/>
            <w:shd w:val="clear" w:color="auto" w:fill="CEFFE7"/>
          </w:tcPr>
          <w:p>
            <w:pPr>
              <w:spacing w:after="0"/>
              <w:rPr>
                <w:sz w:val="14"/>
                <w:szCs w:val="14"/>
                <w:color w:val="auto"/>
              </w:rPr>
            </w:pPr>
          </w:p>
        </w:tc>
        <w:tc>
          <w:tcPr>
            <w:tcW w:w="320" w:type="dxa"/>
            <w:vAlign w:val="bottom"/>
            <w:gridSpan w:val="3"/>
            <w:vMerge w:val="continue"/>
            <w:shd w:val="clear" w:color="auto" w:fill="CEFFE7"/>
          </w:tcPr>
          <w:p>
            <w:pPr>
              <w:spacing w:after="0"/>
              <w:rPr>
                <w:sz w:val="14"/>
                <w:szCs w:val="14"/>
                <w:color w:val="auto"/>
              </w:rPr>
            </w:pPr>
          </w:p>
        </w:tc>
        <w:tc>
          <w:tcPr>
            <w:tcW w:w="720" w:type="dxa"/>
            <w:vAlign w:val="bottom"/>
            <w:vMerge w:val="continue"/>
            <w:shd w:val="clear" w:color="auto" w:fill="CEFFE7"/>
          </w:tcPr>
          <w:p>
            <w:pPr>
              <w:spacing w:after="0"/>
              <w:rPr>
                <w:sz w:val="14"/>
                <w:szCs w:val="14"/>
                <w:color w:val="auto"/>
              </w:rPr>
            </w:pPr>
          </w:p>
        </w:tc>
        <w:tc>
          <w:tcPr>
            <w:tcW w:w="240" w:type="dxa"/>
            <w:vAlign w:val="bottom"/>
            <w:vMerge w:val="continue"/>
            <w:shd w:val="clear" w:color="auto" w:fill="CEFFE7"/>
          </w:tcPr>
          <w:p>
            <w:pPr>
              <w:spacing w:after="0"/>
              <w:rPr>
                <w:sz w:val="14"/>
                <w:szCs w:val="14"/>
                <w:color w:val="auto"/>
              </w:rPr>
            </w:pPr>
          </w:p>
        </w:tc>
        <w:tc>
          <w:tcPr>
            <w:tcW w:w="760" w:type="dxa"/>
            <w:vAlign w:val="bottom"/>
            <w:vMerge w:val="continue"/>
            <w:shd w:val="clear" w:color="auto" w:fill="CEFFE7"/>
          </w:tcPr>
          <w:p>
            <w:pPr>
              <w:spacing w:after="0"/>
              <w:rPr>
                <w:sz w:val="14"/>
                <w:szCs w:val="14"/>
                <w:color w:val="auto"/>
              </w:rPr>
            </w:pPr>
          </w:p>
        </w:tc>
        <w:tc>
          <w:tcPr>
            <w:tcW w:w="160" w:type="dxa"/>
            <w:vAlign w:val="bottom"/>
            <w:vMerge w:val="continue"/>
            <w:shd w:val="clear" w:color="auto" w:fill="CEFFE7"/>
          </w:tcPr>
          <w:p>
            <w:pPr>
              <w:spacing w:after="0"/>
              <w:rPr>
                <w:sz w:val="14"/>
                <w:szCs w:val="14"/>
                <w:color w:val="auto"/>
              </w:rPr>
            </w:pPr>
          </w:p>
        </w:tc>
        <w:tc>
          <w:tcPr>
            <w:tcW w:w="820" w:type="dxa"/>
            <w:vAlign w:val="bottom"/>
            <w:vMerge w:val="continue"/>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1320" w:type="dxa"/>
            <w:vAlign w:val="bottom"/>
            <w:gridSpan w:val="3"/>
            <w:vMerge w:val="continue"/>
            <w:shd w:val="clear" w:color="auto" w:fill="CEFFE7"/>
          </w:tcPr>
          <w:p>
            <w:pPr>
              <w:spacing w:after="0"/>
              <w:rPr>
                <w:sz w:val="14"/>
                <w:szCs w:val="14"/>
                <w:color w:val="auto"/>
              </w:rPr>
            </w:pPr>
          </w:p>
        </w:tc>
        <w:tc>
          <w:tcPr>
            <w:tcW w:w="1080" w:type="dxa"/>
            <w:vAlign w:val="bottom"/>
            <w:vMerge w:val="continue"/>
            <w:shd w:val="clear" w:color="auto" w:fill="CEFFE7"/>
          </w:tcPr>
          <w:p>
            <w:pPr>
              <w:spacing w:after="0"/>
              <w:rPr>
                <w:sz w:val="14"/>
                <w:szCs w:val="14"/>
                <w:color w:val="auto"/>
              </w:rPr>
            </w:pPr>
          </w:p>
        </w:tc>
        <w:tc>
          <w:tcPr>
            <w:tcW w:w="1200" w:type="dxa"/>
            <w:vAlign w:val="bottom"/>
            <w:vMerge w:val="continue"/>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gridSpan w:val="5"/>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vMerge w:val="restart"/>
          </w:tcPr>
          <w:p>
            <w:pPr>
              <w:jc w:val="center"/>
              <w:ind w:left="408"/>
              <w:spacing w:after="0"/>
              <w:rPr>
                <w:sz w:val="20"/>
                <w:szCs w:val="20"/>
                <w:color w:val="auto"/>
              </w:rPr>
            </w:pPr>
            <w:r>
              <w:rPr>
                <w:rFonts w:ascii="Arial" w:cs="Arial" w:eastAsia="Arial" w:hAnsi="Arial"/>
                <w:sz w:val="14"/>
                <w:szCs w:val="14"/>
                <w:color w:val="auto"/>
              </w:rPr>
              <w:t>Revenue (in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6"/>
          </w:tcPr>
          <w:p>
            <w:pPr>
              <w:jc w:val="center"/>
              <w:ind w:right="260"/>
              <w:spacing w:after="0"/>
              <w:rPr>
                <w:sz w:val="20"/>
                <w:szCs w:val="20"/>
                <w:color w:val="auto"/>
              </w:rPr>
            </w:pPr>
            <w:r>
              <w:rPr>
                <w:rFonts w:ascii="Arial" w:cs="Arial" w:eastAsia="Arial" w:hAnsi="Arial"/>
                <w:sz w:val="14"/>
                <w:szCs w:val="14"/>
                <w:color w:val="auto"/>
              </w:rPr>
              <w:t>Gross Margin (non-GAAP)</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3"/>
            <w:vMerge w:val="restart"/>
          </w:tcPr>
          <w:p>
            <w:pPr>
              <w:jc w:val="center"/>
              <w:spacing w:after="0"/>
              <w:rPr>
                <w:sz w:val="20"/>
                <w:szCs w:val="20"/>
                <w:color w:val="auto"/>
              </w:rPr>
            </w:pPr>
            <w:r>
              <w:rPr>
                <w:rFonts w:ascii="Arial" w:cs="Arial" w:eastAsia="Arial" w:hAnsi="Arial"/>
                <w:sz w:val="14"/>
                <w:szCs w:val="14"/>
                <w:color w:val="auto"/>
              </w:rPr>
              <w:t>Quantities Sold and Transported (Dth)</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6"/>
          </w:tcPr>
          <w:p>
            <w:pPr>
              <w:ind w:left="180"/>
              <w:spacing w:after="0"/>
              <w:rPr>
                <w:sz w:val="20"/>
                <w:szCs w:val="20"/>
                <w:color w:val="auto"/>
              </w:rPr>
            </w:pPr>
            <w:r>
              <w:rPr>
                <w:rFonts w:ascii="Arial" w:cs="Arial" w:eastAsia="Arial" w:hAnsi="Arial"/>
                <w:sz w:val="14"/>
                <w:szCs w:val="14"/>
                <w:color w:val="auto"/>
              </w:rPr>
              <w:t>For the year ended December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6"/>
          </w:tcPr>
          <w:p>
            <w:pPr>
              <w:jc w:val="right"/>
              <w:ind w:right="420"/>
              <w:spacing w:after="0"/>
              <w:rPr>
                <w:sz w:val="20"/>
                <w:szCs w:val="20"/>
                <w:color w:val="auto"/>
              </w:rPr>
            </w:pPr>
            <w:r>
              <w:rPr>
                <w:rFonts w:ascii="Arial" w:cs="Arial" w:eastAsia="Arial" w:hAnsi="Arial"/>
                <w:sz w:val="14"/>
                <w:szCs w:val="14"/>
                <w:color w:val="auto"/>
              </w:rPr>
              <w:t>For the year ended 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gridSpan w:val="3"/>
          </w:tcPr>
          <w:p>
            <w:pPr>
              <w:jc w:val="center"/>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88"/>
        </w:trPr>
        <w:tc>
          <w:tcPr>
            <w:tcW w:w="1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color w:val="auto"/>
              </w:rPr>
              <w:t>2018</w:t>
            </w: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2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EFFE7"/>
          </w:tcPr>
          <w:p>
            <w:pPr>
              <w:spacing w:after="0"/>
              <w:rPr>
                <w:sz w:val="20"/>
                <w:szCs w:val="20"/>
                <w:color w:val="auto"/>
              </w:rPr>
            </w:pPr>
            <w:r>
              <w:rPr>
                <w:rFonts w:ascii="Arial" w:cs="Arial" w:eastAsia="Arial" w:hAnsi="Arial"/>
                <w:sz w:val="14"/>
                <w:szCs w:val="14"/>
                <w:color w:val="auto"/>
              </w:rPr>
              <w:t>Arkansas</w:t>
            </w:r>
          </w:p>
        </w:tc>
        <w:tc>
          <w:tcPr>
            <w:tcW w:w="220" w:type="dxa"/>
            <w:vAlign w:val="bottom"/>
            <w:gridSpan w:val="2"/>
            <w:shd w:val="clear" w:color="auto" w:fill="CEFFE7"/>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ind w:left="180"/>
              <w:spacing w:after="0"/>
              <w:rPr>
                <w:sz w:val="20"/>
                <w:szCs w:val="20"/>
                <w:color w:val="auto"/>
              </w:rPr>
            </w:pPr>
            <w:r>
              <w:rPr>
                <w:rFonts w:ascii="Arial" w:cs="Arial" w:eastAsia="Arial" w:hAnsi="Arial"/>
                <w:sz w:val="14"/>
                <w:szCs w:val="14"/>
                <w:color w:val="auto"/>
              </w:rPr>
              <w:t>184,849</w:t>
            </w:r>
          </w:p>
        </w:tc>
        <w:tc>
          <w:tcPr>
            <w:tcW w:w="2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EFFE7"/>
          </w:tcPr>
          <w:p>
            <w:pPr>
              <w:jc w:val="right"/>
              <w:ind w:right="60"/>
              <w:spacing w:after="0"/>
              <w:rPr>
                <w:sz w:val="20"/>
                <w:szCs w:val="20"/>
                <w:color w:val="auto"/>
              </w:rPr>
            </w:pPr>
            <w:r>
              <w:rPr>
                <w:rFonts w:ascii="Arial" w:cs="Arial" w:eastAsia="Arial" w:hAnsi="Arial"/>
                <w:sz w:val="14"/>
                <w:szCs w:val="14"/>
                <w:color w:val="auto"/>
              </w:rPr>
              <w:t>185,201</w:t>
            </w:r>
          </w:p>
        </w:tc>
        <w:tc>
          <w:tcPr>
            <w:tcW w:w="280" w:type="dxa"/>
            <w:vAlign w:val="bottom"/>
            <w:shd w:val="clear" w:color="auto" w:fill="CEFFE7"/>
          </w:tcPr>
          <w:p>
            <w:pPr>
              <w:jc w:val="right"/>
              <w:ind w:right="106"/>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ind w:right="5"/>
              <w:spacing w:after="0"/>
              <w:rPr>
                <w:sz w:val="20"/>
                <w:szCs w:val="20"/>
                <w:color w:val="auto"/>
              </w:rPr>
            </w:pPr>
            <w:r>
              <w:rPr>
                <w:rFonts w:ascii="Arial" w:cs="Arial" w:eastAsia="Arial" w:hAnsi="Arial"/>
                <w:sz w:val="14"/>
                <w:szCs w:val="14"/>
                <w:color w:val="auto"/>
              </w:rPr>
              <w:t>176,660</w:t>
            </w:r>
          </w:p>
        </w:tc>
        <w:tc>
          <w:tcPr>
            <w:tcW w:w="320" w:type="dxa"/>
            <w:vAlign w:val="bottom"/>
            <w:gridSpan w:val="3"/>
            <w:shd w:val="clear" w:color="auto" w:fill="CEFFE7"/>
          </w:tcPr>
          <w:p>
            <w:pPr>
              <w:jc w:val="right"/>
              <w:ind w:right="39"/>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127,720</w:t>
            </w:r>
          </w:p>
        </w:tc>
        <w:tc>
          <w:tcPr>
            <w:tcW w:w="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115,899</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EFFE7"/>
          </w:tcPr>
          <w:p>
            <w:pPr>
              <w:jc w:val="right"/>
              <w:ind w:right="5"/>
              <w:spacing w:after="0"/>
              <w:rPr>
                <w:sz w:val="20"/>
                <w:szCs w:val="20"/>
                <w:color w:val="auto"/>
              </w:rPr>
            </w:pPr>
            <w:r>
              <w:rPr>
                <w:rFonts w:ascii="Arial" w:cs="Arial" w:eastAsia="Arial" w:hAnsi="Arial"/>
                <w:sz w:val="14"/>
                <w:szCs w:val="14"/>
                <w:color w:val="auto"/>
              </w:rPr>
              <w:t>100,917</w:t>
            </w:r>
          </w:p>
        </w:tc>
        <w:tc>
          <w:tcPr>
            <w:tcW w:w="20" w:type="dxa"/>
            <w:vAlign w:val="bottom"/>
            <w:shd w:val="clear" w:color="auto" w:fill="CEFFE7"/>
          </w:tcPr>
          <w:p>
            <w:pPr>
              <w:spacing w:after="0"/>
              <w:rPr>
                <w:sz w:val="16"/>
                <w:szCs w:val="16"/>
                <w:color w:val="auto"/>
              </w:rPr>
            </w:pPr>
          </w:p>
        </w:tc>
        <w:tc>
          <w:tcPr>
            <w:tcW w:w="1320" w:type="dxa"/>
            <w:vAlign w:val="bottom"/>
            <w:gridSpan w:val="3"/>
            <w:shd w:val="clear" w:color="auto" w:fill="CEFFE7"/>
          </w:tcPr>
          <w:p>
            <w:pPr>
              <w:jc w:val="right"/>
              <w:ind w:right="68"/>
              <w:spacing w:after="0"/>
              <w:rPr>
                <w:sz w:val="20"/>
                <w:szCs w:val="20"/>
                <w:color w:val="auto"/>
              </w:rPr>
            </w:pPr>
            <w:r>
              <w:rPr>
                <w:rFonts w:ascii="Arial" w:cs="Arial" w:eastAsia="Arial" w:hAnsi="Arial"/>
                <w:sz w:val="14"/>
                <w:szCs w:val="14"/>
                <w:color w:val="auto"/>
              </w:rPr>
              <w:t>28,572,621</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30,496,243</w:t>
            </w: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30,931,390</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auto"/>
              </w:rPr>
              <w:t>186,085</w:t>
            </w:r>
          </w:p>
        </w:tc>
        <w:tc>
          <w:tcPr>
            <w:tcW w:w="2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199,369</w:t>
            </w:r>
          </w:p>
        </w:tc>
        <w:tc>
          <w:tcPr>
            <w:tcW w:w="280" w:type="dxa"/>
            <w:vAlign w:val="bottom"/>
          </w:tcPr>
          <w:p>
            <w:pPr>
              <w:spacing w:after="0"/>
              <w:rPr>
                <w:sz w:val="16"/>
                <w:szCs w:val="16"/>
                <w:color w:val="auto"/>
              </w:rPr>
            </w:pPr>
          </w:p>
        </w:tc>
        <w:tc>
          <w:tcPr>
            <w:tcW w:w="720" w:type="dxa"/>
            <w:vAlign w:val="bottom"/>
          </w:tcPr>
          <w:p>
            <w:pPr>
              <w:jc w:val="right"/>
              <w:ind w:right="5"/>
              <w:spacing w:after="0"/>
              <w:rPr>
                <w:sz w:val="20"/>
                <w:szCs w:val="20"/>
                <w:color w:val="auto"/>
              </w:rPr>
            </w:pPr>
            <w:r>
              <w:rPr>
                <w:rFonts w:ascii="Arial" w:cs="Arial" w:eastAsia="Arial" w:hAnsi="Arial"/>
                <w:sz w:val="14"/>
                <w:szCs w:val="14"/>
                <w:color w:val="auto"/>
              </w:rPr>
              <w:t>188,002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106,749</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106,776</w:t>
            </w:r>
          </w:p>
        </w:tc>
        <w:tc>
          <w:tcPr>
            <w:tcW w:w="160" w:type="dxa"/>
            <w:vAlign w:val="bottom"/>
          </w:tcPr>
          <w:p>
            <w:pPr>
              <w:spacing w:after="0"/>
              <w:rPr>
                <w:sz w:val="16"/>
                <w:szCs w:val="16"/>
                <w:color w:val="auto"/>
              </w:rPr>
            </w:pPr>
          </w:p>
        </w:tc>
        <w:tc>
          <w:tcPr>
            <w:tcW w:w="820" w:type="dxa"/>
            <w:vAlign w:val="bottom"/>
          </w:tcPr>
          <w:p>
            <w:pPr>
              <w:jc w:val="right"/>
              <w:ind w:right="5"/>
              <w:spacing w:after="0"/>
              <w:rPr>
                <w:sz w:val="20"/>
                <w:szCs w:val="20"/>
                <w:color w:val="auto"/>
              </w:rPr>
            </w:pPr>
            <w:r>
              <w:rPr>
                <w:rFonts w:ascii="Arial" w:cs="Arial" w:eastAsia="Arial" w:hAnsi="Arial"/>
                <w:sz w:val="14"/>
                <w:szCs w:val="14"/>
                <w:color w:val="auto"/>
              </w:rPr>
              <w:t>99,851</w:t>
            </w:r>
          </w:p>
        </w:tc>
        <w:tc>
          <w:tcPr>
            <w:tcW w:w="20" w:type="dxa"/>
            <w:vAlign w:val="bottom"/>
          </w:tcPr>
          <w:p>
            <w:pPr>
              <w:spacing w:after="0"/>
              <w:rPr>
                <w:sz w:val="16"/>
                <w:szCs w:val="16"/>
                <w:color w:val="auto"/>
              </w:rPr>
            </w:pPr>
          </w:p>
        </w:tc>
        <w:tc>
          <w:tcPr>
            <w:tcW w:w="1320" w:type="dxa"/>
            <w:vAlign w:val="bottom"/>
            <w:gridSpan w:val="3"/>
          </w:tcPr>
          <w:p>
            <w:pPr>
              <w:jc w:val="right"/>
              <w:ind w:right="68"/>
              <w:spacing w:after="0"/>
              <w:rPr>
                <w:sz w:val="20"/>
                <w:szCs w:val="20"/>
                <w:color w:val="auto"/>
              </w:rPr>
            </w:pPr>
            <w:r>
              <w:rPr>
                <w:rFonts w:ascii="Arial" w:cs="Arial" w:eastAsia="Arial" w:hAnsi="Arial"/>
                <w:sz w:val="14"/>
                <w:szCs w:val="14"/>
                <w:color w:val="auto"/>
              </w:rPr>
              <w:t>32,077,083</w:t>
            </w:r>
          </w:p>
        </w:tc>
        <w:tc>
          <w:tcPr>
            <w:tcW w:w="1080" w:type="dxa"/>
            <w:vAlign w:val="bottom"/>
          </w:tcPr>
          <w:p>
            <w:pPr>
              <w:jc w:val="right"/>
              <w:spacing w:after="0"/>
              <w:rPr>
                <w:sz w:val="20"/>
                <w:szCs w:val="20"/>
                <w:color w:val="auto"/>
              </w:rPr>
            </w:pPr>
            <w:r>
              <w:rPr>
                <w:rFonts w:ascii="Arial" w:cs="Arial" w:eastAsia="Arial" w:hAnsi="Arial"/>
                <w:sz w:val="14"/>
                <w:szCs w:val="14"/>
                <w:color w:val="auto"/>
              </w:rPr>
              <w:t>33,908,529</w:t>
            </w:r>
          </w:p>
        </w:tc>
        <w:tc>
          <w:tcPr>
            <w:tcW w:w="1200" w:type="dxa"/>
            <w:vAlign w:val="bottom"/>
          </w:tcPr>
          <w:p>
            <w:pPr>
              <w:jc w:val="right"/>
              <w:spacing w:after="0"/>
              <w:rPr>
                <w:sz w:val="20"/>
                <w:szCs w:val="20"/>
                <w:color w:val="auto"/>
              </w:rPr>
            </w:pPr>
            <w:r>
              <w:rPr>
                <w:rFonts w:ascii="Arial" w:cs="Arial" w:eastAsia="Arial" w:hAnsi="Arial"/>
                <w:sz w:val="14"/>
                <w:szCs w:val="14"/>
                <w:color w:val="auto"/>
              </w:rPr>
              <w:t>29,857,063</w:t>
            </w:r>
          </w:p>
        </w:tc>
        <w:tc>
          <w:tcPr>
            <w:tcW w:w="0" w:type="dxa"/>
            <w:vAlign w:val="bottom"/>
          </w:tcPr>
          <w:p>
            <w:pPr>
              <w:spacing w:after="0"/>
              <w:rPr>
                <w:sz w:val="1"/>
                <w:szCs w:val="1"/>
                <w:color w:val="auto"/>
              </w:rPr>
            </w:pPr>
          </w:p>
        </w:tc>
      </w:tr>
      <w:tr>
        <w:trPr>
          <w:trHeight w:val="189"/>
        </w:trPr>
        <w:tc>
          <w:tcPr>
            <w:tcW w:w="1560" w:type="dxa"/>
            <w:vAlign w:val="bottom"/>
            <w:shd w:val="clear" w:color="auto" w:fill="CEFFE7"/>
          </w:tcPr>
          <w:p>
            <w:pPr>
              <w:spacing w:after="0"/>
              <w:rPr>
                <w:sz w:val="20"/>
                <w:szCs w:val="20"/>
                <w:color w:val="auto"/>
              </w:rPr>
            </w:pPr>
            <w:r>
              <w:rPr>
                <w:rFonts w:ascii="Arial" w:cs="Arial" w:eastAsia="Arial" w:hAnsi="Arial"/>
                <w:sz w:val="14"/>
                <w:szCs w:val="14"/>
                <w:color w:val="auto"/>
              </w:rPr>
              <w:t>Iowa</w:t>
            </w:r>
          </w:p>
        </w:tc>
        <w:tc>
          <w:tcPr>
            <w:tcW w:w="2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60" w:type="dxa"/>
            <w:vAlign w:val="bottom"/>
            <w:shd w:val="clear" w:color="auto" w:fill="CEFFE7"/>
          </w:tcPr>
          <w:p>
            <w:pPr>
              <w:ind w:left="180"/>
              <w:spacing w:after="0"/>
              <w:rPr>
                <w:sz w:val="20"/>
                <w:szCs w:val="20"/>
                <w:color w:val="auto"/>
              </w:rPr>
            </w:pPr>
            <w:r>
              <w:rPr>
                <w:rFonts w:ascii="Arial" w:cs="Arial" w:eastAsia="Arial" w:hAnsi="Arial"/>
                <w:sz w:val="14"/>
                <w:szCs w:val="14"/>
                <w:color w:val="auto"/>
              </w:rPr>
              <w:t>137,982</w:t>
            </w:r>
          </w:p>
        </w:tc>
        <w:tc>
          <w:tcPr>
            <w:tcW w:w="200" w:type="dxa"/>
            <w:vAlign w:val="bottom"/>
            <w:shd w:val="clear" w:color="auto" w:fill="CEFFE7"/>
          </w:tcPr>
          <w:p>
            <w:pPr>
              <w:spacing w:after="0"/>
              <w:rPr>
                <w:sz w:val="16"/>
                <w:szCs w:val="16"/>
                <w:color w:val="auto"/>
              </w:rPr>
            </w:pPr>
          </w:p>
        </w:tc>
        <w:tc>
          <w:tcPr>
            <w:tcW w:w="800" w:type="dxa"/>
            <w:vAlign w:val="bottom"/>
            <w:gridSpan w:val="2"/>
            <w:shd w:val="clear" w:color="auto" w:fill="CEFFE7"/>
          </w:tcPr>
          <w:p>
            <w:pPr>
              <w:jc w:val="right"/>
              <w:ind w:right="60"/>
              <w:spacing w:after="0"/>
              <w:rPr>
                <w:sz w:val="20"/>
                <w:szCs w:val="20"/>
                <w:color w:val="auto"/>
              </w:rPr>
            </w:pPr>
            <w:r>
              <w:rPr>
                <w:rFonts w:ascii="Arial" w:cs="Arial" w:eastAsia="Arial" w:hAnsi="Arial"/>
                <w:sz w:val="14"/>
                <w:szCs w:val="14"/>
                <w:color w:val="auto"/>
              </w:rPr>
              <w:t>151,619</w:t>
            </w:r>
          </w:p>
        </w:tc>
        <w:tc>
          <w:tcPr>
            <w:tcW w:w="280" w:type="dxa"/>
            <w:vAlign w:val="bottom"/>
            <w:shd w:val="clear" w:color="auto" w:fill="CEFFE7"/>
          </w:tcPr>
          <w:p>
            <w:pPr>
              <w:spacing w:after="0"/>
              <w:rPr>
                <w:sz w:val="16"/>
                <w:szCs w:val="16"/>
                <w:color w:val="auto"/>
              </w:rPr>
            </w:pPr>
          </w:p>
        </w:tc>
        <w:tc>
          <w:tcPr>
            <w:tcW w:w="720" w:type="dxa"/>
            <w:vAlign w:val="bottom"/>
            <w:shd w:val="clear" w:color="auto" w:fill="CEFFE7"/>
          </w:tcPr>
          <w:p>
            <w:pPr>
              <w:jc w:val="right"/>
              <w:ind w:right="5"/>
              <w:spacing w:after="0"/>
              <w:rPr>
                <w:sz w:val="20"/>
                <w:szCs w:val="20"/>
                <w:color w:val="auto"/>
              </w:rPr>
            </w:pPr>
            <w:r>
              <w:rPr>
                <w:rFonts w:ascii="Arial" w:cs="Arial" w:eastAsia="Arial" w:hAnsi="Arial"/>
                <w:sz w:val="14"/>
                <w:szCs w:val="14"/>
                <w:color w:val="auto"/>
              </w:rPr>
              <w:t>161,843</w:t>
            </w:r>
          </w:p>
        </w:tc>
        <w:tc>
          <w:tcPr>
            <w:tcW w:w="100" w:type="dxa"/>
            <w:vAlign w:val="bottom"/>
            <w:shd w:val="clear" w:color="auto" w:fill="CEFFE7"/>
          </w:tcPr>
          <w:p>
            <w:pPr>
              <w:spacing w:after="0"/>
              <w:rPr>
                <w:sz w:val="16"/>
                <w:szCs w:val="16"/>
                <w:color w:val="auto"/>
              </w:rPr>
            </w:pPr>
          </w:p>
        </w:tc>
        <w:tc>
          <w:tcPr>
            <w:tcW w:w="2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69,528</w:t>
            </w:r>
          </w:p>
        </w:tc>
        <w:tc>
          <w:tcPr>
            <w:tcW w:w="240" w:type="dxa"/>
            <w:vAlign w:val="bottom"/>
            <w:shd w:val="clear" w:color="auto" w:fill="CEFFE7"/>
          </w:tcPr>
          <w:p>
            <w:pPr>
              <w:spacing w:after="0"/>
              <w:rPr>
                <w:sz w:val="16"/>
                <w:szCs w:val="16"/>
                <w:color w:val="auto"/>
              </w:rPr>
            </w:pP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70,290</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ind w:right="5"/>
              <w:spacing w:after="0"/>
              <w:rPr>
                <w:sz w:val="20"/>
                <w:szCs w:val="20"/>
                <w:color w:val="auto"/>
              </w:rPr>
            </w:pPr>
            <w:r>
              <w:rPr>
                <w:rFonts w:ascii="Arial" w:cs="Arial" w:eastAsia="Arial" w:hAnsi="Arial"/>
                <w:sz w:val="14"/>
                <w:szCs w:val="14"/>
                <w:color w:val="auto"/>
              </w:rPr>
              <w:t>68,384</w:t>
            </w:r>
          </w:p>
        </w:tc>
        <w:tc>
          <w:tcPr>
            <w:tcW w:w="20" w:type="dxa"/>
            <w:vAlign w:val="bottom"/>
            <w:shd w:val="clear" w:color="auto" w:fill="CEFFE7"/>
          </w:tcPr>
          <w:p>
            <w:pPr>
              <w:spacing w:after="0"/>
              <w:rPr>
                <w:sz w:val="16"/>
                <w:szCs w:val="16"/>
                <w:color w:val="auto"/>
              </w:rPr>
            </w:pPr>
          </w:p>
        </w:tc>
        <w:tc>
          <w:tcPr>
            <w:tcW w:w="1320" w:type="dxa"/>
            <w:vAlign w:val="bottom"/>
            <w:gridSpan w:val="3"/>
            <w:shd w:val="clear" w:color="auto" w:fill="CEFFE7"/>
          </w:tcPr>
          <w:p>
            <w:pPr>
              <w:jc w:val="right"/>
              <w:ind w:right="68"/>
              <w:spacing w:after="0"/>
              <w:rPr>
                <w:sz w:val="20"/>
                <w:szCs w:val="20"/>
                <w:color w:val="auto"/>
              </w:rPr>
            </w:pPr>
            <w:r>
              <w:rPr>
                <w:rFonts w:ascii="Arial" w:cs="Arial" w:eastAsia="Arial" w:hAnsi="Arial"/>
                <w:sz w:val="14"/>
                <w:szCs w:val="14"/>
                <w:color w:val="auto"/>
              </w:rPr>
              <w:t>36,824,548</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41,795,729</w:t>
            </w: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40,668,682</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4"/>
                <w:szCs w:val="14"/>
                <w:color w:val="auto"/>
              </w:rPr>
              <w:t>Kansas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auto"/>
              </w:rPr>
              <w:t>101,118</w:t>
            </w:r>
          </w:p>
        </w:tc>
        <w:tc>
          <w:tcPr>
            <w:tcW w:w="2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105,906</w:t>
            </w:r>
          </w:p>
        </w:tc>
        <w:tc>
          <w:tcPr>
            <w:tcW w:w="280" w:type="dxa"/>
            <w:vAlign w:val="bottom"/>
          </w:tcPr>
          <w:p>
            <w:pPr>
              <w:spacing w:after="0"/>
              <w:rPr>
                <w:sz w:val="16"/>
                <w:szCs w:val="16"/>
                <w:color w:val="auto"/>
              </w:rPr>
            </w:pPr>
          </w:p>
        </w:tc>
        <w:tc>
          <w:tcPr>
            <w:tcW w:w="720" w:type="dxa"/>
            <w:vAlign w:val="bottom"/>
          </w:tcPr>
          <w:p>
            <w:pPr>
              <w:jc w:val="right"/>
              <w:ind w:right="5"/>
              <w:spacing w:after="0"/>
              <w:rPr>
                <w:sz w:val="20"/>
                <w:szCs w:val="20"/>
                <w:color w:val="auto"/>
              </w:rPr>
            </w:pPr>
            <w:r>
              <w:rPr>
                <w:rFonts w:ascii="Arial" w:cs="Arial" w:eastAsia="Arial" w:hAnsi="Arial"/>
                <w:sz w:val="14"/>
                <w:szCs w:val="14"/>
                <w:color w:val="auto"/>
              </w:rPr>
              <w:t>112,306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60,586</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58,020</w:t>
            </w:r>
          </w:p>
        </w:tc>
        <w:tc>
          <w:tcPr>
            <w:tcW w:w="160" w:type="dxa"/>
            <w:vAlign w:val="bottom"/>
          </w:tcPr>
          <w:p>
            <w:pPr>
              <w:spacing w:after="0"/>
              <w:rPr>
                <w:sz w:val="16"/>
                <w:szCs w:val="16"/>
                <w:color w:val="auto"/>
              </w:rPr>
            </w:pPr>
          </w:p>
        </w:tc>
        <w:tc>
          <w:tcPr>
            <w:tcW w:w="820" w:type="dxa"/>
            <w:vAlign w:val="bottom"/>
          </w:tcPr>
          <w:p>
            <w:pPr>
              <w:jc w:val="right"/>
              <w:ind w:right="5"/>
              <w:spacing w:after="0"/>
              <w:rPr>
                <w:sz w:val="20"/>
                <w:szCs w:val="20"/>
                <w:color w:val="auto"/>
              </w:rPr>
            </w:pPr>
            <w:r>
              <w:rPr>
                <w:rFonts w:ascii="Arial" w:cs="Arial" w:eastAsia="Arial" w:hAnsi="Arial"/>
                <w:sz w:val="14"/>
                <w:szCs w:val="14"/>
                <w:color w:val="auto"/>
              </w:rPr>
              <w:t>55,226</w:t>
            </w:r>
          </w:p>
        </w:tc>
        <w:tc>
          <w:tcPr>
            <w:tcW w:w="20" w:type="dxa"/>
            <w:vAlign w:val="bottom"/>
          </w:tcPr>
          <w:p>
            <w:pPr>
              <w:spacing w:after="0"/>
              <w:rPr>
                <w:sz w:val="16"/>
                <w:szCs w:val="16"/>
                <w:color w:val="auto"/>
              </w:rPr>
            </w:pPr>
          </w:p>
        </w:tc>
        <w:tc>
          <w:tcPr>
            <w:tcW w:w="1320" w:type="dxa"/>
            <w:vAlign w:val="bottom"/>
            <w:gridSpan w:val="3"/>
          </w:tcPr>
          <w:p>
            <w:pPr>
              <w:jc w:val="right"/>
              <w:ind w:right="68"/>
              <w:spacing w:after="0"/>
              <w:rPr>
                <w:sz w:val="20"/>
                <w:szCs w:val="20"/>
                <w:color w:val="auto"/>
              </w:rPr>
            </w:pPr>
            <w:r>
              <w:rPr>
                <w:rFonts w:ascii="Arial" w:cs="Arial" w:eastAsia="Arial" w:hAnsi="Arial"/>
                <w:sz w:val="14"/>
                <w:szCs w:val="14"/>
                <w:color w:val="auto"/>
              </w:rPr>
              <w:t>33,732,897</w:t>
            </w:r>
          </w:p>
        </w:tc>
        <w:tc>
          <w:tcPr>
            <w:tcW w:w="1080" w:type="dxa"/>
            <w:vAlign w:val="bottom"/>
          </w:tcPr>
          <w:p>
            <w:pPr>
              <w:jc w:val="right"/>
              <w:spacing w:after="0"/>
              <w:rPr>
                <w:sz w:val="20"/>
                <w:szCs w:val="20"/>
                <w:color w:val="auto"/>
              </w:rPr>
            </w:pPr>
            <w:r>
              <w:rPr>
                <w:rFonts w:ascii="Arial" w:cs="Arial" w:eastAsia="Arial" w:hAnsi="Arial"/>
                <w:sz w:val="14"/>
                <w:szCs w:val="14"/>
                <w:color w:val="auto"/>
              </w:rPr>
              <w:t>32,650,854</w:t>
            </w:r>
          </w:p>
        </w:tc>
        <w:tc>
          <w:tcPr>
            <w:tcW w:w="1200" w:type="dxa"/>
            <w:vAlign w:val="bottom"/>
          </w:tcPr>
          <w:p>
            <w:pPr>
              <w:jc w:val="right"/>
              <w:spacing w:after="0"/>
              <w:rPr>
                <w:sz w:val="20"/>
                <w:szCs w:val="20"/>
                <w:color w:val="auto"/>
              </w:rPr>
            </w:pPr>
            <w:r>
              <w:rPr>
                <w:rFonts w:ascii="Arial" w:cs="Arial" w:eastAsia="Arial" w:hAnsi="Arial"/>
                <w:sz w:val="14"/>
                <w:szCs w:val="14"/>
                <w:color w:val="auto"/>
              </w:rPr>
              <w:t>31,387,672</w:t>
            </w:r>
          </w:p>
        </w:tc>
        <w:tc>
          <w:tcPr>
            <w:tcW w:w="0" w:type="dxa"/>
            <w:vAlign w:val="bottom"/>
          </w:tcPr>
          <w:p>
            <w:pPr>
              <w:spacing w:after="0"/>
              <w:rPr>
                <w:sz w:val="1"/>
                <w:szCs w:val="1"/>
                <w:color w:val="auto"/>
              </w:rPr>
            </w:pPr>
          </w:p>
        </w:tc>
      </w:tr>
      <w:tr>
        <w:trPr>
          <w:trHeight w:val="189"/>
        </w:trPr>
        <w:tc>
          <w:tcPr>
            <w:tcW w:w="1560" w:type="dxa"/>
            <w:vAlign w:val="bottom"/>
            <w:shd w:val="clear" w:color="auto" w:fill="CEFFE7"/>
          </w:tcPr>
          <w:p>
            <w:pPr>
              <w:spacing w:after="0"/>
              <w:rPr>
                <w:sz w:val="20"/>
                <w:szCs w:val="20"/>
                <w:color w:val="auto"/>
              </w:rPr>
            </w:pPr>
            <w:r>
              <w:rPr>
                <w:rFonts w:ascii="Arial" w:cs="Arial" w:eastAsia="Arial" w:hAnsi="Arial"/>
                <w:sz w:val="14"/>
                <w:szCs w:val="14"/>
                <w:color w:val="auto"/>
              </w:rPr>
              <w:t>Nebraska</w:t>
            </w:r>
          </w:p>
        </w:tc>
        <w:tc>
          <w:tcPr>
            <w:tcW w:w="2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60" w:type="dxa"/>
            <w:vAlign w:val="bottom"/>
            <w:shd w:val="clear" w:color="auto" w:fill="CEFFE7"/>
          </w:tcPr>
          <w:p>
            <w:pPr>
              <w:ind w:left="180"/>
              <w:spacing w:after="0"/>
              <w:rPr>
                <w:sz w:val="20"/>
                <w:szCs w:val="20"/>
                <w:color w:val="auto"/>
              </w:rPr>
            </w:pPr>
            <w:r>
              <w:rPr>
                <w:rFonts w:ascii="Arial" w:cs="Arial" w:eastAsia="Arial" w:hAnsi="Arial"/>
                <w:sz w:val="14"/>
                <w:szCs w:val="14"/>
                <w:color w:val="auto"/>
              </w:rPr>
              <w:t>246,381</w:t>
            </w:r>
          </w:p>
        </w:tc>
        <w:tc>
          <w:tcPr>
            <w:tcW w:w="200" w:type="dxa"/>
            <w:vAlign w:val="bottom"/>
            <w:shd w:val="clear" w:color="auto" w:fill="CEFFE7"/>
          </w:tcPr>
          <w:p>
            <w:pPr>
              <w:spacing w:after="0"/>
              <w:rPr>
                <w:sz w:val="16"/>
                <w:szCs w:val="16"/>
                <w:color w:val="auto"/>
              </w:rPr>
            </w:pPr>
          </w:p>
        </w:tc>
        <w:tc>
          <w:tcPr>
            <w:tcW w:w="800" w:type="dxa"/>
            <w:vAlign w:val="bottom"/>
            <w:gridSpan w:val="2"/>
            <w:shd w:val="clear" w:color="auto" w:fill="CEFFE7"/>
          </w:tcPr>
          <w:p>
            <w:pPr>
              <w:jc w:val="right"/>
              <w:ind w:right="60"/>
              <w:spacing w:after="0"/>
              <w:rPr>
                <w:sz w:val="20"/>
                <w:szCs w:val="20"/>
                <w:color w:val="auto"/>
              </w:rPr>
            </w:pPr>
            <w:r>
              <w:rPr>
                <w:rFonts w:ascii="Arial" w:cs="Arial" w:eastAsia="Arial" w:hAnsi="Arial"/>
                <w:sz w:val="14"/>
                <w:szCs w:val="14"/>
                <w:color w:val="auto"/>
              </w:rPr>
              <w:t>255,622</w:t>
            </w:r>
          </w:p>
        </w:tc>
        <w:tc>
          <w:tcPr>
            <w:tcW w:w="280" w:type="dxa"/>
            <w:vAlign w:val="bottom"/>
            <w:shd w:val="clear" w:color="auto" w:fill="CEFFE7"/>
          </w:tcPr>
          <w:p>
            <w:pPr>
              <w:spacing w:after="0"/>
              <w:rPr>
                <w:sz w:val="16"/>
                <w:szCs w:val="16"/>
                <w:color w:val="auto"/>
              </w:rPr>
            </w:pPr>
          </w:p>
        </w:tc>
        <w:tc>
          <w:tcPr>
            <w:tcW w:w="720" w:type="dxa"/>
            <w:vAlign w:val="bottom"/>
            <w:shd w:val="clear" w:color="auto" w:fill="CEFFE7"/>
          </w:tcPr>
          <w:p>
            <w:pPr>
              <w:jc w:val="right"/>
              <w:ind w:right="5"/>
              <w:spacing w:after="0"/>
              <w:rPr>
                <w:sz w:val="20"/>
                <w:szCs w:val="20"/>
                <w:color w:val="auto"/>
              </w:rPr>
            </w:pPr>
            <w:r>
              <w:rPr>
                <w:rFonts w:ascii="Arial" w:cs="Arial" w:eastAsia="Arial" w:hAnsi="Arial"/>
                <w:sz w:val="14"/>
                <w:szCs w:val="14"/>
                <w:color w:val="auto"/>
              </w:rPr>
              <w:t>278,969</w:t>
            </w:r>
          </w:p>
        </w:tc>
        <w:tc>
          <w:tcPr>
            <w:tcW w:w="100" w:type="dxa"/>
            <w:vAlign w:val="bottom"/>
            <w:shd w:val="clear" w:color="auto" w:fill="CEFFE7"/>
          </w:tcPr>
          <w:p>
            <w:pPr>
              <w:spacing w:after="0"/>
              <w:rPr>
                <w:sz w:val="16"/>
                <w:szCs w:val="16"/>
                <w:color w:val="auto"/>
              </w:rPr>
            </w:pPr>
          </w:p>
        </w:tc>
        <w:tc>
          <w:tcPr>
            <w:tcW w:w="2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169,311</w:t>
            </w:r>
          </w:p>
        </w:tc>
        <w:tc>
          <w:tcPr>
            <w:tcW w:w="240" w:type="dxa"/>
            <w:vAlign w:val="bottom"/>
            <w:shd w:val="clear" w:color="auto" w:fill="CEFFE7"/>
          </w:tcPr>
          <w:p>
            <w:pPr>
              <w:spacing w:after="0"/>
              <w:rPr>
                <w:sz w:val="16"/>
                <w:szCs w:val="16"/>
                <w:color w:val="auto"/>
              </w:rPr>
            </w:pP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155,901</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ind w:right="5"/>
              <w:spacing w:after="0"/>
              <w:rPr>
                <w:sz w:val="20"/>
                <w:szCs w:val="20"/>
                <w:color w:val="auto"/>
              </w:rPr>
            </w:pPr>
            <w:r>
              <w:rPr>
                <w:rFonts w:ascii="Arial" w:cs="Arial" w:eastAsia="Arial" w:hAnsi="Arial"/>
                <w:sz w:val="14"/>
                <w:szCs w:val="14"/>
                <w:color w:val="auto"/>
              </w:rPr>
              <w:t>164,513</w:t>
            </w:r>
          </w:p>
        </w:tc>
        <w:tc>
          <w:tcPr>
            <w:tcW w:w="20" w:type="dxa"/>
            <w:vAlign w:val="bottom"/>
            <w:shd w:val="clear" w:color="auto" w:fill="CEFFE7"/>
          </w:tcPr>
          <w:p>
            <w:pPr>
              <w:spacing w:after="0"/>
              <w:rPr>
                <w:sz w:val="16"/>
                <w:szCs w:val="16"/>
                <w:color w:val="auto"/>
              </w:rPr>
            </w:pPr>
          </w:p>
        </w:tc>
        <w:tc>
          <w:tcPr>
            <w:tcW w:w="1320" w:type="dxa"/>
            <w:vAlign w:val="bottom"/>
            <w:gridSpan w:val="3"/>
            <w:shd w:val="clear" w:color="auto" w:fill="CEFFE7"/>
          </w:tcPr>
          <w:p>
            <w:pPr>
              <w:jc w:val="right"/>
              <w:ind w:right="68"/>
              <w:spacing w:after="0"/>
              <w:rPr>
                <w:sz w:val="20"/>
                <w:szCs w:val="20"/>
                <w:color w:val="auto"/>
              </w:rPr>
            </w:pPr>
            <w:r>
              <w:rPr>
                <w:rFonts w:ascii="Arial" w:cs="Arial" w:eastAsia="Arial" w:hAnsi="Arial"/>
                <w:sz w:val="14"/>
                <w:szCs w:val="14"/>
                <w:color w:val="auto"/>
              </w:rPr>
              <w:t>80,202,783</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81,481,192</w:t>
            </w: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81,658,938</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4"/>
                <w:szCs w:val="14"/>
                <w:color w:val="auto"/>
              </w:rPr>
              <w:t>Wyoming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auto"/>
              </w:rPr>
              <w:t>118,255</w:t>
            </w:r>
          </w:p>
        </w:tc>
        <w:tc>
          <w:tcPr>
            <w:tcW w:w="2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112,313</w:t>
            </w:r>
          </w:p>
        </w:tc>
        <w:tc>
          <w:tcPr>
            <w:tcW w:w="280" w:type="dxa"/>
            <w:vAlign w:val="bottom"/>
          </w:tcPr>
          <w:p>
            <w:pPr>
              <w:spacing w:after="0"/>
              <w:rPr>
                <w:sz w:val="16"/>
                <w:szCs w:val="16"/>
                <w:color w:val="auto"/>
              </w:rPr>
            </w:pPr>
          </w:p>
        </w:tc>
        <w:tc>
          <w:tcPr>
            <w:tcW w:w="720" w:type="dxa"/>
            <w:vAlign w:val="bottom"/>
          </w:tcPr>
          <w:p>
            <w:pPr>
              <w:jc w:val="right"/>
              <w:ind w:right="5"/>
              <w:spacing w:after="0"/>
              <w:rPr>
                <w:sz w:val="20"/>
                <w:szCs w:val="20"/>
                <w:color w:val="auto"/>
              </w:rPr>
            </w:pPr>
            <w:r>
              <w:rPr>
                <w:rFonts w:ascii="Arial" w:cs="Arial" w:eastAsia="Arial" w:hAnsi="Arial"/>
                <w:sz w:val="14"/>
                <w:szCs w:val="14"/>
                <w:color w:val="auto"/>
              </w:rPr>
              <w:t>107,527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86,131</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77,246</w:t>
            </w:r>
          </w:p>
        </w:tc>
        <w:tc>
          <w:tcPr>
            <w:tcW w:w="160" w:type="dxa"/>
            <w:vAlign w:val="bottom"/>
          </w:tcPr>
          <w:p>
            <w:pPr>
              <w:spacing w:after="0"/>
              <w:rPr>
                <w:sz w:val="16"/>
                <w:szCs w:val="16"/>
                <w:color w:val="auto"/>
              </w:rPr>
            </w:pPr>
          </w:p>
        </w:tc>
        <w:tc>
          <w:tcPr>
            <w:tcW w:w="820" w:type="dxa"/>
            <w:vAlign w:val="bottom"/>
          </w:tcPr>
          <w:p>
            <w:pPr>
              <w:jc w:val="right"/>
              <w:ind w:right="5"/>
              <w:spacing w:after="0"/>
              <w:rPr>
                <w:sz w:val="20"/>
                <w:szCs w:val="20"/>
                <w:color w:val="auto"/>
              </w:rPr>
            </w:pPr>
            <w:r>
              <w:rPr>
                <w:rFonts w:ascii="Arial" w:cs="Arial" w:eastAsia="Arial" w:hAnsi="Arial"/>
                <w:sz w:val="14"/>
                <w:szCs w:val="14"/>
                <w:color w:val="auto"/>
              </w:rPr>
              <w:t>74,263</w:t>
            </w:r>
          </w:p>
        </w:tc>
        <w:tc>
          <w:tcPr>
            <w:tcW w:w="20" w:type="dxa"/>
            <w:vAlign w:val="bottom"/>
          </w:tcPr>
          <w:p>
            <w:pPr>
              <w:spacing w:after="0"/>
              <w:rPr>
                <w:sz w:val="16"/>
                <w:szCs w:val="16"/>
                <w:color w:val="auto"/>
              </w:rPr>
            </w:pPr>
          </w:p>
        </w:tc>
        <w:tc>
          <w:tcPr>
            <w:tcW w:w="1320" w:type="dxa"/>
            <w:vAlign w:val="bottom"/>
            <w:gridSpan w:val="3"/>
          </w:tcPr>
          <w:p>
            <w:pPr>
              <w:jc w:val="right"/>
              <w:ind w:right="68"/>
              <w:spacing w:after="0"/>
              <w:rPr>
                <w:sz w:val="20"/>
                <w:szCs w:val="20"/>
                <w:color w:val="auto"/>
              </w:rPr>
            </w:pPr>
            <w:r>
              <w:rPr>
                <w:rFonts w:ascii="Arial" w:cs="Arial" w:eastAsia="Arial" w:hAnsi="Arial"/>
                <w:sz w:val="14"/>
                <w:szCs w:val="14"/>
                <w:color w:val="auto"/>
              </w:rPr>
              <w:t>35,280,388</w:t>
            </w:r>
          </w:p>
        </w:tc>
        <w:tc>
          <w:tcPr>
            <w:tcW w:w="1080" w:type="dxa"/>
            <w:vAlign w:val="bottom"/>
          </w:tcPr>
          <w:p>
            <w:pPr>
              <w:jc w:val="right"/>
              <w:spacing w:after="0"/>
              <w:rPr>
                <w:sz w:val="20"/>
                <w:szCs w:val="20"/>
                <w:color w:val="auto"/>
              </w:rPr>
            </w:pPr>
            <w:r>
              <w:rPr>
                <w:rFonts w:ascii="Arial" w:cs="Arial" w:eastAsia="Arial" w:hAnsi="Arial"/>
                <w:sz w:val="14"/>
                <w:szCs w:val="14"/>
                <w:color w:val="auto"/>
              </w:rPr>
              <w:t>38,514,261</w:t>
            </w:r>
          </w:p>
        </w:tc>
        <w:tc>
          <w:tcPr>
            <w:tcW w:w="1200" w:type="dxa"/>
            <w:vAlign w:val="bottom"/>
          </w:tcPr>
          <w:p>
            <w:pPr>
              <w:jc w:val="right"/>
              <w:spacing w:after="0"/>
              <w:rPr>
                <w:sz w:val="20"/>
                <w:szCs w:val="20"/>
                <w:color w:val="auto"/>
              </w:rPr>
            </w:pPr>
            <w:r>
              <w:rPr>
                <w:rFonts w:ascii="Arial" w:cs="Arial" w:eastAsia="Arial" w:hAnsi="Arial"/>
                <w:sz w:val="14"/>
                <w:szCs w:val="14"/>
                <w:color w:val="auto"/>
              </w:rPr>
              <w:t>36,209,994</w:t>
            </w:r>
          </w:p>
        </w:tc>
        <w:tc>
          <w:tcPr>
            <w:tcW w:w="0" w:type="dxa"/>
            <w:vAlign w:val="bottom"/>
          </w:tcPr>
          <w:p>
            <w:pPr>
              <w:spacing w:after="0"/>
              <w:rPr>
                <w:sz w:val="1"/>
                <w:szCs w:val="1"/>
                <w:color w:val="auto"/>
              </w:rPr>
            </w:pPr>
          </w:p>
        </w:tc>
      </w:tr>
      <w:tr>
        <w:trPr>
          <w:trHeight w:val="133"/>
        </w:trPr>
        <w:tc>
          <w:tcPr>
            <w:tcW w:w="1560" w:type="dxa"/>
            <w:vAlign w:val="bottom"/>
            <w:tcBorders>
              <w:top w:val="single" w:sz="8" w:color="CEFFE7"/>
            </w:tcBorders>
            <w:shd w:val="clear" w:color="auto" w:fill="CEFFE7"/>
          </w:tcPr>
          <w:p>
            <w:pPr>
              <w:spacing w:after="0" w:line="133" w:lineRule="exact"/>
              <w:rPr>
                <w:sz w:val="20"/>
                <w:szCs w:val="20"/>
                <w:color w:val="auto"/>
              </w:rPr>
            </w:pPr>
            <w:r>
              <w:rPr>
                <w:rFonts w:ascii="Arial" w:cs="Arial" w:eastAsia="Arial" w:hAnsi="Arial"/>
                <w:sz w:val="14"/>
                <w:szCs w:val="14"/>
                <w:color w:val="auto"/>
              </w:rPr>
              <w:t>Total Revenue, Gross</w:t>
            </w:r>
          </w:p>
        </w:tc>
        <w:tc>
          <w:tcPr>
            <w:tcW w:w="20" w:type="dxa"/>
            <w:vAlign w:val="bottom"/>
            <w:tcBorders>
              <w:top w:val="single" w:sz="8" w:color="auto"/>
            </w:tcBorders>
            <w:shd w:val="clear" w:color="auto" w:fill="CEFFE7"/>
          </w:tcPr>
          <w:p>
            <w:pPr>
              <w:spacing w:after="0"/>
              <w:rPr>
                <w:sz w:val="11"/>
                <w:szCs w:val="11"/>
                <w:color w:val="auto"/>
              </w:rPr>
            </w:pPr>
          </w:p>
        </w:tc>
        <w:tc>
          <w:tcPr>
            <w:tcW w:w="200" w:type="dxa"/>
            <w:vAlign w:val="bottom"/>
            <w:tcBorders>
              <w:top w:val="single" w:sz="8" w:color="auto"/>
            </w:tcBorders>
            <w:shd w:val="clear" w:color="auto" w:fill="CEFFE7"/>
          </w:tcPr>
          <w:p>
            <w:pPr>
              <w:spacing w:after="0"/>
              <w:rPr>
                <w:sz w:val="11"/>
                <w:szCs w:val="11"/>
                <w:color w:val="auto"/>
              </w:rPr>
            </w:pPr>
          </w:p>
        </w:tc>
        <w:tc>
          <w:tcPr>
            <w:tcW w:w="760" w:type="dxa"/>
            <w:vAlign w:val="bottom"/>
            <w:tcBorders>
              <w:top w:val="single" w:sz="8" w:color="auto"/>
            </w:tcBorders>
            <w:shd w:val="clear" w:color="auto" w:fill="CEFFE7"/>
          </w:tcPr>
          <w:p>
            <w:pPr>
              <w:spacing w:after="0"/>
              <w:rPr>
                <w:sz w:val="11"/>
                <w:szCs w:val="11"/>
                <w:color w:val="auto"/>
              </w:rPr>
            </w:pPr>
          </w:p>
        </w:tc>
        <w:tc>
          <w:tcPr>
            <w:tcW w:w="200" w:type="dxa"/>
            <w:vAlign w:val="bottom"/>
            <w:tcBorders>
              <w:top w:val="single" w:sz="8" w:color="auto"/>
            </w:tcBorders>
            <w:shd w:val="clear" w:color="auto" w:fill="CEFFE7"/>
          </w:tcPr>
          <w:p>
            <w:pPr>
              <w:spacing w:after="0"/>
              <w:rPr>
                <w:sz w:val="11"/>
                <w:szCs w:val="11"/>
                <w:color w:val="auto"/>
              </w:rPr>
            </w:pPr>
          </w:p>
        </w:tc>
        <w:tc>
          <w:tcPr>
            <w:tcW w:w="580" w:type="dxa"/>
            <w:vAlign w:val="bottom"/>
            <w:tcBorders>
              <w:top w:val="single" w:sz="8" w:color="auto"/>
            </w:tcBorders>
            <w:shd w:val="clear" w:color="auto" w:fill="CEFFE7"/>
          </w:tcPr>
          <w:p>
            <w:pPr>
              <w:spacing w:after="0"/>
              <w:rPr>
                <w:sz w:val="11"/>
                <w:szCs w:val="11"/>
                <w:color w:val="auto"/>
              </w:rPr>
            </w:pPr>
          </w:p>
        </w:tc>
        <w:tc>
          <w:tcPr>
            <w:tcW w:w="220" w:type="dxa"/>
            <w:vAlign w:val="bottom"/>
            <w:tcBorders>
              <w:top w:val="single" w:sz="8" w:color="auto"/>
            </w:tcBorders>
            <w:shd w:val="clear" w:color="auto" w:fill="CEFFE7"/>
          </w:tcPr>
          <w:p>
            <w:pPr>
              <w:spacing w:after="0"/>
              <w:rPr>
                <w:sz w:val="11"/>
                <w:szCs w:val="11"/>
                <w:color w:val="auto"/>
              </w:rPr>
            </w:pPr>
          </w:p>
        </w:tc>
        <w:tc>
          <w:tcPr>
            <w:tcW w:w="280" w:type="dxa"/>
            <w:vAlign w:val="bottom"/>
            <w:tcBorders>
              <w:top w:val="single" w:sz="8" w:color="auto"/>
            </w:tcBorders>
            <w:shd w:val="clear" w:color="auto" w:fill="CEFFE7"/>
          </w:tcPr>
          <w:p>
            <w:pPr>
              <w:spacing w:after="0"/>
              <w:rPr>
                <w:sz w:val="11"/>
                <w:szCs w:val="11"/>
                <w:color w:val="auto"/>
              </w:rPr>
            </w:pPr>
          </w:p>
        </w:tc>
        <w:tc>
          <w:tcPr>
            <w:tcW w:w="720" w:type="dxa"/>
            <w:vAlign w:val="bottom"/>
            <w:tcBorders>
              <w:top w:val="single" w:sz="8" w:color="auto"/>
            </w:tcBorders>
            <w:shd w:val="clear" w:color="auto" w:fill="CEFFE7"/>
          </w:tcPr>
          <w:p>
            <w:pPr>
              <w:spacing w:after="0"/>
              <w:rPr>
                <w:sz w:val="11"/>
                <w:szCs w:val="11"/>
                <w:color w:val="auto"/>
              </w:rPr>
            </w:pPr>
          </w:p>
        </w:tc>
        <w:tc>
          <w:tcPr>
            <w:tcW w:w="100" w:type="dxa"/>
            <w:vAlign w:val="bottom"/>
            <w:tcBorders>
              <w:top w:val="single" w:sz="8" w:color="CEFFE7"/>
            </w:tcBorders>
            <w:shd w:val="clear" w:color="auto" w:fill="CEFFE7"/>
          </w:tcPr>
          <w:p>
            <w:pPr>
              <w:spacing w:after="0"/>
              <w:rPr>
                <w:sz w:val="11"/>
                <w:szCs w:val="11"/>
                <w:color w:val="auto"/>
              </w:rPr>
            </w:pPr>
          </w:p>
        </w:tc>
        <w:tc>
          <w:tcPr>
            <w:tcW w:w="20" w:type="dxa"/>
            <w:vAlign w:val="bottom"/>
            <w:tcBorders>
              <w:top w:val="single" w:sz="8" w:color="auto"/>
            </w:tcBorders>
            <w:shd w:val="clear" w:color="auto" w:fill="CEFFE7"/>
          </w:tcPr>
          <w:p>
            <w:pPr>
              <w:spacing w:after="0"/>
              <w:rPr>
                <w:sz w:val="11"/>
                <w:szCs w:val="11"/>
                <w:color w:val="auto"/>
              </w:rPr>
            </w:pPr>
          </w:p>
        </w:tc>
        <w:tc>
          <w:tcPr>
            <w:tcW w:w="200" w:type="dxa"/>
            <w:vAlign w:val="bottom"/>
            <w:tcBorders>
              <w:top w:val="single" w:sz="8" w:color="auto"/>
            </w:tcBorders>
            <w:shd w:val="clear" w:color="auto" w:fill="CEFFE7"/>
          </w:tcPr>
          <w:p>
            <w:pPr>
              <w:spacing w:after="0"/>
              <w:rPr>
                <w:sz w:val="11"/>
                <w:szCs w:val="11"/>
                <w:color w:val="auto"/>
              </w:rPr>
            </w:pPr>
          </w:p>
        </w:tc>
        <w:tc>
          <w:tcPr>
            <w:tcW w:w="720" w:type="dxa"/>
            <w:vAlign w:val="bottom"/>
            <w:tcBorders>
              <w:top w:val="single" w:sz="8" w:color="auto"/>
            </w:tcBorders>
            <w:shd w:val="clear" w:color="auto" w:fill="CEFFE7"/>
          </w:tcPr>
          <w:p>
            <w:pPr>
              <w:spacing w:after="0"/>
              <w:rPr>
                <w:sz w:val="11"/>
                <w:szCs w:val="11"/>
                <w:color w:val="auto"/>
              </w:rPr>
            </w:pPr>
          </w:p>
        </w:tc>
        <w:tc>
          <w:tcPr>
            <w:tcW w:w="240" w:type="dxa"/>
            <w:vAlign w:val="bottom"/>
            <w:tcBorders>
              <w:top w:val="single" w:sz="8" w:color="auto"/>
            </w:tcBorders>
            <w:shd w:val="clear" w:color="auto" w:fill="CEFFE7"/>
          </w:tcPr>
          <w:p>
            <w:pPr>
              <w:spacing w:after="0"/>
              <w:rPr>
                <w:sz w:val="11"/>
                <w:szCs w:val="11"/>
                <w:color w:val="auto"/>
              </w:rPr>
            </w:pPr>
          </w:p>
        </w:tc>
        <w:tc>
          <w:tcPr>
            <w:tcW w:w="760" w:type="dxa"/>
            <w:vAlign w:val="bottom"/>
            <w:tcBorders>
              <w:top w:val="single" w:sz="8" w:color="auto"/>
            </w:tcBorders>
            <w:shd w:val="clear" w:color="auto" w:fill="CEFFE7"/>
          </w:tcPr>
          <w:p>
            <w:pPr>
              <w:spacing w:after="0"/>
              <w:rPr>
                <w:sz w:val="11"/>
                <w:szCs w:val="11"/>
                <w:color w:val="auto"/>
              </w:rPr>
            </w:pPr>
          </w:p>
        </w:tc>
        <w:tc>
          <w:tcPr>
            <w:tcW w:w="160" w:type="dxa"/>
            <w:vAlign w:val="bottom"/>
            <w:tcBorders>
              <w:top w:val="single" w:sz="8" w:color="auto"/>
            </w:tcBorders>
            <w:shd w:val="clear" w:color="auto" w:fill="CEFFE7"/>
          </w:tcPr>
          <w:p>
            <w:pPr>
              <w:spacing w:after="0"/>
              <w:rPr>
                <w:sz w:val="11"/>
                <w:szCs w:val="11"/>
                <w:color w:val="auto"/>
              </w:rPr>
            </w:pPr>
          </w:p>
        </w:tc>
        <w:tc>
          <w:tcPr>
            <w:tcW w:w="820" w:type="dxa"/>
            <w:vAlign w:val="bottom"/>
            <w:tcBorders>
              <w:top w:val="single" w:sz="8" w:color="auto"/>
            </w:tcBorders>
            <w:shd w:val="clear" w:color="auto" w:fill="CEFFE7"/>
          </w:tcPr>
          <w:p>
            <w:pPr>
              <w:spacing w:after="0"/>
              <w:rPr>
                <w:sz w:val="11"/>
                <w:szCs w:val="11"/>
                <w:color w:val="auto"/>
              </w:rPr>
            </w:pPr>
          </w:p>
        </w:tc>
        <w:tc>
          <w:tcPr>
            <w:tcW w:w="20" w:type="dxa"/>
            <w:vAlign w:val="bottom"/>
            <w:tcBorders>
              <w:top w:val="single" w:sz="8" w:color="CEFFE7"/>
            </w:tcBorders>
            <w:shd w:val="clear" w:color="auto" w:fill="CEFFE7"/>
          </w:tcPr>
          <w:p>
            <w:pPr>
              <w:spacing w:after="0"/>
              <w:rPr>
                <w:sz w:val="11"/>
                <w:szCs w:val="11"/>
                <w:color w:val="auto"/>
              </w:rPr>
            </w:pPr>
          </w:p>
        </w:tc>
        <w:tc>
          <w:tcPr>
            <w:tcW w:w="80" w:type="dxa"/>
            <w:vAlign w:val="bottom"/>
            <w:tcBorders>
              <w:top w:val="single" w:sz="8" w:color="CEFFE7"/>
            </w:tcBorders>
            <w:shd w:val="clear" w:color="auto" w:fill="CEFFE7"/>
          </w:tcPr>
          <w:p>
            <w:pPr>
              <w:spacing w:after="0"/>
              <w:rPr>
                <w:sz w:val="11"/>
                <w:szCs w:val="11"/>
                <w:color w:val="auto"/>
              </w:rPr>
            </w:pPr>
          </w:p>
        </w:tc>
        <w:tc>
          <w:tcPr>
            <w:tcW w:w="20" w:type="dxa"/>
            <w:vAlign w:val="bottom"/>
            <w:tcBorders>
              <w:top w:val="single" w:sz="8" w:color="auto"/>
            </w:tcBorders>
            <w:shd w:val="clear" w:color="auto" w:fill="CEFFE7"/>
          </w:tcPr>
          <w:p>
            <w:pPr>
              <w:spacing w:after="0"/>
              <w:rPr>
                <w:sz w:val="11"/>
                <w:szCs w:val="11"/>
                <w:color w:val="auto"/>
              </w:rPr>
            </w:pPr>
          </w:p>
        </w:tc>
        <w:tc>
          <w:tcPr>
            <w:tcW w:w="1220" w:type="dxa"/>
            <w:vAlign w:val="bottom"/>
            <w:tcBorders>
              <w:top w:val="single" w:sz="8" w:color="auto"/>
            </w:tcBorders>
            <w:shd w:val="clear" w:color="auto" w:fill="CEFFE7"/>
          </w:tcPr>
          <w:p>
            <w:pPr>
              <w:spacing w:after="0"/>
              <w:rPr>
                <w:sz w:val="11"/>
                <w:szCs w:val="11"/>
                <w:color w:val="auto"/>
              </w:rPr>
            </w:pPr>
          </w:p>
        </w:tc>
        <w:tc>
          <w:tcPr>
            <w:tcW w:w="1080" w:type="dxa"/>
            <w:vAlign w:val="bottom"/>
            <w:tcBorders>
              <w:top w:val="single" w:sz="8" w:color="auto"/>
            </w:tcBorders>
            <w:shd w:val="clear" w:color="auto" w:fill="CEFFE7"/>
          </w:tcPr>
          <w:p>
            <w:pPr>
              <w:spacing w:after="0"/>
              <w:rPr>
                <w:sz w:val="11"/>
                <w:szCs w:val="11"/>
                <w:color w:val="auto"/>
              </w:rPr>
            </w:pPr>
          </w:p>
        </w:tc>
        <w:tc>
          <w:tcPr>
            <w:tcW w:w="1200" w:type="dxa"/>
            <w:vAlign w:val="bottom"/>
            <w:tcBorders>
              <w:top w:val="single" w:sz="8" w:color="auto"/>
            </w:tcBorders>
            <w:shd w:val="clear" w:color="auto" w:fill="CEFFE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EFFE7"/>
          </w:tcPr>
          <w:p>
            <w:pPr>
              <w:spacing w:after="0" w:line="135" w:lineRule="exact"/>
              <w:rPr>
                <w:sz w:val="20"/>
                <w:szCs w:val="20"/>
                <w:color w:val="auto"/>
              </w:rPr>
            </w:pPr>
            <w:r>
              <w:rPr>
                <w:rFonts w:ascii="Arial" w:cs="Arial" w:eastAsia="Arial" w:hAnsi="Arial"/>
                <w:sz w:val="14"/>
                <w:szCs w:val="14"/>
                <w:color w:val="auto"/>
              </w:rPr>
              <w:t>Margin (non-GAAP)</w:t>
            </w:r>
          </w:p>
        </w:tc>
        <w:tc>
          <w:tcPr>
            <w:tcW w:w="220" w:type="dxa"/>
            <w:vAlign w:val="bottom"/>
            <w:gridSpan w:val="2"/>
            <w:vMerge w:val="restart"/>
            <w:shd w:val="clear" w:color="auto" w:fill="CEFFE7"/>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EFFE7"/>
          </w:tcPr>
          <w:p>
            <w:pPr>
              <w:ind w:left="180"/>
              <w:spacing w:after="0"/>
              <w:rPr>
                <w:sz w:val="20"/>
                <w:szCs w:val="20"/>
                <w:color w:val="auto"/>
              </w:rPr>
            </w:pPr>
            <w:r>
              <w:rPr>
                <w:rFonts w:ascii="Arial" w:cs="Arial" w:eastAsia="Arial" w:hAnsi="Arial"/>
                <w:sz w:val="14"/>
                <w:szCs w:val="14"/>
                <w:color w:val="auto"/>
              </w:rPr>
              <w:t>974,670</w:t>
            </w:r>
          </w:p>
        </w:tc>
        <w:tc>
          <w:tcPr>
            <w:tcW w:w="200" w:type="dxa"/>
            <w:vAlign w:val="bottom"/>
            <w:vMerge w:val="restart"/>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EFFE7"/>
          </w:tcPr>
          <w:p>
            <w:pPr>
              <w:jc w:val="right"/>
              <w:ind w:right="60"/>
              <w:spacing w:after="0"/>
              <w:rPr>
                <w:sz w:val="20"/>
                <w:szCs w:val="20"/>
                <w:color w:val="auto"/>
              </w:rPr>
            </w:pPr>
            <w:r>
              <w:rPr>
                <w:rFonts w:ascii="Arial" w:cs="Arial" w:eastAsia="Arial" w:hAnsi="Arial"/>
                <w:sz w:val="14"/>
                <w:szCs w:val="14"/>
                <w:color w:val="auto"/>
              </w:rPr>
              <w:t>1,010,030</w:t>
            </w:r>
          </w:p>
        </w:tc>
        <w:tc>
          <w:tcPr>
            <w:tcW w:w="280" w:type="dxa"/>
            <w:vAlign w:val="bottom"/>
            <w:vMerge w:val="restart"/>
            <w:shd w:val="clear" w:color="auto" w:fill="CEFFE7"/>
          </w:tcPr>
          <w:p>
            <w:pPr>
              <w:jc w:val="right"/>
              <w:ind w:right="106"/>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EFFE7"/>
          </w:tcPr>
          <w:p>
            <w:pPr>
              <w:jc w:val="right"/>
              <w:ind w:right="5"/>
              <w:spacing w:after="0"/>
              <w:rPr>
                <w:sz w:val="20"/>
                <w:szCs w:val="20"/>
                <w:color w:val="auto"/>
              </w:rPr>
            </w:pPr>
            <w:r>
              <w:rPr>
                <w:rFonts w:ascii="Arial" w:cs="Arial" w:eastAsia="Arial" w:hAnsi="Arial"/>
                <w:sz w:val="14"/>
                <w:szCs w:val="14"/>
                <w:color w:val="auto"/>
                <w:w w:val="99"/>
              </w:rPr>
              <w:t>1,025,307</w:t>
            </w:r>
          </w:p>
        </w:tc>
        <w:tc>
          <w:tcPr>
            <w:tcW w:w="100" w:type="dxa"/>
            <w:vAlign w:val="bottom"/>
            <w:vMerge w:val="restart"/>
            <w:shd w:val="clear" w:color="auto" w:fill="CEFFE7"/>
          </w:tcPr>
          <w:p>
            <w:pPr>
              <w:spacing w:after="0"/>
              <w:rPr>
                <w:sz w:val="11"/>
                <w:szCs w:val="11"/>
                <w:color w:val="auto"/>
              </w:rPr>
            </w:pPr>
          </w:p>
        </w:tc>
        <w:tc>
          <w:tcPr>
            <w:tcW w:w="220" w:type="dxa"/>
            <w:vAlign w:val="bottom"/>
            <w:gridSpan w:val="2"/>
            <w:vMerge w:val="restart"/>
            <w:shd w:val="clear" w:color="auto" w:fill="CEFFE7"/>
          </w:tcPr>
          <w:p>
            <w:pPr>
              <w:jc w:val="right"/>
              <w:ind w:right="39"/>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620,025</w:t>
            </w:r>
          </w:p>
        </w:tc>
        <w:tc>
          <w:tcPr>
            <w:tcW w:w="240" w:type="dxa"/>
            <w:vAlign w:val="bottom"/>
            <w:vMerge w:val="restart"/>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EFFE7"/>
          </w:tcPr>
          <w:p>
            <w:pPr>
              <w:jc w:val="right"/>
              <w:ind w:right="7"/>
              <w:spacing w:after="0"/>
              <w:rPr>
                <w:sz w:val="20"/>
                <w:szCs w:val="20"/>
                <w:color w:val="auto"/>
              </w:rPr>
            </w:pPr>
            <w:r>
              <w:rPr>
                <w:rFonts w:ascii="Arial" w:cs="Arial" w:eastAsia="Arial" w:hAnsi="Arial"/>
                <w:sz w:val="14"/>
                <w:szCs w:val="14"/>
                <w:color w:val="auto"/>
              </w:rPr>
              <w:t>584,132</w:t>
            </w:r>
          </w:p>
        </w:tc>
        <w:tc>
          <w:tcPr>
            <w:tcW w:w="1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EFFE7"/>
          </w:tcPr>
          <w:p>
            <w:pPr>
              <w:jc w:val="right"/>
              <w:ind w:right="5"/>
              <w:spacing w:after="0"/>
              <w:rPr>
                <w:sz w:val="20"/>
                <w:szCs w:val="20"/>
                <w:color w:val="auto"/>
              </w:rPr>
            </w:pPr>
            <w:r>
              <w:rPr>
                <w:rFonts w:ascii="Arial" w:cs="Arial" w:eastAsia="Arial" w:hAnsi="Arial"/>
                <w:sz w:val="14"/>
                <w:szCs w:val="14"/>
                <w:color w:val="auto"/>
              </w:rPr>
              <w:t>563,154</w:t>
            </w:r>
          </w:p>
        </w:tc>
        <w:tc>
          <w:tcPr>
            <w:tcW w:w="20" w:type="dxa"/>
            <w:vAlign w:val="bottom"/>
            <w:shd w:val="clear" w:color="auto" w:fill="CEFFE7"/>
          </w:tcPr>
          <w:p>
            <w:pPr>
              <w:spacing w:after="0"/>
              <w:rPr>
                <w:sz w:val="11"/>
                <w:szCs w:val="11"/>
                <w:color w:val="auto"/>
              </w:rPr>
            </w:pPr>
          </w:p>
        </w:tc>
        <w:tc>
          <w:tcPr>
            <w:tcW w:w="80" w:type="dxa"/>
            <w:vAlign w:val="bottom"/>
            <w:vMerge w:val="restart"/>
            <w:shd w:val="clear" w:color="auto" w:fill="CEFFE7"/>
          </w:tcPr>
          <w:p>
            <w:pPr>
              <w:spacing w:after="0"/>
              <w:rPr>
                <w:sz w:val="11"/>
                <w:szCs w:val="11"/>
                <w:color w:val="auto"/>
              </w:rPr>
            </w:pPr>
          </w:p>
        </w:tc>
        <w:tc>
          <w:tcPr>
            <w:tcW w:w="1240" w:type="dxa"/>
            <w:vAlign w:val="bottom"/>
            <w:gridSpan w:val="2"/>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246,690,320</w:t>
            </w: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258,846,808</w:t>
            </w:r>
          </w:p>
        </w:tc>
        <w:tc>
          <w:tcPr>
            <w:tcW w:w="120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250,713,739</w:t>
            </w:r>
          </w:p>
        </w:tc>
        <w:tc>
          <w:tcPr>
            <w:tcW w:w="0" w:type="dxa"/>
            <w:vAlign w:val="bottom"/>
          </w:tcPr>
          <w:p>
            <w:pPr>
              <w:spacing w:after="0"/>
              <w:rPr>
                <w:sz w:val="1"/>
                <w:szCs w:val="1"/>
                <w:color w:val="auto"/>
              </w:rPr>
            </w:pPr>
          </w:p>
        </w:tc>
      </w:tr>
      <w:tr>
        <w:trPr>
          <w:trHeight w:val="164"/>
        </w:trPr>
        <w:tc>
          <w:tcPr>
            <w:tcW w:w="1560" w:type="dxa"/>
            <w:vAlign w:val="bottom"/>
            <w:tcBorders>
              <w:bottom w:val="single" w:sz="8" w:color="CEFFE7"/>
            </w:tcBorders>
            <w:shd w:val="clear" w:color="auto" w:fill="CEFFE7"/>
          </w:tcPr>
          <w:p>
            <w:pPr>
              <w:spacing w:after="0" w:line="144" w:lineRule="exact"/>
              <w:rPr>
                <w:sz w:val="20"/>
                <w:szCs w:val="20"/>
                <w:color w:val="auto"/>
              </w:rPr>
            </w:pPr>
            <w:r>
              <w:rPr>
                <w:rFonts w:ascii="Arial" w:cs="Arial" w:eastAsia="Arial" w:hAnsi="Arial"/>
                <w:sz w:val="14"/>
                <w:szCs w:val="14"/>
                <w:color w:val="auto"/>
              </w:rPr>
              <w:t>and Quantities Sold</w:t>
            </w:r>
          </w:p>
        </w:tc>
        <w:tc>
          <w:tcPr>
            <w:tcW w:w="220" w:type="dxa"/>
            <w:vAlign w:val="bottom"/>
            <w:tcBorders>
              <w:bottom w:val="single" w:sz="8" w:color="auto"/>
            </w:tcBorders>
            <w:gridSpan w:val="2"/>
            <w:vMerge w:val="continue"/>
            <w:shd w:val="clear" w:color="auto" w:fill="CEFFE7"/>
          </w:tcPr>
          <w:p>
            <w:pPr>
              <w:spacing w:after="0"/>
              <w:rPr>
                <w:sz w:val="14"/>
                <w:szCs w:val="14"/>
                <w:color w:val="auto"/>
              </w:rPr>
            </w:pPr>
          </w:p>
        </w:tc>
        <w:tc>
          <w:tcPr>
            <w:tcW w:w="760" w:type="dxa"/>
            <w:vAlign w:val="bottom"/>
            <w:tcBorders>
              <w:bottom w:val="single" w:sz="8" w:color="auto"/>
            </w:tcBorders>
            <w:vMerge w:val="continue"/>
            <w:shd w:val="clear" w:color="auto" w:fill="CEFFE7"/>
          </w:tcPr>
          <w:p>
            <w:pPr>
              <w:spacing w:after="0"/>
              <w:rPr>
                <w:sz w:val="14"/>
                <w:szCs w:val="14"/>
                <w:color w:val="auto"/>
              </w:rPr>
            </w:pPr>
          </w:p>
        </w:tc>
        <w:tc>
          <w:tcPr>
            <w:tcW w:w="200" w:type="dxa"/>
            <w:vAlign w:val="bottom"/>
            <w:tcBorders>
              <w:bottom w:val="single" w:sz="8" w:color="auto"/>
            </w:tcBorders>
            <w:vMerge w:val="continue"/>
            <w:shd w:val="clear" w:color="auto" w:fill="CEFFE7"/>
          </w:tcPr>
          <w:p>
            <w:pPr>
              <w:spacing w:after="0"/>
              <w:rPr>
                <w:sz w:val="14"/>
                <w:szCs w:val="14"/>
                <w:color w:val="auto"/>
              </w:rPr>
            </w:pPr>
          </w:p>
        </w:tc>
        <w:tc>
          <w:tcPr>
            <w:tcW w:w="800" w:type="dxa"/>
            <w:vAlign w:val="bottom"/>
            <w:tcBorders>
              <w:bottom w:val="single" w:sz="8" w:color="auto"/>
            </w:tcBorders>
            <w:gridSpan w:val="2"/>
            <w:vMerge w:val="continue"/>
            <w:shd w:val="clear" w:color="auto" w:fill="CEFFE7"/>
          </w:tcPr>
          <w:p>
            <w:pPr>
              <w:spacing w:after="0"/>
              <w:rPr>
                <w:sz w:val="14"/>
                <w:szCs w:val="14"/>
                <w:color w:val="auto"/>
              </w:rPr>
            </w:pPr>
          </w:p>
        </w:tc>
        <w:tc>
          <w:tcPr>
            <w:tcW w:w="280" w:type="dxa"/>
            <w:vAlign w:val="bottom"/>
            <w:tcBorders>
              <w:bottom w:val="single" w:sz="8" w:color="auto"/>
            </w:tcBorders>
            <w:vMerge w:val="continue"/>
            <w:shd w:val="clear" w:color="auto" w:fill="CEFFE7"/>
          </w:tcPr>
          <w:p>
            <w:pPr>
              <w:spacing w:after="0"/>
              <w:rPr>
                <w:sz w:val="14"/>
                <w:szCs w:val="14"/>
                <w:color w:val="auto"/>
              </w:rPr>
            </w:pPr>
          </w:p>
        </w:tc>
        <w:tc>
          <w:tcPr>
            <w:tcW w:w="720" w:type="dxa"/>
            <w:vAlign w:val="bottom"/>
            <w:tcBorders>
              <w:bottom w:val="single" w:sz="8" w:color="auto"/>
            </w:tcBorders>
            <w:vMerge w:val="continue"/>
            <w:shd w:val="clear" w:color="auto" w:fill="CEFFE7"/>
          </w:tcPr>
          <w:p>
            <w:pPr>
              <w:spacing w:after="0"/>
              <w:rPr>
                <w:sz w:val="14"/>
                <w:szCs w:val="14"/>
                <w:color w:val="auto"/>
              </w:rPr>
            </w:pPr>
          </w:p>
        </w:tc>
        <w:tc>
          <w:tcPr>
            <w:tcW w:w="100" w:type="dxa"/>
            <w:vAlign w:val="bottom"/>
            <w:tcBorders>
              <w:bottom w:val="single" w:sz="8" w:color="CEFFE7"/>
            </w:tcBorders>
            <w:vMerge w:val="continue"/>
            <w:shd w:val="clear" w:color="auto" w:fill="CEFFE7"/>
          </w:tcPr>
          <w:p>
            <w:pPr>
              <w:spacing w:after="0"/>
              <w:rPr>
                <w:sz w:val="14"/>
                <w:szCs w:val="14"/>
                <w:color w:val="auto"/>
              </w:rPr>
            </w:pPr>
          </w:p>
        </w:tc>
        <w:tc>
          <w:tcPr>
            <w:tcW w:w="220" w:type="dxa"/>
            <w:vAlign w:val="bottom"/>
            <w:tcBorders>
              <w:bottom w:val="single" w:sz="8" w:color="auto"/>
            </w:tcBorders>
            <w:gridSpan w:val="2"/>
            <w:vMerge w:val="continue"/>
            <w:shd w:val="clear" w:color="auto" w:fill="CEFFE7"/>
          </w:tcPr>
          <w:p>
            <w:pPr>
              <w:spacing w:after="0"/>
              <w:rPr>
                <w:sz w:val="14"/>
                <w:szCs w:val="14"/>
                <w:color w:val="auto"/>
              </w:rPr>
            </w:pPr>
          </w:p>
        </w:tc>
        <w:tc>
          <w:tcPr>
            <w:tcW w:w="720" w:type="dxa"/>
            <w:vAlign w:val="bottom"/>
            <w:tcBorders>
              <w:bottom w:val="single" w:sz="8" w:color="auto"/>
            </w:tcBorders>
            <w:vMerge w:val="continue"/>
            <w:shd w:val="clear" w:color="auto" w:fill="CEFFE7"/>
          </w:tcPr>
          <w:p>
            <w:pPr>
              <w:spacing w:after="0"/>
              <w:rPr>
                <w:sz w:val="14"/>
                <w:szCs w:val="14"/>
                <w:color w:val="auto"/>
              </w:rPr>
            </w:pPr>
          </w:p>
        </w:tc>
        <w:tc>
          <w:tcPr>
            <w:tcW w:w="240" w:type="dxa"/>
            <w:vAlign w:val="bottom"/>
            <w:tcBorders>
              <w:bottom w:val="single" w:sz="8" w:color="auto"/>
            </w:tcBorders>
            <w:vMerge w:val="continue"/>
            <w:shd w:val="clear" w:color="auto" w:fill="CEFFE7"/>
          </w:tcPr>
          <w:p>
            <w:pPr>
              <w:spacing w:after="0"/>
              <w:rPr>
                <w:sz w:val="14"/>
                <w:szCs w:val="14"/>
                <w:color w:val="auto"/>
              </w:rPr>
            </w:pPr>
          </w:p>
        </w:tc>
        <w:tc>
          <w:tcPr>
            <w:tcW w:w="760" w:type="dxa"/>
            <w:vAlign w:val="bottom"/>
            <w:tcBorders>
              <w:bottom w:val="single" w:sz="8" w:color="auto"/>
            </w:tcBorders>
            <w:vMerge w:val="continue"/>
            <w:shd w:val="clear" w:color="auto" w:fill="CEFFE7"/>
          </w:tcPr>
          <w:p>
            <w:pPr>
              <w:spacing w:after="0"/>
              <w:rPr>
                <w:sz w:val="14"/>
                <w:szCs w:val="14"/>
                <w:color w:val="auto"/>
              </w:rPr>
            </w:pPr>
          </w:p>
        </w:tc>
        <w:tc>
          <w:tcPr>
            <w:tcW w:w="160" w:type="dxa"/>
            <w:vAlign w:val="bottom"/>
            <w:tcBorders>
              <w:bottom w:val="single" w:sz="8" w:color="auto"/>
            </w:tcBorders>
            <w:vMerge w:val="continue"/>
            <w:shd w:val="clear" w:color="auto" w:fill="CEFFE7"/>
          </w:tcPr>
          <w:p>
            <w:pPr>
              <w:spacing w:after="0"/>
              <w:rPr>
                <w:sz w:val="14"/>
                <w:szCs w:val="14"/>
                <w:color w:val="auto"/>
              </w:rPr>
            </w:pPr>
          </w:p>
        </w:tc>
        <w:tc>
          <w:tcPr>
            <w:tcW w:w="820" w:type="dxa"/>
            <w:vAlign w:val="bottom"/>
            <w:tcBorders>
              <w:bottom w:val="single" w:sz="8" w:color="auto"/>
            </w:tcBorders>
            <w:vMerge w:val="continue"/>
            <w:shd w:val="clear" w:color="auto" w:fill="CEFFE7"/>
          </w:tcPr>
          <w:p>
            <w:pPr>
              <w:spacing w:after="0"/>
              <w:rPr>
                <w:sz w:val="14"/>
                <w:szCs w:val="14"/>
                <w:color w:val="auto"/>
              </w:rPr>
            </w:pPr>
          </w:p>
        </w:tc>
        <w:tc>
          <w:tcPr>
            <w:tcW w:w="20" w:type="dxa"/>
            <w:vAlign w:val="bottom"/>
            <w:tcBorders>
              <w:bottom w:val="single" w:sz="8" w:color="CEFFE7"/>
            </w:tcBorders>
            <w:shd w:val="clear" w:color="auto" w:fill="CEFFE7"/>
          </w:tcPr>
          <w:p>
            <w:pPr>
              <w:spacing w:after="0"/>
              <w:rPr>
                <w:sz w:val="14"/>
                <w:szCs w:val="14"/>
                <w:color w:val="auto"/>
              </w:rPr>
            </w:pPr>
          </w:p>
        </w:tc>
        <w:tc>
          <w:tcPr>
            <w:tcW w:w="80" w:type="dxa"/>
            <w:vAlign w:val="bottom"/>
            <w:tcBorders>
              <w:bottom w:val="single" w:sz="8" w:color="CEFFE7"/>
            </w:tcBorders>
            <w:vMerge w:val="continue"/>
            <w:shd w:val="clear" w:color="auto" w:fill="CEFFE7"/>
          </w:tcPr>
          <w:p>
            <w:pPr>
              <w:spacing w:after="0"/>
              <w:rPr>
                <w:sz w:val="14"/>
                <w:szCs w:val="14"/>
                <w:color w:val="auto"/>
              </w:rPr>
            </w:pPr>
          </w:p>
        </w:tc>
        <w:tc>
          <w:tcPr>
            <w:tcW w:w="1240" w:type="dxa"/>
            <w:vAlign w:val="bottom"/>
            <w:tcBorders>
              <w:bottom w:val="single" w:sz="8" w:color="auto"/>
            </w:tcBorders>
            <w:gridSpan w:val="2"/>
            <w:vMerge w:val="continue"/>
            <w:shd w:val="clear" w:color="auto" w:fill="CEFFE7"/>
          </w:tcPr>
          <w:p>
            <w:pPr>
              <w:spacing w:after="0"/>
              <w:rPr>
                <w:sz w:val="14"/>
                <w:szCs w:val="14"/>
                <w:color w:val="auto"/>
              </w:rPr>
            </w:pPr>
          </w:p>
        </w:tc>
        <w:tc>
          <w:tcPr>
            <w:tcW w:w="1080" w:type="dxa"/>
            <w:vAlign w:val="bottom"/>
            <w:tcBorders>
              <w:bottom w:val="single" w:sz="8" w:color="auto"/>
            </w:tcBorders>
            <w:vMerge w:val="continue"/>
            <w:shd w:val="clear" w:color="auto" w:fill="CEFFE7"/>
          </w:tcPr>
          <w:p>
            <w:pPr>
              <w:spacing w:after="0"/>
              <w:rPr>
                <w:sz w:val="14"/>
                <w:szCs w:val="14"/>
                <w:color w:val="auto"/>
              </w:rPr>
            </w:pPr>
          </w:p>
        </w:tc>
        <w:tc>
          <w:tcPr>
            <w:tcW w:w="1200" w:type="dxa"/>
            <w:vAlign w:val="bottom"/>
            <w:tcBorders>
              <w:bottom w:val="single" w:sz="8" w:color="auto"/>
            </w:tcBorders>
            <w:vMerge w:val="continue"/>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7"/>
          </w:tcPr>
          <w:p>
            <w:pPr>
              <w:jc w:val="right"/>
              <w:ind w:right="368"/>
              <w:spacing w:after="0"/>
              <w:rPr>
                <w:sz w:val="20"/>
                <w:szCs w:val="20"/>
                <w:color w:val="auto"/>
              </w:rPr>
            </w:pPr>
            <w:r>
              <w:rPr>
                <w:rFonts w:ascii="Arial" w:cs="Arial" w:eastAsia="Arial" w:hAnsi="Arial"/>
                <w:sz w:val="16"/>
                <w:szCs w:val="16"/>
                <w:color w:val="auto"/>
              </w:rPr>
              <w:t>For the year ended December 31,</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2020</w:t>
            </w: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1025"/>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right"/>
              <w:ind w:right="28"/>
              <w:spacing w:after="0" w:line="174" w:lineRule="exact"/>
              <w:rPr>
                <w:sz w:val="20"/>
                <w:szCs w:val="20"/>
                <w:color w:val="auto"/>
              </w:rPr>
            </w:pPr>
            <w:r>
              <w:rPr>
                <w:rFonts w:ascii="Arial" w:cs="Arial" w:eastAsia="Arial" w:hAnsi="Arial"/>
                <w:sz w:val="16"/>
                <w:szCs w:val="16"/>
                <w:color w:val="auto"/>
                <w:w w:val="99"/>
              </w:rPr>
              <w:t>Variance From</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jc w:val="right"/>
              <w:ind w:right="408"/>
              <w:spacing w:after="0" w:line="174" w:lineRule="exact"/>
              <w:rPr>
                <w:sz w:val="20"/>
                <w:szCs w:val="20"/>
                <w:color w:val="auto"/>
              </w:rPr>
            </w:pPr>
            <w:r>
              <w:rPr>
                <w:rFonts w:ascii="Arial" w:cs="Arial" w:eastAsia="Arial" w:hAnsi="Arial"/>
                <w:sz w:val="16"/>
                <w:szCs w:val="16"/>
                <w:color w:val="auto"/>
              </w:rPr>
              <w:t>Variance From</w:t>
            </w:r>
          </w:p>
        </w:tc>
        <w:tc>
          <w:tcPr>
            <w:tcW w:w="1080" w:type="dxa"/>
            <w:vAlign w:val="bottom"/>
          </w:tcPr>
          <w:p>
            <w:pPr>
              <w:spacing w:after="0"/>
              <w:rPr>
                <w:sz w:val="15"/>
                <w:szCs w:val="15"/>
                <w:color w:val="auto"/>
              </w:rPr>
            </w:pPr>
          </w:p>
        </w:tc>
        <w:tc>
          <w:tcPr>
            <w:tcW w:w="1200" w:type="dxa"/>
            <w:vAlign w:val="bottom"/>
          </w:tcPr>
          <w:p>
            <w:pPr>
              <w:jc w:val="right"/>
              <w:ind w:right="45"/>
              <w:spacing w:after="0" w:line="174" w:lineRule="exact"/>
              <w:rPr>
                <w:sz w:val="20"/>
                <w:szCs w:val="20"/>
                <w:color w:val="auto"/>
              </w:rPr>
            </w:pPr>
            <w:r>
              <w:rPr>
                <w:rFonts w:ascii="Arial" w:cs="Arial" w:eastAsia="Arial" w:hAnsi="Arial"/>
                <w:sz w:val="16"/>
                <w:szCs w:val="16"/>
                <w:color w:val="auto"/>
              </w:rPr>
              <w:t>Variance From</w:t>
            </w:r>
          </w:p>
        </w:tc>
        <w:tc>
          <w:tcPr>
            <w:tcW w:w="0" w:type="dxa"/>
            <w:vAlign w:val="bottom"/>
          </w:tcPr>
          <w:p>
            <w:pPr>
              <w:spacing w:after="0"/>
              <w:rPr>
                <w:sz w:val="1"/>
                <w:szCs w:val="1"/>
                <w:color w:val="auto"/>
              </w:rPr>
            </w:pPr>
          </w:p>
        </w:tc>
      </w:tr>
      <w:tr>
        <w:trPr>
          <w:trHeight w:val="198"/>
        </w:trPr>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Heating Degree Days:</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85"/>
              <w:spacing w:after="0"/>
              <w:rPr>
                <w:sz w:val="20"/>
                <w:szCs w:val="20"/>
                <w:color w:val="auto"/>
              </w:rPr>
            </w:pPr>
            <w:r>
              <w:rPr>
                <w:rFonts w:ascii="Arial" w:cs="Arial" w:eastAsia="Arial" w:hAnsi="Arial"/>
                <w:sz w:val="16"/>
                <w:szCs w:val="16"/>
                <w:color w:val="auto"/>
              </w:rPr>
              <w:t>Actual</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Normal</w:t>
            </w: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color w:val="auto"/>
              </w:rPr>
              <w:t>Actual</w:t>
            </w:r>
          </w:p>
        </w:tc>
        <w:tc>
          <w:tcPr>
            <w:tcW w:w="132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6"/>
                <w:szCs w:val="16"/>
                <w:color w:val="auto"/>
              </w:rPr>
              <w:t>Normal</w:t>
            </w:r>
          </w:p>
        </w:tc>
        <w:tc>
          <w:tcPr>
            <w:tcW w:w="108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color w:val="auto"/>
              </w:rPr>
              <w:t>Actual</w:t>
            </w:r>
          </w:p>
        </w:tc>
        <w:tc>
          <w:tcPr>
            <w:tcW w:w="120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color w:val="auto"/>
              </w:rPr>
              <w:t>Normal</w:t>
            </w:r>
          </w:p>
        </w:tc>
        <w:tc>
          <w:tcPr>
            <w:tcW w:w="0" w:type="dxa"/>
            <w:vAlign w:val="bottom"/>
          </w:tcPr>
          <w:p>
            <w:pPr>
              <w:spacing w:after="0"/>
              <w:rPr>
                <w:sz w:val="1"/>
                <w:szCs w:val="1"/>
                <w:color w:val="auto"/>
              </w:rPr>
            </w:pPr>
          </w:p>
        </w:tc>
      </w:tr>
      <w:tr>
        <w:trPr>
          <w:trHeight w:val="212"/>
        </w:trPr>
        <w:tc>
          <w:tcPr>
            <w:tcW w:w="156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Arkansas </w:t>
            </w:r>
            <w:r>
              <w:rPr>
                <w:rFonts w:ascii="Arial" w:cs="Arial" w:eastAsia="Arial" w:hAnsi="Arial"/>
                <w:sz w:val="21"/>
                <w:szCs w:val="21"/>
                <w:color w:val="auto"/>
                <w:vertAlign w:val="superscript"/>
              </w:rPr>
              <w:t>(a)</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05"/>
              <w:spacing w:after="0"/>
              <w:rPr>
                <w:sz w:val="20"/>
                <w:szCs w:val="20"/>
                <w:color w:val="auto"/>
              </w:rPr>
            </w:pPr>
            <w:r>
              <w:rPr>
                <w:rFonts w:ascii="Arial" w:cs="Arial" w:eastAsia="Arial" w:hAnsi="Arial"/>
                <w:sz w:val="16"/>
                <w:szCs w:val="16"/>
                <w:color w:val="auto"/>
              </w:rPr>
              <w:t>3,897</w:t>
            </w:r>
          </w:p>
        </w:tc>
        <w:tc>
          <w:tcPr>
            <w:tcW w:w="20" w:type="dxa"/>
            <w:vAlign w:val="bottom"/>
          </w:tcPr>
          <w:p>
            <w:pPr>
              <w:spacing w:after="0"/>
              <w:rPr>
                <w:sz w:val="18"/>
                <w:szCs w:val="18"/>
                <w:color w:val="auto"/>
              </w:rPr>
            </w:pPr>
          </w:p>
        </w:tc>
        <w:tc>
          <w:tcPr>
            <w:tcW w:w="1320" w:type="dxa"/>
            <w:vAlign w:val="bottom"/>
            <w:gridSpan w:val="3"/>
          </w:tcPr>
          <w:p>
            <w:pPr>
              <w:jc w:val="right"/>
              <w:ind w:right="768"/>
              <w:spacing w:after="0"/>
              <w:rPr>
                <w:sz w:val="20"/>
                <w:szCs w:val="20"/>
                <w:color w:val="auto"/>
              </w:rPr>
            </w:pPr>
            <w:r>
              <w:rPr>
                <w:rFonts w:ascii="Arial" w:cs="Arial" w:eastAsia="Arial" w:hAnsi="Arial"/>
                <w:sz w:val="16"/>
                <w:szCs w:val="16"/>
                <w:color w:val="auto"/>
              </w:rPr>
              <w:t>(4)%</w:t>
            </w:r>
          </w:p>
        </w:tc>
        <w:tc>
          <w:tcPr>
            <w:tcW w:w="1080" w:type="dxa"/>
            <w:vAlign w:val="bottom"/>
          </w:tcPr>
          <w:p>
            <w:pPr>
              <w:jc w:val="right"/>
              <w:ind w:right="65"/>
              <w:spacing w:after="0"/>
              <w:rPr>
                <w:sz w:val="20"/>
                <w:szCs w:val="20"/>
                <w:color w:val="auto"/>
              </w:rPr>
            </w:pPr>
            <w:r>
              <w:rPr>
                <w:rFonts w:ascii="Arial" w:cs="Arial" w:eastAsia="Arial" w:hAnsi="Arial"/>
                <w:sz w:val="16"/>
                <w:szCs w:val="16"/>
                <w:color w:val="auto"/>
              </w:rPr>
              <w:t>4,169</w:t>
            </w:r>
          </w:p>
        </w:tc>
        <w:tc>
          <w:tcPr>
            <w:tcW w:w="1200" w:type="dxa"/>
            <w:vAlign w:val="bottom"/>
          </w:tcPr>
          <w:p>
            <w:pPr>
              <w:jc w:val="right"/>
              <w:ind w:right="445"/>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1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w:t>
            </w:r>
          </w:p>
        </w:tc>
        <w:tc>
          <w:tcPr>
            <w:tcW w:w="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5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6,068</w:t>
            </w:r>
          </w:p>
        </w:tc>
        <w:tc>
          <w:tcPr>
            <w:tcW w:w="10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7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(8)%</w:t>
            </w:r>
          </w:p>
        </w:tc>
        <w:tc>
          <w:tcPr>
            <w:tcW w:w="24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820" w:type="dxa"/>
            <w:vAlign w:val="bottom"/>
            <w:shd w:val="clear" w:color="auto" w:fill="CEFFE7"/>
          </w:tcPr>
          <w:p>
            <w:pPr>
              <w:jc w:val="right"/>
              <w:ind w:right="305"/>
              <w:spacing w:after="0"/>
              <w:rPr>
                <w:sz w:val="20"/>
                <w:szCs w:val="20"/>
                <w:color w:val="auto"/>
              </w:rPr>
            </w:pPr>
            <w:r>
              <w:rPr>
                <w:rFonts w:ascii="Arial" w:cs="Arial" w:eastAsia="Arial" w:hAnsi="Arial"/>
                <w:sz w:val="16"/>
                <w:szCs w:val="16"/>
                <w:color w:val="auto"/>
              </w:rPr>
              <w:t>6,672</w:t>
            </w:r>
          </w:p>
        </w:tc>
        <w:tc>
          <w:tcPr>
            <w:tcW w:w="20" w:type="dxa"/>
            <w:vAlign w:val="bottom"/>
            <w:shd w:val="clear" w:color="auto" w:fill="CEFFE7"/>
          </w:tcPr>
          <w:p>
            <w:pPr>
              <w:spacing w:after="0"/>
              <w:rPr>
                <w:sz w:val="18"/>
                <w:szCs w:val="18"/>
                <w:color w:val="auto"/>
              </w:rPr>
            </w:pPr>
          </w:p>
        </w:tc>
        <w:tc>
          <w:tcPr>
            <w:tcW w:w="1320" w:type="dxa"/>
            <w:vAlign w:val="bottom"/>
            <w:gridSpan w:val="3"/>
            <w:shd w:val="clear" w:color="auto" w:fill="CEFFE7"/>
          </w:tcPr>
          <w:p>
            <w:pPr>
              <w:jc w:val="right"/>
              <w:ind w:right="828"/>
              <w:spacing w:after="0"/>
              <w:rPr>
                <w:sz w:val="20"/>
                <w:szCs w:val="20"/>
                <w:color w:val="auto"/>
              </w:rPr>
            </w:pPr>
            <w:r>
              <w:rPr>
                <w:rFonts w:ascii="Arial" w:cs="Arial" w:eastAsia="Arial" w:hAnsi="Arial"/>
                <w:sz w:val="16"/>
                <w:szCs w:val="16"/>
                <w:color w:val="auto"/>
              </w:rPr>
              <w:t>1%</w:t>
            </w:r>
          </w:p>
        </w:tc>
        <w:tc>
          <w:tcPr>
            <w:tcW w:w="1080" w:type="dxa"/>
            <w:vAlign w:val="bottom"/>
            <w:shd w:val="clear" w:color="auto" w:fill="CEFFE7"/>
          </w:tcPr>
          <w:p>
            <w:pPr>
              <w:jc w:val="right"/>
              <w:ind w:right="65"/>
              <w:spacing w:after="0"/>
              <w:rPr>
                <w:sz w:val="20"/>
                <w:szCs w:val="20"/>
                <w:color w:val="auto"/>
              </w:rPr>
            </w:pPr>
            <w:r>
              <w:rPr>
                <w:rFonts w:ascii="Arial" w:cs="Arial" w:eastAsia="Arial" w:hAnsi="Arial"/>
                <w:sz w:val="16"/>
                <w:szCs w:val="16"/>
                <w:color w:val="auto"/>
              </w:rPr>
              <w:t>6,136</w:t>
            </w:r>
          </w:p>
        </w:tc>
        <w:tc>
          <w:tcPr>
            <w:tcW w:w="1200" w:type="dxa"/>
            <w:vAlign w:val="bottom"/>
            <w:shd w:val="clear" w:color="auto" w:fill="CEFFE7"/>
          </w:tcPr>
          <w:p>
            <w:pPr>
              <w:jc w:val="right"/>
              <w:ind w:right="405"/>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1560" w:type="dxa"/>
            <w:vAlign w:val="bottom"/>
          </w:tcPr>
          <w:p>
            <w:pPr>
              <w:ind w:left="20"/>
              <w:spacing w:after="0"/>
              <w:rPr>
                <w:sz w:val="20"/>
                <w:szCs w:val="20"/>
                <w:color w:val="auto"/>
              </w:rPr>
            </w:pPr>
            <w:r>
              <w:rPr>
                <w:rFonts w:ascii="Arial" w:cs="Arial" w:eastAsia="Arial" w:hAnsi="Arial"/>
                <w:sz w:val="16"/>
                <w:szCs w:val="16"/>
                <w:color w:val="auto"/>
              </w:rPr>
              <w:t>Iowa</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05"/>
              <w:spacing w:after="0"/>
              <w:rPr>
                <w:sz w:val="20"/>
                <w:szCs w:val="20"/>
                <w:color w:val="auto"/>
              </w:rPr>
            </w:pPr>
            <w:r>
              <w:rPr>
                <w:rFonts w:ascii="Arial" w:cs="Arial" w:eastAsia="Arial" w:hAnsi="Arial"/>
                <w:sz w:val="16"/>
                <w:szCs w:val="16"/>
                <w:color w:val="auto"/>
              </w:rPr>
              <w:t>7,200</w:t>
            </w:r>
          </w:p>
        </w:tc>
        <w:tc>
          <w:tcPr>
            <w:tcW w:w="20" w:type="dxa"/>
            <w:vAlign w:val="bottom"/>
          </w:tcPr>
          <w:p>
            <w:pPr>
              <w:spacing w:after="0"/>
              <w:rPr>
                <w:sz w:val="18"/>
                <w:szCs w:val="18"/>
                <w:color w:val="auto"/>
              </w:rPr>
            </w:pPr>
          </w:p>
        </w:tc>
        <w:tc>
          <w:tcPr>
            <w:tcW w:w="1320" w:type="dxa"/>
            <w:vAlign w:val="bottom"/>
            <w:gridSpan w:val="3"/>
          </w:tcPr>
          <w:p>
            <w:pPr>
              <w:jc w:val="right"/>
              <w:ind w:right="828"/>
              <w:spacing w:after="0"/>
              <w:rPr>
                <w:sz w:val="20"/>
                <w:szCs w:val="20"/>
                <w:color w:val="auto"/>
              </w:rPr>
            </w:pPr>
            <w:r>
              <w:rPr>
                <w:rFonts w:ascii="Arial" w:cs="Arial" w:eastAsia="Arial" w:hAnsi="Arial"/>
                <w:sz w:val="16"/>
                <w:szCs w:val="16"/>
                <w:color w:val="auto"/>
              </w:rPr>
              <w:t>6%</w:t>
            </w:r>
          </w:p>
        </w:tc>
        <w:tc>
          <w:tcPr>
            <w:tcW w:w="1080" w:type="dxa"/>
            <w:vAlign w:val="bottom"/>
          </w:tcPr>
          <w:p>
            <w:pPr>
              <w:jc w:val="right"/>
              <w:ind w:right="65"/>
              <w:spacing w:after="0"/>
              <w:rPr>
                <w:sz w:val="20"/>
                <w:szCs w:val="20"/>
                <w:color w:val="auto"/>
              </w:rPr>
            </w:pPr>
            <w:r>
              <w:rPr>
                <w:rFonts w:ascii="Arial" w:cs="Arial" w:eastAsia="Arial" w:hAnsi="Arial"/>
                <w:sz w:val="16"/>
                <w:szCs w:val="16"/>
                <w:color w:val="auto"/>
              </w:rPr>
              <w:t>7,192</w:t>
            </w:r>
          </w:p>
        </w:tc>
        <w:tc>
          <w:tcPr>
            <w:tcW w:w="1200" w:type="dxa"/>
            <w:vAlign w:val="bottom"/>
          </w:tcPr>
          <w:p>
            <w:pPr>
              <w:jc w:val="right"/>
              <w:ind w:right="445"/>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156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Kansas </w:t>
            </w:r>
            <w:r>
              <w:rPr>
                <w:rFonts w:ascii="Arial" w:cs="Arial" w:eastAsia="Arial" w:hAnsi="Arial"/>
                <w:sz w:val="21"/>
                <w:szCs w:val="21"/>
                <w:color w:val="auto"/>
                <w:vertAlign w:val="superscript"/>
              </w:rPr>
              <w:t>(a)</w:t>
            </w:r>
          </w:p>
        </w:tc>
        <w:tc>
          <w:tcPr>
            <w:tcW w:w="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5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4,648</w:t>
            </w: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7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w:t>
            </w:r>
          </w:p>
        </w:tc>
        <w:tc>
          <w:tcPr>
            <w:tcW w:w="24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20" w:type="dxa"/>
            <w:vAlign w:val="bottom"/>
            <w:shd w:val="clear" w:color="auto" w:fill="CEFFE7"/>
          </w:tcPr>
          <w:p>
            <w:pPr>
              <w:jc w:val="right"/>
              <w:ind w:right="305"/>
              <w:spacing w:after="0"/>
              <w:rPr>
                <w:sz w:val="20"/>
                <w:szCs w:val="20"/>
                <w:color w:val="auto"/>
              </w:rPr>
            </w:pPr>
            <w:r>
              <w:rPr>
                <w:rFonts w:ascii="Arial" w:cs="Arial" w:eastAsia="Arial" w:hAnsi="Arial"/>
                <w:sz w:val="16"/>
                <w:szCs w:val="16"/>
                <w:color w:val="auto"/>
              </w:rPr>
              <w:t>5,190</w:t>
            </w:r>
          </w:p>
        </w:tc>
        <w:tc>
          <w:tcPr>
            <w:tcW w:w="20" w:type="dxa"/>
            <w:vAlign w:val="bottom"/>
            <w:shd w:val="clear" w:color="auto" w:fill="CEFFE7"/>
          </w:tcPr>
          <w:p>
            <w:pPr>
              <w:spacing w:after="0"/>
              <w:rPr>
                <w:sz w:val="19"/>
                <w:szCs w:val="19"/>
                <w:color w:val="auto"/>
              </w:rPr>
            </w:pPr>
          </w:p>
        </w:tc>
        <w:tc>
          <w:tcPr>
            <w:tcW w:w="1320" w:type="dxa"/>
            <w:vAlign w:val="bottom"/>
            <w:gridSpan w:val="3"/>
            <w:shd w:val="clear" w:color="auto" w:fill="CEFFE7"/>
          </w:tcPr>
          <w:p>
            <w:pPr>
              <w:jc w:val="right"/>
              <w:ind w:right="828"/>
              <w:spacing w:after="0"/>
              <w:rPr>
                <w:sz w:val="20"/>
                <w:szCs w:val="20"/>
                <w:color w:val="auto"/>
              </w:rPr>
            </w:pPr>
            <w:r>
              <w:rPr>
                <w:rFonts w:ascii="Arial" w:cs="Arial" w:eastAsia="Arial" w:hAnsi="Arial"/>
                <w:sz w:val="16"/>
                <w:szCs w:val="16"/>
                <w:color w:val="auto"/>
              </w:rPr>
              <w:t>6%</w:t>
            </w:r>
          </w:p>
        </w:tc>
        <w:tc>
          <w:tcPr>
            <w:tcW w:w="1080" w:type="dxa"/>
            <w:vAlign w:val="bottom"/>
            <w:shd w:val="clear" w:color="auto" w:fill="CEFFE7"/>
          </w:tcPr>
          <w:p>
            <w:pPr>
              <w:jc w:val="right"/>
              <w:ind w:right="65"/>
              <w:spacing w:after="0"/>
              <w:rPr>
                <w:sz w:val="20"/>
                <w:szCs w:val="20"/>
                <w:color w:val="auto"/>
              </w:rPr>
            </w:pPr>
            <w:r>
              <w:rPr>
                <w:rFonts w:ascii="Arial" w:cs="Arial" w:eastAsia="Arial" w:hAnsi="Arial"/>
                <w:sz w:val="16"/>
                <w:szCs w:val="16"/>
                <w:color w:val="auto"/>
              </w:rPr>
              <w:t>5,242</w:t>
            </w:r>
          </w:p>
        </w:tc>
        <w:tc>
          <w:tcPr>
            <w:tcW w:w="1200" w:type="dxa"/>
            <w:vAlign w:val="bottom"/>
            <w:shd w:val="clear" w:color="auto" w:fill="CEFFE7"/>
          </w:tcPr>
          <w:p>
            <w:pPr>
              <w:jc w:val="right"/>
              <w:ind w:right="445"/>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1560" w:type="dxa"/>
            <w:vAlign w:val="bottom"/>
          </w:tcPr>
          <w:p>
            <w:pPr>
              <w:ind w:left="20"/>
              <w:spacing w:after="0"/>
              <w:rPr>
                <w:sz w:val="20"/>
                <w:szCs w:val="20"/>
                <w:color w:val="auto"/>
              </w:rPr>
            </w:pPr>
            <w:r>
              <w:rPr>
                <w:rFonts w:ascii="Arial" w:cs="Arial" w:eastAsia="Arial" w:hAnsi="Arial"/>
                <w:sz w:val="16"/>
                <w:szCs w:val="16"/>
                <w:color w:val="auto"/>
              </w:rPr>
              <w:t>Nebraska</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05"/>
              <w:spacing w:after="0"/>
              <w:rPr>
                <w:sz w:val="20"/>
                <w:szCs w:val="20"/>
                <w:color w:val="auto"/>
              </w:rPr>
            </w:pPr>
            <w:r>
              <w:rPr>
                <w:rFonts w:ascii="Arial" w:cs="Arial" w:eastAsia="Arial" w:hAnsi="Arial"/>
                <w:sz w:val="16"/>
                <w:szCs w:val="16"/>
                <w:color w:val="auto"/>
              </w:rPr>
              <w:t>6,578</w:t>
            </w:r>
          </w:p>
        </w:tc>
        <w:tc>
          <w:tcPr>
            <w:tcW w:w="20" w:type="dxa"/>
            <w:vAlign w:val="bottom"/>
          </w:tcPr>
          <w:p>
            <w:pPr>
              <w:spacing w:after="0"/>
              <w:rPr>
                <w:sz w:val="18"/>
                <w:szCs w:val="18"/>
                <w:color w:val="auto"/>
              </w:rPr>
            </w:pPr>
          </w:p>
        </w:tc>
        <w:tc>
          <w:tcPr>
            <w:tcW w:w="1320" w:type="dxa"/>
            <w:vAlign w:val="bottom"/>
            <w:gridSpan w:val="3"/>
          </w:tcPr>
          <w:p>
            <w:pPr>
              <w:jc w:val="right"/>
              <w:ind w:right="828"/>
              <w:spacing w:after="0"/>
              <w:rPr>
                <w:sz w:val="20"/>
                <w:szCs w:val="20"/>
                <w:color w:val="auto"/>
              </w:rPr>
            </w:pPr>
            <w:r>
              <w:rPr>
                <w:rFonts w:ascii="Arial" w:cs="Arial" w:eastAsia="Arial" w:hAnsi="Arial"/>
                <w:sz w:val="16"/>
                <w:szCs w:val="16"/>
                <w:color w:val="auto"/>
              </w:rPr>
              <w:t>7%</w:t>
            </w:r>
          </w:p>
        </w:tc>
        <w:tc>
          <w:tcPr>
            <w:tcW w:w="1080" w:type="dxa"/>
            <w:vAlign w:val="bottom"/>
          </w:tcPr>
          <w:p>
            <w:pPr>
              <w:jc w:val="right"/>
              <w:ind w:right="65"/>
              <w:spacing w:after="0"/>
              <w:rPr>
                <w:sz w:val="20"/>
                <w:szCs w:val="20"/>
                <w:color w:val="auto"/>
              </w:rPr>
            </w:pPr>
            <w:r>
              <w:rPr>
                <w:rFonts w:ascii="Arial" w:cs="Arial" w:eastAsia="Arial" w:hAnsi="Arial"/>
                <w:sz w:val="16"/>
                <w:szCs w:val="16"/>
                <w:color w:val="auto"/>
              </w:rPr>
              <w:t>6,563</w:t>
            </w:r>
          </w:p>
        </w:tc>
        <w:tc>
          <w:tcPr>
            <w:tcW w:w="1200" w:type="dxa"/>
            <w:vAlign w:val="bottom"/>
          </w:tcPr>
          <w:p>
            <w:pPr>
              <w:jc w:val="right"/>
              <w:ind w:right="445"/>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1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w:t>
            </w:r>
          </w:p>
        </w:tc>
        <w:tc>
          <w:tcPr>
            <w:tcW w:w="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5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7,289</w:t>
            </w: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7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w:t>
            </w:r>
          </w:p>
        </w:tc>
        <w:tc>
          <w:tcPr>
            <w:tcW w:w="24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20" w:type="dxa"/>
            <w:vAlign w:val="bottom"/>
            <w:shd w:val="clear" w:color="auto" w:fill="CEFFE7"/>
          </w:tcPr>
          <w:p>
            <w:pPr>
              <w:jc w:val="right"/>
              <w:ind w:right="305"/>
              <w:spacing w:after="0"/>
              <w:rPr>
                <w:sz w:val="20"/>
                <w:szCs w:val="20"/>
                <w:color w:val="auto"/>
              </w:rPr>
            </w:pPr>
            <w:r>
              <w:rPr>
                <w:rFonts w:ascii="Arial" w:cs="Arial" w:eastAsia="Arial" w:hAnsi="Arial"/>
                <w:sz w:val="16"/>
                <w:szCs w:val="16"/>
                <w:color w:val="auto"/>
              </w:rPr>
              <w:t>8,010</w:t>
            </w:r>
          </w:p>
        </w:tc>
        <w:tc>
          <w:tcPr>
            <w:tcW w:w="20" w:type="dxa"/>
            <w:vAlign w:val="bottom"/>
            <w:shd w:val="clear" w:color="auto" w:fill="CEFFE7"/>
          </w:tcPr>
          <w:p>
            <w:pPr>
              <w:spacing w:after="0"/>
              <w:rPr>
                <w:sz w:val="19"/>
                <w:szCs w:val="19"/>
                <w:color w:val="auto"/>
              </w:rPr>
            </w:pPr>
          </w:p>
        </w:tc>
        <w:tc>
          <w:tcPr>
            <w:tcW w:w="1320" w:type="dxa"/>
            <w:vAlign w:val="bottom"/>
            <w:gridSpan w:val="3"/>
            <w:shd w:val="clear" w:color="auto" w:fill="CEFFE7"/>
          </w:tcPr>
          <w:p>
            <w:pPr>
              <w:jc w:val="right"/>
              <w:ind w:right="828"/>
              <w:spacing w:after="0"/>
              <w:rPr>
                <w:sz w:val="20"/>
                <w:szCs w:val="20"/>
                <w:color w:val="auto"/>
              </w:rPr>
            </w:pPr>
            <w:r>
              <w:rPr>
                <w:rFonts w:ascii="Arial" w:cs="Arial" w:eastAsia="Arial" w:hAnsi="Arial"/>
                <w:sz w:val="16"/>
                <w:szCs w:val="16"/>
                <w:color w:val="auto"/>
              </w:rPr>
              <w:t>7%</w:t>
            </w:r>
          </w:p>
        </w:tc>
        <w:tc>
          <w:tcPr>
            <w:tcW w:w="1080" w:type="dxa"/>
            <w:vAlign w:val="bottom"/>
            <w:shd w:val="clear" w:color="auto" w:fill="CEFFE7"/>
          </w:tcPr>
          <w:p>
            <w:pPr>
              <w:jc w:val="right"/>
              <w:ind w:right="65"/>
              <w:spacing w:after="0"/>
              <w:rPr>
                <w:sz w:val="20"/>
                <w:szCs w:val="20"/>
                <w:color w:val="auto"/>
              </w:rPr>
            </w:pPr>
            <w:r>
              <w:rPr>
                <w:rFonts w:ascii="Arial" w:cs="Arial" w:eastAsia="Arial" w:hAnsi="Arial"/>
                <w:sz w:val="16"/>
                <w:szCs w:val="16"/>
                <w:color w:val="auto"/>
              </w:rPr>
              <w:t>7,425</w:t>
            </w:r>
          </w:p>
        </w:tc>
        <w:tc>
          <w:tcPr>
            <w:tcW w:w="1200" w:type="dxa"/>
            <w:vAlign w:val="bottom"/>
            <w:shd w:val="clear" w:color="auto" w:fill="CEFFE7"/>
          </w:tcPr>
          <w:p>
            <w:pPr>
              <w:jc w:val="right"/>
              <w:ind w:right="405"/>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1"/>
        </w:trPr>
        <w:tc>
          <w:tcPr>
            <w:tcW w:w="1560" w:type="dxa"/>
            <w:vAlign w:val="bottom"/>
          </w:tcPr>
          <w:p>
            <w:pPr>
              <w:ind w:left="14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05"/>
              <w:spacing w:after="0"/>
              <w:rPr>
                <w:sz w:val="20"/>
                <w:szCs w:val="20"/>
                <w:color w:val="auto"/>
              </w:rPr>
            </w:pPr>
            <w:r>
              <w:rPr>
                <w:rFonts w:ascii="Arial" w:cs="Arial" w:eastAsia="Arial" w:hAnsi="Arial"/>
                <w:sz w:val="16"/>
                <w:szCs w:val="16"/>
                <w:color w:val="auto"/>
              </w:rPr>
              <w:t>6,840</w:t>
            </w:r>
          </w:p>
        </w:tc>
        <w:tc>
          <w:tcPr>
            <w:tcW w:w="20" w:type="dxa"/>
            <w:vAlign w:val="bottom"/>
          </w:tcPr>
          <w:p>
            <w:pPr>
              <w:spacing w:after="0"/>
              <w:rPr>
                <w:sz w:val="24"/>
                <w:szCs w:val="24"/>
                <w:color w:val="auto"/>
              </w:rPr>
            </w:pPr>
          </w:p>
        </w:tc>
        <w:tc>
          <w:tcPr>
            <w:tcW w:w="1320" w:type="dxa"/>
            <w:vAlign w:val="bottom"/>
            <w:gridSpan w:val="3"/>
          </w:tcPr>
          <w:p>
            <w:pPr>
              <w:jc w:val="right"/>
              <w:ind w:right="828"/>
              <w:spacing w:after="0"/>
              <w:rPr>
                <w:sz w:val="20"/>
                <w:szCs w:val="20"/>
                <w:color w:val="auto"/>
              </w:rPr>
            </w:pPr>
            <w:r>
              <w:rPr>
                <w:rFonts w:ascii="Arial" w:cs="Arial" w:eastAsia="Arial" w:hAnsi="Arial"/>
                <w:sz w:val="16"/>
                <w:szCs w:val="16"/>
                <w:color w:val="auto"/>
              </w:rPr>
              <w:t>5%</w:t>
            </w:r>
          </w:p>
        </w:tc>
        <w:tc>
          <w:tcPr>
            <w:tcW w:w="1080" w:type="dxa"/>
            <w:vAlign w:val="bottom"/>
          </w:tcPr>
          <w:p>
            <w:pPr>
              <w:jc w:val="right"/>
              <w:ind w:right="65"/>
              <w:spacing w:after="0"/>
              <w:rPr>
                <w:sz w:val="20"/>
                <w:szCs w:val="20"/>
                <w:color w:val="auto"/>
              </w:rPr>
            </w:pPr>
            <w:r>
              <w:rPr>
                <w:rFonts w:ascii="Arial" w:cs="Arial" w:eastAsia="Arial" w:hAnsi="Arial"/>
                <w:sz w:val="16"/>
                <w:szCs w:val="16"/>
                <w:color w:val="auto"/>
              </w:rPr>
              <w:t>6,628</w:t>
            </w:r>
          </w:p>
        </w:tc>
        <w:tc>
          <w:tcPr>
            <w:tcW w:w="1200" w:type="dxa"/>
            <w:vAlign w:val="bottom"/>
          </w:tcPr>
          <w:p>
            <w:pPr>
              <w:jc w:val="right"/>
              <w:ind w:right="445"/>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Arkansas and Kansas have weather normalization mechanisms that mitigate the weather impact on gross margins.</w:t>
      </w:r>
    </w:p>
    <w:p>
      <w:pPr>
        <w:spacing w:after="0" w:line="1" w:lineRule="exact"/>
        <w:rPr>
          <w:rFonts w:ascii="Arial" w:cs="Arial" w:eastAsia="Arial" w:hAnsi="Arial"/>
          <w:sz w:val="14"/>
          <w:szCs w:val="14"/>
          <w:color w:val="auto"/>
        </w:rPr>
      </w:pPr>
    </w:p>
    <w:p>
      <w:pPr>
        <w:ind w:left="340" w:hanging="332"/>
        <w:spacing w:after="0" w:line="258" w:lineRule="auto"/>
        <w:tabs>
          <w:tab w:leader="none" w:pos="349"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due to its weather normalization mechanism. Arkansas Gas is partially excluded based on the weather normalization mechanism in effect from November through April.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20"/>
                <w:szCs w:val="20"/>
                <w:color w:val="auto"/>
              </w:rPr>
            </w:pPr>
            <w:r>
              <w:rPr>
                <w:rFonts w:ascii="Arial" w:cs="Arial" w:eastAsia="Arial" w:hAnsi="Arial"/>
                <w:sz w:val="16"/>
                <w:szCs w:val="16"/>
                <w:b w:val="1"/>
                <w:bCs w:val="1"/>
                <w:color w:val="auto"/>
              </w:rPr>
              <w:t>Power Generation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2"/>
        </w:trPr>
        <w:tc>
          <w:tcPr>
            <w:tcW w:w="8500" w:type="dxa"/>
            <w:vAlign w:val="bottom"/>
            <w:gridSpan w:val="8"/>
          </w:tcPr>
          <w:p>
            <w:pPr>
              <w:spacing w:after="0"/>
              <w:rPr>
                <w:sz w:val="20"/>
                <w:szCs w:val="20"/>
                <w:color w:val="auto"/>
              </w:rPr>
            </w:pPr>
            <w:r>
              <w:rPr>
                <w:rFonts w:ascii="Arial" w:cs="Arial" w:eastAsia="Arial" w:hAnsi="Arial"/>
                <w:sz w:val="16"/>
                <w:szCs w:val="16"/>
                <w:color w:val="auto"/>
              </w:rPr>
              <w:t>Our Power Generation segment operating results for the years ended December 31 were as follows (in thousands):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7"/>
        </w:trPr>
        <w:tc>
          <w:tcPr>
            <w:tcW w:w="3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Variance</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253"/>
        </w:trPr>
        <w:tc>
          <w:tcPr>
            <w:tcW w:w="3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3"/>
        </w:trPr>
        <w:tc>
          <w:tcPr>
            <w:tcW w:w="372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105,047</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3,789</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101,258</w:t>
            </w:r>
          </w:p>
        </w:tc>
        <w:tc>
          <w:tcPr>
            <w:tcW w:w="3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8,807</w:t>
            </w:r>
          </w:p>
        </w:tc>
        <w:tc>
          <w:tcPr>
            <w:tcW w:w="3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92,451</w:t>
            </w:r>
          </w:p>
        </w:tc>
      </w:tr>
      <w:tr>
        <w:trPr>
          <w:trHeight w:val="253"/>
        </w:trPr>
        <w:tc>
          <w:tcPr>
            <w:tcW w:w="3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372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fuel</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8,993</w:t>
            </w:r>
          </w:p>
        </w:tc>
        <w:tc>
          <w:tcPr>
            <w:tcW w:w="3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w:t>
            </w:r>
          </w:p>
        </w:tc>
        <w:tc>
          <w:tcPr>
            <w:tcW w:w="34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9,059</w:t>
            </w:r>
          </w:p>
        </w:tc>
        <w:tc>
          <w:tcPr>
            <w:tcW w:w="32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467</w:t>
            </w:r>
          </w:p>
        </w:tc>
        <w:tc>
          <w:tcPr>
            <w:tcW w:w="36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8,592</w:t>
            </w: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33,695</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5,266</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28,429</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3,294</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25,135</w:t>
            </w:r>
          </w:p>
        </w:tc>
      </w:tr>
      <w:tr>
        <w:trPr>
          <w:trHeight w:val="216"/>
        </w:trPr>
        <w:tc>
          <w:tcPr>
            <w:tcW w:w="372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20,247</w:t>
            </w:r>
          </w:p>
        </w:tc>
        <w:tc>
          <w:tcPr>
            <w:tcW w:w="3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1,256</w:t>
            </w:r>
          </w:p>
        </w:tc>
        <w:tc>
          <w:tcPr>
            <w:tcW w:w="34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18,991</w:t>
            </w:r>
          </w:p>
        </w:tc>
        <w:tc>
          <w:tcPr>
            <w:tcW w:w="32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2,881</w:t>
            </w:r>
          </w:p>
        </w:tc>
        <w:tc>
          <w:tcPr>
            <w:tcW w:w="36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16,110</w:t>
            </w:r>
          </w:p>
        </w:tc>
      </w:tr>
      <w:tr>
        <w:trPr>
          <w:trHeight w:val="209"/>
        </w:trPr>
        <w:tc>
          <w:tcPr>
            <w:tcW w:w="372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62,935</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6,456</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56,479</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6,642</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49,837</w:t>
            </w:r>
          </w:p>
        </w:tc>
      </w:tr>
      <w:tr>
        <w:trPr>
          <w:trHeight w:val="199"/>
        </w:trPr>
        <w:tc>
          <w:tcPr>
            <w:tcW w:w="3720" w:type="dxa"/>
            <w:vAlign w:val="bottom"/>
            <w:shd w:val="clear" w:color="auto" w:fill="CEFFE7"/>
          </w:tcPr>
          <w:p>
            <w:pPr>
              <w:spacing w:after="0"/>
              <w:rPr>
                <w:sz w:val="17"/>
                <w:szCs w:val="17"/>
                <w:color w:val="auto"/>
              </w:rPr>
            </w:pPr>
          </w:p>
        </w:tc>
        <w:tc>
          <w:tcPr>
            <w:tcW w:w="34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shd w:val="clear" w:color="auto" w:fill="CEFFE7"/>
          </w:tcPr>
          <w:p>
            <w:pPr>
              <w:spacing w:after="0"/>
              <w:rPr>
                <w:sz w:val="17"/>
                <w:szCs w:val="17"/>
                <w:color w:val="auto"/>
              </w:rPr>
            </w:pPr>
          </w:p>
        </w:tc>
        <w:tc>
          <w:tcPr>
            <w:tcW w:w="300" w:type="dxa"/>
            <w:vAlign w:val="bottom"/>
            <w:tcBorders>
              <w:bottom w:val="single" w:sz="8" w:color="auto"/>
            </w:tcBorders>
            <w:shd w:val="clear" w:color="auto" w:fill="CEFFE7"/>
          </w:tcPr>
          <w:p>
            <w:pPr>
              <w:spacing w:after="0"/>
              <w:rPr>
                <w:sz w:val="17"/>
                <w:szCs w:val="17"/>
                <w:color w:val="auto"/>
              </w:rPr>
            </w:pPr>
          </w:p>
        </w:tc>
        <w:tc>
          <w:tcPr>
            <w:tcW w:w="1220" w:type="dxa"/>
            <w:vAlign w:val="bottom"/>
            <w:tcBorders>
              <w:bottom w:val="single" w:sz="8" w:color="auto"/>
            </w:tcBorders>
            <w:shd w:val="clear" w:color="auto" w:fill="CEFFE7"/>
          </w:tcPr>
          <w:p>
            <w:pPr>
              <w:spacing w:after="0"/>
              <w:rPr>
                <w:sz w:val="17"/>
                <w:szCs w:val="17"/>
                <w:color w:val="auto"/>
              </w:rPr>
            </w:pPr>
          </w:p>
        </w:tc>
        <w:tc>
          <w:tcPr>
            <w:tcW w:w="340" w:type="dxa"/>
            <w:vAlign w:val="bottom"/>
            <w:tcBorders>
              <w:bottom w:val="single" w:sz="8" w:color="auto"/>
            </w:tcBorders>
            <w:shd w:val="clear" w:color="auto" w:fill="CEFFE7"/>
          </w:tcPr>
          <w:p>
            <w:pPr>
              <w:spacing w:after="0"/>
              <w:rPr>
                <w:sz w:val="17"/>
                <w:szCs w:val="17"/>
                <w:color w:val="auto"/>
              </w:rPr>
            </w:pPr>
          </w:p>
        </w:tc>
        <w:tc>
          <w:tcPr>
            <w:tcW w:w="1120" w:type="dxa"/>
            <w:vAlign w:val="bottom"/>
            <w:tcBorders>
              <w:bottom w:val="single" w:sz="8" w:color="auto"/>
            </w:tcBorders>
            <w:shd w:val="clear" w:color="auto" w:fill="CEFFE7"/>
          </w:tcPr>
          <w:p>
            <w:pPr>
              <w:spacing w:after="0"/>
              <w:rPr>
                <w:sz w:val="17"/>
                <w:szCs w:val="17"/>
                <w:color w:val="auto"/>
              </w:rPr>
            </w:pPr>
          </w:p>
        </w:tc>
        <w:tc>
          <w:tcPr>
            <w:tcW w:w="320" w:type="dxa"/>
            <w:vAlign w:val="bottom"/>
            <w:tcBorders>
              <w:bottom w:val="single" w:sz="8" w:color="auto"/>
            </w:tcBorders>
            <w:shd w:val="clear" w:color="auto" w:fill="CEFFE7"/>
          </w:tcPr>
          <w:p>
            <w:pPr>
              <w:spacing w:after="0"/>
              <w:rPr>
                <w:sz w:val="17"/>
                <w:szCs w:val="17"/>
                <w:color w:val="auto"/>
              </w:rPr>
            </w:pPr>
          </w:p>
        </w:tc>
        <w:tc>
          <w:tcPr>
            <w:tcW w:w="1200" w:type="dxa"/>
            <w:vAlign w:val="bottom"/>
            <w:tcBorders>
              <w:bottom w:val="single" w:sz="8" w:color="auto"/>
            </w:tcBorders>
            <w:shd w:val="clear" w:color="auto" w:fill="CEFFE7"/>
          </w:tcPr>
          <w:p>
            <w:pPr>
              <w:spacing w:after="0"/>
              <w:rPr>
                <w:sz w:val="17"/>
                <w:szCs w:val="17"/>
                <w:color w:val="auto"/>
              </w:rPr>
            </w:pPr>
          </w:p>
        </w:tc>
        <w:tc>
          <w:tcPr>
            <w:tcW w:w="360" w:type="dxa"/>
            <w:vAlign w:val="bottom"/>
            <w:tcBorders>
              <w:bottom w:val="single" w:sz="8" w:color="auto"/>
            </w:tcBorders>
            <w:shd w:val="clear" w:color="auto" w:fill="CEFFE7"/>
          </w:tcPr>
          <w:p>
            <w:pPr>
              <w:spacing w:after="0"/>
              <w:rPr>
                <w:sz w:val="17"/>
                <w:szCs w:val="17"/>
                <w:color w:val="auto"/>
              </w:rPr>
            </w:pPr>
          </w:p>
        </w:tc>
        <w:tc>
          <w:tcPr>
            <w:tcW w:w="1180" w:type="dxa"/>
            <w:vAlign w:val="bottom"/>
            <w:tcBorders>
              <w:bottom w:val="single" w:sz="8" w:color="auto"/>
            </w:tcBorders>
            <w:shd w:val="clear" w:color="auto" w:fill="CEFFE7"/>
          </w:tcPr>
          <w:p>
            <w:pPr>
              <w:spacing w:after="0"/>
              <w:rPr>
                <w:sz w:val="17"/>
                <w:szCs w:val="17"/>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42,112</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(2,667)</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44,779</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42,614</w:t>
            </w:r>
          </w:p>
        </w:tc>
      </w:tr>
      <w:tr>
        <w:trPr>
          <w:trHeight w:val="21"/>
        </w:trPr>
        <w:tc>
          <w:tcPr>
            <w:tcW w:w="3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2020 Compared to 2019</w:t>
      </w:r>
    </w:p>
    <w:p>
      <w:pPr>
        <w:spacing w:after="0" w:line="24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Revenue increased in the current year due to increased wind megawatt hours sold primarily driven by Busch Ranch II, additional Black Hills Colorado IPP fired-engine hours and higher power sales agreement prices and volumes. Operating expenses increased in the current year primarily due to a $3.1 million expense related to the early retirement of certain assets and higher depreciation and maintenance expense from new wind assets. COVID-19 impacts included $0.4 million of expenses related to the sequestration of essential employees which were mostly offset by lower travel and training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0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24"/>
        </w:trPr>
        <w:tc>
          <w:tcPr>
            <w:tcW w:w="3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color w:val="auto"/>
              </w:rPr>
              <w:t>Revenue (in thousands)</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(a)</w:t>
            </w:r>
          </w:p>
        </w:tc>
        <w:tc>
          <w:tcPr>
            <w:tcW w:w="900" w:type="dxa"/>
            <w:vAlign w:val="bottom"/>
            <w:tcBorders>
              <w:bottom w:val="single" w:sz="8" w:color="auto"/>
            </w:tcBorders>
          </w:tcPr>
          <w:p>
            <w:pPr>
              <w:spacing w:after="0"/>
              <w:rPr>
                <w:sz w:val="24"/>
                <w:szCs w:val="24"/>
                <w:color w:val="auto"/>
              </w:rPr>
            </w:pPr>
          </w:p>
        </w:tc>
      </w:tr>
      <w:tr>
        <w:trPr>
          <w:trHeight w:val="20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 the year ended December 31,</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2019</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c>
          <w:tcPr>
            <w:tcW w:w="14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2019</w:t>
            </w: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r>
      <w:tr>
        <w:trPr>
          <w:trHeight w:val="213"/>
        </w:trPr>
        <w:tc>
          <w:tcPr>
            <w:tcW w:w="3500" w:type="dxa"/>
            <w:vAlign w:val="bottom"/>
            <w:shd w:val="clear" w:color="auto" w:fill="CEFEE7"/>
          </w:tcPr>
          <w:p>
            <w:pPr>
              <w:ind w:left="20"/>
              <w:spacing w:after="0"/>
              <w:rPr>
                <w:sz w:val="20"/>
                <w:szCs w:val="20"/>
                <w:color w:val="auto"/>
              </w:rPr>
            </w:pPr>
            <w:r>
              <w:rPr>
                <w:rFonts w:ascii="Arial" w:cs="Arial" w:eastAsia="Arial" w:hAnsi="Arial"/>
                <w:sz w:val="16"/>
                <w:szCs w:val="16"/>
                <w:color w:val="auto"/>
              </w:rPr>
              <w:t>Black Hills Colorado IPP</w:t>
            </w:r>
          </w:p>
        </w:tc>
        <w:tc>
          <w:tcPr>
            <w:tcW w:w="280" w:type="dxa"/>
            <w:vAlign w:val="bottom"/>
            <w:shd w:val="clear" w:color="auto" w:fill="CEFEE7"/>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57,057</w:t>
            </w:r>
          </w:p>
        </w:tc>
        <w:tc>
          <w:tcPr>
            <w:tcW w:w="300" w:type="dxa"/>
            <w:vAlign w:val="bottom"/>
            <w:shd w:val="clear" w:color="auto" w:fill="CEFE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55,191</w:t>
            </w:r>
          </w:p>
        </w:tc>
        <w:tc>
          <w:tcPr>
            <w:tcW w:w="360" w:type="dxa"/>
            <w:vAlign w:val="bottom"/>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55,331</w:t>
            </w:r>
          </w:p>
        </w:tc>
        <w:tc>
          <w:tcPr>
            <w:tcW w:w="120" w:type="dxa"/>
            <w:vAlign w:val="bottom"/>
            <w:shd w:val="clear" w:color="auto" w:fill="CEFEE7"/>
          </w:tcPr>
          <w:p>
            <w:pPr>
              <w:spacing w:after="0"/>
              <w:rPr>
                <w:sz w:val="18"/>
                <w:szCs w:val="18"/>
                <w:color w:val="auto"/>
              </w:rPr>
            </w:pPr>
          </w:p>
        </w:tc>
        <w:tc>
          <w:tcPr>
            <w:tcW w:w="1460" w:type="dxa"/>
            <w:vAlign w:val="bottom"/>
            <w:shd w:val="clear" w:color="auto" w:fill="CEFEE7"/>
          </w:tcPr>
          <w:p>
            <w:pPr>
              <w:jc w:val="right"/>
              <w:ind w:right="199"/>
              <w:spacing w:after="0"/>
              <w:rPr>
                <w:sz w:val="20"/>
                <w:szCs w:val="20"/>
                <w:color w:val="auto"/>
              </w:rPr>
            </w:pPr>
            <w:r>
              <w:rPr>
                <w:rFonts w:ascii="Arial" w:cs="Arial" w:eastAsia="Arial" w:hAnsi="Arial"/>
                <w:sz w:val="16"/>
                <w:szCs w:val="16"/>
                <w:color w:val="auto"/>
              </w:rPr>
              <w:t>1,076,819</w:t>
            </w:r>
          </w:p>
        </w:tc>
        <w:tc>
          <w:tcPr>
            <w:tcW w:w="1440" w:type="dxa"/>
            <w:vAlign w:val="bottom"/>
            <w:shd w:val="clear" w:color="auto" w:fill="CEFEE7"/>
          </w:tcPr>
          <w:p>
            <w:pPr>
              <w:jc w:val="right"/>
              <w:ind w:right="359"/>
              <w:spacing w:after="0"/>
              <w:rPr>
                <w:sz w:val="20"/>
                <w:szCs w:val="20"/>
                <w:color w:val="auto"/>
              </w:rPr>
            </w:pPr>
            <w:r>
              <w:rPr>
                <w:rFonts w:ascii="Arial" w:cs="Arial" w:eastAsia="Arial" w:hAnsi="Arial"/>
                <w:sz w:val="16"/>
                <w:szCs w:val="16"/>
                <w:color w:val="auto"/>
              </w:rPr>
              <w:t>935,997</w:t>
            </w:r>
          </w:p>
        </w:tc>
        <w:tc>
          <w:tcPr>
            <w:tcW w:w="9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1,000,577</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42,464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41,822</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36,978</w:t>
            </w:r>
          </w:p>
        </w:tc>
        <w:tc>
          <w:tcPr>
            <w:tcW w:w="120" w:type="dxa"/>
            <w:vAlign w:val="bottom"/>
          </w:tcPr>
          <w:p>
            <w:pPr>
              <w:spacing w:after="0"/>
              <w:rPr>
                <w:sz w:val="18"/>
                <w:szCs w:val="18"/>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633,389</w:t>
            </w:r>
          </w:p>
        </w:tc>
        <w:tc>
          <w:tcPr>
            <w:tcW w:w="1440" w:type="dxa"/>
            <w:vAlign w:val="bottom"/>
          </w:tcPr>
          <w:p>
            <w:pPr>
              <w:jc w:val="right"/>
              <w:ind w:right="359"/>
              <w:spacing w:after="0"/>
              <w:rPr>
                <w:sz w:val="20"/>
                <w:szCs w:val="20"/>
                <w:color w:val="auto"/>
              </w:rPr>
            </w:pPr>
            <w:r>
              <w:rPr>
                <w:rFonts w:ascii="Arial" w:cs="Arial" w:eastAsia="Arial" w:hAnsi="Arial"/>
                <w:sz w:val="16"/>
                <w:szCs w:val="16"/>
                <w:color w:val="auto"/>
              </w:rPr>
              <w:t>629,788</w:t>
            </w:r>
          </w:p>
        </w:tc>
        <w:tc>
          <w:tcPr>
            <w:tcW w:w="900" w:type="dxa"/>
            <w:vAlign w:val="bottom"/>
          </w:tcPr>
          <w:p>
            <w:pPr>
              <w:jc w:val="right"/>
              <w:spacing w:after="0"/>
              <w:rPr>
                <w:sz w:val="20"/>
                <w:szCs w:val="20"/>
                <w:color w:val="auto"/>
              </w:rPr>
            </w:pPr>
            <w:r>
              <w:rPr>
                <w:rFonts w:ascii="Arial" w:cs="Arial" w:eastAsia="Arial" w:hAnsi="Arial"/>
                <w:sz w:val="16"/>
                <w:szCs w:val="16"/>
                <w:color w:val="auto"/>
              </w:rPr>
              <w:t>582,938</w:t>
            </w:r>
          </w:p>
        </w:tc>
      </w:tr>
      <w:tr>
        <w:trPr>
          <w:trHeight w:val="216"/>
        </w:trPr>
        <w:tc>
          <w:tcPr>
            <w:tcW w:w="3500" w:type="dxa"/>
            <w:vAlign w:val="bottom"/>
            <w:shd w:val="clear" w:color="auto" w:fill="CEFEE7"/>
          </w:tcPr>
          <w:p>
            <w:pPr>
              <w:ind w:left="20"/>
              <w:spacing w:after="0"/>
              <w:rPr>
                <w:sz w:val="20"/>
                <w:szCs w:val="20"/>
                <w:color w:val="auto"/>
              </w:rPr>
            </w:pPr>
            <w:r>
              <w:rPr>
                <w:rFonts w:ascii="Arial" w:cs="Arial" w:eastAsia="Arial" w:hAnsi="Arial"/>
                <w:sz w:val="16"/>
                <w:szCs w:val="16"/>
                <w:color w:val="auto"/>
              </w:rPr>
              <w:t>Black Hills Electric Generation</w:t>
            </w:r>
          </w:p>
        </w:tc>
        <w:tc>
          <w:tcPr>
            <w:tcW w:w="280" w:type="dxa"/>
            <w:vAlign w:val="bottom"/>
            <w:tcBorders>
              <w:bottom w:val="single" w:sz="8" w:color="auto"/>
            </w:tcBorders>
            <w:shd w:val="clear" w:color="auto" w:fill="CEFEE7"/>
          </w:tcPr>
          <w:p>
            <w:pPr>
              <w:spacing w:after="0"/>
              <w:rPr>
                <w:sz w:val="18"/>
                <w:szCs w:val="18"/>
                <w:color w:val="auto"/>
              </w:rPr>
            </w:pPr>
          </w:p>
        </w:tc>
        <w:tc>
          <w:tcPr>
            <w:tcW w:w="96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5,526</w:t>
            </w:r>
          </w:p>
        </w:tc>
        <w:tc>
          <w:tcPr>
            <w:tcW w:w="300" w:type="dxa"/>
            <w:vAlign w:val="bottom"/>
            <w:tcBorders>
              <w:bottom w:val="single" w:sz="8" w:color="auto"/>
            </w:tcBorders>
            <w:shd w:val="clear" w:color="auto" w:fill="CEFEE7"/>
          </w:tcPr>
          <w:p>
            <w:pPr>
              <w:spacing w:after="0"/>
              <w:rPr>
                <w:sz w:val="18"/>
                <w:szCs w:val="18"/>
                <w:color w:val="auto"/>
              </w:rPr>
            </w:pPr>
          </w:p>
        </w:tc>
        <w:tc>
          <w:tcPr>
            <w:tcW w:w="9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4,245</w:t>
            </w:r>
          </w:p>
        </w:tc>
        <w:tc>
          <w:tcPr>
            <w:tcW w:w="360" w:type="dxa"/>
            <w:vAlign w:val="bottom"/>
            <w:tcBorders>
              <w:bottom w:val="single" w:sz="8" w:color="auto"/>
            </w:tcBorders>
            <w:shd w:val="clear" w:color="auto" w:fill="CEFEE7"/>
          </w:tcPr>
          <w:p>
            <w:pPr>
              <w:spacing w:after="0"/>
              <w:rPr>
                <w:sz w:val="18"/>
                <w:szCs w:val="18"/>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EFEE7"/>
          </w:tcPr>
          <w:p>
            <w:pPr>
              <w:spacing w:after="0"/>
              <w:rPr>
                <w:sz w:val="18"/>
                <w:szCs w:val="18"/>
                <w:color w:val="auto"/>
              </w:rPr>
            </w:pPr>
          </w:p>
        </w:tc>
        <w:tc>
          <w:tcPr>
            <w:tcW w:w="1460" w:type="dxa"/>
            <w:vAlign w:val="bottom"/>
            <w:tcBorders>
              <w:bottom w:val="single" w:sz="8" w:color="auto"/>
            </w:tcBorders>
            <w:shd w:val="clear" w:color="auto" w:fill="CEFEE7"/>
          </w:tcPr>
          <w:p>
            <w:pPr>
              <w:jc w:val="right"/>
              <w:ind w:right="179"/>
              <w:spacing w:after="0"/>
              <w:rPr>
                <w:sz w:val="20"/>
                <w:szCs w:val="20"/>
                <w:color w:val="auto"/>
              </w:rPr>
            </w:pPr>
            <w:r>
              <w:rPr>
                <w:rFonts w:ascii="Arial" w:cs="Arial" w:eastAsia="Arial" w:hAnsi="Arial"/>
                <w:sz w:val="16"/>
                <w:szCs w:val="16"/>
                <w:color w:val="auto"/>
              </w:rPr>
              <w:t>353,559</w:t>
            </w:r>
          </w:p>
        </w:tc>
        <w:tc>
          <w:tcPr>
            <w:tcW w:w="1440" w:type="dxa"/>
            <w:vAlign w:val="bottom"/>
            <w:tcBorders>
              <w:bottom w:val="single" w:sz="8" w:color="auto"/>
            </w:tcBorders>
            <w:shd w:val="clear" w:color="auto" w:fill="CEFEE7"/>
          </w:tcPr>
          <w:p>
            <w:pPr>
              <w:jc w:val="right"/>
              <w:ind w:right="359"/>
              <w:spacing w:after="0"/>
              <w:rPr>
                <w:sz w:val="20"/>
                <w:szCs w:val="20"/>
                <w:color w:val="auto"/>
              </w:rPr>
            </w:pPr>
            <w:r>
              <w:rPr>
                <w:rFonts w:ascii="Arial" w:cs="Arial" w:eastAsia="Arial" w:hAnsi="Arial"/>
                <w:sz w:val="16"/>
                <w:szCs w:val="16"/>
                <w:color w:val="auto"/>
              </w:rPr>
              <w:t>167,296</w:t>
            </w:r>
          </w:p>
        </w:tc>
        <w:tc>
          <w:tcPr>
            <w:tcW w:w="9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5,873</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Total Revenue and Quantities Sold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105,047</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101,258</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92,451</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2,063,767</w:t>
            </w: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1,733,081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1,589,388</w:t>
            </w:r>
          </w:p>
        </w:tc>
      </w:tr>
      <w:tr>
        <w:trPr>
          <w:trHeight w:val="20"/>
        </w:trPr>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Company use and losses are not included in the quantities sold.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40" w:type="dxa"/>
            <w:vAlign w:val="bottom"/>
            <w:gridSpan w:val="2"/>
          </w:tcPr>
          <w:p>
            <w:pPr>
              <w:jc w:val="right"/>
              <w:spacing w:after="0"/>
              <w:rPr>
                <w:sz w:val="20"/>
                <w:szCs w:val="20"/>
                <w:color w:val="auto"/>
              </w:rPr>
            </w:pPr>
            <w:r>
              <w:rPr>
                <w:rFonts w:ascii="Arial" w:cs="Arial" w:eastAsia="Arial" w:hAnsi="Arial"/>
                <w:sz w:val="16"/>
                <w:szCs w:val="16"/>
                <w:color w:val="auto"/>
              </w:rPr>
              <w:t>For the year ended December 31,</w:t>
            </w:r>
          </w:p>
        </w:tc>
        <w:tc>
          <w:tcPr>
            <w:tcW w:w="1000" w:type="dxa"/>
            <w:vAlign w:val="bottom"/>
          </w:tcPr>
          <w:p>
            <w:pPr>
              <w:spacing w:after="0"/>
              <w:rPr>
                <w:sz w:val="16"/>
                <w:szCs w:val="16"/>
                <w:color w:val="auto"/>
              </w:rPr>
            </w:pPr>
          </w:p>
        </w:tc>
      </w:tr>
      <w:tr>
        <w:trPr>
          <w:trHeight w:val="222"/>
        </w:trPr>
        <w:tc>
          <w:tcPr>
            <w:tcW w:w="4260" w:type="dxa"/>
            <w:vAlign w:val="bottom"/>
            <w:tcBorders>
              <w:bottom w:val="single" w:sz="8" w:color="auto"/>
            </w:tcBorders>
          </w:tcPr>
          <w:p>
            <w:pPr>
              <w:ind w:left="20"/>
              <w:spacing w:after="0" w:line="222" w:lineRule="exact"/>
              <w:rPr>
                <w:sz w:val="20"/>
                <w:szCs w:val="20"/>
                <w:color w:val="auto"/>
              </w:rPr>
            </w:pPr>
            <w:r>
              <w:rPr>
                <w:rFonts w:ascii="Arial" w:cs="Arial" w:eastAsia="Arial" w:hAnsi="Arial"/>
                <w:sz w:val="16"/>
                <w:szCs w:val="16"/>
                <w:color w:val="auto"/>
              </w:rPr>
              <w:t xml:space="preserve">Quantities Generated and Purchased (MWh) </w:t>
            </w:r>
            <w:r>
              <w:rPr>
                <w:rFonts w:ascii="Arial" w:cs="Arial" w:eastAsia="Arial" w:hAnsi="Arial"/>
                <w:sz w:val="21"/>
                <w:szCs w:val="21"/>
                <w:color w:val="auto"/>
                <w:vertAlign w:val="superscript"/>
              </w:rPr>
              <w:t>(a)</w:t>
            </w:r>
          </w:p>
        </w:tc>
        <w:tc>
          <w:tcPr>
            <w:tcW w:w="24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8"/>
              </w:rPr>
              <w:t>Fuel Type</w:t>
            </w:r>
          </w:p>
        </w:tc>
        <w:tc>
          <w:tcPr>
            <w:tcW w:w="17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2020</w:t>
            </w:r>
          </w:p>
        </w:tc>
        <w:tc>
          <w:tcPr>
            <w:tcW w:w="176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2019</w:t>
            </w: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2018</w:t>
            </w:r>
          </w:p>
        </w:tc>
      </w:tr>
      <w:tr>
        <w:trPr>
          <w:trHeight w:val="210"/>
        </w:trPr>
        <w:tc>
          <w:tcPr>
            <w:tcW w:w="4260" w:type="dxa"/>
            <w:vAlign w:val="bottom"/>
            <w:shd w:val="clear" w:color="auto" w:fill="CEFEE7"/>
          </w:tcPr>
          <w:p>
            <w:pPr>
              <w:ind w:left="20"/>
              <w:spacing w:after="0"/>
              <w:rPr>
                <w:sz w:val="20"/>
                <w:szCs w:val="20"/>
                <w:color w:val="auto"/>
              </w:rPr>
            </w:pPr>
            <w:r>
              <w:rPr>
                <w:rFonts w:ascii="Arial" w:cs="Arial" w:eastAsia="Arial" w:hAnsi="Arial"/>
                <w:sz w:val="16"/>
                <w:szCs w:val="16"/>
                <w:color w:val="auto"/>
              </w:rPr>
              <w:t>Generated:</w:t>
            </w:r>
          </w:p>
        </w:tc>
        <w:tc>
          <w:tcPr>
            <w:tcW w:w="2440" w:type="dxa"/>
            <w:vAlign w:val="bottom"/>
            <w:shd w:val="clear" w:color="auto" w:fill="CEFEE7"/>
          </w:tcPr>
          <w:p>
            <w:pPr>
              <w:spacing w:after="0"/>
              <w:rPr>
                <w:sz w:val="18"/>
                <w:szCs w:val="18"/>
                <w:color w:val="auto"/>
              </w:rPr>
            </w:pPr>
          </w:p>
        </w:tc>
        <w:tc>
          <w:tcPr>
            <w:tcW w:w="1780" w:type="dxa"/>
            <w:vAlign w:val="bottom"/>
            <w:shd w:val="clear" w:color="auto" w:fill="CEFEE7"/>
          </w:tcPr>
          <w:p>
            <w:pPr>
              <w:spacing w:after="0"/>
              <w:rPr>
                <w:sz w:val="18"/>
                <w:szCs w:val="18"/>
                <w:color w:val="auto"/>
              </w:rPr>
            </w:pPr>
          </w:p>
        </w:tc>
        <w:tc>
          <w:tcPr>
            <w:tcW w:w="1760" w:type="dxa"/>
            <w:vAlign w:val="bottom"/>
            <w:shd w:val="clear" w:color="auto" w:fill="CEFEE7"/>
          </w:tcPr>
          <w:p>
            <w:pPr>
              <w:spacing w:after="0"/>
              <w:rPr>
                <w:sz w:val="18"/>
                <w:szCs w:val="18"/>
                <w:color w:val="auto"/>
              </w:rPr>
            </w:pPr>
          </w:p>
        </w:tc>
        <w:tc>
          <w:tcPr>
            <w:tcW w:w="1000" w:type="dxa"/>
            <w:vAlign w:val="bottom"/>
            <w:shd w:val="clear" w:color="auto" w:fill="CEFEE7"/>
          </w:tcPr>
          <w:p>
            <w:pPr>
              <w:spacing w:after="0"/>
              <w:rPr>
                <w:sz w:val="18"/>
                <w:szCs w:val="18"/>
                <w:color w:val="auto"/>
              </w:rPr>
            </w:pPr>
          </w:p>
        </w:tc>
      </w:tr>
      <w:tr>
        <w:trPr>
          <w:trHeight w:val="213"/>
        </w:trPr>
        <w:tc>
          <w:tcPr>
            <w:tcW w:w="4260" w:type="dxa"/>
            <w:vAlign w:val="bottom"/>
          </w:tcPr>
          <w:p>
            <w:pPr>
              <w:ind w:left="240"/>
              <w:spacing w:after="0"/>
              <w:rPr>
                <w:sz w:val="20"/>
                <w:szCs w:val="20"/>
                <w:color w:val="auto"/>
              </w:rPr>
            </w:pPr>
            <w:r>
              <w:rPr>
                <w:rFonts w:ascii="Arial" w:cs="Arial" w:eastAsia="Arial" w:hAnsi="Arial"/>
                <w:sz w:val="16"/>
                <w:szCs w:val="16"/>
                <w:color w:val="auto"/>
              </w:rPr>
              <w:t>Black Hills Colorado IPP</w:t>
            </w:r>
          </w:p>
        </w:tc>
        <w:tc>
          <w:tcPr>
            <w:tcW w:w="2440" w:type="dxa"/>
            <w:vAlign w:val="bottom"/>
          </w:tcPr>
          <w:p>
            <w:pPr>
              <w:jc w:val="center"/>
              <w:ind w:left="59"/>
              <w:spacing w:after="0"/>
              <w:rPr>
                <w:sz w:val="20"/>
                <w:szCs w:val="20"/>
                <w:color w:val="auto"/>
              </w:rPr>
            </w:pPr>
            <w:r>
              <w:rPr>
                <w:rFonts w:ascii="Arial" w:cs="Arial" w:eastAsia="Arial" w:hAnsi="Arial"/>
                <w:sz w:val="16"/>
                <w:szCs w:val="16"/>
                <w:color w:val="auto"/>
              </w:rPr>
              <w:t>Natural Gas</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1,076,819</w:t>
            </w:r>
          </w:p>
        </w:tc>
        <w:tc>
          <w:tcPr>
            <w:tcW w:w="1760" w:type="dxa"/>
            <w:vAlign w:val="bottom"/>
          </w:tcPr>
          <w:p>
            <w:pPr>
              <w:jc w:val="right"/>
              <w:ind w:right="499"/>
              <w:spacing w:after="0"/>
              <w:rPr>
                <w:sz w:val="20"/>
                <w:szCs w:val="20"/>
                <w:color w:val="auto"/>
              </w:rPr>
            </w:pPr>
            <w:r>
              <w:rPr>
                <w:rFonts w:ascii="Arial" w:cs="Arial" w:eastAsia="Arial" w:hAnsi="Arial"/>
                <w:sz w:val="16"/>
                <w:szCs w:val="16"/>
                <w:color w:val="auto"/>
              </w:rPr>
              <w:t>935,997</w:t>
            </w:r>
          </w:p>
        </w:tc>
        <w:tc>
          <w:tcPr>
            <w:tcW w:w="1000" w:type="dxa"/>
            <w:vAlign w:val="bottom"/>
          </w:tcPr>
          <w:p>
            <w:pPr>
              <w:jc w:val="right"/>
              <w:spacing w:after="0"/>
              <w:rPr>
                <w:sz w:val="20"/>
                <w:szCs w:val="20"/>
                <w:color w:val="auto"/>
              </w:rPr>
            </w:pPr>
            <w:r>
              <w:rPr>
                <w:rFonts w:ascii="Arial" w:cs="Arial" w:eastAsia="Arial" w:hAnsi="Arial"/>
                <w:sz w:val="16"/>
                <w:szCs w:val="16"/>
                <w:color w:val="auto"/>
              </w:rPr>
              <w:t>1,000,577</w:t>
            </w:r>
          </w:p>
        </w:tc>
      </w:tr>
      <w:tr>
        <w:trPr>
          <w:trHeight w:val="219"/>
        </w:trPr>
        <w:tc>
          <w:tcPr>
            <w:tcW w:w="4260" w:type="dxa"/>
            <w:vAlign w:val="bottom"/>
            <w:shd w:val="clear" w:color="auto" w:fill="CEFEE7"/>
          </w:tcPr>
          <w:p>
            <w:pPr>
              <w:ind w:left="240"/>
              <w:spacing w:after="0"/>
              <w:rPr>
                <w:sz w:val="20"/>
                <w:szCs w:val="20"/>
                <w:color w:val="auto"/>
              </w:rPr>
            </w:pPr>
            <w:r>
              <w:rPr>
                <w:rFonts w:ascii="Arial" w:cs="Arial" w:eastAsia="Arial" w:hAnsi="Arial"/>
                <w:sz w:val="16"/>
                <w:szCs w:val="16"/>
                <w:color w:val="auto"/>
              </w:rPr>
              <w:t>Black Hills Wyoming</w:t>
            </w:r>
          </w:p>
        </w:tc>
        <w:tc>
          <w:tcPr>
            <w:tcW w:w="2440" w:type="dxa"/>
            <w:vAlign w:val="bottom"/>
            <w:shd w:val="clear" w:color="auto" w:fill="CEFEE7"/>
          </w:tcPr>
          <w:p>
            <w:pPr>
              <w:jc w:val="center"/>
              <w:ind w:left="59"/>
              <w:spacing w:after="0"/>
              <w:rPr>
                <w:sz w:val="20"/>
                <w:szCs w:val="20"/>
                <w:color w:val="auto"/>
              </w:rPr>
            </w:pPr>
            <w:r>
              <w:rPr>
                <w:rFonts w:ascii="Arial" w:cs="Arial" w:eastAsia="Arial" w:hAnsi="Arial"/>
                <w:sz w:val="16"/>
                <w:szCs w:val="16"/>
                <w:color w:val="auto"/>
              </w:rPr>
              <w:t>Coal</w:t>
            </w:r>
          </w:p>
        </w:tc>
        <w:tc>
          <w:tcPr>
            <w:tcW w:w="1780" w:type="dxa"/>
            <w:vAlign w:val="bottom"/>
            <w:shd w:val="clear" w:color="auto" w:fill="CEFEE7"/>
          </w:tcPr>
          <w:p>
            <w:pPr>
              <w:jc w:val="right"/>
              <w:ind w:right="259"/>
              <w:spacing w:after="0"/>
              <w:rPr>
                <w:sz w:val="20"/>
                <w:szCs w:val="20"/>
                <w:color w:val="auto"/>
              </w:rPr>
            </w:pPr>
            <w:r>
              <w:rPr>
                <w:rFonts w:ascii="Arial" w:cs="Arial" w:eastAsia="Arial" w:hAnsi="Arial"/>
                <w:sz w:val="16"/>
                <w:szCs w:val="16"/>
                <w:color w:val="auto"/>
              </w:rPr>
              <w:t>551,136</w:t>
            </w:r>
          </w:p>
        </w:tc>
        <w:tc>
          <w:tcPr>
            <w:tcW w:w="1760" w:type="dxa"/>
            <w:vAlign w:val="bottom"/>
            <w:shd w:val="clear" w:color="auto" w:fill="CEFEE7"/>
          </w:tcPr>
          <w:p>
            <w:pPr>
              <w:jc w:val="right"/>
              <w:ind w:right="499"/>
              <w:spacing w:after="0"/>
              <w:rPr>
                <w:sz w:val="20"/>
                <w:szCs w:val="20"/>
                <w:color w:val="auto"/>
              </w:rPr>
            </w:pPr>
            <w:r>
              <w:rPr>
                <w:rFonts w:ascii="Arial" w:cs="Arial" w:eastAsia="Arial" w:hAnsi="Arial"/>
                <w:sz w:val="16"/>
                <w:szCs w:val="16"/>
                <w:color w:val="auto"/>
              </w:rPr>
              <w:t>557,119</w:t>
            </w:r>
          </w:p>
        </w:tc>
        <w:tc>
          <w:tcPr>
            <w:tcW w:w="10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501,945</w:t>
            </w:r>
          </w:p>
        </w:tc>
      </w:tr>
      <w:tr>
        <w:trPr>
          <w:trHeight w:val="213"/>
        </w:trPr>
        <w:tc>
          <w:tcPr>
            <w:tcW w:w="4260" w:type="dxa"/>
            <w:vAlign w:val="bottom"/>
            <w:tcBorders>
              <w:bottom w:val="single" w:sz="8" w:color="CEFEE7"/>
            </w:tcBorders>
          </w:tcPr>
          <w:p>
            <w:pPr>
              <w:ind w:left="240"/>
              <w:spacing w:after="0"/>
              <w:rPr>
                <w:sz w:val="20"/>
                <w:szCs w:val="20"/>
                <w:color w:val="auto"/>
              </w:rPr>
            </w:pPr>
            <w:r>
              <w:rPr>
                <w:rFonts w:ascii="Arial" w:cs="Arial" w:eastAsia="Arial" w:hAnsi="Arial"/>
                <w:sz w:val="16"/>
                <w:szCs w:val="16"/>
                <w:color w:val="auto"/>
              </w:rPr>
              <w:t>Black Hills Electric Generation</w:t>
            </w:r>
          </w:p>
        </w:tc>
        <w:tc>
          <w:tcPr>
            <w:tcW w:w="2440" w:type="dxa"/>
            <w:vAlign w:val="bottom"/>
            <w:tcBorders>
              <w:bottom w:val="single" w:sz="8" w:color="CEFEE7"/>
            </w:tcBorders>
          </w:tcPr>
          <w:p>
            <w:pPr>
              <w:jc w:val="center"/>
              <w:ind w:left="59"/>
              <w:spacing w:after="0"/>
              <w:rPr>
                <w:sz w:val="20"/>
                <w:szCs w:val="20"/>
                <w:color w:val="auto"/>
              </w:rPr>
            </w:pPr>
            <w:r>
              <w:rPr>
                <w:rFonts w:ascii="Arial" w:cs="Arial" w:eastAsia="Arial" w:hAnsi="Arial"/>
                <w:sz w:val="16"/>
                <w:szCs w:val="16"/>
                <w:color w:val="auto"/>
              </w:rPr>
              <w:t>Wind</w:t>
            </w:r>
          </w:p>
        </w:tc>
        <w:tc>
          <w:tcPr>
            <w:tcW w:w="1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353,559</w:t>
            </w:r>
          </w:p>
        </w:tc>
        <w:tc>
          <w:tcPr>
            <w:tcW w:w="1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167,296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5,873</w:t>
            </w:r>
          </w:p>
        </w:tc>
      </w:tr>
      <w:tr>
        <w:trPr>
          <w:trHeight w:val="213"/>
        </w:trPr>
        <w:tc>
          <w:tcPr>
            <w:tcW w:w="4260" w:type="dxa"/>
            <w:vAlign w:val="bottom"/>
            <w:shd w:val="clear" w:color="auto" w:fill="CEFEE7"/>
          </w:tcPr>
          <w:p>
            <w:pPr>
              <w:ind w:left="440"/>
              <w:spacing w:after="0"/>
              <w:rPr>
                <w:sz w:val="20"/>
                <w:szCs w:val="20"/>
                <w:color w:val="auto"/>
              </w:rPr>
            </w:pPr>
            <w:r>
              <w:rPr>
                <w:rFonts w:ascii="Arial" w:cs="Arial" w:eastAsia="Arial" w:hAnsi="Arial"/>
                <w:sz w:val="16"/>
                <w:szCs w:val="16"/>
                <w:color w:val="auto"/>
              </w:rPr>
              <w:t>Total Generated</w:t>
            </w:r>
          </w:p>
        </w:tc>
        <w:tc>
          <w:tcPr>
            <w:tcW w:w="2440" w:type="dxa"/>
            <w:vAlign w:val="bottom"/>
            <w:shd w:val="clear" w:color="auto" w:fill="CEFEE7"/>
          </w:tcPr>
          <w:p>
            <w:pPr>
              <w:spacing w:after="0"/>
              <w:rPr>
                <w:sz w:val="18"/>
                <w:szCs w:val="18"/>
                <w:color w:val="auto"/>
              </w:rPr>
            </w:pPr>
          </w:p>
        </w:tc>
        <w:tc>
          <w:tcPr>
            <w:tcW w:w="1780" w:type="dxa"/>
            <w:vAlign w:val="bottom"/>
            <w:tcBorders>
              <w:bottom w:val="single" w:sz="8" w:color="auto"/>
            </w:tcBorders>
            <w:shd w:val="clear" w:color="auto" w:fill="CEFEE7"/>
          </w:tcPr>
          <w:p>
            <w:pPr>
              <w:jc w:val="right"/>
              <w:ind w:right="259"/>
              <w:spacing w:after="0"/>
              <w:rPr>
                <w:sz w:val="20"/>
                <w:szCs w:val="20"/>
                <w:color w:val="auto"/>
              </w:rPr>
            </w:pPr>
            <w:r>
              <w:rPr>
                <w:rFonts w:ascii="Arial" w:cs="Arial" w:eastAsia="Arial" w:hAnsi="Arial"/>
                <w:sz w:val="16"/>
                <w:szCs w:val="16"/>
                <w:color w:val="auto"/>
              </w:rPr>
              <w:t>1,981,514</w:t>
            </w:r>
          </w:p>
        </w:tc>
        <w:tc>
          <w:tcPr>
            <w:tcW w:w="1760" w:type="dxa"/>
            <w:vAlign w:val="bottom"/>
            <w:tcBorders>
              <w:bottom w:val="single" w:sz="8" w:color="auto"/>
            </w:tcBorders>
            <w:shd w:val="clear" w:color="auto" w:fill="CEFEE7"/>
          </w:tcPr>
          <w:p>
            <w:pPr>
              <w:jc w:val="right"/>
              <w:ind w:right="499"/>
              <w:spacing w:after="0"/>
              <w:rPr>
                <w:sz w:val="20"/>
                <w:szCs w:val="20"/>
                <w:color w:val="auto"/>
              </w:rPr>
            </w:pPr>
            <w:r>
              <w:rPr>
                <w:rFonts w:ascii="Arial" w:cs="Arial" w:eastAsia="Arial" w:hAnsi="Arial"/>
                <w:sz w:val="16"/>
                <w:szCs w:val="16"/>
                <w:color w:val="auto"/>
              </w:rPr>
              <w:t>1,660,412</w:t>
            </w:r>
          </w:p>
        </w:tc>
        <w:tc>
          <w:tcPr>
            <w:tcW w:w="10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1,508,395</w:t>
            </w:r>
          </w:p>
        </w:tc>
      </w:tr>
      <w:tr>
        <w:trPr>
          <w:trHeight w:val="193"/>
        </w:trPr>
        <w:tc>
          <w:tcPr>
            <w:tcW w:w="4260" w:type="dxa"/>
            <w:vAlign w:val="bottom"/>
          </w:tcPr>
          <w:p>
            <w:pPr>
              <w:ind w:left="20"/>
              <w:spacing w:after="0"/>
              <w:rPr>
                <w:sz w:val="20"/>
                <w:szCs w:val="20"/>
                <w:color w:val="auto"/>
              </w:rPr>
            </w:pPr>
            <w:r>
              <w:rPr>
                <w:rFonts w:ascii="Arial" w:cs="Arial" w:eastAsia="Arial" w:hAnsi="Arial"/>
                <w:sz w:val="16"/>
                <w:szCs w:val="16"/>
                <w:color w:val="auto"/>
              </w:rPr>
              <w:t>Purchased:</w:t>
            </w:r>
          </w:p>
        </w:tc>
        <w:tc>
          <w:tcPr>
            <w:tcW w:w="2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4260" w:type="dxa"/>
            <w:vAlign w:val="bottom"/>
            <w:shd w:val="clear" w:color="auto" w:fill="CEFEE7"/>
          </w:tcPr>
          <w:p>
            <w:pPr>
              <w:ind w:left="240"/>
              <w:spacing w:after="0" w:line="219" w:lineRule="exact"/>
              <w:rPr>
                <w:sz w:val="20"/>
                <w:szCs w:val="20"/>
                <w:color w:val="auto"/>
              </w:rPr>
            </w:pPr>
            <w:r>
              <w:rPr>
                <w:rFonts w:ascii="Arial" w:cs="Arial" w:eastAsia="Arial" w:hAnsi="Arial"/>
                <w:sz w:val="16"/>
                <w:szCs w:val="16"/>
                <w:color w:val="auto"/>
              </w:rPr>
              <w:t xml:space="preserve">Black Hills Wyoming </w:t>
            </w:r>
            <w:r>
              <w:rPr>
                <w:rFonts w:ascii="Arial" w:cs="Arial" w:eastAsia="Arial" w:hAnsi="Arial"/>
                <w:sz w:val="21"/>
                <w:szCs w:val="21"/>
                <w:color w:val="auto"/>
                <w:vertAlign w:val="superscript"/>
              </w:rPr>
              <w:t>(b)</w:t>
            </w:r>
          </w:p>
        </w:tc>
        <w:tc>
          <w:tcPr>
            <w:tcW w:w="2440" w:type="dxa"/>
            <w:vAlign w:val="bottom"/>
            <w:shd w:val="clear" w:color="auto" w:fill="CEFEE7"/>
          </w:tcPr>
          <w:p>
            <w:pPr>
              <w:jc w:val="center"/>
              <w:ind w:left="59"/>
              <w:spacing w:after="0"/>
              <w:rPr>
                <w:sz w:val="20"/>
                <w:szCs w:val="20"/>
                <w:color w:val="auto"/>
              </w:rPr>
            </w:pPr>
            <w:r>
              <w:rPr>
                <w:rFonts w:ascii="Arial" w:cs="Arial" w:eastAsia="Arial" w:hAnsi="Arial"/>
                <w:sz w:val="16"/>
                <w:szCs w:val="16"/>
                <w:color w:val="auto"/>
                <w:w w:val="99"/>
              </w:rPr>
              <w:t>Various</w:t>
            </w:r>
          </w:p>
        </w:tc>
        <w:tc>
          <w:tcPr>
            <w:tcW w:w="1780" w:type="dxa"/>
            <w:vAlign w:val="bottom"/>
            <w:tcBorders>
              <w:bottom w:val="single" w:sz="8" w:color="auto"/>
            </w:tcBorders>
            <w:shd w:val="clear" w:color="auto" w:fill="CEFEE7"/>
          </w:tcPr>
          <w:p>
            <w:pPr>
              <w:jc w:val="right"/>
              <w:ind w:right="259"/>
              <w:spacing w:after="0"/>
              <w:rPr>
                <w:sz w:val="20"/>
                <w:szCs w:val="20"/>
                <w:color w:val="auto"/>
              </w:rPr>
            </w:pPr>
            <w:r>
              <w:rPr>
                <w:rFonts w:ascii="Arial" w:cs="Arial" w:eastAsia="Arial" w:hAnsi="Arial"/>
                <w:sz w:val="16"/>
                <w:szCs w:val="16"/>
                <w:color w:val="auto"/>
              </w:rPr>
              <w:t>82,525</w:t>
            </w:r>
          </w:p>
        </w:tc>
        <w:tc>
          <w:tcPr>
            <w:tcW w:w="1760" w:type="dxa"/>
            <w:vAlign w:val="bottom"/>
            <w:tcBorders>
              <w:bottom w:val="single" w:sz="8" w:color="auto"/>
            </w:tcBorders>
            <w:shd w:val="clear" w:color="auto" w:fill="CEFEE7"/>
          </w:tcPr>
          <w:p>
            <w:pPr>
              <w:jc w:val="right"/>
              <w:ind w:right="499"/>
              <w:spacing w:after="0"/>
              <w:rPr>
                <w:sz w:val="20"/>
                <w:szCs w:val="20"/>
                <w:color w:val="auto"/>
              </w:rPr>
            </w:pPr>
            <w:r>
              <w:rPr>
                <w:rFonts w:ascii="Arial" w:cs="Arial" w:eastAsia="Arial" w:hAnsi="Arial"/>
                <w:sz w:val="16"/>
                <w:szCs w:val="16"/>
                <w:color w:val="auto"/>
              </w:rPr>
              <w:t>74,199</w:t>
            </w:r>
          </w:p>
        </w:tc>
        <w:tc>
          <w:tcPr>
            <w:tcW w:w="10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83,213</w:t>
            </w:r>
          </w:p>
        </w:tc>
      </w:tr>
      <w:tr>
        <w:trPr>
          <w:trHeight w:val="210"/>
        </w:trPr>
        <w:tc>
          <w:tcPr>
            <w:tcW w:w="4260" w:type="dxa"/>
            <w:vAlign w:val="bottom"/>
          </w:tcPr>
          <w:p>
            <w:pPr>
              <w:ind w:left="440"/>
              <w:spacing w:after="0"/>
              <w:rPr>
                <w:sz w:val="20"/>
                <w:szCs w:val="20"/>
                <w:color w:val="auto"/>
              </w:rPr>
            </w:pPr>
            <w:r>
              <w:rPr>
                <w:rFonts w:ascii="Arial" w:cs="Arial" w:eastAsia="Arial" w:hAnsi="Arial"/>
                <w:sz w:val="16"/>
                <w:szCs w:val="16"/>
                <w:color w:val="auto"/>
              </w:rPr>
              <w:t>Total Generated and Purchased</w:t>
            </w:r>
          </w:p>
        </w:tc>
        <w:tc>
          <w:tcPr>
            <w:tcW w:w="2440" w:type="dxa"/>
            <w:vAlign w:val="bottom"/>
          </w:tcPr>
          <w:p>
            <w:pPr>
              <w:spacing w:after="0"/>
              <w:rPr>
                <w:sz w:val="18"/>
                <w:szCs w:val="18"/>
                <w:color w:val="auto"/>
              </w:rPr>
            </w:pPr>
          </w:p>
        </w:tc>
        <w:tc>
          <w:tcPr>
            <w:tcW w:w="1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82,525</w:t>
            </w:r>
          </w:p>
        </w:tc>
        <w:tc>
          <w:tcPr>
            <w:tcW w:w="1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74,199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83,213</w:t>
            </w:r>
          </w:p>
        </w:tc>
      </w:tr>
      <w:tr>
        <w:trPr>
          <w:trHeight w:val="20"/>
        </w:trPr>
        <w:tc>
          <w:tcPr>
            <w:tcW w:w="4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Company use and losses are not included in the quantities generated and purchased.</w:t>
      </w:r>
    </w:p>
    <w:p>
      <w:pPr>
        <w:spacing w:after="0" w:line="1" w:lineRule="exact"/>
        <w:rPr>
          <w:rFonts w:ascii="Arial" w:cs="Arial" w:eastAsia="Arial" w:hAnsi="Arial"/>
          <w:sz w:val="14"/>
          <w:szCs w:val="14"/>
          <w:color w:val="auto"/>
        </w:rPr>
      </w:pPr>
    </w:p>
    <w:p>
      <w:pPr>
        <w:ind w:left="340" w:right="220" w:hanging="332"/>
        <w:spacing w:after="0" w:line="249" w:lineRule="auto"/>
        <w:tabs>
          <w:tab w:leader="none" w:pos="352"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Under the 20-year economy energy PSA (discussed in </w:t>
      </w:r>
      <w:hyperlink w:anchor="page85">
        <w:r>
          <w:rPr>
            <w:rFonts w:ascii="Arial" w:cs="Arial" w:eastAsia="Arial" w:hAnsi="Arial"/>
            <w:sz w:val="14"/>
            <w:szCs w:val="14"/>
            <w:u w:val="single" w:color="auto"/>
            <w:color w:val="0000FF"/>
          </w:rPr>
          <w:t>Note 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 with the City of Gillette,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215"/>
        </w:trPr>
        <w:tc>
          <w:tcPr>
            <w:tcW w:w="674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10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2020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2019</w:t>
            </w:r>
          </w:p>
        </w:tc>
        <w:tc>
          <w:tcPr>
            <w:tcW w:w="100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color w:val="auto"/>
              </w:rPr>
              <w:t>2018</w:t>
            </w:r>
          </w:p>
        </w:tc>
      </w:tr>
      <w:tr>
        <w:trPr>
          <w:trHeight w:val="209"/>
        </w:trPr>
        <w:tc>
          <w:tcPr>
            <w:tcW w:w="6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Coal</w:t>
            </w:r>
          </w:p>
        </w:tc>
        <w:tc>
          <w:tcPr>
            <w:tcW w:w="1020" w:type="dxa"/>
            <w:vAlign w:val="bottom"/>
            <w:shd w:val="clear" w:color="auto" w:fill="CEFFE7"/>
          </w:tcPr>
          <w:p>
            <w:pPr>
              <w:jc w:val="center"/>
              <w:ind w:left="399"/>
              <w:spacing w:after="0"/>
              <w:rPr>
                <w:sz w:val="20"/>
                <w:szCs w:val="20"/>
                <w:color w:val="auto"/>
              </w:rPr>
            </w:pPr>
            <w:r>
              <w:rPr>
                <w:rFonts w:ascii="Arial" w:cs="Arial" w:eastAsia="Arial" w:hAnsi="Arial"/>
                <w:sz w:val="16"/>
                <w:szCs w:val="16"/>
                <w:color w:val="auto"/>
              </w:rPr>
              <w:t>95.4%</w:t>
            </w:r>
          </w:p>
        </w:tc>
        <w:tc>
          <w:tcPr>
            <w:tcW w:w="24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94.5%</w:t>
            </w:r>
          </w:p>
        </w:tc>
        <w:tc>
          <w:tcPr>
            <w:tcW w:w="1000" w:type="dxa"/>
            <w:vAlign w:val="bottom"/>
            <w:shd w:val="clear" w:color="auto" w:fill="CEFFE7"/>
          </w:tcPr>
          <w:p>
            <w:pPr>
              <w:jc w:val="center"/>
              <w:ind w:right="419"/>
              <w:spacing w:after="0"/>
              <w:rPr>
                <w:sz w:val="20"/>
                <w:szCs w:val="20"/>
                <w:color w:val="auto"/>
              </w:rPr>
            </w:pPr>
            <w:r>
              <w:rPr>
                <w:rFonts w:ascii="Arial" w:cs="Arial" w:eastAsia="Arial" w:hAnsi="Arial"/>
                <w:sz w:val="16"/>
                <w:szCs w:val="16"/>
                <w:color w:val="auto"/>
              </w:rPr>
              <w:t>85.8%</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Natural gas</w:t>
            </w:r>
          </w:p>
        </w:tc>
        <w:tc>
          <w:tcPr>
            <w:tcW w:w="1020" w:type="dxa"/>
            <w:vAlign w:val="bottom"/>
          </w:tcPr>
          <w:p>
            <w:pPr>
              <w:jc w:val="center"/>
              <w:ind w:left="399"/>
              <w:spacing w:after="0"/>
              <w:rPr>
                <w:sz w:val="20"/>
                <w:szCs w:val="20"/>
                <w:color w:val="auto"/>
              </w:rPr>
            </w:pPr>
            <w:r>
              <w:rPr>
                <w:rFonts w:ascii="Arial" w:cs="Arial" w:eastAsia="Arial" w:hAnsi="Arial"/>
                <w:sz w:val="16"/>
                <w:szCs w:val="16"/>
                <w:color w:val="auto"/>
              </w:rPr>
              <w:t>99.5%</w:t>
            </w:r>
          </w:p>
        </w:tc>
        <w:tc>
          <w:tcPr>
            <w:tcW w:w="2480" w:type="dxa"/>
            <w:vAlign w:val="bottom"/>
          </w:tcPr>
          <w:p>
            <w:pPr>
              <w:jc w:val="center"/>
              <w:spacing w:after="0"/>
              <w:rPr>
                <w:sz w:val="20"/>
                <w:szCs w:val="20"/>
                <w:color w:val="auto"/>
              </w:rPr>
            </w:pPr>
            <w:r>
              <w:rPr>
                <w:rFonts w:ascii="Arial" w:cs="Arial" w:eastAsia="Arial" w:hAnsi="Arial"/>
                <w:sz w:val="16"/>
                <w:szCs w:val="16"/>
                <w:color w:val="auto"/>
              </w:rPr>
              <w:t>98.6%</w:t>
            </w:r>
          </w:p>
        </w:tc>
        <w:tc>
          <w:tcPr>
            <w:tcW w:w="1000" w:type="dxa"/>
            <w:vAlign w:val="bottom"/>
          </w:tcPr>
          <w:p>
            <w:pPr>
              <w:jc w:val="center"/>
              <w:ind w:right="419"/>
              <w:spacing w:after="0"/>
              <w:rPr>
                <w:sz w:val="20"/>
                <w:szCs w:val="20"/>
                <w:color w:val="auto"/>
              </w:rPr>
            </w:pPr>
            <w:r>
              <w:rPr>
                <w:rFonts w:ascii="Arial" w:cs="Arial" w:eastAsia="Arial" w:hAnsi="Arial"/>
                <w:sz w:val="16"/>
                <w:szCs w:val="16"/>
                <w:color w:val="auto"/>
              </w:rPr>
              <w:t>99.4%</w:t>
            </w:r>
          </w:p>
        </w:tc>
      </w:tr>
      <w:tr>
        <w:trPr>
          <w:trHeight w:val="219"/>
        </w:trPr>
        <w:tc>
          <w:tcPr>
            <w:tcW w:w="6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020" w:type="dxa"/>
            <w:vAlign w:val="bottom"/>
            <w:shd w:val="clear" w:color="auto" w:fill="CEFFE7"/>
          </w:tcPr>
          <w:p>
            <w:pPr>
              <w:jc w:val="center"/>
              <w:ind w:left="399"/>
              <w:spacing w:after="0"/>
              <w:rPr>
                <w:sz w:val="20"/>
                <w:szCs w:val="20"/>
                <w:color w:val="auto"/>
              </w:rPr>
            </w:pPr>
            <w:r>
              <w:rPr>
                <w:rFonts w:ascii="Arial" w:cs="Arial" w:eastAsia="Arial" w:hAnsi="Arial"/>
                <w:sz w:val="16"/>
                <w:szCs w:val="16"/>
                <w:color w:val="auto"/>
              </w:rPr>
              <w:t>92.8%</w:t>
            </w:r>
          </w:p>
        </w:tc>
        <w:tc>
          <w:tcPr>
            <w:tcW w:w="24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90.6%</w:t>
            </w:r>
          </w:p>
        </w:tc>
        <w:tc>
          <w:tcPr>
            <w:tcW w:w="10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N/A</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1020" w:type="dxa"/>
            <w:vAlign w:val="bottom"/>
          </w:tcPr>
          <w:p>
            <w:pPr>
              <w:jc w:val="center"/>
              <w:ind w:left="399"/>
              <w:spacing w:after="0"/>
              <w:rPr>
                <w:sz w:val="20"/>
                <w:szCs w:val="20"/>
                <w:color w:val="auto"/>
              </w:rPr>
            </w:pPr>
            <w:r>
              <w:rPr>
                <w:rFonts w:ascii="Arial" w:cs="Arial" w:eastAsia="Arial" w:hAnsi="Arial"/>
                <w:sz w:val="16"/>
                <w:szCs w:val="16"/>
                <w:color w:val="auto"/>
              </w:rPr>
              <w:t>96.4%</w:t>
            </w:r>
          </w:p>
        </w:tc>
        <w:tc>
          <w:tcPr>
            <w:tcW w:w="2480" w:type="dxa"/>
            <w:vAlign w:val="bottom"/>
          </w:tcPr>
          <w:p>
            <w:pPr>
              <w:jc w:val="center"/>
              <w:spacing w:after="0"/>
              <w:rPr>
                <w:sz w:val="20"/>
                <w:szCs w:val="20"/>
                <w:color w:val="auto"/>
              </w:rPr>
            </w:pPr>
            <w:r>
              <w:rPr>
                <w:rFonts w:ascii="Arial" w:cs="Arial" w:eastAsia="Arial" w:hAnsi="Arial"/>
                <w:sz w:val="16"/>
                <w:szCs w:val="16"/>
                <w:color w:val="auto"/>
              </w:rPr>
              <w:t>95.0%</w:t>
            </w:r>
          </w:p>
        </w:tc>
        <w:tc>
          <w:tcPr>
            <w:tcW w:w="1000" w:type="dxa"/>
            <w:vAlign w:val="bottom"/>
          </w:tcPr>
          <w:p>
            <w:pPr>
              <w:jc w:val="center"/>
              <w:ind w:right="419"/>
              <w:spacing w:after="0"/>
              <w:rPr>
                <w:sz w:val="20"/>
                <w:szCs w:val="20"/>
                <w:color w:val="auto"/>
              </w:rPr>
            </w:pPr>
            <w:r>
              <w:rPr>
                <w:rFonts w:ascii="Arial" w:cs="Arial" w:eastAsia="Arial" w:hAnsi="Arial"/>
                <w:sz w:val="16"/>
                <w:szCs w:val="16"/>
                <w:color w:val="auto"/>
              </w:rPr>
              <w:t>95.9%</w:t>
            </w:r>
          </w:p>
        </w:tc>
      </w:tr>
      <w:tr>
        <w:trPr>
          <w:trHeight w:val="273"/>
        </w:trPr>
        <w:tc>
          <w:tcPr>
            <w:tcW w:w="674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c>
          <w:tcPr>
            <w:tcW w:w="248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r>
      <w:tr>
        <w:trPr>
          <w:trHeight w:val="210"/>
        </w:trPr>
        <w:tc>
          <w:tcPr>
            <w:tcW w:w="674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1020" w:type="dxa"/>
            <w:vAlign w:val="bottom"/>
          </w:tcPr>
          <w:p>
            <w:pPr>
              <w:jc w:val="center"/>
              <w:ind w:left="399"/>
              <w:spacing w:after="0"/>
              <w:rPr>
                <w:sz w:val="20"/>
                <w:szCs w:val="20"/>
                <w:color w:val="auto"/>
              </w:rPr>
            </w:pPr>
            <w:r>
              <w:rPr>
                <w:rFonts w:ascii="Arial" w:cs="Arial" w:eastAsia="Arial" w:hAnsi="Arial"/>
                <w:sz w:val="16"/>
                <w:szCs w:val="16"/>
                <w:color w:val="auto"/>
              </w:rPr>
              <w:t>26.6%</w:t>
            </w:r>
          </w:p>
        </w:tc>
        <w:tc>
          <w:tcPr>
            <w:tcW w:w="2480" w:type="dxa"/>
            <w:vAlign w:val="bottom"/>
          </w:tcPr>
          <w:p>
            <w:pPr>
              <w:jc w:val="center"/>
              <w:spacing w:after="0"/>
              <w:rPr>
                <w:sz w:val="20"/>
                <w:szCs w:val="20"/>
                <w:color w:val="auto"/>
              </w:rPr>
            </w:pPr>
            <w:r>
              <w:rPr>
                <w:rFonts w:ascii="Arial" w:cs="Arial" w:eastAsia="Arial" w:hAnsi="Arial"/>
                <w:sz w:val="16"/>
                <w:szCs w:val="16"/>
                <w:color w:val="auto"/>
              </w:rPr>
              <w:t>23.5%</w:t>
            </w:r>
          </w:p>
        </w:tc>
        <w:tc>
          <w:tcPr>
            <w:tcW w:w="1000" w:type="dxa"/>
            <w:vAlign w:val="bottom"/>
          </w:tcPr>
          <w:p>
            <w:pPr>
              <w:ind w:left="120"/>
              <w:spacing w:after="0"/>
              <w:rPr>
                <w:sz w:val="20"/>
                <w:szCs w:val="20"/>
                <w:color w:val="auto"/>
              </w:rPr>
            </w:pPr>
            <w:r>
              <w:rPr>
                <w:rFonts w:ascii="Arial" w:cs="Arial" w:eastAsia="Arial" w:hAnsi="Arial"/>
                <w:sz w:val="16"/>
                <w:szCs w:val="16"/>
                <w:color w:val="auto"/>
              </w:rPr>
              <w:t>N/A</w:t>
            </w:r>
          </w:p>
        </w:tc>
      </w:tr>
      <w:tr>
        <w:trPr>
          <w:trHeight w:val="254"/>
        </w:trPr>
        <w:tc>
          <w:tcPr>
            <w:tcW w:w="6740" w:type="dxa"/>
            <w:vAlign w:val="bottom"/>
          </w:tcPr>
          <w:p>
            <w:pPr>
              <w:spacing w:after="0"/>
              <w:rPr>
                <w:sz w:val="20"/>
                <w:szCs w:val="20"/>
                <w:color w:val="auto"/>
              </w:rPr>
            </w:pPr>
            <w:r>
              <w:rPr>
                <w:rFonts w:ascii="Arial" w:cs="Arial" w:eastAsia="Arial" w:hAnsi="Arial"/>
                <w:sz w:val="14"/>
                <w:szCs w:val="14"/>
                <w:color w:val="auto"/>
              </w:rPr>
              <w:t>___________</w:t>
            </w:r>
          </w:p>
        </w:tc>
        <w:tc>
          <w:tcPr>
            <w:tcW w:w="10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gridSpan w:val="2"/>
          </w:tcPr>
          <w:p>
            <w:pPr>
              <w:spacing w:after="0"/>
              <w:rPr>
                <w:sz w:val="20"/>
                <w:szCs w:val="20"/>
                <w:color w:val="auto"/>
              </w:rPr>
            </w:pPr>
            <w:r>
              <w:rPr>
                <w:rFonts w:ascii="Arial" w:cs="Arial" w:eastAsia="Arial" w:hAnsi="Arial"/>
                <w:sz w:val="16"/>
                <w:szCs w:val="16"/>
                <w:b w:val="1"/>
                <w:bCs w:val="1"/>
                <w:color w:val="auto"/>
              </w:rPr>
              <w:t>Mining</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00" w:type="dxa"/>
            <w:vAlign w:val="bottom"/>
            <w:gridSpan w:val="6"/>
          </w:tcPr>
          <w:p>
            <w:pPr>
              <w:spacing w:after="0"/>
              <w:rPr>
                <w:sz w:val="20"/>
                <w:szCs w:val="20"/>
                <w:color w:val="auto"/>
              </w:rPr>
            </w:pPr>
            <w:r>
              <w:rPr>
                <w:rFonts w:ascii="Arial" w:cs="Arial" w:eastAsia="Arial" w:hAnsi="Arial"/>
                <w:sz w:val="16"/>
                <w:szCs w:val="16"/>
                <w:color w:val="auto"/>
              </w:rPr>
              <w:t>Mining operating results for the years ended December 31 were as follows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Variance</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7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tcBorders>
              <w:bottom w:val="single" w:sz="8" w:color="auto"/>
            </w:tcBorders>
            <w:shd w:val="clear" w:color="auto" w:fill="CEFFE7"/>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3"/>
              </w:rPr>
              <w:t>61,075</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EFFE7"/>
          </w:tcPr>
          <w:p>
            <w:pPr>
              <w:jc w:val="center"/>
              <w:ind w:left="739"/>
              <w:spacing w:after="0"/>
              <w:rPr>
                <w:sz w:val="20"/>
                <w:szCs w:val="20"/>
                <w:color w:val="auto"/>
              </w:rPr>
            </w:pPr>
            <w:r>
              <w:rPr>
                <w:rFonts w:ascii="Arial" w:cs="Arial" w:eastAsia="Arial" w:hAnsi="Arial"/>
                <w:sz w:val="16"/>
                <w:szCs w:val="16"/>
                <w:color w:val="auto"/>
              </w:rPr>
              <w:t>(554)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61,629</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(6,404)</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68,033</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940" w:type="dxa"/>
            <w:vAlign w:val="bottom"/>
            <w:shd w:val="clear" w:color="auto" w:fill="CEFFE7"/>
          </w:tcPr>
          <w:p>
            <w:pPr>
              <w:spacing w:after="0"/>
              <w:rPr>
                <w:sz w:val="18"/>
                <w:szCs w:val="18"/>
                <w:color w:val="auto"/>
              </w:rPr>
            </w:pPr>
          </w:p>
        </w:tc>
        <w:tc>
          <w:tcPr>
            <w:tcW w:w="5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3"/>
              </w:rPr>
              <w:t>39,033</w:t>
            </w:r>
          </w:p>
        </w:tc>
        <w:tc>
          <w:tcPr>
            <w:tcW w:w="300" w:type="dxa"/>
            <w:vAlign w:val="bottom"/>
            <w:shd w:val="clear" w:color="auto" w:fill="CEFFE7"/>
          </w:tcPr>
          <w:p>
            <w:pPr>
              <w:spacing w:after="0"/>
              <w:rPr>
                <w:sz w:val="18"/>
                <w:szCs w:val="18"/>
                <w:color w:val="auto"/>
              </w:rPr>
            </w:pPr>
          </w:p>
        </w:tc>
        <w:tc>
          <w:tcPr>
            <w:tcW w:w="1200" w:type="dxa"/>
            <w:vAlign w:val="bottom"/>
            <w:shd w:val="clear" w:color="auto" w:fill="CEFFE7"/>
          </w:tcPr>
          <w:p>
            <w:pPr>
              <w:jc w:val="center"/>
              <w:ind w:left="739"/>
              <w:spacing w:after="0"/>
              <w:rPr>
                <w:sz w:val="20"/>
                <w:szCs w:val="20"/>
                <w:color w:val="auto"/>
              </w:rPr>
            </w:pPr>
            <w:r>
              <w:rPr>
                <w:rFonts w:ascii="Arial" w:cs="Arial" w:eastAsia="Arial" w:hAnsi="Arial"/>
                <w:sz w:val="16"/>
                <w:szCs w:val="16"/>
                <w:color w:val="auto"/>
              </w:rPr>
              <w:t>(999)</w:t>
            </w:r>
          </w:p>
        </w:tc>
        <w:tc>
          <w:tcPr>
            <w:tcW w:w="36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40,032</w:t>
            </w:r>
          </w:p>
        </w:tc>
        <w:tc>
          <w:tcPr>
            <w:tcW w:w="3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(3,696)</w:t>
            </w:r>
          </w:p>
        </w:tc>
        <w:tc>
          <w:tcPr>
            <w:tcW w:w="34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43,728</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9,235</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w w:val="97"/>
              </w:rPr>
              <w:t>265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8,970</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7,965</w:t>
            </w:r>
          </w:p>
        </w:tc>
        <w:tc>
          <w:tcPr>
            <w:tcW w:w="0" w:type="dxa"/>
            <w:vAlign w:val="bottom"/>
          </w:tcPr>
          <w:p>
            <w:pPr>
              <w:spacing w:after="0"/>
              <w:rPr>
                <w:sz w:val="1"/>
                <w:szCs w:val="1"/>
                <w:color w:val="auto"/>
              </w:rPr>
            </w:pPr>
          </w:p>
        </w:tc>
      </w:tr>
      <w:tr>
        <w:trPr>
          <w:trHeight w:val="209"/>
        </w:trPr>
        <w:tc>
          <w:tcPr>
            <w:tcW w:w="3720" w:type="dxa"/>
            <w:vAlign w:val="bottom"/>
            <w:gridSpan w:val="2"/>
            <w:shd w:val="clear" w:color="auto" w:fill="CEFFE7"/>
          </w:tcPr>
          <w:p>
            <w:pPr>
              <w:ind w:left="4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auto"/>
            </w:tcBorders>
            <w:shd w:val="clear" w:color="auto" w:fill="CEFFE7"/>
          </w:tcPr>
          <w:p>
            <w:pPr>
              <w:spacing w:after="0"/>
              <w:rPr>
                <w:sz w:val="18"/>
                <w:szCs w:val="18"/>
                <w:color w:val="auto"/>
              </w:rPr>
            </w:pP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3"/>
              </w:rPr>
              <w:t>48,268</w:t>
            </w:r>
          </w:p>
        </w:tc>
        <w:tc>
          <w:tcPr>
            <w:tcW w:w="30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center"/>
              <w:ind w:left="739"/>
              <w:spacing w:after="0"/>
              <w:rPr>
                <w:sz w:val="20"/>
                <w:szCs w:val="20"/>
                <w:color w:val="auto"/>
              </w:rPr>
            </w:pPr>
            <w:r>
              <w:rPr>
                <w:rFonts w:ascii="Arial" w:cs="Arial" w:eastAsia="Arial" w:hAnsi="Arial"/>
                <w:sz w:val="16"/>
                <w:szCs w:val="16"/>
                <w:color w:val="auto"/>
              </w:rPr>
              <w:t>(734)</w:t>
            </w:r>
          </w:p>
        </w:tc>
        <w:tc>
          <w:tcPr>
            <w:tcW w:w="36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49,002</w:t>
            </w:r>
          </w:p>
        </w:tc>
        <w:tc>
          <w:tcPr>
            <w:tcW w:w="3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(2,691)</w:t>
            </w:r>
          </w:p>
        </w:tc>
        <w:tc>
          <w:tcPr>
            <w:tcW w:w="34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51,693</w:t>
            </w:r>
          </w:p>
        </w:tc>
        <w:tc>
          <w:tcPr>
            <w:tcW w:w="0" w:type="dxa"/>
            <w:vAlign w:val="bottom"/>
          </w:tcPr>
          <w:p>
            <w:pPr>
              <w:spacing w:after="0"/>
              <w:rPr>
                <w:sz w:val="1"/>
                <w:szCs w:val="1"/>
                <w:color w:val="auto"/>
              </w:rPr>
            </w:pPr>
          </w:p>
        </w:tc>
      </w:tr>
      <w:tr>
        <w:trPr>
          <w:trHeight w:val="253"/>
        </w:trPr>
        <w:tc>
          <w:tcPr>
            <w:tcW w:w="1760" w:type="dxa"/>
            <w:vAlign w:val="bottom"/>
            <w:tcBorders>
              <w:bottom w:val="single" w:sz="8" w:color="CEFFE7"/>
            </w:tcBorders>
          </w:tcPr>
          <w:p>
            <w:pPr>
              <w:spacing w:after="0"/>
              <w:rPr>
                <w:sz w:val="22"/>
                <w:szCs w:val="22"/>
                <w:color w:val="auto"/>
              </w:rPr>
            </w:pPr>
          </w:p>
        </w:tc>
        <w:tc>
          <w:tcPr>
            <w:tcW w:w="1960" w:type="dxa"/>
            <w:vAlign w:val="bottom"/>
            <w:tcBorders>
              <w:bottom w:val="single" w:sz="8" w:color="CEFFE7"/>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Adjusted operating income</w:t>
            </w:r>
          </w:p>
        </w:tc>
        <w:tc>
          <w:tcPr>
            <w:tcW w:w="940" w:type="dxa"/>
            <w:vAlign w:val="bottom"/>
            <w:tcBorders>
              <w:bottom w:val="single" w:sz="8" w:color="auto"/>
            </w:tcBorders>
            <w:shd w:val="clear" w:color="auto" w:fill="CEFFE7"/>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3"/>
              </w:rPr>
              <w:t>12,807</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EFFE7"/>
          </w:tcPr>
          <w:p>
            <w:pPr>
              <w:jc w:val="center"/>
              <w:ind w:left="739"/>
              <w:spacing w:after="0"/>
              <w:rPr>
                <w:sz w:val="20"/>
                <w:szCs w:val="20"/>
                <w:color w:val="auto"/>
              </w:rPr>
            </w:pPr>
            <w:r>
              <w:rPr>
                <w:rFonts w:ascii="Arial" w:cs="Arial" w:eastAsia="Arial" w:hAnsi="Arial"/>
                <w:sz w:val="16"/>
                <w:szCs w:val="16"/>
                <w:color w:val="auto"/>
                <w:w w:val="97"/>
              </w:rPr>
              <w:t>180</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12,627</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(3,713)</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16,340</w:t>
            </w:r>
          </w:p>
        </w:tc>
        <w:tc>
          <w:tcPr>
            <w:tcW w:w="0" w:type="dxa"/>
            <w:vAlign w:val="bottom"/>
          </w:tcPr>
          <w:p>
            <w:pPr>
              <w:spacing w:after="0"/>
              <w:rPr>
                <w:sz w:val="1"/>
                <w:szCs w:val="1"/>
                <w:color w:val="auto"/>
              </w:rPr>
            </w:pPr>
          </w:p>
        </w:tc>
      </w:tr>
      <w:tr>
        <w:trPr>
          <w:trHeight w:val="20"/>
        </w:trPr>
        <w:tc>
          <w:tcPr>
            <w:tcW w:w="176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6"/>
                <w:szCs w:val="16"/>
                <w:color w:val="auto"/>
              </w:rPr>
              <w:t>2020 Compared to 2019</w:t>
            </w:r>
          </w:p>
        </w:tc>
        <w:tc>
          <w:tcPr>
            <w:tcW w:w="1960" w:type="dxa"/>
            <w:vAlign w:val="bottom"/>
            <w:tcBorders>
              <w:top w:val="single" w:sz="8" w:color="CEFFE7"/>
              <w:bottom w:val="single" w:sz="8" w:color="CEFFE7"/>
            </w:tcBorders>
            <w:vMerge w:val="restart"/>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54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760" w:type="dxa"/>
            <w:vAlign w:val="bottom"/>
            <w:tcBorders>
              <w:bottom w:val="single" w:sz="8" w:color="auto"/>
            </w:tcBorders>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660" w:type="dxa"/>
            <w:vAlign w:val="bottom"/>
            <w:gridSpan w:val="3"/>
          </w:tcPr>
          <w:p>
            <w:pPr>
              <w:spacing w:after="0"/>
              <w:rPr>
                <w:sz w:val="20"/>
                <w:szCs w:val="20"/>
                <w:color w:val="auto"/>
              </w:rPr>
            </w:pPr>
            <w:r>
              <w:rPr>
                <w:rFonts w:ascii="Arial" w:cs="Arial" w:eastAsia="Arial" w:hAnsi="Arial"/>
                <w:sz w:val="16"/>
                <w:szCs w:val="16"/>
                <w:color w:val="auto"/>
              </w:rPr>
              <w:t>Adjusted operating income was comparable to the prior year.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7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For the year ended December 31,</w:t>
            </w: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3"/>
        </w:trPr>
        <w:tc>
          <w:tcPr>
            <w:tcW w:w="37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Tons of coal sold</w:t>
            </w:r>
          </w:p>
        </w:tc>
        <w:tc>
          <w:tcPr>
            <w:tcW w:w="940" w:type="dxa"/>
            <w:vAlign w:val="bottom"/>
            <w:shd w:val="clear" w:color="auto" w:fill="CEFFE7"/>
          </w:tcPr>
          <w:p>
            <w:pPr>
              <w:spacing w:after="0"/>
              <w:rPr>
                <w:sz w:val="18"/>
                <w:szCs w:val="18"/>
                <w:color w:val="auto"/>
              </w:rPr>
            </w:pPr>
          </w:p>
        </w:tc>
        <w:tc>
          <w:tcPr>
            <w:tcW w:w="54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3,737</w:t>
            </w:r>
          </w:p>
        </w:tc>
        <w:tc>
          <w:tcPr>
            <w:tcW w:w="3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3,716</w:t>
            </w:r>
          </w:p>
        </w:tc>
        <w:tc>
          <w:tcPr>
            <w:tcW w:w="34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213"/>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Cubic yards of overburden moved</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8,120</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8,534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8,970</w:t>
            </w: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Coal reserves at year-end (in tons)</w:t>
            </w:r>
          </w:p>
        </w:tc>
        <w:tc>
          <w:tcPr>
            <w:tcW w:w="940" w:type="dxa"/>
            <w:vAlign w:val="bottom"/>
            <w:shd w:val="clear" w:color="auto" w:fill="CEFFE7"/>
          </w:tcPr>
          <w:p>
            <w:pPr>
              <w:spacing w:after="0"/>
              <w:rPr>
                <w:sz w:val="19"/>
                <w:szCs w:val="19"/>
                <w:color w:val="auto"/>
              </w:rPr>
            </w:pPr>
          </w:p>
        </w:tc>
        <w:tc>
          <w:tcPr>
            <w:tcW w:w="54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181,711</w:t>
            </w:r>
          </w:p>
        </w:tc>
        <w:tc>
          <w:tcPr>
            <w:tcW w:w="300" w:type="dxa"/>
            <w:vAlign w:val="bottom"/>
            <w:shd w:val="clear" w:color="auto" w:fill="CEFFE7"/>
          </w:tcPr>
          <w:p>
            <w:pPr>
              <w:spacing w:after="0"/>
              <w:rPr>
                <w:sz w:val="19"/>
                <w:szCs w:val="19"/>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185,448</w:t>
            </w:r>
          </w:p>
        </w:tc>
        <w:tc>
          <w:tcPr>
            <w:tcW w:w="34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189,164</w:t>
            </w:r>
          </w:p>
        </w:tc>
        <w:tc>
          <w:tcPr>
            <w:tcW w:w="0" w:type="dxa"/>
            <w:vAlign w:val="bottom"/>
          </w:tcPr>
          <w:p>
            <w:pPr>
              <w:spacing w:after="0"/>
              <w:rPr>
                <w:sz w:val="1"/>
                <w:szCs w:val="1"/>
                <w:color w:val="auto"/>
              </w:rPr>
            </w:pPr>
          </w:p>
        </w:tc>
      </w:tr>
      <w:tr>
        <w:trPr>
          <w:trHeight w:val="270"/>
        </w:trPr>
        <w:tc>
          <w:tcPr>
            <w:tcW w:w="372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Revenue per ton</w:t>
            </w:r>
          </w:p>
        </w:tc>
        <w:tc>
          <w:tcPr>
            <w:tcW w:w="940" w:type="dxa"/>
            <w:vAlign w:val="bottom"/>
            <w:shd w:val="clear" w:color="auto" w:fill="CEFFE7"/>
          </w:tcPr>
          <w:p>
            <w:pPr>
              <w:spacing w:after="0"/>
              <w:rPr>
                <w:sz w:val="18"/>
                <w:szCs w:val="18"/>
                <w:color w:val="auto"/>
              </w:rPr>
            </w:pPr>
          </w:p>
        </w:tc>
        <w:tc>
          <w:tcPr>
            <w:tcW w:w="54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15.67</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15.94</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for the years ended December 31 were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6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Variance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2019</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Variance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185"/>
        </w:trPr>
        <w:tc>
          <w:tcPr>
            <w:tcW w:w="3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3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Adjusted operating income (loss)</w:t>
            </w:r>
          </w:p>
        </w:tc>
        <w:tc>
          <w:tcPr>
            <w:tcW w:w="980" w:type="dxa"/>
            <w:vAlign w:val="bottom"/>
            <w:shd w:val="clear" w:color="auto" w:fill="CEFFE7"/>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1,440</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3,072</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(1,632)</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1,393</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(3,025)</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2020 Compared to 2019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variance in Adjusted operating income (loss) was primarily due to lower unallocated employee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Impairment of Investment, Other Income (Expense) and Income Tax Benefit (Expense)</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6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Variance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Variance</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185"/>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3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(143,470)</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(5,811)</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(137,659)</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2,316</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(139,975)</w:t>
            </w: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(6,859)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12,882</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(19,741)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(19,741)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(2,293)</w:t>
            </w:r>
          </w:p>
        </w:tc>
        <w:tc>
          <w:tcPr>
            <w:tcW w:w="26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3,447</w:t>
            </w:r>
          </w:p>
        </w:tc>
        <w:tc>
          <w:tcPr>
            <w:tcW w:w="36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(5,740)</w:t>
            </w:r>
          </w:p>
        </w:tc>
        <w:tc>
          <w:tcPr>
            <w:tcW w:w="280" w:type="dxa"/>
            <w:vAlign w:val="bottom"/>
            <w:shd w:val="clear" w:color="auto" w:fill="CEFFE7"/>
          </w:tcPr>
          <w:p>
            <w:pPr>
              <w:spacing w:after="0"/>
              <w:rPr>
                <w:sz w:val="19"/>
                <w:szCs w:val="19"/>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(4,560)</w:t>
            </w:r>
          </w:p>
        </w:tc>
        <w:tc>
          <w:tcPr>
            <w:tcW w:w="34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(1,180)</w:t>
            </w: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(32,918)</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(3,338)</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(29,580)</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(53,247)</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23,667</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2020 Compared to 2019</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Interest expense, net was driven by higher debt balances partially offset by lower interest rates.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Investment</w:t>
      </w:r>
    </w:p>
    <w:p>
      <w:pPr>
        <w:spacing w:after="0" w:line="264" w:lineRule="exact"/>
        <w:rPr>
          <w:sz w:val="20"/>
          <w:szCs w:val="20"/>
          <w:color w:val="auto"/>
        </w:rPr>
      </w:pPr>
    </w:p>
    <w:p>
      <w:pPr>
        <w:ind w:right="140"/>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In the current year, we recorded a pre-tax non-cash write-down of $6.9 million in our investment in equity securities of a privately held oil and gas company, compared to a $20 million write-down in the prior year. The impairments in both years were triggered by continued adverse natural gas prices and liquidity concerns at the privately held oil and gas company. The remaining book value of our investment is $1.5 million, and this is our only remaining investment in oil and gas exploration and production activities. See </w:t>
      </w:r>
      <w:hyperlink w:anchor="page72">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additional details.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w:t>
      </w:r>
    </w:p>
    <w:p>
      <w:pPr>
        <w:spacing w:after="0" w:line="26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variance in Other income (expense), net was due to the prior year expensing of $5.4 million of development costs related to projects we no longer intend to construct which was partially offset by higher current year non-service defined benefit plan costs primarily driven by lower discount rates.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Benefit (Expense)</w:t>
      </w:r>
    </w:p>
    <w:p>
      <w:pPr>
        <w:spacing w:after="0" w:line="264" w:lineRule="exact"/>
        <w:rPr>
          <w:sz w:val="20"/>
          <w:szCs w:val="20"/>
          <w:color w:val="auto"/>
        </w:rPr>
      </w:pPr>
    </w:p>
    <w:p>
      <w:pPr>
        <w:ind w:right="4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For the year ended December 31, 2020, the effective tax rate was 11.9% compared to 12.2% in 2019. The lower effective tax rate is primarily due to increased tax benefits from federal production tax credits associated with new wind assets and one-time research and development tax credits partially offset by a prior year tax benefit from a federal tax loss carry-back claim including interest. See </w:t>
      </w:r>
      <w:hyperlink w:anchor="page116">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additional details.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company requires significant cash to support and grow our businesses. Our primary sources of cash are generated from our operating activities, five-year Revolving Credit Facility, CP Program, ATM and ability to access the public and private capital markets through debt and equity securities offerings when necessary.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experience significant cash requirements during peak months of the winter heating season due to higher natural gas consumption and during periods of high natural gas prices, as well as during the construction season which typically peaks in spring and summer.</w:t>
      </w:r>
    </w:p>
    <w:p>
      <w:pPr>
        <w:spacing w:after="0" w:line="222"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We believe that our cash on hand, operating cash flows, existing borrowing capacity and ability to complete new debt and equity financings, taken in their entirety, provide sufficient capital resources to fund our ongoing operating requirements, regulatory liabilities, debt maturities, anticipated dividends, and anticipated capital expenditures discussed in this section.</w:t>
      </w:r>
    </w:p>
    <w:p>
      <w:pPr>
        <w:spacing w:after="0" w:line="228" w:lineRule="exact"/>
        <w:rPr>
          <w:sz w:val="20"/>
          <w:szCs w:val="20"/>
          <w:color w:val="auto"/>
        </w:rPr>
      </w:pPr>
    </w:p>
    <w:p>
      <w:pPr>
        <w:ind w:right="20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 response to the February 2021 weather event and the COVID-19 pandemic, we took steps to maintain adequate liquidity to operate our businesses and fund our capital investment program as discussed in the </w:t>
      </w:r>
      <w:hyperlink w:anchor="page37">
        <w:r>
          <w:rPr>
            <w:rFonts w:ascii="Arial" w:cs="Arial" w:eastAsia="Arial" w:hAnsi="Arial"/>
            <w:sz w:val="16"/>
            <w:szCs w:val="16"/>
            <w:u w:val="single" w:color="auto"/>
            <w:color w:val="0000FF"/>
          </w:rPr>
          <w:t>Company Highlights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financial position as of December 31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Position Summary</w:t>
            </w:r>
          </w:p>
        </w:tc>
        <w:tc>
          <w:tcPr>
            <w:tcW w:w="3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2019</w:t>
            </w:r>
          </w:p>
        </w:tc>
      </w:tr>
      <w:tr>
        <w:trPr>
          <w:trHeight w:val="213"/>
        </w:trPr>
        <w:tc>
          <w:tcPr>
            <w:tcW w:w="52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Cash and cash equivalents</w:t>
            </w:r>
          </w:p>
        </w:tc>
        <w:tc>
          <w:tcPr>
            <w:tcW w:w="30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6,356</w:t>
            </w:r>
          </w:p>
        </w:tc>
        <w:tc>
          <w:tcPr>
            <w:tcW w:w="4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9,777</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Restricted cash and equivalents</w:t>
            </w:r>
          </w:p>
        </w:tc>
        <w:tc>
          <w:tcPr>
            <w:tcW w:w="3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4,383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3,881</w:t>
            </w:r>
          </w:p>
        </w:tc>
      </w:tr>
      <w:tr>
        <w:trPr>
          <w:trHeight w:val="219"/>
        </w:trPr>
        <w:tc>
          <w:tcPr>
            <w:tcW w:w="52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Notes payable</w:t>
            </w:r>
          </w:p>
        </w:tc>
        <w:tc>
          <w:tcPr>
            <w:tcW w:w="30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234,040</w:t>
            </w:r>
          </w:p>
        </w:tc>
        <w:tc>
          <w:tcPr>
            <w:tcW w:w="4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349,500</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Current maturities of long-term debt</w:t>
            </w:r>
          </w:p>
        </w:tc>
        <w:tc>
          <w:tcPr>
            <w:tcW w:w="3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8,436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5,743</w:t>
            </w:r>
          </w:p>
        </w:tc>
      </w:tr>
      <w:tr>
        <w:trPr>
          <w:trHeight w:val="219"/>
        </w:trPr>
        <w:tc>
          <w:tcPr>
            <w:tcW w:w="526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(a)</w:t>
            </w:r>
          </w:p>
        </w:tc>
        <w:tc>
          <w:tcPr>
            <w:tcW w:w="30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3,528,100</w:t>
            </w:r>
          </w:p>
        </w:tc>
        <w:tc>
          <w:tcPr>
            <w:tcW w:w="4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3,140,096</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2,561,385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2,362,123</w:t>
            </w:r>
          </w:p>
        </w:tc>
      </w:tr>
      <w:tr>
        <w:trPr>
          <w:trHeight w:val="273"/>
        </w:trPr>
        <w:tc>
          <w:tcPr>
            <w:tcW w:w="5260" w:type="dxa"/>
            <w:vAlign w:val="bottom"/>
            <w:shd w:val="clear" w:color="auto" w:fill="CEFFE7"/>
          </w:tcPr>
          <w:p>
            <w:pPr>
              <w:spacing w:after="0"/>
              <w:rPr>
                <w:sz w:val="23"/>
                <w:szCs w:val="23"/>
                <w:color w:val="auto"/>
              </w:rPr>
            </w:pPr>
          </w:p>
        </w:tc>
        <w:tc>
          <w:tcPr>
            <w:tcW w:w="30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440" w:type="dxa"/>
            <w:vAlign w:val="bottom"/>
            <w:shd w:val="clear" w:color="auto" w:fill="CEFFE7"/>
          </w:tcPr>
          <w:p>
            <w:pPr>
              <w:spacing w:after="0"/>
              <w:rPr>
                <w:sz w:val="23"/>
                <w:szCs w:val="23"/>
                <w:color w:val="auto"/>
              </w:rPr>
            </w:pPr>
          </w:p>
        </w:tc>
        <w:tc>
          <w:tcPr>
            <w:tcW w:w="1280" w:type="dxa"/>
            <w:vAlign w:val="bottom"/>
            <w:shd w:val="clear" w:color="auto" w:fill="CEFFE7"/>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20" w:type="dxa"/>
            <w:vAlign w:val="bottom"/>
            <w:gridSpan w:val="2"/>
          </w:tcPr>
          <w:p>
            <w:pPr>
              <w:spacing w:after="0" w:line="175" w:lineRule="exact"/>
              <w:rPr>
                <w:sz w:val="20"/>
                <w:szCs w:val="20"/>
                <w:color w:val="auto"/>
              </w:rPr>
            </w:pPr>
            <w:r>
              <w:rPr>
                <w:rFonts w:ascii="Arial" w:cs="Arial" w:eastAsia="Arial" w:hAnsi="Arial"/>
                <w:sz w:val="16"/>
                <w:szCs w:val="16"/>
                <w:color w:val="auto"/>
              </w:rPr>
              <w:t>Ratios</w:t>
            </w:r>
          </w:p>
        </w:tc>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532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Long-term debt ratio</w:t>
            </w:r>
          </w:p>
        </w:tc>
        <w:tc>
          <w:tcPr>
            <w:tcW w:w="4860" w:type="dxa"/>
            <w:vAlign w:val="bottom"/>
            <w:shd w:val="clear" w:color="auto" w:fill="CEFFE7"/>
          </w:tcPr>
          <w:p>
            <w:pPr>
              <w:jc w:val="right"/>
              <w:ind w:right="559"/>
              <w:spacing w:after="0"/>
              <w:rPr>
                <w:sz w:val="20"/>
                <w:szCs w:val="20"/>
                <w:color w:val="auto"/>
              </w:rPr>
            </w:pPr>
            <w:r>
              <w:rPr>
                <w:rFonts w:ascii="Arial" w:cs="Arial" w:eastAsia="Arial" w:hAnsi="Arial"/>
                <w:sz w:val="16"/>
                <w:szCs w:val="16"/>
                <w:color w:val="auto"/>
              </w:rPr>
              <w:t>58 %</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57 %</w:t>
            </w:r>
          </w:p>
        </w:tc>
      </w:tr>
      <w:tr>
        <w:trPr>
          <w:trHeight w:val="210"/>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Total debt ratio</w:t>
            </w:r>
          </w:p>
        </w:tc>
        <w:tc>
          <w:tcPr>
            <w:tcW w:w="4860" w:type="dxa"/>
            <w:vAlign w:val="bottom"/>
          </w:tcPr>
          <w:p>
            <w:pPr>
              <w:jc w:val="right"/>
              <w:ind w:right="559"/>
              <w:spacing w:after="0"/>
              <w:rPr>
                <w:sz w:val="20"/>
                <w:szCs w:val="20"/>
                <w:color w:val="auto"/>
              </w:rPr>
            </w:pPr>
            <w:r>
              <w:rPr>
                <w:rFonts w:ascii="Arial" w:cs="Arial" w:eastAsia="Arial" w:hAnsi="Arial"/>
                <w:sz w:val="16"/>
                <w:szCs w:val="16"/>
                <w:color w:val="auto"/>
              </w:rPr>
              <w:t>60 %</w:t>
            </w:r>
          </w:p>
        </w:tc>
        <w:tc>
          <w:tcPr>
            <w:tcW w:w="1040" w:type="dxa"/>
            <w:vAlign w:val="bottom"/>
          </w:tcPr>
          <w:p>
            <w:pPr>
              <w:jc w:val="right"/>
              <w:spacing w:after="0"/>
              <w:rPr>
                <w:sz w:val="20"/>
                <w:szCs w:val="20"/>
                <w:color w:val="auto"/>
              </w:rPr>
            </w:pPr>
            <w:r>
              <w:rPr>
                <w:rFonts w:ascii="Arial" w:cs="Arial" w:eastAsia="Arial" w:hAnsi="Arial"/>
                <w:sz w:val="16"/>
                <w:szCs w:val="16"/>
                <w:color w:val="auto"/>
              </w:rPr>
              <w:t>60 %</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Carrying amount of long-term debt is net of deferred financing costs.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years ended December 31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2019</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2018</w:t>
            </w:r>
          </w:p>
        </w:tc>
      </w:tr>
      <w:tr>
        <w:trPr>
          <w:trHeight w:val="199"/>
        </w:trPr>
        <w:tc>
          <w:tcPr>
            <w:tcW w:w="6100" w:type="dxa"/>
            <w:vAlign w:val="bottom"/>
          </w:tcPr>
          <w:p>
            <w:pPr>
              <w:ind w:left="20"/>
              <w:spacing w:after="0"/>
              <w:rPr>
                <w:sz w:val="20"/>
                <w:szCs w:val="20"/>
                <w:color w:val="auto"/>
              </w:rPr>
            </w:pPr>
            <w:r>
              <w:rPr>
                <w:rFonts w:ascii="Arial" w:cs="Arial" w:eastAsia="Arial" w:hAnsi="Arial"/>
                <w:sz w:val="16"/>
                <w:szCs w:val="16"/>
                <w:color w:val="auto"/>
              </w:rPr>
              <w:t>Cash provided by (used in)</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61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FE7"/>
          </w:tcPr>
          <w:p>
            <w:pPr>
              <w:jc w:val="center"/>
              <w:ind w:left="539"/>
              <w:spacing w:after="0"/>
              <w:rPr>
                <w:sz w:val="20"/>
                <w:szCs w:val="20"/>
                <w:color w:val="auto"/>
              </w:rPr>
            </w:pPr>
            <w:r>
              <w:rPr>
                <w:rFonts w:ascii="Arial" w:cs="Arial" w:eastAsia="Arial" w:hAnsi="Arial"/>
                <w:sz w:val="16"/>
                <w:szCs w:val="16"/>
                <w:color w:val="auto"/>
              </w:rPr>
              <w:t>541,863</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center"/>
              <w:ind w:left="519"/>
              <w:spacing w:after="0"/>
              <w:rPr>
                <w:sz w:val="20"/>
                <w:szCs w:val="20"/>
                <w:color w:val="auto"/>
              </w:rPr>
            </w:pPr>
            <w:r>
              <w:rPr>
                <w:rFonts w:ascii="Arial" w:cs="Arial" w:eastAsia="Arial" w:hAnsi="Arial"/>
                <w:sz w:val="16"/>
                <w:szCs w:val="16"/>
                <w:color w:val="auto"/>
              </w:rPr>
              <w:t>505,513</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488,811</w:t>
            </w: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center"/>
              <w:ind w:left="519"/>
              <w:spacing w:after="0"/>
              <w:rPr>
                <w:sz w:val="20"/>
                <w:szCs w:val="20"/>
                <w:color w:val="auto"/>
              </w:rPr>
            </w:pPr>
            <w:r>
              <w:rPr>
                <w:rFonts w:ascii="Arial" w:cs="Arial" w:eastAsia="Arial" w:hAnsi="Arial"/>
                <w:sz w:val="16"/>
                <w:szCs w:val="16"/>
                <w:color w:val="auto"/>
                <w:w w:val="99"/>
              </w:rPr>
              <w:t>(761,664)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499"/>
              <w:spacing w:after="0"/>
              <w:rPr>
                <w:sz w:val="20"/>
                <w:szCs w:val="20"/>
                <w:color w:val="auto"/>
              </w:rPr>
            </w:pPr>
            <w:r>
              <w:rPr>
                <w:rFonts w:ascii="Arial" w:cs="Arial" w:eastAsia="Arial" w:hAnsi="Arial"/>
                <w:sz w:val="16"/>
                <w:szCs w:val="16"/>
                <w:color w:val="auto"/>
              </w:rPr>
              <w:t>(816,210)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(465,849)</w:t>
            </w:r>
          </w:p>
        </w:tc>
      </w:tr>
      <w:tr>
        <w:trPr>
          <w:trHeight w:val="219"/>
        </w:trPr>
        <w:tc>
          <w:tcPr>
            <w:tcW w:w="61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Financing activities</w:t>
            </w:r>
          </w:p>
        </w:tc>
        <w:tc>
          <w:tcPr>
            <w:tcW w:w="38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FE7"/>
          </w:tcPr>
          <w:p>
            <w:pPr>
              <w:jc w:val="center"/>
              <w:ind w:left="539"/>
              <w:spacing w:after="0"/>
              <w:rPr>
                <w:sz w:val="20"/>
                <w:szCs w:val="20"/>
                <w:color w:val="auto"/>
              </w:rPr>
            </w:pPr>
            <w:r>
              <w:rPr>
                <w:rFonts w:ascii="Arial" w:cs="Arial" w:eastAsia="Arial" w:hAnsi="Arial"/>
                <w:sz w:val="16"/>
                <w:szCs w:val="16"/>
                <w:color w:val="auto"/>
              </w:rPr>
              <w:t>216,882</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center"/>
              <w:ind w:left="519"/>
              <w:spacing w:after="0"/>
              <w:rPr>
                <w:sz w:val="20"/>
                <w:szCs w:val="20"/>
                <w:color w:val="auto"/>
              </w:rPr>
            </w:pPr>
            <w:r>
              <w:rPr>
                <w:rFonts w:ascii="Arial" w:cs="Arial" w:eastAsia="Arial" w:hAnsi="Arial"/>
                <w:sz w:val="16"/>
                <w:szCs w:val="16"/>
                <w:color w:val="auto"/>
              </w:rPr>
              <w:t>300,210</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(17,057)</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2020 Compared to 2019</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$36 million higher than in 2019. The variance to the prior year was primarily attributable to:</w:t>
      </w:r>
    </w:p>
    <w:p>
      <w:pPr>
        <w:spacing w:after="0" w:line="248" w:lineRule="exact"/>
        <w:rPr>
          <w:sz w:val="20"/>
          <w:szCs w:val="20"/>
          <w:color w:val="auto"/>
        </w:rPr>
      </w:pPr>
    </w:p>
    <w:p>
      <w:pPr>
        <w:ind w:left="500" w:right="460" w:hanging="330"/>
        <w:spacing w:after="0" w:line="260" w:lineRule="auto"/>
        <w:tabs>
          <w:tab w:leader="none" w:pos="489"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Cash earnings (income from continuing operations plus non-cash adjustments) were $20 million higher than prior year driven primarily by higher operating income at our Gas Utilities;</w:t>
      </w:r>
    </w:p>
    <w:p>
      <w:pPr>
        <w:spacing w:after="0" w:line="222" w:lineRule="exact"/>
        <w:rPr>
          <w:rFonts w:ascii="Arial" w:cs="Arial" w:eastAsia="Arial" w:hAnsi="Arial"/>
          <w:sz w:val="16"/>
          <w:szCs w:val="16"/>
          <w:color w:val="auto"/>
        </w:rPr>
      </w:pPr>
    </w:p>
    <w:p>
      <w:pPr>
        <w:ind w:left="480" w:hanging="310"/>
        <w:spacing w:after="0"/>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Net inflows from changes in certain operating assets and liabilities were $18 million higher than prior year, primarily attributable to:</w:t>
      </w:r>
    </w:p>
    <w:p>
      <w:pPr>
        <w:spacing w:after="0" w:line="248" w:lineRule="exact"/>
        <w:rPr>
          <w:rFonts w:ascii="Arial" w:cs="Arial" w:eastAsia="Arial" w:hAnsi="Arial"/>
          <w:sz w:val="16"/>
          <w:szCs w:val="16"/>
          <w:color w:val="auto"/>
        </w:rPr>
      </w:pPr>
    </w:p>
    <w:p>
      <w:pPr>
        <w:ind w:left="900" w:right="120" w:hanging="244"/>
        <w:spacing w:after="0" w:line="260" w:lineRule="auto"/>
        <w:tabs>
          <w:tab w:leader="none" w:pos="889" w:val="left"/>
        </w:tabs>
        <w:numPr>
          <w:ilvl w:val="1"/>
          <w:numId w:val="40"/>
        </w:numPr>
        <w:rPr>
          <w:rFonts w:ascii="Arial" w:cs="Arial" w:eastAsia="Arial" w:hAnsi="Arial"/>
          <w:sz w:val="16"/>
          <w:szCs w:val="16"/>
          <w:color w:val="auto"/>
        </w:rPr>
      </w:pPr>
      <w:r>
        <w:rPr>
          <w:rFonts w:ascii="Arial" w:cs="Arial" w:eastAsia="Arial" w:hAnsi="Arial"/>
          <w:sz w:val="16"/>
          <w:szCs w:val="16"/>
          <w:color w:val="auto"/>
        </w:rPr>
        <w:t>Cash inflows decreased by approximately $18 million primarily as a result of changes in accounts receivable and other current assets driven by warmer weather, lower commodity prices and COVID-19 related impacts;</w:t>
      </w:r>
    </w:p>
    <w:p>
      <w:pPr>
        <w:spacing w:after="0" w:line="222" w:lineRule="exact"/>
        <w:rPr>
          <w:rFonts w:ascii="Arial" w:cs="Arial" w:eastAsia="Arial" w:hAnsi="Arial"/>
          <w:sz w:val="16"/>
          <w:szCs w:val="16"/>
          <w:color w:val="auto"/>
        </w:rPr>
      </w:pPr>
    </w:p>
    <w:p>
      <w:pPr>
        <w:ind w:left="900" w:right="420" w:hanging="244"/>
        <w:spacing w:after="0" w:line="260" w:lineRule="auto"/>
        <w:tabs>
          <w:tab w:leader="none" w:pos="889" w:val="left"/>
        </w:tabs>
        <w:numPr>
          <w:ilvl w:val="1"/>
          <w:numId w:val="40"/>
        </w:numPr>
        <w:rPr>
          <w:rFonts w:ascii="Arial" w:cs="Arial" w:eastAsia="Arial" w:hAnsi="Arial"/>
          <w:sz w:val="16"/>
          <w:szCs w:val="16"/>
          <w:color w:val="auto"/>
        </w:rPr>
      </w:pPr>
      <w:r>
        <w:rPr>
          <w:rFonts w:ascii="Arial" w:cs="Arial" w:eastAsia="Arial" w:hAnsi="Arial"/>
          <w:sz w:val="16"/>
          <w:szCs w:val="16"/>
          <w:color w:val="auto"/>
        </w:rPr>
        <w:t>Cash outflows decreased by approximately $60 million as a result of changes in accounts payable and other current liabilities driven by the impact of lower commodity prices, deferral of payroll taxes under the CARES Act and other working capital requirements; and</w:t>
      </w:r>
    </w:p>
    <w:p>
      <w:pPr>
        <w:spacing w:after="0" w:line="222" w:lineRule="exact"/>
        <w:rPr>
          <w:rFonts w:ascii="Arial" w:cs="Arial" w:eastAsia="Arial" w:hAnsi="Arial"/>
          <w:sz w:val="16"/>
          <w:szCs w:val="16"/>
          <w:color w:val="auto"/>
        </w:rPr>
      </w:pPr>
    </w:p>
    <w:p>
      <w:pPr>
        <w:ind w:left="900" w:right="160" w:hanging="244"/>
        <w:spacing w:after="0" w:line="260" w:lineRule="auto"/>
        <w:tabs>
          <w:tab w:leader="none" w:pos="889" w:val="left"/>
        </w:tabs>
        <w:numPr>
          <w:ilvl w:val="1"/>
          <w:numId w:val="40"/>
        </w:numPr>
        <w:rPr>
          <w:rFonts w:ascii="Arial" w:cs="Arial" w:eastAsia="Arial" w:hAnsi="Arial"/>
          <w:sz w:val="16"/>
          <w:szCs w:val="16"/>
          <w:color w:val="auto"/>
        </w:rPr>
      </w:pPr>
      <w:r>
        <w:rPr>
          <w:rFonts w:ascii="Arial" w:cs="Arial" w:eastAsia="Arial" w:hAnsi="Arial"/>
          <w:sz w:val="16"/>
          <w:szCs w:val="16"/>
          <w:color w:val="auto"/>
        </w:rPr>
        <w:t>Cash outflows increased by approximately $24 million primarily as a result of changes in our regulatory assets and liabilities driven by timing of recovery and returns for fuel costs adjustments partially offset by the TCJA tax rate change that was returned to customers in the prior year.</w:t>
      </w:r>
    </w:p>
    <w:p>
      <w:pPr>
        <w:spacing w:after="0" w:line="222" w:lineRule="exact"/>
        <w:rPr>
          <w:rFonts w:ascii="Arial" w:cs="Arial" w:eastAsia="Arial" w:hAnsi="Arial"/>
          <w:sz w:val="16"/>
          <w:szCs w:val="16"/>
          <w:color w:val="auto"/>
        </w:rPr>
      </w:pPr>
    </w:p>
    <w:p>
      <w:pPr>
        <w:ind w:left="480" w:hanging="310"/>
        <w:spacing w:after="0"/>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Cash inflows decreased $1.3 million for other operating activities.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$55 million lower than in 2019. This variance to the prior year was primarily attributable to:</w:t>
      </w:r>
    </w:p>
    <w:p>
      <w:pPr>
        <w:spacing w:after="0" w:line="248" w:lineRule="exact"/>
        <w:rPr>
          <w:sz w:val="20"/>
          <w:szCs w:val="20"/>
          <w:color w:val="auto"/>
        </w:rPr>
      </w:pPr>
    </w:p>
    <w:p>
      <w:pPr>
        <w:ind w:left="500" w:right="360" w:hanging="330"/>
        <w:spacing w:after="0" w:line="253" w:lineRule="auto"/>
        <w:tabs>
          <w:tab w:leader="none" w:pos="4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Capital expenditures of approximately $767 million in 2020 compared to $818 million in 2019. Higher prior year expenditures were driven by large projects such as the Natural Bridge pipeline project, the Busch Ranch II wind project and construction of the final segment of the 175-mile transmission line from Rapid City, South Dakota to Stegall, Nebraska. The current year capital expenditures included the Corriedale wind project.</w:t>
      </w:r>
    </w:p>
    <w:p>
      <w:pPr>
        <w:spacing w:after="0" w:line="228"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Cash inflows increased $3.6 million for other investing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was $83 million lower than in 2019. This variance to the prior year was primarily attributable to:</w:t>
      </w:r>
    </w:p>
    <w:p>
      <w:pPr>
        <w:spacing w:after="0" w:line="248" w:lineRule="exact"/>
        <w:rPr>
          <w:sz w:val="20"/>
          <w:szCs w:val="20"/>
          <w:color w:val="auto"/>
        </w:rPr>
      </w:pPr>
    </w:p>
    <w:p>
      <w:pPr>
        <w:ind w:left="480" w:hanging="310"/>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Cash inflows decreased $82 million due to maturities and repayments of long and short-term debt in excess of issuances;</w:t>
      </w:r>
    </w:p>
    <w:p>
      <w:pPr>
        <w:spacing w:after="0" w:line="248" w:lineRule="exact"/>
        <w:rPr>
          <w:rFonts w:ascii="Arial" w:cs="Arial" w:eastAsia="Arial" w:hAnsi="Arial"/>
          <w:sz w:val="16"/>
          <w:szCs w:val="16"/>
          <w:color w:val="auto"/>
        </w:rPr>
      </w:pPr>
    </w:p>
    <w:p>
      <w:pPr>
        <w:ind w:left="480" w:hanging="310"/>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Cash outflows increased $11 million due to increased dividends paid on common stock; and</w:t>
      </w:r>
    </w:p>
    <w:p>
      <w:pPr>
        <w:spacing w:after="0" w:line="248" w:lineRule="exact"/>
        <w:rPr>
          <w:rFonts w:ascii="Arial" w:cs="Arial" w:eastAsia="Arial" w:hAnsi="Arial"/>
          <w:sz w:val="16"/>
          <w:szCs w:val="16"/>
          <w:color w:val="auto"/>
        </w:rPr>
      </w:pPr>
    </w:p>
    <w:p>
      <w:pPr>
        <w:ind w:left="500" w:right="300" w:hanging="330"/>
        <w:spacing w:after="0" w:line="260" w:lineRule="auto"/>
        <w:tabs>
          <w:tab w:leader="none" w:pos="489"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Cash outflows decreased by $9.7 million for other financing activities primarily driven by lower current year financing costs incurred in the June 17, 2020 debt transaction compared to prior year financing costs incurred in the June 17, 2019 and October 3, 2019 debt transactions.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Facility and CP Program</w:t>
      </w:r>
    </w:p>
    <w:p>
      <w:pPr>
        <w:spacing w:after="0" w:line="26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have a $750 million Revolving Credit Facility that matures on July 30, 2023 with two one-year extension options (subject to consent from lenders). This facility includes an accordion feature that allows us, with the consent of the administrative agent, the issuing agents and each bank increasing or providing a new commitment, to increase total commitments up to $1.0 billion. We also have a $750 million, unsecured CP Program that is backstopped by the Revolving Credit Facility. Amounts outstanding under the Revolving Credit Facility and the CP Program, either individually or in the aggregate, cannot exceed $750 million.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Revolving Credit Facility prohibits us from paying cash dividends if a default or an event of default exists prior to, or would result after, paying a dividend.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Although these contractual restrictions exist, we do not anticipate triggering any default measures or restrictions.</w:t>
      </w:r>
    </w:p>
    <w:p>
      <w:pPr>
        <w:spacing w:after="0" w:line="24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The Revolving Credit Facility contains cross-default provisions that could result in a default under such agreements if BHC or its material subsidiaries failed to 1) make timely payments of debt obligations; or 2) triggered other default provisions under any debt agreement totaling, in the aggregate principal amount of $50 million or more that permit the acceleration of debt maturities or mandatory debt prepayment.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CP Program had the following borrowings, outstanding letters of credit, and available capacity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color w:val="auto"/>
              </w:rPr>
              <w:t>Current</w:t>
            </w:r>
          </w:p>
        </w:tc>
        <w:tc>
          <w:tcPr>
            <w:tcW w:w="220" w:type="dxa"/>
            <w:vAlign w:val="bottom"/>
          </w:tcPr>
          <w:p>
            <w:pPr>
              <w:spacing w:after="0"/>
              <w:rPr>
                <w:sz w:val="20"/>
                <w:szCs w:val="20"/>
                <w:color w:val="auto"/>
              </w:rPr>
            </w:pPr>
          </w:p>
        </w:tc>
        <w:tc>
          <w:tcPr>
            <w:tcW w:w="2060" w:type="dxa"/>
            <w:vAlign w:val="bottom"/>
          </w:tcPr>
          <w:p>
            <w:pPr>
              <w:jc w:val="center"/>
              <w:ind w:right="79"/>
              <w:spacing w:after="0"/>
              <w:rPr>
                <w:sz w:val="20"/>
                <w:szCs w:val="20"/>
                <w:color w:val="auto"/>
              </w:rPr>
            </w:pPr>
            <w:r>
              <w:rPr>
                <w:rFonts w:ascii="Arial" w:cs="Arial" w:eastAsia="Arial" w:hAnsi="Arial"/>
                <w:sz w:val="16"/>
                <w:szCs w:val="16"/>
                <w:color w:val="auto"/>
              </w:rPr>
              <w:t>Short-term borrowings at</w:t>
            </w:r>
          </w:p>
        </w:tc>
        <w:tc>
          <w:tcPr>
            <w:tcW w:w="240" w:type="dxa"/>
            <w:vAlign w:val="bottom"/>
          </w:tcPr>
          <w:p>
            <w:pPr>
              <w:spacing w:after="0"/>
              <w:rPr>
                <w:sz w:val="20"/>
                <w:szCs w:val="20"/>
                <w:color w:val="auto"/>
              </w:rPr>
            </w:pPr>
          </w:p>
        </w:tc>
        <w:tc>
          <w:tcPr>
            <w:tcW w:w="1880" w:type="dxa"/>
            <w:vAlign w:val="bottom"/>
          </w:tcPr>
          <w:p>
            <w:pPr>
              <w:jc w:val="center"/>
              <w:ind w:right="99"/>
              <w:spacing w:after="0"/>
              <w:rPr>
                <w:sz w:val="20"/>
                <w:szCs w:val="20"/>
                <w:color w:val="auto"/>
              </w:rPr>
            </w:pPr>
            <w:r>
              <w:rPr>
                <w:rFonts w:ascii="Arial" w:cs="Arial" w:eastAsia="Arial" w:hAnsi="Arial"/>
                <w:sz w:val="16"/>
                <w:szCs w:val="16"/>
                <w:color w:val="auto"/>
                <w:w w:val="97"/>
              </w:rPr>
              <w:t xml:space="preserve">Letters of Credit </w:t>
            </w:r>
            <w:r>
              <w:rPr>
                <w:rFonts w:ascii="Arial" w:cs="Arial" w:eastAsia="Arial" w:hAnsi="Arial"/>
                <w:sz w:val="21"/>
                <w:szCs w:val="21"/>
                <w:color w:val="auto"/>
                <w:w w:val="97"/>
                <w:vertAlign w:val="superscript"/>
              </w:rPr>
              <w:t>(a)</w:t>
            </w:r>
            <w:r>
              <w:rPr>
                <w:rFonts w:ascii="Arial" w:cs="Arial" w:eastAsia="Arial" w:hAnsi="Arial"/>
                <w:sz w:val="16"/>
                <w:szCs w:val="16"/>
                <w:color w:val="auto"/>
                <w:w w:val="97"/>
              </w:rPr>
              <w:t xml:space="preserve"> at</w:t>
            </w:r>
          </w:p>
        </w:tc>
        <w:tc>
          <w:tcPr>
            <w:tcW w:w="220" w:type="dxa"/>
            <w:vAlign w:val="bottom"/>
          </w:tcPr>
          <w:p>
            <w:pPr>
              <w:spacing w:after="0"/>
              <w:rPr>
                <w:sz w:val="20"/>
                <w:szCs w:val="20"/>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color w:val="auto"/>
              </w:rPr>
              <w:t>Available Capacity at</w:t>
            </w:r>
          </w:p>
        </w:tc>
      </w:tr>
      <w:tr>
        <w:trPr>
          <w:trHeight w:val="198"/>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Capacity</w:t>
            </w:r>
          </w:p>
        </w:tc>
        <w:tc>
          <w:tcPr>
            <w:tcW w:w="2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December 31, 2020</w:t>
            </w: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December 31, 2020</w:t>
            </w: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December 31, 2020</w:t>
            </w:r>
          </w:p>
        </w:tc>
      </w:tr>
      <w:tr>
        <w:trPr>
          <w:trHeight w:val="174"/>
        </w:trPr>
        <w:tc>
          <w:tcPr>
            <w:tcW w:w="2440" w:type="dxa"/>
            <w:vAlign w:val="bottom"/>
            <w:shd w:val="clear" w:color="auto" w:fill="CEFFE7"/>
          </w:tcPr>
          <w:p>
            <w:pPr>
              <w:ind w:left="20"/>
              <w:spacing w:after="0" w:line="174" w:lineRule="exact"/>
              <w:rPr>
                <w:sz w:val="20"/>
                <w:szCs w:val="20"/>
                <w:color w:val="auto"/>
              </w:rPr>
            </w:pPr>
            <w:r>
              <w:rPr>
                <w:rFonts w:ascii="Arial" w:cs="Arial" w:eastAsia="Arial" w:hAnsi="Arial"/>
                <w:sz w:val="16"/>
                <w:szCs w:val="16"/>
                <w:color w:val="auto"/>
              </w:rPr>
              <w:t>Revolving Credit Facility and CP</w:t>
            </w:r>
          </w:p>
        </w:tc>
        <w:tc>
          <w:tcPr>
            <w:tcW w:w="1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94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206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188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1920" w:type="dxa"/>
            <w:vAlign w:val="bottom"/>
            <w:shd w:val="clear" w:color="auto" w:fill="CEFFE7"/>
          </w:tcPr>
          <w:p>
            <w:pPr>
              <w:spacing w:after="0"/>
              <w:rPr>
                <w:sz w:val="15"/>
                <w:szCs w:val="15"/>
                <w:color w:val="auto"/>
              </w:rPr>
            </w:pPr>
          </w:p>
        </w:tc>
      </w:tr>
      <w:tr>
        <w:trPr>
          <w:trHeight w:val="201"/>
        </w:trPr>
        <w:tc>
          <w:tcPr>
            <w:tcW w:w="2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Program</w:t>
            </w:r>
          </w:p>
        </w:tc>
        <w:tc>
          <w:tcPr>
            <w:tcW w:w="11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July 30, 2023</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750</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491</w:t>
            </w:r>
          </w:p>
        </w:tc>
      </w:tr>
      <w:tr>
        <w:trPr>
          <w:trHeight w:val="248"/>
        </w:trPr>
        <w:tc>
          <w:tcPr>
            <w:tcW w:w="2440" w:type="dxa"/>
            <w:vAlign w:val="bottom"/>
          </w:tcPr>
          <w:p>
            <w:pPr>
              <w:spacing w:after="0"/>
              <w:rPr>
                <w:sz w:val="20"/>
                <w:szCs w:val="20"/>
                <w:color w:val="auto"/>
              </w:rPr>
            </w:pPr>
            <w:r>
              <w:rPr>
                <w:rFonts w:ascii="Arial" w:cs="Arial" w:eastAsia="Arial" w:hAnsi="Arial"/>
                <w:sz w:val="14"/>
                <w:szCs w:val="14"/>
                <w:color w:val="auto"/>
              </w:rPr>
              <w:t>__________</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ind w:left="340" w:right="140" w:hanging="332"/>
        <w:spacing w:after="0" w:line="258" w:lineRule="auto"/>
        <w:tabs>
          <w:tab w:leader="none" w:pos="352"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Letters of credit are off-balance sheet commitments that reduce the borrowing capacity available on our corporate Revolving Credit. For more information on these letters of credit, see </w:t>
      </w:r>
      <w:hyperlink w:anchor="page97">
        <w:r>
          <w:rPr>
            <w:rFonts w:ascii="Arial" w:cs="Arial" w:eastAsia="Arial" w:hAnsi="Arial"/>
            <w:sz w:val="14"/>
            <w:szCs w:val="14"/>
            <w:u w:val="single" w:color="auto"/>
            <w:color w:val="0000FF"/>
          </w:rPr>
          <w:t>Note 9</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weighted average interest rate on short-term borrowings at December 31, 2020 was 0.27%. Short-term borrowing activity for the year ended December 31, 2020 was: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8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(dollars in millions)</w:t>
            </w:r>
          </w:p>
        </w:tc>
      </w:tr>
      <w:tr>
        <w:trPr>
          <w:trHeight w:val="213"/>
        </w:trPr>
        <w:tc>
          <w:tcPr>
            <w:tcW w:w="6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Maximum amount outstanding (based on daily outstanding balances)</w:t>
            </w:r>
          </w:p>
        </w:tc>
        <w:tc>
          <w:tcPr>
            <w:tcW w:w="214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22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366</w:t>
            </w:r>
          </w:p>
        </w:tc>
      </w:tr>
      <w:tr>
        <w:trPr>
          <w:trHeight w:val="213"/>
        </w:trPr>
        <w:tc>
          <w:tcPr>
            <w:tcW w:w="6840" w:type="dxa"/>
            <w:vAlign w:val="bottom"/>
          </w:tcPr>
          <w:p>
            <w:pPr>
              <w:ind w:left="100"/>
              <w:spacing w:after="0"/>
              <w:rPr>
                <w:sz w:val="20"/>
                <w:szCs w:val="20"/>
                <w:color w:val="auto"/>
              </w:rPr>
            </w:pPr>
            <w:r>
              <w:rPr>
                <w:rFonts w:ascii="Arial" w:cs="Arial" w:eastAsia="Arial" w:hAnsi="Arial"/>
                <w:sz w:val="16"/>
                <w:szCs w:val="16"/>
                <w:color w:val="auto"/>
              </w:rPr>
              <w:t>Average amount outstanding (based on daily outstanding balances)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220" w:type="dxa"/>
            <w:vAlign w:val="bottom"/>
          </w:tcPr>
          <w:p>
            <w:pPr>
              <w:jc w:val="right"/>
              <w:ind w:right="119"/>
              <w:spacing w:after="0"/>
              <w:rPr>
                <w:sz w:val="20"/>
                <w:szCs w:val="20"/>
                <w:color w:val="auto"/>
              </w:rPr>
            </w:pPr>
            <w:r>
              <w:rPr>
                <w:rFonts w:ascii="Arial" w:cs="Arial" w:eastAsia="Arial" w:hAnsi="Arial"/>
                <w:sz w:val="16"/>
                <w:szCs w:val="16"/>
                <w:color w:val="auto"/>
              </w:rPr>
              <w:t>193</w:t>
            </w:r>
          </w:p>
        </w:tc>
      </w:tr>
      <w:tr>
        <w:trPr>
          <w:trHeight w:val="219"/>
        </w:trPr>
        <w:tc>
          <w:tcPr>
            <w:tcW w:w="6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Weighted average interest rate</w:t>
            </w:r>
          </w:p>
        </w:tc>
        <w:tc>
          <w:tcPr>
            <w:tcW w:w="2140" w:type="dxa"/>
            <w:vAlign w:val="bottom"/>
            <w:shd w:val="clear" w:color="auto" w:fill="CEFFE7"/>
          </w:tcPr>
          <w:p>
            <w:pPr>
              <w:spacing w:after="0"/>
              <w:rPr>
                <w:sz w:val="19"/>
                <w:szCs w:val="19"/>
                <w:color w:val="auto"/>
              </w:rPr>
            </w:pPr>
          </w:p>
        </w:tc>
        <w:tc>
          <w:tcPr>
            <w:tcW w:w="2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0.90 %</w:t>
            </w:r>
          </w:p>
        </w:tc>
      </w:tr>
    </w:tbl>
    <w:p>
      <w:pPr>
        <w:spacing w:after="0" w:line="326" w:lineRule="exact"/>
        <w:rPr>
          <w:sz w:val="20"/>
          <w:szCs w:val="20"/>
          <w:color w:val="auto"/>
        </w:rPr>
      </w:pPr>
    </w:p>
    <w:p>
      <w:pPr>
        <w:ind w:right="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97">
        <w:r>
          <w:rPr>
            <w:rFonts w:ascii="Arial" w:cs="Arial" w:eastAsia="Arial" w:hAnsi="Arial"/>
            <w:sz w:val="16"/>
            <w:szCs w:val="16"/>
            <w:u w:val="single" w:color="auto"/>
            <w:color w:val="0000FF"/>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our Notes to Consolidated Financial Statements in this Annual Report on Form 10-K for more information on our Revolving Credit Facility and CP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Money Pool</w:t>
      </w:r>
    </w:p>
    <w:p>
      <w:pPr>
        <w:spacing w:after="0" w:line="26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As a utility holding company, we are required to establish a cash management program to address lending and borrowing activities between our utilities and the Company. We have established utility money pool agreements which address these requirements. These agreements are on file with the FERC and appropriate state regulators. Under the utility money pool agreements, our utilities may, at their option, borrow and extend short-term loans to our other utilities via a utility money pool at market-based rates. While the utility money pool may borrow funds from the Company (as ultimate parent company), the money pool arrangement does not allow loans from our utility subsidiaries to the Company (as ultimate parent company) or to non-regulated affiliates.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68" w:lineRule="exact"/>
        <w:rPr>
          <w:sz w:val="20"/>
          <w:szCs w:val="20"/>
          <w:color w:val="auto"/>
        </w:rPr>
      </w:pPr>
    </w:p>
    <w:p>
      <w:pPr>
        <w:ind w:right="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Our Long-term debt and associated interest payments due by year are shown below (in thousands). For more information on our long-term debt, see </w:t>
      </w:r>
      <w:hyperlink w:anchor="page97">
        <w:r>
          <w:rPr>
            <w:rFonts w:ascii="Arial" w:cs="Arial" w:eastAsia="Arial" w:hAnsi="Arial"/>
            <w:sz w:val="16"/>
            <w:szCs w:val="16"/>
            <w:u w:val="single" w:color="auto"/>
            <w:color w:val="0000FF"/>
          </w:rPr>
          <w:t>Note 9</w:t>
        </w:r>
      </w:hyperlink>
      <w:r>
        <w:rPr>
          <w:rFonts w:ascii="Arial" w:cs="Arial" w:eastAsia="Arial" w:hAnsi="Arial"/>
          <w:sz w:val="16"/>
          <w:szCs w:val="16"/>
          <w:color w:val="auto"/>
        </w:rPr>
        <w:t xml:space="preserve"> of our Notes to Consolidated Financial Statements in this Annual Report on Form 10-K.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c>
          <w:tcPr>
            <w:tcW w:w="8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2024</w:t>
            </w: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2025</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7"/>
        </w:trPr>
        <w:tc>
          <w:tcPr>
            <w:tcW w:w="3820" w:type="dxa"/>
            <w:vAlign w:val="bottom"/>
            <w:shd w:val="clear" w:color="auto" w:fill="CEFFE7"/>
          </w:tcPr>
          <w:p>
            <w:pPr>
              <w:ind w:left="20"/>
              <w:spacing w:after="0" w:line="147" w:lineRule="exact"/>
              <w:rPr>
                <w:sz w:val="20"/>
                <w:szCs w:val="20"/>
                <w:color w:val="auto"/>
              </w:rPr>
            </w:pPr>
            <w:r>
              <w:rPr>
                <w:rFonts w:ascii="Arial" w:cs="Arial" w:eastAsia="Arial" w:hAnsi="Arial"/>
                <w:sz w:val="14"/>
                <w:szCs w:val="14"/>
                <w:color w:val="auto"/>
              </w:rPr>
              <w:t>Principal payments on Long-term debt including current</w:t>
            </w:r>
          </w:p>
        </w:tc>
        <w:tc>
          <w:tcPr>
            <w:tcW w:w="220" w:type="dxa"/>
            <w:vAlign w:val="bottom"/>
            <w:vMerge w:val="restart"/>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8,436</w:t>
            </w:r>
          </w:p>
        </w:tc>
        <w:tc>
          <w:tcPr>
            <w:tcW w:w="260" w:type="dxa"/>
            <w:vAlign w:val="bottom"/>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 $</w:t>
            </w:r>
          </w:p>
        </w:tc>
        <w:tc>
          <w:tcPr>
            <w:tcW w:w="7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525,000</w:t>
            </w:r>
          </w:p>
        </w:tc>
        <w:tc>
          <w:tcPr>
            <w:tcW w:w="260" w:type="dxa"/>
            <w:vAlign w:val="bottom"/>
            <w:vMerge w:val="restart"/>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EFFE7"/>
          </w:tcPr>
          <w:p>
            <w:pPr>
              <w:jc w:val="right"/>
              <w:ind w:right="168"/>
              <w:spacing w:after="0"/>
              <w:rPr>
                <w:sz w:val="20"/>
                <w:szCs w:val="20"/>
                <w:color w:val="auto"/>
              </w:rPr>
            </w:pPr>
            <w:r>
              <w:rPr>
                <w:rFonts w:ascii="Arial" w:cs="Arial" w:eastAsia="Arial" w:hAnsi="Arial"/>
                <w:sz w:val="14"/>
                <w:szCs w:val="14"/>
                <w:color w:val="auto"/>
              </w:rPr>
              <w:t>— $</w:t>
            </w:r>
          </w:p>
        </w:tc>
        <w:tc>
          <w:tcPr>
            <w:tcW w:w="8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3,035,000</w:t>
            </w:r>
          </w:p>
        </w:tc>
        <w:tc>
          <w:tcPr>
            <w:tcW w:w="280" w:type="dxa"/>
            <w:vAlign w:val="bottom"/>
            <w:vMerge w:val="restart"/>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EFFE7"/>
          </w:tcPr>
          <w:p>
            <w:pPr>
              <w:ind w:left="160"/>
              <w:spacing w:after="0"/>
              <w:rPr>
                <w:sz w:val="20"/>
                <w:szCs w:val="20"/>
                <w:color w:val="auto"/>
              </w:rPr>
            </w:pPr>
            <w:r>
              <w:rPr>
                <w:rFonts w:ascii="Arial" w:cs="Arial" w:eastAsia="Arial" w:hAnsi="Arial"/>
                <w:sz w:val="14"/>
                <w:szCs w:val="14"/>
                <w:color w:val="auto"/>
              </w:rPr>
              <w:t>3,568,436</w:t>
            </w:r>
          </w:p>
        </w:tc>
        <w:tc>
          <w:tcPr>
            <w:tcW w:w="0" w:type="dxa"/>
            <w:vAlign w:val="bottom"/>
          </w:tcPr>
          <w:p>
            <w:pPr>
              <w:spacing w:after="0"/>
              <w:rPr>
                <w:sz w:val="1"/>
                <w:szCs w:val="1"/>
                <w:color w:val="auto"/>
              </w:rPr>
            </w:pPr>
          </w:p>
        </w:tc>
      </w:tr>
      <w:tr>
        <w:trPr>
          <w:trHeight w:val="171"/>
        </w:trPr>
        <w:tc>
          <w:tcPr>
            <w:tcW w:w="3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 xml:space="preserve">maturities </w:t>
            </w:r>
            <w:r>
              <w:rPr>
                <w:rFonts w:ascii="Arial" w:cs="Arial" w:eastAsia="Arial" w:hAnsi="Arial"/>
                <w:sz w:val="9"/>
                <w:szCs w:val="9"/>
                <w:color w:val="auto"/>
              </w:rPr>
              <w:t>(a)</w:t>
            </w:r>
          </w:p>
        </w:tc>
        <w:tc>
          <w:tcPr>
            <w:tcW w:w="220" w:type="dxa"/>
            <w:vAlign w:val="bottom"/>
            <w:vMerge w:val="continue"/>
            <w:shd w:val="clear" w:color="auto" w:fill="CEFFE7"/>
          </w:tcPr>
          <w:p>
            <w:pPr>
              <w:spacing w:after="0"/>
              <w:rPr>
                <w:sz w:val="14"/>
                <w:szCs w:val="14"/>
                <w:color w:val="auto"/>
              </w:rPr>
            </w:pPr>
          </w:p>
        </w:tc>
        <w:tc>
          <w:tcPr>
            <w:tcW w:w="800" w:type="dxa"/>
            <w:vAlign w:val="bottom"/>
            <w:vMerge w:val="continue"/>
            <w:shd w:val="clear" w:color="auto" w:fill="CEFFE7"/>
          </w:tcPr>
          <w:p>
            <w:pPr>
              <w:spacing w:after="0"/>
              <w:rPr>
                <w:sz w:val="14"/>
                <w:szCs w:val="14"/>
                <w:color w:val="auto"/>
              </w:rPr>
            </w:pPr>
          </w:p>
        </w:tc>
        <w:tc>
          <w:tcPr>
            <w:tcW w:w="260" w:type="dxa"/>
            <w:vAlign w:val="bottom"/>
            <w:vMerge w:val="continue"/>
            <w:shd w:val="clear" w:color="auto" w:fill="CEFFE7"/>
          </w:tcPr>
          <w:p>
            <w:pPr>
              <w:spacing w:after="0"/>
              <w:rPr>
                <w:sz w:val="14"/>
                <w:szCs w:val="14"/>
                <w:color w:val="auto"/>
              </w:rPr>
            </w:pPr>
          </w:p>
        </w:tc>
        <w:tc>
          <w:tcPr>
            <w:tcW w:w="1060" w:type="dxa"/>
            <w:vAlign w:val="bottom"/>
            <w:vMerge w:val="continue"/>
            <w:shd w:val="clear" w:color="auto" w:fill="CEFFE7"/>
          </w:tcPr>
          <w:p>
            <w:pPr>
              <w:spacing w:after="0"/>
              <w:rPr>
                <w:sz w:val="14"/>
                <w:szCs w:val="14"/>
                <w:color w:val="auto"/>
              </w:rPr>
            </w:pPr>
          </w:p>
        </w:tc>
        <w:tc>
          <w:tcPr>
            <w:tcW w:w="780" w:type="dxa"/>
            <w:vAlign w:val="bottom"/>
            <w:vMerge w:val="continue"/>
            <w:shd w:val="clear" w:color="auto" w:fill="CEFFE7"/>
          </w:tcPr>
          <w:p>
            <w:pPr>
              <w:spacing w:after="0"/>
              <w:rPr>
                <w:sz w:val="14"/>
                <w:szCs w:val="14"/>
                <w:color w:val="auto"/>
              </w:rPr>
            </w:pPr>
          </w:p>
        </w:tc>
        <w:tc>
          <w:tcPr>
            <w:tcW w:w="260" w:type="dxa"/>
            <w:vAlign w:val="bottom"/>
            <w:vMerge w:val="continue"/>
            <w:shd w:val="clear" w:color="auto" w:fill="CEFFE7"/>
          </w:tcPr>
          <w:p>
            <w:pPr>
              <w:spacing w:after="0"/>
              <w:rPr>
                <w:sz w:val="14"/>
                <w:szCs w:val="14"/>
                <w:color w:val="auto"/>
              </w:rPr>
            </w:pPr>
          </w:p>
        </w:tc>
        <w:tc>
          <w:tcPr>
            <w:tcW w:w="1160" w:type="dxa"/>
            <w:vAlign w:val="bottom"/>
            <w:vMerge w:val="continue"/>
            <w:shd w:val="clear" w:color="auto" w:fill="CEFFE7"/>
          </w:tcPr>
          <w:p>
            <w:pPr>
              <w:spacing w:after="0"/>
              <w:rPr>
                <w:sz w:val="14"/>
                <w:szCs w:val="14"/>
                <w:color w:val="auto"/>
              </w:rPr>
            </w:pPr>
          </w:p>
        </w:tc>
        <w:tc>
          <w:tcPr>
            <w:tcW w:w="860" w:type="dxa"/>
            <w:vAlign w:val="bottom"/>
            <w:vMerge w:val="continue"/>
            <w:shd w:val="clear" w:color="auto" w:fill="CEFFE7"/>
          </w:tcPr>
          <w:p>
            <w:pPr>
              <w:spacing w:after="0"/>
              <w:rPr>
                <w:sz w:val="14"/>
                <w:szCs w:val="14"/>
                <w:color w:val="auto"/>
              </w:rPr>
            </w:pPr>
          </w:p>
        </w:tc>
        <w:tc>
          <w:tcPr>
            <w:tcW w:w="880" w:type="dxa"/>
            <w:vAlign w:val="bottom"/>
            <w:vMerge w:val="continue"/>
            <w:shd w:val="clear" w:color="auto" w:fill="CEFFE7"/>
          </w:tcPr>
          <w:p>
            <w:pPr>
              <w:spacing w:after="0"/>
              <w:rPr>
                <w:sz w:val="14"/>
                <w:szCs w:val="14"/>
                <w:color w:val="auto"/>
              </w:rPr>
            </w:pPr>
          </w:p>
        </w:tc>
        <w:tc>
          <w:tcPr>
            <w:tcW w:w="280" w:type="dxa"/>
            <w:vAlign w:val="bottom"/>
            <w:vMerge w:val="continue"/>
            <w:shd w:val="clear" w:color="auto" w:fill="CEFFE7"/>
          </w:tcPr>
          <w:p>
            <w:pPr>
              <w:spacing w:after="0"/>
              <w:rPr>
                <w:sz w:val="14"/>
                <w:szCs w:val="14"/>
                <w:color w:val="auto"/>
              </w:rPr>
            </w:pPr>
          </w:p>
        </w:tc>
        <w:tc>
          <w:tcPr>
            <w:tcW w:w="860" w:type="dxa"/>
            <w:vAlign w:val="bottom"/>
            <w:vMerge w:val="continue"/>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820" w:type="dxa"/>
            <w:vAlign w:val="bottom"/>
          </w:tcPr>
          <w:p>
            <w:pPr>
              <w:ind w:left="20"/>
              <w:spacing w:after="0"/>
              <w:rPr>
                <w:sz w:val="20"/>
                <w:szCs w:val="20"/>
                <w:color w:val="auto"/>
              </w:rPr>
            </w:pPr>
            <w:r>
              <w:rPr>
                <w:rFonts w:ascii="Arial" w:cs="Arial" w:eastAsia="Arial" w:hAnsi="Arial"/>
                <w:sz w:val="14"/>
                <w:szCs w:val="14"/>
                <w:color w:val="auto"/>
              </w:rPr>
              <w:t xml:space="preserve">Interest payments on Long-term debt </w:t>
            </w:r>
            <w:r>
              <w:rPr>
                <w:rFonts w:ascii="Arial" w:cs="Arial" w:eastAsia="Arial" w:hAnsi="Arial"/>
                <w:sz w:val="9"/>
                <w:szCs w:val="9"/>
                <w:color w:val="auto"/>
              </w:rPr>
              <w:t>(a)</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141,561</w:t>
            </w:r>
          </w:p>
        </w:tc>
        <w:tc>
          <w:tcPr>
            <w:tcW w:w="2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141,547</w:t>
            </w:r>
          </w:p>
        </w:tc>
        <w:tc>
          <w:tcPr>
            <w:tcW w:w="780" w:type="dxa"/>
            <w:vAlign w:val="bottom"/>
          </w:tcPr>
          <w:p>
            <w:pPr>
              <w:jc w:val="right"/>
              <w:spacing w:after="0"/>
              <w:rPr>
                <w:sz w:val="20"/>
                <w:szCs w:val="20"/>
                <w:color w:val="auto"/>
              </w:rPr>
            </w:pPr>
            <w:r>
              <w:rPr>
                <w:rFonts w:ascii="Arial" w:cs="Arial" w:eastAsia="Arial" w:hAnsi="Arial"/>
                <w:sz w:val="14"/>
                <w:szCs w:val="14"/>
                <w:color w:val="auto"/>
              </w:rPr>
              <w:t>141,547</w:t>
            </w:r>
          </w:p>
        </w:tc>
        <w:tc>
          <w:tcPr>
            <w:tcW w:w="260" w:type="dxa"/>
            <w:vAlign w:val="bottom"/>
          </w:tcPr>
          <w:p>
            <w:pPr>
              <w:spacing w:after="0"/>
              <w:rPr>
                <w:sz w:val="16"/>
                <w:szCs w:val="16"/>
                <w:color w:val="auto"/>
              </w:rPr>
            </w:pPr>
          </w:p>
        </w:tc>
        <w:tc>
          <w:tcPr>
            <w:tcW w:w="1160" w:type="dxa"/>
            <w:vAlign w:val="bottom"/>
          </w:tcPr>
          <w:p>
            <w:pPr>
              <w:jc w:val="right"/>
              <w:ind w:right="328"/>
              <w:spacing w:after="0"/>
              <w:rPr>
                <w:sz w:val="20"/>
                <w:szCs w:val="20"/>
                <w:color w:val="auto"/>
              </w:rPr>
            </w:pPr>
            <w:r>
              <w:rPr>
                <w:rFonts w:ascii="Arial" w:cs="Arial" w:eastAsia="Arial" w:hAnsi="Arial"/>
                <w:sz w:val="14"/>
                <w:szCs w:val="14"/>
                <w:color w:val="auto"/>
              </w:rPr>
              <w:t>119,235</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119,235</w:t>
            </w:r>
          </w:p>
        </w:tc>
        <w:tc>
          <w:tcPr>
            <w:tcW w:w="880" w:type="dxa"/>
            <w:vAlign w:val="bottom"/>
          </w:tcPr>
          <w:p>
            <w:pPr>
              <w:jc w:val="right"/>
              <w:spacing w:after="0"/>
              <w:rPr>
                <w:sz w:val="20"/>
                <w:szCs w:val="20"/>
                <w:color w:val="auto"/>
              </w:rPr>
            </w:pPr>
            <w:r>
              <w:rPr>
                <w:rFonts w:ascii="Arial" w:cs="Arial" w:eastAsia="Arial" w:hAnsi="Arial"/>
                <w:sz w:val="14"/>
                <w:szCs w:val="14"/>
                <w:color w:val="auto"/>
              </w:rPr>
              <w:t>1,209,188</w:t>
            </w:r>
          </w:p>
        </w:tc>
        <w:tc>
          <w:tcPr>
            <w:tcW w:w="28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Arial" w:cs="Arial" w:eastAsia="Arial" w:hAnsi="Arial"/>
                <w:sz w:val="14"/>
                <w:szCs w:val="14"/>
                <w:color w:val="auto"/>
              </w:rPr>
              <w:t>1,872,313</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right="300" w:hanging="332"/>
        <w:spacing w:after="0" w:line="258" w:lineRule="auto"/>
        <w:tabs>
          <w:tab w:leader="none" w:pos="327" w:val="left"/>
        </w:tabs>
        <w:numPr>
          <w:ilvl w:val="0"/>
          <w:numId w:val="44"/>
        </w:numPr>
        <w:rPr>
          <w:rFonts w:ascii="Arial" w:cs="Arial" w:eastAsia="Arial" w:hAnsi="Arial"/>
          <w:sz w:val="14"/>
          <w:szCs w:val="14"/>
          <w:color w:val="auto"/>
        </w:rPr>
      </w:pPr>
      <w:r>
        <w:rPr>
          <w:rFonts w:ascii="Arial" w:cs="Arial" w:eastAsia="Arial" w:hAnsi="Arial"/>
          <w:sz w:val="14"/>
          <w:szCs w:val="14"/>
          <w:color w:val="auto"/>
        </w:rPr>
        <w:t>Long-term debt amounts do not include deferred financing costs or discounts or premiums on debt. Estimated interest payments on variable rate debt are calculated by utilizing the applicable rates as of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68" w:lineRule="exact"/>
        <w:rPr>
          <w:sz w:val="20"/>
          <w:szCs w:val="20"/>
          <w:color w:val="auto"/>
        </w:rPr>
      </w:pPr>
    </w:p>
    <w:p>
      <w:pPr>
        <w:ind w:right="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December 31, 2020. See additional information in </w:t>
      </w:r>
      <w:hyperlink w:anchor="page97">
        <w:r>
          <w:rPr>
            <w:rFonts w:ascii="Arial" w:cs="Arial" w:eastAsia="Arial" w:hAnsi="Arial"/>
            <w:sz w:val="16"/>
            <w:szCs w:val="16"/>
            <w:u w:val="single" w:color="auto"/>
            <w:color w:val="0000FF"/>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our Notes to Consolidated Financial Statements in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Shelf Registration</w:t>
      </w:r>
    </w:p>
    <w:p>
      <w:pPr>
        <w:spacing w:after="0" w:line="26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have a shelf registration statement on file with the SEC under which we may issue, from time to time, senior debt securities, subordinated debt securities, common stock, preferred stock, warrants and other securities. Although the shelf registration statement does not limit our issuance capacity, our ability to issue securities is limited to the authority granted by our Board of Directors, certain covenants in our financing arrangements and restrictions imposed by federal and state regulatory authorities. The shelf registration expires in August 2023. Our articles of incorporation authorize the issuance of 100 million shares of common stock and 25 million shares of preferred stock. As of December 31, 2020, we had approximately 63 million shares of common stock outstanding and no shares of preferred stock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ATM</w:t>
      </w:r>
    </w:p>
    <w:p>
      <w:pPr>
        <w:spacing w:after="0" w:line="26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Our ATM allows us to sell shares of our common stock with an aggregate value of up to $400 million. The shares may be offered from time to time pursuant to a sales agreement dated August 4, 2020. Shares of common stock are offered pursuant to our shelf registration statement filed with the SEC. In 2020, we did not issue any shares of common stock under the ATM.</w:t>
      </w:r>
    </w:p>
    <w:p>
      <w:pPr>
        <w:spacing w:after="0" w:line="22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For additional information regarding equity, see </w:t>
      </w:r>
      <w:hyperlink w:anchor="page100">
        <w:r>
          <w:rPr>
            <w:rFonts w:ascii="Arial" w:cs="Arial" w:eastAsia="Arial" w:hAnsi="Arial"/>
            <w:sz w:val="16"/>
            <w:szCs w:val="16"/>
            <w:u w:val="single" w:color="auto"/>
            <w:color w:val="0000FF"/>
          </w:rPr>
          <w:t>Note 10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our Notes to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68" w:lineRule="exact"/>
        <w:rPr>
          <w:sz w:val="20"/>
          <w:szCs w:val="20"/>
          <w:color w:val="auto"/>
        </w:rPr>
      </w:pPr>
    </w:p>
    <w:p>
      <w:pPr>
        <w:ind w:right="140"/>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We will continue to assess debt and equity needs to support our capital investment plans and other key strategic objectives. In 2021, we expect to fund our capital plan and strategic objectives by using cash generated from operating activities, our Revolving Credit Facility and CP Program, and issuing $100 million to $120 million of common stock under the ATM. As discussed in the </w:t>
      </w:r>
      <w:hyperlink w:anchor="page37">
        <w:r>
          <w:rPr>
            <w:rFonts w:ascii="Arial" w:cs="Arial" w:eastAsia="Arial" w:hAnsi="Arial"/>
            <w:sz w:val="16"/>
            <w:szCs w:val="16"/>
            <w:u w:val="single" w:color="auto"/>
            <w:color w:val="0000FF"/>
          </w:rPr>
          <w:t>Company Highlights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above, on February 24, 2021, we entered into an $800 million term loan maturing on November 23, 2021. We expect to repay a portion of this term loan prior to maturity and refinance the remaining portion in longer-term debt.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6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In order to operate and grow our business, we need to consistently maintain the ability to raise capital on favorable terms.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credit ratings of the Company, management believes that the Company will have access to the capital markets at prevailing market rates for companies with comparable credit ratings. We note that credit ratings are not recommendations to buy, sell, or hold securities and may be subject to revision or withdrawal at any time by the assigning rating agency. Each rating should be evaluated independently of any other rating.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outlook and risk profile of BHC at December 31, 2020: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54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Rating Agency</w:t>
            </w:r>
          </w:p>
        </w:tc>
        <w:tc>
          <w:tcPr>
            <w:tcW w:w="4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Senior Unsecured Rating</w:t>
            </w:r>
          </w:p>
        </w:tc>
        <w:tc>
          <w:tcPr>
            <w:tcW w:w="34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Outlook</w:t>
            </w:r>
          </w:p>
        </w:tc>
      </w:tr>
      <w:tr>
        <w:trPr>
          <w:trHeight w:val="213"/>
        </w:trPr>
        <w:tc>
          <w:tcPr>
            <w:tcW w:w="20" w:type="dxa"/>
            <w:vAlign w:val="bottom"/>
          </w:tcPr>
          <w:p>
            <w:pPr>
              <w:spacing w:after="0"/>
              <w:rPr>
                <w:sz w:val="18"/>
                <w:szCs w:val="18"/>
                <w:color w:val="auto"/>
              </w:rPr>
            </w:pPr>
          </w:p>
        </w:tc>
        <w:tc>
          <w:tcPr>
            <w:tcW w:w="354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426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BBB+</w:t>
            </w:r>
          </w:p>
        </w:tc>
        <w:tc>
          <w:tcPr>
            <w:tcW w:w="3400" w:type="dxa"/>
            <w:vAlign w:val="bottom"/>
            <w:shd w:val="clear" w:color="auto" w:fill="CEFFE7"/>
          </w:tcPr>
          <w:p>
            <w:pPr>
              <w:jc w:val="center"/>
              <w:ind w:right="219"/>
              <w:spacing w:after="0"/>
              <w:rPr>
                <w:sz w:val="20"/>
                <w:szCs w:val="20"/>
                <w:color w:val="auto"/>
              </w:rPr>
            </w:pPr>
            <w:r>
              <w:rPr>
                <w:rFonts w:ascii="Arial" w:cs="Arial" w:eastAsia="Arial" w:hAnsi="Arial"/>
                <w:sz w:val="16"/>
                <w:szCs w:val="16"/>
                <w:color w:val="auto"/>
              </w:rPr>
              <w:t>Stable</w:t>
            </w:r>
          </w:p>
        </w:tc>
      </w:tr>
      <w:tr>
        <w:trPr>
          <w:trHeight w:val="216"/>
        </w:trPr>
        <w:tc>
          <w:tcPr>
            <w:tcW w:w="20" w:type="dxa"/>
            <w:vAlign w:val="bottom"/>
          </w:tcPr>
          <w:p>
            <w:pPr>
              <w:spacing w:after="0"/>
              <w:rPr>
                <w:sz w:val="18"/>
                <w:szCs w:val="18"/>
                <w:color w:val="auto"/>
              </w:rPr>
            </w:pPr>
          </w:p>
        </w:tc>
        <w:tc>
          <w:tcPr>
            <w:tcW w:w="35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4260" w:type="dxa"/>
            <w:vAlign w:val="bottom"/>
          </w:tcPr>
          <w:p>
            <w:pPr>
              <w:jc w:val="center"/>
              <w:ind w:right="39"/>
              <w:spacing w:after="0"/>
              <w:rPr>
                <w:sz w:val="20"/>
                <w:szCs w:val="20"/>
                <w:color w:val="auto"/>
              </w:rPr>
            </w:pPr>
            <w:r>
              <w:rPr>
                <w:rFonts w:ascii="Arial" w:cs="Arial" w:eastAsia="Arial" w:hAnsi="Arial"/>
                <w:sz w:val="16"/>
                <w:szCs w:val="16"/>
                <w:color w:val="auto"/>
              </w:rPr>
              <w:t>Baa2</w:t>
            </w:r>
          </w:p>
        </w:tc>
        <w:tc>
          <w:tcPr>
            <w:tcW w:w="3400" w:type="dxa"/>
            <w:vAlign w:val="bottom"/>
          </w:tcPr>
          <w:p>
            <w:pPr>
              <w:jc w:val="center"/>
              <w:ind w:right="219"/>
              <w:spacing w:after="0"/>
              <w:rPr>
                <w:sz w:val="20"/>
                <w:szCs w:val="20"/>
                <w:color w:val="auto"/>
              </w:rPr>
            </w:pPr>
            <w:r>
              <w:rPr>
                <w:rFonts w:ascii="Arial" w:cs="Arial" w:eastAsia="Arial" w:hAnsi="Arial"/>
                <w:sz w:val="16"/>
                <w:szCs w:val="16"/>
                <w:color w:val="auto"/>
              </w:rPr>
              <w:t>Stable</w:t>
            </w:r>
          </w:p>
        </w:tc>
      </w:tr>
      <w:tr>
        <w:trPr>
          <w:trHeight w:val="216"/>
        </w:trPr>
        <w:tc>
          <w:tcPr>
            <w:tcW w:w="20" w:type="dxa"/>
            <w:vAlign w:val="bottom"/>
          </w:tcPr>
          <w:p>
            <w:pPr>
              <w:spacing w:after="0"/>
              <w:rPr>
                <w:sz w:val="18"/>
                <w:szCs w:val="18"/>
                <w:color w:val="auto"/>
              </w:rPr>
            </w:pPr>
          </w:p>
        </w:tc>
        <w:tc>
          <w:tcPr>
            <w:tcW w:w="354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426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BBB+</w:t>
            </w:r>
          </w:p>
        </w:tc>
        <w:tc>
          <w:tcPr>
            <w:tcW w:w="3400" w:type="dxa"/>
            <w:vAlign w:val="bottom"/>
            <w:shd w:val="clear" w:color="auto" w:fill="CEFFE7"/>
          </w:tcPr>
          <w:p>
            <w:pPr>
              <w:jc w:val="center"/>
              <w:ind w:right="219"/>
              <w:spacing w:after="0"/>
              <w:rPr>
                <w:sz w:val="20"/>
                <w:szCs w:val="20"/>
                <w:color w:val="auto"/>
              </w:rPr>
            </w:pPr>
            <w:r>
              <w:rPr>
                <w:rFonts w:ascii="Arial" w:cs="Arial" w:eastAsia="Arial" w:hAnsi="Arial"/>
                <w:sz w:val="16"/>
                <w:szCs w:val="16"/>
                <w:color w:val="auto"/>
              </w:rPr>
              <w:t>Stable</w:t>
            </w:r>
          </w:p>
        </w:tc>
      </w:tr>
      <w:tr>
        <w:trPr>
          <w:trHeight w:val="248"/>
        </w:trPr>
        <w:tc>
          <w:tcPr>
            <w:tcW w:w="3560" w:type="dxa"/>
            <w:vAlign w:val="bottom"/>
            <w:gridSpan w:val="2"/>
          </w:tcPr>
          <w:p>
            <w:pPr>
              <w:jc w:val="right"/>
              <w:ind w:right="2679"/>
              <w:spacing w:after="0"/>
              <w:rPr>
                <w:sz w:val="20"/>
                <w:szCs w:val="20"/>
                <w:color w:val="auto"/>
              </w:rPr>
            </w:pPr>
            <w:r>
              <w:rPr>
                <w:rFonts w:ascii="Arial" w:cs="Arial" w:eastAsia="Arial" w:hAnsi="Arial"/>
                <w:sz w:val="14"/>
                <w:szCs w:val="14"/>
                <w:color w:val="auto"/>
              </w:rPr>
              <w:t>__________</w:t>
            </w:r>
          </w:p>
        </w:tc>
        <w:tc>
          <w:tcPr>
            <w:tcW w:w="4260" w:type="dxa"/>
            <w:vAlign w:val="bottom"/>
          </w:tcPr>
          <w:p>
            <w:pPr>
              <w:spacing w:after="0"/>
              <w:rPr>
                <w:sz w:val="21"/>
                <w:szCs w:val="21"/>
                <w:color w:val="auto"/>
              </w:rPr>
            </w:pPr>
          </w:p>
        </w:tc>
        <w:tc>
          <w:tcPr>
            <w:tcW w:w="3400" w:type="dxa"/>
            <w:vAlign w:val="bottom"/>
          </w:tcPr>
          <w:p>
            <w:pPr>
              <w:spacing w:after="0"/>
              <w:rPr>
                <w:sz w:val="21"/>
                <w:szCs w:val="21"/>
                <w:color w:val="auto"/>
              </w:rPr>
            </w:pPr>
          </w:p>
        </w:tc>
      </w:tr>
    </w:tbl>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April 10, 2020, S&amp;P reported BBB+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December 21, 2020, Moody’s reported Baa2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August 20, 2020, Fitch reported BBB+ rating and maintained a Stable outlook.</w:t>
      </w:r>
    </w:p>
    <w:p>
      <w:pPr>
        <w:spacing w:after="0" w:line="24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Certain fees and interest rates under our Revolving Credit Facility are based on our credit ratings at all three rating agencies. If all of our ratings are at the same level, or if two of our ratings are the same level and one differs, these fees and interest rates will be based on the ratings that are at the same level. If all of our ratings are at different levels, these fees and interest rates will be based on the middle level. Currently, our Fitch and S&amp;P ratings are at the same level, and our Moody’s rating is one level below. Therefore, if Fitch or S&amp;P downgrades our senior unsecured debt, we will be required to pay higher fees and interest rates under our Revolving Credit Facility.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20" w:type="dxa"/>
            <w:vAlign w:val="bottom"/>
            <w:gridSpan w:val="2"/>
          </w:tcPr>
          <w:p>
            <w:pPr>
              <w:spacing w:after="0"/>
              <w:rPr>
                <w:sz w:val="20"/>
                <w:szCs w:val="20"/>
                <w:color w:val="auto"/>
              </w:rPr>
            </w:pPr>
            <w:r>
              <w:rPr>
                <w:rFonts w:ascii="Arial" w:cs="Arial" w:eastAsia="Arial" w:hAnsi="Arial"/>
                <w:sz w:val="16"/>
                <w:szCs w:val="16"/>
                <w:color w:val="auto"/>
              </w:rPr>
              <w:t>The following table represents the credit ratings of South Dakota Electric at December 31, 2020:</w:t>
            </w:r>
          </w:p>
        </w:tc>
        <w:tc>
          <w:tcPr>
            <w:tcW w:w="4000" w:type="dxa"/>
            <w:vAlign w:val="bottom"/>
          </w:tcPr>
          <w:p>
            <w:pPr>
              <w:spacing w:after="0"/>
              <w:rPr>
                <w:sz w:val="16"/>
                <w:szCs w:val="16"/>
                <w:color w:val="auto"/>
              </w:rPr>
            </w:pPr>
          </w:p>
        </w:tc>
      </w:tr>
      <w:tr>
        <w:trPr>
          <w:trHeight w:val="327"/>
        </w:trPr>
        <w:tc>
          <w:tcPr>
            <w:tcW w:w="40" w:type="dxa"/>
            <w:vAlign w:val="bottom"/>
          </w:tcPr>
          <w:p>
            <w:pPr>
              <w:spacing w:after="0"/>
              <w:rPr>
                <w:sz w:val="24"/>
                <w:szCs w:val="24"/>
                <w:color w:val="auto"/>
              </w:rPr>
            </w:pPr>
          </w:p>
        </w:tc>
        <w:tc>
          <w:tcPr>
            <w:tcW w:w="7180" w:type="dxa"/>
            <w:vAlign w:val="bottom"/>
            <w:tcBorders>
              <w:bottom w:val="single" w:sz="8" w:color="auto"/>
            </w:tcBorders>
          </w:tcPr>
          <w:p>
            <w:pPr>
              <w:ind w:left="2220"/>
              <w:spacing w:after="0"/>
              <w:rPr>
                <w:sz w:val="20"/>
                <w:szCs w:val="20"/>
                <w:color w:val="auto"/>
              </w:rPr>
            </w:pPr>
            <w:r>
              <w:rPr>
                <w:rFonts w:ascii="Arial" w:cs="Arial" w:eastAsia="Arial" w:hAnsi="Arial"/>
                <w:sz w:val="16"/>
                <w:szCs w:val="16"/>
                <w:b w:val="1"/>
                <w:bCs w:val="1"/>
                <w:color w:val="auto"/>
              </w:rPr>
              <w:t>Rating Agency</w:t>
            </w:r>
          </w:p>
        </w:tc>
        <w:tc>
          <w:tcPr>
            <w:tcW w:w="4000" w:type="dxa"/>
            <w:vAlign w:val="bottom"/>
            <w:tcBorders>
              <w:bottom w:val="single" w:sz="8" w:color="auto"/>
            </w:tcBorders>
          </w:tcPr>
          <w:p>
            <w:pPr>
              <w:jc w:val="center"/>
              <w:ind w:right="1539"/>
              <w:spacing w:after="0"/>
              <w:rPr>
                <w:sz w:val="20"/>
                <w:szCs w:val="20"/>
                <w:color w:val="auto"/>
              </w:rPr>
            </w:pPr>
            <w:r>
              <w:rPr>
                <w:rFonts w:ascii="Arial" w:cs="Arial" w:eastAsia="Arial" w:hAnsi="Arial"/>
                <w:sz w:val="16"/>
                <w:szCs w:val="16"/>
                <w:b w:val="1"/>
                <w:bCs w:val="1"/>
                <w:color w:val="auto"/>
              </w:rPr>
              <w:t>Senior Secured Rating</w:t>
            </w:r>
          </w:p>
        </w:tc>
      </w:tr>
      <w:tr>
        <w:trPr>
          <w:trHeight w:val="213"/>
        </w:trPr>
        <w:tc>
          <w:tcPr>
            <w:tcW w:w="40" w:type="dxa"/>
            <w:vAlign w:val="bottom"/>
          </w:tcPr>
          <w:p>
            <w:pPr>
              <w:spacing w:after="0"/>
              <w:rPr>
                <w:sz w:val="18"/>
                <w:szCs w:val="18"/>
                <w:color w:val="auto"/>
              </w:rPr>
            </w:pPr>
          </w:p>
        </w:tc>
        <w:tc>
          <w:tcPr>
            <w:tcW w:w="7180" w:type="dxa"/>
            <w:vAlign w:val="bottom"/>
            <w:shd w:val="clear" w:color="auto" w:fill="CEFFE7"/>
          </w:tcPr>
          <w:p>
            <w:pPr>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4000" w:type="dxa"/>
            <w:vAlign w:val="bottom"/>
            <w:shd w:val="clear" w:color="auto" w:fill="CEFFE7"/>
          </w:tcPr>
          <w:p>
            <w:pPr>
              <w:jc w:val="center"/>
              <w:ind w:right="1519"/>
              <w:spacing w:after="0"/>
              <w:rPr>
                <w:sz w:val="20"/>
                <w:szCs w:val="20"/>
                <w:color w:val="auto"/>
              </w:rPr>
            </w:pPr>
            <w:r>
              <w:rPr>
                <w:rFonts w:ascii="Arial" w:cs="Arial" w:eastAsia="Arial" w:hAnsi="Arial"/>
                <w:sz w:val="16"/>
                <w:szCs w:val="16"/>
                <w:color w:val="auto"/>
              </w:rPr>
              <w:t>A</w:t>
            </w:r>
          </w:p>
        </w:tc>
      </w:tr>
      <w:tr>
        <w:trPr>
          <w:trHeight w:val="216"/>
        </w:trPr>
        <w:tc>
          <w:tcPr>
            <w:tcW w:w="40" w:type="dxa"/>
            <w:vAlign w:val="bottom"/>
          </w:tcPr>
          <w:p>
            <w:pPr>
              <w:spacing w:after="0"/>
              <w:rPr>
                <w:sz w:val="18"/>
                <w:szCs w:val="18"/>
                <w:color w:val="auto"/>
              </w:rPr>
            </w:pPr>
          </w:p>
        </w:tc>
        <w:tc>
          <w:tcPr>
            <w:tcW w:w="7180" w:type="dxa"/>
            <w:vAlign w:val="bottom"/>
          </w:tcPr>
          <w:p>
            <w:pPr>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4000" w:type="dxa"/>
            <w:vAlign w:val="bottom"/>
          </w:tcPr>
          <w:p>
            <w:pPr>
              <w:jc w:val="center"/>
              <w:ind w:right="1519"/>
              <w:spacing w:after="0"/>
              <w:rPr>
                <w:sz w:val="20"/>
                <w:szCs w:val="20"/>
                <w:color w:val="auto"/>
              </w:rPr>
            </w:pPr>
            <w:r>
              <w:rPr>
                <w:rFonts w:ascii="Arial" w:cs="Arial" w:eastAsia="Arial" w:hAnsi="Arial"/>
                <w:sz w:val="16"/>
                <w:szCs w:val="16"/>
                <w:color w:val="auto"/>
              </w:rPr>
              <w:t>A1</w:t>
            </w:r>
          </w:p>
        </w:tc>
      </w:tr>
      <w:tr>
        <w:trPr>
          <w:trHeight w:val="216"/>
        </w:trPr>
        <w:tc>
          <w:tcPr>
            <w:tcW w:w="40" w:type="dxa"/>
            <w:vAlign w:val="bottom"/>
          </w:tcPr>
          <w:p>
            <w:pPr>
              <w:spacing w:after="0"/>
              <w:rPr>
                <w:sz w:val="18"/>
                <w:szCs w:val="18"/>
                <w:color w:val="auto"/>
              </w:rPr>
            </w:pPr>
          </w:p>
        </w:tc>
        <w:tc>
          <w:tcPr>
            <w:tcW w:w="7180" w:type="dxa"/>
            <w:vAlign w:val="bottom"/>
            <w:shd w:val="clear" w:color="auto" w:fill="CEFFE7"/>
          </w:tcPr>
          <w:p>
            <w:pPr>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4000" w:type="dxa"/>
            <w:vAlign w:val="bottom"/>
            <w:shd w:val="clear" w:color="auto" w:fill="CEFFE7"/>
          </w:tcPr>
          <w:p>
            <w:pPr>
              <w:jc w:val="center"/>
              <w:ind w:right="1519"/>
              <w:spacing w:after="0"/>
              <w:rPr>
                <w:sz w:val="20"/>
                <w:szCs w:val="20"/>
                <w:color w:val="auto"/>
              </w:rPr>
            </w:pPr>
            <w:r>
              <w:rPr>
                <w:rFonts w:ascii="Arial" w:cs="Arial" w:eastAsia="Arial" w:hAnsi="Arial"/>
                <w:sz w:val="16"/>
                <w:szCs w:val="16"/>
                <w:color w:val="auto"/>
              </w:rPr>
              <w:t>A</w:t>
            </w:r>
          </w:p>
        </w:tc>
      </w:tr>
      <w:tr>
        <w:trPr>
          <w:trHeight w:val="261"/>
        </w:trPr>
        <w:tc>
          <w:tcPr>
            <w:tcW w:w="7220" w:type="dxa"/>
            <w:vAlign w:val="bottom"/>
            <w:gridSpan w:val="2"/>
          </w:tcPr>
          <w:p>
            <w:pPr>
              <w:spacing w:after="0"/>
              <w:rPr>
                <w:sz w:val="20"/>
                <w:szCs w:val="20"/>
                <w:color w:val="auto"/>
              </w:rPr>
            </w:pPr>
            <w:r>
              <w:rPr>
                <w:rFonts w:ascii="Arial" w:cs="Arial" w:eastAsia="Arial" w:hAnsi="Arial"/>
                <w:sz w:val="14"/>
                <w:szCs w:val="14"/>
                <w:color w:val="auto"/>
              </w:rPr>
              <w:t>__________</w:t>
            </w:r>
          </w:p>
        </w:tc>
        <w:tc>
          <w:tcPr>
            <w:tcW w:w="4000" w:type="dxa"/>
            <w:vAlign w:val="bottom"/>
          </w:tcPr>
          <w:p>
            <w:pPr>
              <w:spacing w:after="0"/>
              <w:rPr>
                <w:sz w:val="22"/>
                <w:szCs w:val="22"/>
                <w:color w:val="auto"/>
              </w:rPr>
            </w:pPr>
          </w:p>
        </w:tc>
      </w:tr>
      <w:tr>
        <w:trPr>
          <w:trHeight w:val="162"/>
        </w:trPr>
        <w:tc>
          <w:tcPr>
            <w:tcW w:w="7220" w:type="dxa"/>
            <w:vAlign w:val="bottom"/>
            <w:gridSpan w:val="2"/>
          </w:tcPr>
          <w:p>
            <w:pPr>
              <w:spacing w:after="0"/>
              <w:rPr>
                <w:sz w:val="20"/>
                <w:szCs w:val="20"/>
                <w:color w:val="auto"/>
              </w:rPr>
            </w:pPr>
            <w:r>
              <w:rPr>
                <w:rFonts w:ascii="Arial" w:cs="Arial" w:eastAsia="Arial" w:hAnsi="Arial"/>
                <w:sz w:val="14"/>
                <w:szCs w:val="14"/>
                <w:color w:val="auto"/>
              </w:rPr>
              <w:t>(a)  On April 16, 2020, S&amp;P reported A rating.</w:t>
            </w:r>
          </w:p>
        </w:tc>
        <w:tc>
          <w:tcPr>
            <w:tcW w:w="4000" w:type="dxa"/>
            <w:vAlign w:val="bottom"/>
          </w:tcPr>
          <w:p>
            <w:pPr>
              <w:spacing w:after="0"/>
              <w:rPr>
                <w:sz w:val="14"/>
                <w:szCs w:val="14"/>
                <w:color w:val="auto"/>
              </w:rPr>
            </w:pPr>
          </w:p>
        </w:tc>
      </w:tr>
      <w:tr>
        <w:trPr>
          <w:trHeight w:val="162"/>
        </w:trPr>
        <w:tc>
          <w:tcPr>
            <w:tcW w:w="7220" w:type="dxa"/>
            <w:vAlign w:val="bottom"/>
            <w:gridSpan w:val="2"/>
          </w:tcPr>
          <w:p>
            <w:pPr>
              <w:spacing w:after="0"/>
              <w:rPr>
                <w:sz w:val="20"/>
                <w:szCs w:val="20"/>
                <w:color w:val="auto"/>
              </w:rPr>
            </w:pPr>
            <w:r>
              <w:rPr>
                <w:rFonts w:ascii="Arial" w:cs="Arial" w:eastAsia="Arial" w:hAnsi="Arial"/>
                <w:sz w:val="14"/>
                <w:szCs w:val="14"/>
                <w:color w:val="auto"/>
              </w:rPr>
              <w:t>(b)  On December 21, 2020, Moody’s reported A1 rating.</w:t>
            </w:r>
          </w:p>
        </w:tc>
        <w:tc>
          <w:tcPr>
            <w:tcW w:w="4000" w:type="dxa"/>
            <w:vAlign w:val="bottom"/>
          </w:tcPr>
          <w:p>
            <w:pPr>
              <w:spacing w:after="0"/>
              <w:rPr>
                <w:sz w:val="14"/>
                <w:szCs w:val="14"/>
                <w:color w:val="auto"/>
              </w:rPr>
            </w:pPr>
          </w:p>
        </w:tc>
      </w:tr>
      <w:tr>
        <w:trPr>
          <w:trHeight w:val="172"/>
        </w:trPr>
        <w:tc>
          <w:tcPr>
            <w:tcW w:w="7220" w:type="dxa"/>
            <w:vAlign w:val="bottom"/>
            <w:gridSpan w:val="2"/>
          </w:tcPr>
          <w:p>
            <w:pPr>
              <w:spacing w:after="0"/>
              <w:rPr>
                <w:sz w:val="20"/>
                <w:szCs w:val="20"/>
                <w:color w:val="auto"/>
              </w:rPr>
            </w:pPr>
            <w:r>
              <w:rPr>
                <w:rFonts w:ascii="Arial" w:cs="Arial" w:eastAsia="Arial" w:hAnsi="Arial"/>
                <w:sz w:val="14"/>
                <w:szCs w:val="14"/>
                <w:color w:val="auto"/>
              </w:rPr>
              <w:t>(c)  On August 20, 2020, Fitch reported A rating.</w:t>
            </w:r>
          </w:p>
        </w:tc>
        <w:tc>
          <w:tcPr>
            <w:tcW w:w="4000" w:type="dxa"/>
            <w:vAlign w:val="bottom"/>
          </w:tcPr>
          <w:p>
            <w:pPr>
              <w:spacing w:after="0"/>
              <w:rPr>
                <w:sz w:val="14"/>
                <w:szCs w:val="14"/>
                <w:color w:val="auto"/>
              </w:rPr>
            </w:pPr>
          </w:p>
        </w:tc>
      </w:tr>
    </w:tbl>
    <w:p>
      <w:pPr>
        <w:spacing w:after="0" w:line="23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do not have any trigger events (i.e., an acceleration of repayment of outstanding indebtedness, an increase in interest costs, or the posting of additional cash collateral) tied to our stock price and have not executed any transactions that require us to issue equity based on our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268" w:lineRule="exact"/>
        <w:rPr>
          <w:sz w:val="20"/>
          <w:szCs w:val="20"/>
          <w:color w:val="auto"/>
        </w:rPr>
      </w:pPr>
    </w:p>
    <w:p>
      <w:pPr>
        <w:ind w:right="120"/>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Capital expenditures are a substantial portion of our cash requirements each year and we continue to forecast a robust capital expenditure program during the next five years. See above in </w:t>
      </w:r>
      <w:hyperlink w:anchor="page34">
        <w:r>
          <w:rPr>
            <w:rFonts w:ascii="Arial" w:cs="Arial" w:eastAsia="Arial" w:hAnsi="Arial"/>
            <w:sz w:val="16"/>
            <w:szCs w:val="16"/>
            <w:u w:val="single" w:color="auto"/>
            <w:color w:val="0000FF"/>
          </w:rPr>
          <w:t>Key Elements of our Business Strategy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forecasted capital expenditure requirements. A significant portion of our capital expenditures are for safety, reliability and integrity benefiting customers that may be included in utility rate base and eligible to be recovered from our utility customers with regulatory approval. Those capital expenditures also earn a rate of return authorized by the commissions in the jurisdictions in which we operate.</w:t>
      </w:r>
    </w:p>
    <w:p>
      <w:pPr>
        <w:spacing w:after="0" w:line="230" w:lineRule="exact"/>
        <w:rPr>
          <w:sz w:val="20"/>
          <w:szCs w:val="20"/>
          <w:color w:val="auto"/>
        </w:rPr>
      </w:pPr>
    </w:p>
    <w:p>
      <w:pPr>
        <w:ind w:right="1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As discussed in the </w:t>
      </w:r>
      <w:hyperlink w:anchor="page37">
        <w:r>
          <w:rPr>
            <w:rFonts w:ascii="Arial" w:cs="Arial" w:eastAsia="Arial" w:hAnsi="Arial"/>
            <w:sz w:val="16"/>
            <w:szCs w:val="16"/>
            <w:u w:val="single" w:color="auto"/>
            <w:color w:val="0000FF"/>
          </w:rPr>
          <w:t>Company Highlights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above, there have been limited impacts from COVID-19 on our capital investment plan and we do not anticipate a significant impact in 2021.</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Our capital expenditures for the three years ended December 31 were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202"/>
        </w:trPr>
        <w:tc>
          <w:tcPr>
            <w:tcW w:w="5860" w:type="dxa"/>
            <w:vAlign w:val="bottom"/>
          </w:tcPr>
          <w:p>
            <w:pPr>
              <w:spacing w:after="0" w:line="202" w:lineRule="exact"/>
              <w:rPr>
                <w:sz w:val="20"/>
                <w:szCs w:val="20"/>
                <w:color w:val="auto"/>
              </w:rPr>
            </w:pPr>
            <w:r>
              <w:rPr>
                <w:rFonts w:ascii="Arial" w:cs="Arial" w:eastAsia="Arial" w:hAnsi="Arial"/>
                <w:sz w:val="16"/>
                <w:szCs w:val="16"/>
                <w:color w:val="auto"/>
              </w:rPr>
              <w:t xml:space="preserve">Capital Expenditures By Segment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58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Electric Utilities</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271,104</w:t>
            </w:r>
          </w:p>
        </w:tc>
        <w:tc>
          <w:tcPr>
            <w:tcW w:w="360" w:type="dxa"/>
            <w:vAlign w:val="bottom"/>
            <w:shd w:val="clear" w:color="auto" w:fill="CEFFE7"/>
          </w:tcPr>
          <w:p>
            <w:pPr>
              <w:spacing w:after="0"/>
              <w:rPr>
                <w:sz w:val="18"/>
                <w:szCs w:val="18"/>
                <w:color w:val="auto"/>
              </w:rPr>
            </w:pP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222,911</w:t>
            </w:r>
          </w:p>
        </w:tc>
        <w:tc>
          <w:tcPr>
            <w:tcW w:w="340" w:type="dxa"/>
            <w:vAlign w:val="bottom"/>
            <w:shd w:val="clear" w:color="auto" w:fill="CEFFE7"/>
          </w:tcPr>
          <w:p>
            <w:pPr>
              <w:spacing w:after="0"/>
              <w:rPr>
                <w:sz w:val="18"/>
                <w:szCs w:val="18"/>
                <w:color w:val="auto"/>
              </w:rPr>
            </w:pP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152,524</w:t>
            </w:r>
          </w:p>
        </w:tc>
      </w:tr>
      <w:tr>
        <w:trPr>
          <w:trHeight w:val="213"/>
        </w:trPr>
        <w:tc>
          <w:tcPr>
            <w:tcW w:w="5860" w:type="dxa"/>
            <w:vAlign w:val="bottom"/>
          </w:tcPr>
          <w:p>
            <w:pPr>
              <w:ind w:left="340"/>
              <w:spacing w:after="0"/>
              <w:rPr>
                <w:sz w:val="20"/>
                <w:szCs w:val="20"/>
                <w:color w:val="auto"/>
              </w:rPr>
            </w:pPr>
            <w:r>
              <w:rPr>
                <w:rFonts w:ascii="Arial" w:cs="Arial" w:eastAsia="Arial" w:hAnsi="Arial"/>
                <w:sz w:val="16"/>
                <w:szCs w:val="16"/>
                <w:color w:val="auto"/>
              </w:rPr>
              <w:t>Gas Utilities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449,209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512,366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288,438</w:t>
            </w:r>
          </w:p>
        </w:tc>
      </w:tr>
      <w:tr>
        <w:trPr>
          <w:trHeight w:val="219"/>
        </w:trPr>
        <w:tc>
          <w:tcPr>
            <w:tcW w:w="58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Power Generation</w:t>
            </w:r>
          </w:p>
        </w:tc>
        <w:tc>
          <w:tcPr>
            <w:tcW w:w="34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9,329</w:t>
            </w:r>
          </w:p>
        </w:tc>
        <w:tc>
          <w:tcPr>
            <w:tcW w:w="36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85,346</w:t>
            </w:r>
          </w:p>
        </w:tc>
        <w:tc>
          <w:tcPr>
            <w:tcW w:w="3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30,945</w:t>
            </w:r>
          </w:p>
        </w:tc>
      </w:tr>
      <w:tr>
        <w:trPr>
          <w:trHeight w:val="213"/>
        </w:trPr>
        <w:tc>
          <w:tcPr>
            <w:tcW w:w="5860" w:type="dxa"/>
            <w:vAlign w:val="bottom"/>
          </w:tcPr>
          <w:p>
            <w:pPr>
              <w:ind w:left="340"/>
              <w:spacing w:after="0"/>
              <w:rPr>
                <w:sz w:val="20"/>
                <w:szCs w:val="20"/>
                <w:color w:val="auto"/>
              </w:rPr>
            </w:pPr>
            <w:r>
              <w:rPr>
                <w:rFonts w:ascii="Arial" w:cs="Arial" w:eastAsia="Arial" w:hAnsi="Arial"/>
                <w:sz w:val="16"/>
                <w:szCs w:val="16"/>
                <w:color w:val="auto"/>
              </w:rPr>
              <w:t>Mining</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8,250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8,430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18,794</w:t>
            </w:r>
          </w:p>
        </w:tc>
      </w:tr>
      <w:tr>
        <w:trPr>
          <w:trHeight w:val="216"/>
        </w:trPr>
        <w:tc>
          <w:tcPr>
            <w:tcW w:w="58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Corporate and Other</w:t>
            </w: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17,500</w:t>
            </w:r>
          </w:p>
        </w:tc>
        <w:tc>
          <w:tcPr>
            <w:tcW w:w="360" w:type="dxa"/>
            <w:vAlign w:val="bottom"/>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20,702</w:t>
            </w:r>
          </w:p>
        </w:tc>
        <w:tc>
          <w:tcPr>
            <w:tcW w:w="340" w:type="dxa"/>
            <w:vAlign w:val="bottom"/>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11,723</w:t>
            </w:r>
          </w:p>
        </w:tc>
      </w:tr>
      <w:tr>
        <w:trPr>
          <w:trHeight w:val="210"/>
        </w:trPr>
        <w:tc>
          <w:tcPr>
            <w:tcW w:w="5860" w:type="dxa"/>
            <w:vAlign w:val="bottom"/>
          </w:tcPr>
          <w:p>
            <w:pPr>
              <w:spacing w:after="0"/>
              <w:rPr>
                <w:sz w:val="20"/>
                <w:szCs w:val="20"/>
                <w:color w:val="auto"/>
              </w:rPr>
            </w:pPr>
            <w:r>
              <w:rPr>
                <w:rFonts w:ascii="Arial" w:cs="Arial" w:eastAsia="Arial" w:hAnsi="Arial"/>
                <w:sz w:val="16"/>
                <w:szCs w:val="16"/>
                <w:color w:val="auto"/>
              </w:rPr>
              <w:t>Capital expenditures before discontinued operations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755,392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849,755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502,424</w:t>
            </w:r>
          </w:p>
        </w:tc>
      </w:tr>
      <w:tr>
        <w:trPr>
          <w:trHeight w:val="216"/>
        </w:trPr>
        <w:tc>
          <w:tcPr>
            <w:tcW w:w="5860" w:type="dxa"/>
            <w:vAlign w:val="bottom"/>
            <w:shd w:val="clear" w:color="auto" w:fill="CEFFE7"/>
          </w:tcPr>
          <w:p>
            <w:pPr>
              <w:spacing w:after="0"/>
              <w:rPr>
                <w:sz w:val="20"/>
                <w:szCs w:val="20"/>
                <w:color w:val="auto"/>
              </w:rPr>
            </w:pPr>
            <w:r>
              <w:rPr>
                <w:rFonts w:ascii="Arial" w:cs="Arial" w:eastAsia="Arial" w:hAnsi="Arial"/>
                <w:sz w:val="16"/>
                <w:szCs w:val="16"/>
                <w:color w:val="auto"/>
              </w:rPr>
              <w:t>Discontinued operations</w:t>
            </w:r>
          </w:p>
        </w:tc>
        <w:tc>
          <w:tcPr>
            <w:tcW w:w="340" w:type="dxa"/>
            <w:vAlign w:val="bottom"/>
            <w:shd w:val="clear" w:color="auto" w:fill="CEFFE7"/>
          </w:tcPr>
          <w:p>
            <w:pPr>
              <w:spacing w:after="0"/>
              <w:rPr>
                <w:sz w:val="18"/>
                <w:szCs w:val="18"/>
                <w:color w:val="auto"/>
              </w:rPr>
            </w:pPr>
          </w:p>
        </w:tc>
        <w:tc>
          <w:tcPr>
            <w:tcW w:w="1560" w:type="dxa"/>
            <w:vAlign w:val="bottom"/>
            <w:gridSpan w:val="2"/>
            <w:shd w:val="clear" w:color="auto" w:fill="CEFFE7"/>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8"/>
                <w:szCs w:val="18"/>
                <w:color w:val="auto"/>
              </w:rPr>
            </w:pPr>
          </w:p>
        </w:tc>
        <w:tc>
          <w:tcPr>
            <w:tcW w:w="1540" w:type="dxa"/>
            <w:vAlign w:val="bottom"/>
            <w:gridSpan w:val="2"/>
            <w:shd w:val="clear" w:color="auto" w:fill="CEFFE7"/>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2,402</w:t>
            </w: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Total capital expenditures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755,392</w:t>
            </w:r>
          </w:p>
        </w:tc>
        <w:tc>
          <w:tcPr>
            <w:tcW w:w="3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849,755</w:t>
            </w:r>
          </w:p>
        </w:tc>
        <w:tc>
          <w:tcPr>
            <w:tcW w:w="3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504,826</w:t>
            </w:r>
          </w:p>
        </w:tc>
      </w:tr>
      <w:tr>
        <w:trPr>
          <w:trHeight w:val="21"/>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w:t>
      </w:r>
    </w:p>
    <w:p>
      <w:pPr>
        <w:spacing w:after="0" w:line="1" w:lineRule="exact"/>
        <w:rPr>
          <w:sz w:val="20"/>
          <w:szCs w:val="20"/>
          <w:color w:val="auto"/>
        </w:rPr>
      </w:pPr>
    </w:p>
    <w:p>
      <w:pPr>
        <w:ind w:left="340" w:right="60" w:hanging="332"/>
        <w:spacing w:after="0" w:line="258" w:lineRule="auto"/>
        <w:tabs>
          <w:tab w:leader="none" w:pos="352"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as supplemental cash flow information in the </w:t>
      </w:r>
      <w:hyperlink w:anchor="page69">
        <w:r>
          <w:rPr>
            <w:rFonts w:ascii="Arial" w:cs="Arial" w:eastAsia="Arial" w:hAnsi="Arial"/>
            <w:sz w:val="14"/>
            <w:szCs w:val="14"/>
            <w:u w:val="single" w:color="auto"/>
            <w:color w:val="0000FF"/>
          </w:rPr>
          <w:t>Consolidated Statements of Cash Flows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the Consolidated Financial Statements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268" w:lineRule="exact"/>
        <w:rPr>
          <w:sz w:val="20"/>
          <w:szCs w:val="20"/>
          <w:color w:val="auto"/>
        </w:rPr>
      </w:pPr>
    </w:p>
    <w:p>
      <w:pPr>
        <w:ind w:right="10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We have unconditional purchase obligations which include the energy and capacity costs associated with our PPAs, transmission services agreements, and natural gas capacity, transportation and storage agreements. Additionally, our Gas Utilities have commitments to purchase physical quantities of natural gas under contracts indexed to various forward natural gas price curves. For additional information. see </w:t>
      </w:r>
      <w:hyperlink w:anchor="page85">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our Notes to Consolidated Financial Statements in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We have one defined benefit pension plan, the Black Hills Retirement Plan (Pension Plan). The unfunded status of the Pension Plan is defined as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amount the projected benefit obligation exceeds the plan assets. The unfunded status of the plan is $40 million as of December 31, 2020 compared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$51 million as of December 31, 2019. We do not have required 2021 contributions and currently do not expect to contribute to our Pension Plan. See further</w:t>
      </w:r>
    </w:p>
    <w:p>
      <w:pPr>
        <w:spacing w:after="0" w:line="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information in </w:t>
      </w:r>
      <w:hyperlink w:anchor="page108">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our Notes to Consolidated Financial Statements in this Annual Report on Form 10-Ks.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26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Future cash dividends, if any, will be dependent on our results of operations, financial position, cash flows, reinvestment opportunities and other factors, and will be evaluated and approved by our Board of Directors.</w:t>
      </w:r>
    </w:p>
    <w:p>
      <w:pPr>
        <w:spacing w:after="0" w:line="222" w:lineRule="exact"/>
        <w:rPr>
          <w:sz w:val="20"/>
          <w:szCs w:val="20"/>
          <w:color w:val="auto"/>
        </w:rPr>
      </w:pPr>
    </w:p>
    <w:p>
      <w:pPr>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Additionally, there are certain statutory limitations that could affect future cash dividends paid. Federal law places limits on the ability of public utilities within a holding company structure to declare dividends. Specifically, under the Federal Power Act, a public utility may not pay dividends from any funds properly included in a capital account. The utility subsidiaries’ dividends may be limited directly or indirectly by state regulatory commissions or bond indenture covenants. See additional information in </w:t>
      </w:r>
      <w:hyperlink w:anchor="page97">
        <w:r>
          <w:rPr>
            <w:rFonts w:ascii="Arial" w:cs="Arial" w:eastAsia="Arial" w:hAnsi="Arial"/>
            <w:sz w:val="16"/>
            <w:szCs w:val="16"/>
            <w:u w:val="single" w:color="auto"/>
            <w:color w:val="0000FF"/>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our Notes to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January 27, 2021, our Board of Directors declared a quarterly dividend of $0.565 per share, equivalent to an annual dividend rate of $2.26 per share. The table below provides our dividends paid (in thousands), dividend payout ratio and dividends paid per share for the three years ended December 31: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100" w:type="dxa"/>
            <w:vAlign w:val="bottom"/>
            <w:tcBorders>
              <w:bottom w:val="single" w:sz="8" w:color="CEFEE7"/>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2019</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2018</w:t>
            </w:r>
          </w:p>
        </w:tc>
      </w:tr>
      <w:tr>
        <w:trPr>
          <w:trHeight w:val="213"/>
        </w:trPr>
        <w:tc>
          <w:tcPr>
            <w:tcW w:w="6100" w:type="dxa"/>
            <w:vAlign w:val="bottom"/>
            <w:shd w:val="clear" w:color="auto" w:fill="CEFEE7"/>
          </w:tcPr>
          <w:p>
            <w:pPr>
              <w:ind w:left="20"/>
              <w:spacing w:after="0"/>
              <w:rPr>
                <w:sz w:val="20"/>
                <w:szCs w:val="20"/>
                <w:color w:val="auto"/>
              </w:rPr>
            </w:pPr>
            <w:r>
              <w:rPr>
                <w:rFonts w:ascii="Arial" w:cs="Arial" w:eastAsia="Arial" w:hAnsi="Arial"/>
                <w:sz w:val="16"/>
                <w:szCs w:val="16"/>
                <w:color w:val="auto"/>
              </w:rPr>
              <w:t>Common Stock Dividends Paid</w:t>
            </w:r>
          </w:p>
        </w:tc>
        <w:tc>
          <w:tcPr>
            <w:tcW w:w="440" w:type="dxa"/>
            <w:vAlign w:val="bottom"/>
            <w:shd w:val="clear" w:color="auto" w:fill="CEFEE7"/>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EFEE7"/>
          </w:tcPr>
          <w:p>
            <w:pPr>
              <w:jc w:val="right"/>
              <w:ind w:right="119"/>
              <w:spacing w:after="0"/>
              <w:rPr>
                <w:sz w:val="20"/>
                <w:szCs w:val="20"/>
                <w:color w:val="auto"/>
              </w:rPr>
            </w:pPr>
            <w:r>
              <w:rPr>
                <w:rFonts w:ascii="Arial" w:cs="Arial" w:eastAsia="Arial" w:hAnsi="Arial"/>
                <w:sz w:val="16"/>
                <w:szCs w:val="16"/>
                <w:color w:val="auto"/>
              </w:rPr>
              <w:t>135,439</w:t>
            </w:r>
          </w:p>
        </w:tc>
        <w:tc>
          <w:tcPr>
            <w:tcW w:w="380" w:type="dxa"/>
            <w:vAlign w:val="bottom"/>
            <w:shd w:val="clear" w:color="auto" w:fill="CEFEE7"/>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124,647</w:t>
            </w:r>
          </w:p>
        </w:tc>
        <w:tc>
          <w:tcPr>
            <w:tcW w:w="400" w:type="dxa"/>
            <w:vAlign w:val="bottom"/>
            <w:shd w:val="clear" w:color="auto" w:fill="CEFEE7"/>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106,591</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Dividend Payout Ratio</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60 %</w:t>
            </w:r>
          </w:p>
        </w:tc>
        <w:tc>
          <w:tcPr>
            <w:tcW w:w="380" w:type="dxa"/>
            <w:vAlign w:val="bottom"/>
          </w:tcPr>
          <w:p>
            <w:pPr>
              <w:spacing w:after="0"/>
              <w:rPr>
                <w:sz w:val="18"/>
                <w:szCs w:val="18"/>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63%</w:t>
            </w:r>
          </w:p>
        </w:tc>
        <w:tc>
          <w:tcPr>
            <w:tcW w:w="40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40%</w:t>
            </w:r>
          </w:p>
        </w:tc>
      </w:tr>
      <w:tr>
        <w:trPr>
          <w:trHeight w:val="219"/>
        </w:trPr>
        <w:tc>
          <w:tcPr>
            <w:tcW w:w="6100" w:type="dxa"/>
            <w:vAlign w:val="bottom"/>
            <w:shd w:val="clear" w:color="auto" w:fill="CEFEE7"/>
          </w:tcPr>
          <w:p>
            <w:pPr>
              <w:ind w:left="20"/>
              <w:spacing w:after="0"/>
              <w:rPr>
                <w:sz w:val="20"/>
                <w:szCs w:val="20"/>
                <w:color w:val="auto"/>
              </w:rPr>
            </w:pPr>
            <w:r>
              <w:rPr>
                <w:rFonts w:ascii="Arial" w:cs="Arial" w:eastAsia="Arial" w:hAnsi="Arial"/>
                <w:sz w:val="16"/>
                <w:szCs w:val="16"/>
                <w:color w:val="auto"/>
              </w:rPr>
              <w:t>Dividends Per Share</w:t>
            </w:r>
          </w:p>
        </w:tc>
        <w:tc>
          <w:tcPr>
            <w:tcW w:w="440" w:type="dxa"/>
            <w:vAlign w:val="bottom"/>
            <w:shd w:val="clear" w:color="auto" w:fill="CEFEE7"/>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EFEE7"/>
          </w:tcPr>
          <w:p>
            <w:pPr>
              <w:jc w:val="right"/>
              <w:ind w:right="119"/>
              <w:spacing w:after="0"/>
              <w:rPr>
                <w:sz w:val="20"/>
                <w:szCs w:val="20"/>
                <w:color w:val="auto"/>
              </w:rPr>
            </w:pPr>
            <w:r>
              <w:rPr>
                <w:rFonts w:ascii="Arial" w:cs="Arial" w:eastAsia="Arial" w:hAnsi="Arial"/>
                <w:sz w:val="16"/>
                <w:szCs w:val="16"/>
                <w:color w:val="auto"/>
              </w:rPr>
              <w:t>2.17</w:t>
            </w:r>
          </w:p>
        </w:tc>
        <w:tc>
          <w:tcPr>
            <w:tcW w:w="380" w:type="dxa"/>
            <w:vAlign w:val="bottom"/>
            <w:shd w:val="clear" w:color="auto" w:fill="CEFEE7"/>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2.05</w:t>
            </w:r>
          </w:p>
        </w:tc>
        <w:tc>
          <w:tcPr>
            <w:tcW w:w="400" w:type="dxa"/>
            <w:vAlign w:val="bottom"/>
            <w:shd w:val="clear" w:color="auto" w:fill="CEFEE7"/>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1.93</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Our three-year compound annualized dividend growth rate was 6.2% and all dividends were paid out of available operating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Collateral Requirements</w:t>
      </w:r>
    </w:p>
    <w:p>
      <w:pPr>
        <w:spacing w:after="0" w:line="26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December 31, 2020, we had sufficient liquidity to cover collateral that could be required to be posted under these contracts. The cash collateral we were required to post at December 31, 2020 was not material. For the year ended December 31, 2020, we did not experience any requests to post additional collateral, including for concerns over a potential deterioration of our financial condition due to COVID-19.</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68" w:lineRule="exact"/>
        <w:rPr>
          <w:sz w:val="20"/>
          <w:szCs w:val="20"/>
          <w:color w:val="auto"/>
        </w:rPr>
      </w:pPr>
    </w:p>
    <w:p>
      <w:pPr>
        <w:ind w:right="10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We provide various guarantees, which represent off-balance sheet commitments, supporting certain of our subsidiaries under specified agreements or transactions. For more information on these guarantees, see </w:t>
      </w:r>
      <w:hyperlink w:anchor="page85">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Critical Accounting Policies Involving Significant Estimates</w:t>
      </w:r>
    </w:p>
    <w:p>
      <w:pPr>
        <w:spacing w:after="0" w:line="26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prepare our consolidated financial statements in conformity with GAAP. In many cases, the accounting treatment of a particular transaction is specifically dictated by GAAP and does not require management’s judgment in application. There are also areas which require management’s judgment in selecting among available GAAP alternatives. We are required to make certain estimates, judgments and assumptions that we believe are reasonable based upon the information available. We continue to closely monitor the rapidly evolving and uncertain impact of COVID-19 on our critical accounting estimates including, but not limited to, collectibility of customer receivables, recoverability of regulatory assets, impairment risk of goodwill and long-lived assets, valuation of pension assets and liabilities and contingent liabilities. These estimates and assumptions affect the reported amounts of assets and liabilities at the date of the financial statements and the reported amounts of revenues and expenses during the periods presented. Actual results may differ from our estimates and to the extent there are material differences between these estimates, judgments or assumptions and actual results, our financial statements will be affected. We believe the following accounting estimates are the most critical in understanding and evaluating our reported financial results. We have reviewed these critical accounting estimates and related disclosures with our Audit Committee.</w:t>
      </w:r>
    </w:p>
    <w:p>
      <w:pPr>
        <w:spacing w:after="0" w:line="232" w:lineRule="exact"/>
        <w:rPr>
          <w:sz w:val="20"/>
          <w:szCs w:val="20"/>
          <w:color w:val="auto"/>
        </w:rPr>
      </w:pPr>
    </w:p>
    <w:p>
      <w:pPr>
        <w:ind w:right="3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following discussion of our critical accounting estimates should be read in conjunction with </w:t>
      </w:r>
      <w:hyperlink w:anchor="page72">
        <w:r>
          <w:rPr>
            <w:rFonts w:ascii="Arial" w:cs="Arial" w:eastAsia="Arial" w:hAnsi="Arial"/>
            <w:sz w:val="16"/>
            <w:szCs w:val="16"/>
            <w:u w:val="single" w:color="auto"/>
            <w:color w:val="0000FF"/>
          </w:rPr>
          <w:t>Note 1</w:t>
        </w:r>
      </w:hyperlink>
      <w:r>
        <w:rPr>
          <w:rFonts w:ascii="Arial" w:cs="Arial" w:eastAsia="Arial" w:hAnsi="Arial"/>
          <w:sz w:val="16"/>
          <w:szCs w:val="16"/>
          <w:color w:val="auto"/>
        </w:rPr>
        <w:t>, “Business Description and Significant Accounting Policies” of our Notes to Consolidated Financial Statements in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2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regulated Electric and Gas Utilities are subject to cost-of-service regulation and earnings oversight from federal and state utility commissions. This regulatory treatment does not provide any assurance as to achievement of desired earnings levels. Our retail electric and gas utility rates are regulated on a state-by-state basis by the relevant state regulatory commissions based on an analysis of our costs, as reviewed and approved in a regulatory proceeding. The rates that we are allowed to charge may or may not match our related costs and allowed return on invested capital at any given time.</w:t>
      </w:r>
    </w:p>
    <w:p>
      <w:pPr>
        <w:spacing w:after="0" w:line="22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Management continually assesses the probability of future recoveries associated with regulatory assets and future obligations associated with regulatory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To some degree, each of our Electric and Gas Utilities are permitted to recover certain costs (such as increased fuel and purchased power costs) outside of a base rate review. To the extent we are able to pass through such costs to our customers, and a state regulatory commission subsequently determines that such costs should not have been paid by the customers, we may be required to refund such costs.</w:t>
      </w:r>
    </w:p>
    <w:p>
      <w:pPr>
        <w:spacing w:after="0" w:line="228" w:lineRule="exact"/>
        <w:rPr>
          <w:sz w:val="20"/>
          <w:szCs w:val="20"/>
          <w:color w:val="auto"/>
        </w:rPr>
      </w:pPr>
    </w:p>
    <w:p>
      <w:pPr>
        <w:ind w:right="4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As of December 31, 2020 and 2019, we had total regulatory assets of $278 million and $271 million, respectively, and total regulatory liabilities of $533 million and $537 million, respectively. See </w:t>
      </w:r>
      <w:hyperlink w:anchor="page81">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for further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6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with our financial planning process.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Accounting standards for testing goodwill for impairment require the application of either a qualitative or quantitative assessment to analyze whether or not goodwill has been impaired. Goodwill is tested for impairment at the reporting unit level. Under either the qualitative or quantitative assessment, the estimated fair value of a reporting unit is compared with its carrying amount, including goodwill. If the carrying amount exceeds fair value, then an impairment loss would be recognized in an amount equal to that excess, limited to the amount of goodwill allocated to that reporting unit.</w:t>
      </w: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and determining the fair value of the reporting unit. We have determined that the reporting units for goodwill impairment testing are our operating segments, or components of an operating segment, that constitute a business for which discrete financial information is available and for which the Chief Operating Decision Maker (CODM) regularly reviews the operating results. We estimate the fair value of our reporting units using a combination of an income approach, which estimates fair value based on discounted future cash flows, and a market approach, which estimates fair value based on market comparables within the utility and energy industries.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industries. Varying by reporting unit, weighted average cost of capital in the range of 5% to 6% and long-term growth rate projections in the 1% to 2% range were utilized in the goodwill impairment test performed as of October 1, 2020. Although 1% to 2% was used for a long-term growth rate projection, the short-term projected growth rate is higher with planned recovery of capital investments through rider mechanisms and rate reviews. Under the market approach, we estimate fair value using multiples derived from comparable sales transactions and enterprise value to EBITDA for comparative peer companies for each respective reporting unit. These multiples are applied to operating data for each reporting unit to arrive at an indication of fair value. In addition, we add a reasonable control premium when calculating fair value utilizing the peer multiples, which is estimated as the premium that would be received in a sale in an orderly transaction between market participants.</w:t>
      </w:r>
    </w:p>
    <w:p>
      <w:pPr>
        <w:spacing w:after="0" w:line="200" w:lineRule="exact"/>
        <w:rPr>
          <w:sz w:val="20"/>
          <w:szCs w:val="20"/>
          <w:color w:val="auto"/>
        </w:rPr>
      </w:pPr>
    </w:p>
    <w:p>
      <w:pPr>
        <w:spacing w:after="0" w:line="22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estimates and assumptions used in the impairment assessments are based on available market information and we believe they are reasonable. However, variations in any of the assumptions could result in materially different calculations of fair value and determinations of whether or not an impairment is indicated. For the years ended December 31, 2020, 2019, and 2018, there were no impairment losses recorded. At December 31, 2020, the fair value substantially exceeded the carrying value at all reporting units.</w:t>
      </w:r>
    </w:p>
    <w:p>
      <w:pPr>
        <w:spacing w:after="0" w:line="229" w:lineRule="exact"/>
        <w:rPr>
          <w:sz w:val="20"/>
          <w:szCs w:val="20"/>
          <w:color w:val="auto"/>
        </w:rPr>
      </w:pPr>
    </w:p>
    <w:p>
      <w:pPr>
        <w:ind w:right="2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As described in </w:t>
      </w:r>
      <w:hyperlink w:anchor="page72">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we adopted ASU 2017-04, Simplifying the Test for Goodwill Impairment, prospectively on January 1,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Other Postretirement Benefits</w:t>
      </w:r>
    </w:p>
    <w:p>
      <w:pPr>
        <w:spacing w:after="0" w:line="268" w:lineRule="exact"/>
        <w:rPr>
          <w:sz w:val="20"/>
          <w:szCs w:val="20"/>
          <w:color w:val="auto"/>
        </w:rPr>
      </w:pPr>
    </w:p>
    <w:p>
      <w:pPr>
        <w:jc w:val="both"/>
        <w:ind w:right="16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As described in </w:t>
      </w:r>
      <w:hyperlink w:anchor="page108">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we have one defined benefit pension plan, one defined post-retirement healthcare plan and several non-qualified retirement plans. A Master Trust holds the assets for the pension plan. A VEBA trust for the funded portion of the post-retirement healthcare plan has also been established.</w:t>
      </w:r>
    </w:p>
    <w:p>
      <w:pPr>
        <w:spacing w:after="0" w:line="22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Accounting for pension and other postretirement benefit obligations involves numerous assumptions, the most significant of which relate to the discount rates, healthcare cost trend rates, expected return on plan assets, compensation increases, retirement rates and mortality rates. The determination of our obligation and expenses for pension and other postretirement benefits is dependent on the assumptions determined by management and used by actuaries in calculating the amounts. Although we believe our assumptions are appropriate, significant differences in our actual experience or significant changes in our assumptions may materially affect our pension and other postretirement obligations and our future expense.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Effective January 1, 2020, the Company changed its method of accounting for net periodic benefit cost. Prior to the change, the Company used a calculated value for determining market-related value of plan assets which amortized the effects of gains and losses over a five-year period. Effective with the accounting change, the Company uses a calculated value for the return-seeking assets (equities) in the portfolio and fair value for the liability-hedging assets (fixed income). The Company considers the fair value method for determining market-related value of liability-hedging assets to be a preferable method of accounting because asset-related gains and losses are subject to amortization into pension cost immediately. Additionally, the fair value for liability-hedging assets allows for the impact of gains and losses on this portion of the asset portfolio to be reflected in tandem with changes in the liability which is linked to changes in the discount rate assumption for re-measurement.</w:t>
      </w:r>
    </w:p>
    <w:p>
      <w:pPr>
        <w:spacing w:after="0" w:line="23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2021 pension benefit cost for our non-contributory funded pension plan is expected to be $0.5 million compared to $4 million in 2020. The decrease in the expected 2021 pension benefit cost is driven primarily by favorable asset returns partially offset by a decrease in the discount rate.</w:t>
      </w:r>
    </w:p>
    <w:p>
      <w:pPr>
        <w:spacing w:after="0" w:line="222"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effect of hypothetical changes to selected assumptions on the pension and other postretirement benefit plans would be as follows in thousands of dollars:</w:t>
      </w:r>
    </w:p>
    <w:p>
      <w:pPr>
        <w:spacing w:after="0" w:line="114"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8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jc w:val="center"/>
              <w:ind w:right="159"/>
              <w:spacing w:after="0" w:line="177" w:lineRule="exact"/>
              <w:rPr>
                <w:sz w:val="20"/>
                <w:szCs w:val="20"/>
                <w:color w:val="auto"/>
              </w:rPr>
            </w:pPr>
            <w:r>
              <w:rPr>
                <w:rFonts w:ascii="Arial" w:cs="Arial" w:eastAsia="Arial" w:hAnsi="Arial"/>
                <w:sz w:val="16"/>
                <w:szCs w:val="16"/>
                <w:color w:val="auto"/>
              </w:rPr>
              <w:t>2020</w:t>
            </w:r>
          </w:p>
        </w:tc>
        <w:tc>
          <w:tcPr>
            <w:tcW w:w="2100" w:type="dxa"/>
            <w:vAlign w:val="bottom"/>
            <w:tcBorders>
              <w:top w:val="single" w:sz="8" w:color="auto"/>
            </w:tcBorders>
          </w:tcPr>
          <w:p>
            <w:pPr>
              <w:jc w:val="center"/>
              <w:ind w:left="59"/>
              <w:spacing w:after="0" w:line="177" w:lineRule="exact"/>
              <w:rPr>
                <w:sz w:val="20"/>
                <w:szCs w:val="20"/>
                <w:color w:val="auto"/>
              </w:rPr>
            </w:pPr>
            <w:r>
              <w:rPr>
                <w:rFonts w:ascii="Arial" w:cs="Arial" w:eastAsia="Arial" w:hAnsi="Arial"/>
                <w:sz w:val="16"/>
                <w:szCs w:val="16"/>
                <w:color w:val="auto"/>
              </w:rPr>
              <w:t>2021</w:t>
            </w:r>
          </w:p>
        </w:tc>
      </w:tr>
      <w:tr>
        <w:trPr>
          <w:trHeight w:val="147"/>
        </w:trPr>
        <w:tc>
          <w:tcPr>
            <w:tcW w:w="37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0" w:type="dxa"/>
            <w:vAlign w:val="bottom"/>
          </w:tcPr>
          <w:p>
            <w:pPr>
              <w:jc w:val="center"/>
              <w:ind w:right="159"/>
              <w:spacing w:after="0" w:line="147" w:lineRule="exact"/>
              <w:rPr>
                <w:sz w:val="20"/>
                <w:szCs w:val="20"/>
                <w:color w:val="auto"/>
              </w:rPr>
            </w:pPr>
            <w:r>
              <w:rPr>
                <w:rFonts w:ascii="Arial" w:cs="Arial" w:eastAsia="Arial" w:hAnsi="Arial"/>
                <w:sz w:val="16"/>
                <w:szCs w:val="16"/>
                <w:color w:val="auto"/>
              </w:rPr>
              <w:t>Increase/(Decrease)</w:t>
            </w:r>
          </w:p>
        </w:tc>
        <w:tc>
          <w:tcPr>
            <w:tcW w:w="2100" w:type="dxa"/>
            <w:vAlign w:val="bottom"/>
          </w:tcPr>
          <w:p>
            <w:pPr>
              <w:jc w:val="center"/>
              <w:ind w:left="39"/>
              <w:spacing w:after="0" w:line="147" w:lineRule="exact"/>
              <w:rPr>
                <w:sz w:val="20"/>
                <w:szCs w:val="20"/>
                <w:color w:val="auto"/>
              </w:rPr>
            </w:pPr>
            <w:r>
              <w:rPr>
                <w:rFonts w:ascii="Arial" w:cs="Arial" w:eastAsia="Arial" w:hAnsi="Arial"/>
                <w:sz w:val="16"/>
                <w:szCs w:val="16"/>
                <w:color w:val="auto"/>
              </w:rPr>
              <w:t>Increase/(Decrease)</w:t>
            </w:r>
          </w:p>
        </w:tc>
      </w:tr>
      <w:tr>
        <w:trPr>
          <w:trHeight w:val="21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Assumptions</w:t>
            </w:r>
          </w:p>
        </w:tc>
        <w:tc>
          <w:tcPr>
            <w:tcW w:w="3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Percentage Change</w:t>
            </w:r>
          </w:p>
        </w:tc>
        <w:tc>
          <w:tcPr>
            <w:tcW w:w="2000" w:type="dxa"/>
            <w:vAlign w:val="bottom"/>
            <w:tcBorders>
              <w:bottom w:val="single" w:sz="8" w:color="auto"/>
            </w:tcBorders>
          </w:tcPr>
          <w:p>
            <w:pPr>
              <w:jc w:val="center"/>
              <w:ind w:right="159"/>
              <w:spacing w:after="0" w:line="216" w:lineRule="exact"/>
              <w:rPr>
                <w:sz w:val="20"/>
                <w:szCs w:val="20"/>
                <w:color w:val="auto"/>
              </w:rPr>
            </w:pPr>
            <w:r>
              <w:rPr>
                <w:rFonts w:ascii="Arial" w:cs="Arial" w:eastAsia="Arial" w:hAnsi="Arial"/>
                <w:sz w:val="16"/>
                <w:szCs w:val="16"/>
                <w:color w:val="auto"/>
                <w:w w:val="95"/>
              </w:rPr>
              <w:t xml:space="preserve">PBO/APBO </w:t>
            </w:r>
            <w:r>
              <w:rPr>
                <w:rFonts w:ascii="Arial" w:cs="Arial" w:eastAsia="Arial" w:hAnsi="Arial"/>
                <w:sz w:val="21"/>
                <w:szCs w:val="21"/>
                <w:color w:val="auto"/>
                <w:w w:val="95"/>
                <w:vertAlign w:val="superscript"/>
              </w:rPr>
              <w:t>(a)</w:t>
            </w:r>
          </w:p>
        </w:tc>
        <w:tc>
          <w:tcPr>
            <w:tcW w:w="21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Expense - Pretax</w:t>
            </w:r>
          </w:p>
        </w:tc>
      </w:tr>
      <w:tr>
        <w:trPr>
          <w:trHeight w:val="463"/>
        </w:trPr>
        <w:tc>
          <w:tcPr>
            <w:tcW w:w="3780" w:type="dxa"/>
            <w:vAlign w:val="bottom"/>
          </w:tcPr>
          <w:p>
            <w:pPr>
              <w:ind w:left="20"/>
              <w:spacing w:after="0"/>
              <w:rPr>
                <w:sz w:val="20"/>
                <w:szCs w:val="20"/>
                <w:color w:val="auto"/>
              </w:rPr>
            </w:pPr>
            <w:r>
              <w:rPr>
                <w:rFonts w:ascii="Arial" w:cs="Arial" w:eastAsia="Arial" w:hAnsi="Arial"/>
                <w:sz w:val="16"/>
                <w:szCs w:val="16"/>
                <w:color w:val="auto"/>
              </w:rPr>
              <w:t>Pension</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9"/>
        </w:trPr>
        <w:tc>
          <w:tcPr>
            <w:tcW w:w="3780" w:type="dxa"/>
            <w:vAlign w:val="bottom"/>
            <w:shd w:val="clear" w:color="auto" w:fill="CEFFE7"/>
          </w:tcPr>
          <w:p>
            <w:pPr>
              <w:ind w:left="440"/>
              <w:spacing w:after="0" w:line="219" w:lineRule="exact"/>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(b)</w:t>
            </w:r>
          </w:p>
        </w:tc>
        <w:tc>
          <w:tcPr>
            <w:tcW w:w="3060" w:type="dxa"/>
            <w:vAlign w:val="bottom"/>
            <w:shd w:val="clear" w:color="auto" w:fill="CEFFE7"/>
          </w:tcPr>
          <w:p>
            <w:pPr>
              <w:jc w:val="right"/>
              <w:ind w:right="539"/>
              <w:spacing w:after="0"/>
              <w:rPr>
                <w:sz w:val="20"/>
                <w:szCs w:val="20"/>
                <w:color w:val="auto"/>
              </w:rPr>
            </w:pPr>
            <w:r>
              <w:rPr>
                <w:rFonts w:ascii="Arial" w:cs="Arial" w:eastAsia="Arial" w:hAnsi="Arial"/>
                <w:sz w:val="16"/>
                <w:szCs w:val="16"/>
                <w:color w:val="auto"/>
              </w:rPr>
              <w:t>+/- 0.5</w:t>
            </w:r>
          </w:p>
        </w:tc>
        <w:tc>
          <w:tcPr>
            <w:tcW w:w="2000" w:type="dxa"/>
            <w:vAlign w:val="bottom"/>
            <w:shd w:val="clear" w:color="auto" w:fill="CEFFE7"/>
          </w:tcPr>
          <w:p>
            <w:pPr>
              <w:jc w:val="center"/>
              <w:ind w:right="139"/>
              <w:spacing w:after="0"/>
              <w:rPr>
                <w:sz w:val="20"/>
                <w:szCs w:val="20"/>
                <w:color w:val="auto"/>
              </w:rPr>
            </w:pPr>
            <w:r>
              <w:rPr>
                <w:rFonts w:ascii="Arial" w:cs="Arial" w:eastAsia="Arial" w:hAnsi="Arial"/>
                <w:sz w:val="16"/>
                <w:szCs w:val="16"/>
                <w:color w:val="auto"/>
              </w:rPr>
              <w:t>(30,334)/33,326</w:t>
            </w:r>
          </w:p>
        </w:tc>
        <w:tc>
          <w:tcPr>
            <w:tcW w:w="210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(3,162)/3,743</w:t>
            </w:r>
          </w:p>
        </w:tc>
      </w:tr>
      <w:tr>
        <w:trPr>
          <w:trHeight w:val="213"/>
        </w:trPr>
        <w:tc>
          <w:tcPr>
            <w:tcW w:w="3780" w:type="dxa"/>
            <w:vAlign w:val="bottom"/>
          </w:tcPr>
          <w:p>
            <w:pPr>
              <w:ind w:left="440"/>
              <w:spacing w:after="0"/>
              <w:rPr>
                <w:sz w:val="20"/>
                <w:szCs w:val="20"/>
                <w:color w:val="auto"/>
              </w:rPr>
            </w:pPr>
            <w:r>
              <w:rPr>
                <w:rFonts w:ascii="Arial" w:cs="Arial" w:eastAsia="Arial" w:hAnsi="Arial"/>
                <w:sz w:val="16"/>
                <w:szCs w:val="16"/>
                <w:color w:val="auto"/>
              </w:rPr>
              <w:t>Expected return on assets</w:t>
            </w:r>
          </w:p>
        </w:tc>
        <w:tc>
          <w:tcPr>
            <w:tcW w:w="3060" w:type="dxa"/>
            <w:vAlign w:val="bottom"/>
          </w:tcPr>
          <w:p>
            <w:pPr>
              <w:jc w:val="right"/>
              <w:ind w:right="539"/>
              <w:spacing w:after="0"/>
              <w:rPr>
                <w:sz w:val="20"/>
                <w:szCs w:val="20"/>
                <w:color w:val="auto"/>
              </w:rPr>
            </w:pPr>
            <w:r>
              <w:rPr>
                <w:rFonts w:ascii="Arial" w:cs="Arial" w:eastAsia="Arial" w:hAnsi="Arial"/>
                <w:sz w:val="16"/>
                <w:szCs w:val="16"/>
                <w:color w:val="auto"/>
              </w:rPr>
              <w:t>+/- 0.5</w:t>
            </w:r>
          </w:p>
        </w:tc>
        <w:tc>
          <w:tcPr>
            <w:tcW w:w="2000" w:type="dxa"/>
            <w:vAlign w:val="bottom"/>
          </w:tcPr>
          <w:p>
            <w:pPr>
              <w:jc w:val="center"/>
              <w:ind w:right="159"/>
              <w:spacing w:after="0"/>
              <w:rPr>
                <w:sz w:val="20"/>
                <w:szCs w:val="20"/>
                <w:color w:val="auto"/>
              </w:rPr>
            </w:pPr>
            <w:r>
              <w:rPr>
                <w:rFonts w:ascii="Arial" w:cs="Arial" w:eastAsia="Arial" w:hAnsi="Arial"/>
                <w:sz w:val="16"/>
                <w:szCs w:val="16"/>
                <w:color w:val="auto"/>
              </w:rPr>
              <w:t>N/A</w:t>
            </w:r>
          </w:p>
        </w:tc>
        <w:tc>
          <w:tcPr>
            <w:tcW w:w="2100" w:type="dxa"/>
            <w:vAlign w:val="bottom"/>
          </w:tcPr>
          <w:p>
            <w:pPr>
              <w:jc w:val="center"/>
              <w:ind w:left="39"/>
              <w:spacing w:after="0"/>
              <w:rPr>
                <w:sz w:val="20"/>
                <w:szCs w:val="20"/>
                <w:color w:val="auto"/>
              </w:rPr>
            </w:pPr>
            <w:r>
              <w:rPr>
                <w:rFonts w:ascii="Arial" w:cs="Arial" w:eastAsia="Arial" w:hAnsi="Arial"/>
                <w:sz w:val="16"/>
                <w:szCs w:val="16"/>
                <w:color w:val="auto"/>
              </w:rPr>
              <w:t>(2,367)/2,372</w:t>
            </w:r>
          </w:p>
        </w:tc>
      </w:tr>
      <w:tr>
        <w:trPr>
          <w:trHeight w:val="273"/>
        </w:trPr>
        <w:tc>
          <w:tcPr>
            <w:tcW w:w="3780" w:type="dxa"/>
            <w:vAlign w:val="bottom"/>
            <w:shd w:val="clear" w:color="auto" w:fill="CEFFE7"/>
          </w:tcPr>
          <w:p>
            <w:pPr>
              <w:spacing w:after="0"/>
              <w:rPr>
                <w:sz w:val="23"/>
                <w:szCs w:val="23"/>
                <w:color w:val="auto"/>
              </w:rPr>
            </w:pPr>
          </w:p>
        </w:tc>
        <w:tc>
          <w:tcPr>
            <w:tcW w:w="3060" w:type="dxa"/>
            <w:vAlign w:val="bottom"/>
            <w:shd w:val="clear" w:color="auto" w:fill="CEFFE7"/>
          </w:tcPr>
          <w:p>
            <w:pPr>
              <w:spacing w:after="0"/>
              <w:rPr>
                <w:sz w:val="23"/>
                <w:szCs w:val="23"/>
                <w:color w:val="auto"/>
              </w:rPr>
            </w:pPr>
          </w:p>
        </w:tc>
        <w:tc>
          <w:tcPr>
            <w:tcW w:w="2000" w:type="dxa"/>
            <w:vAlign w:val="bottom"/>
            <w:shd w:val="clear" w:color="auto" w:fill="CEFFE7"/>
          </w:tcPr>
          <w:p>
            <w:pPr>
              <w:spacing w:after="0"/>
              <w:rPr>
                <w:sz w:val="23"/>
                <w:szCs w:val="23"/>
                <w:color w:val="auto"/>
              </w:rPr>
            </w:pPr>
          </w:p>
        </w:tc>
        <w:tc>
          <w:tcPr>
            <w:tcW w:w="2100" w:type="dxa"/>
            <w:vAlign w:val="bottom"/>
            <w:shd w:val="clear" w:color="auto" w:fill="CEFFE7"/>
          </w:tcPr>
          <w:p>
            <w:pPr>
              <w:spacing w:after="0"/>
              <w:rPr>
                <w:sz w:val="23"/>
                <w:szCs w:val="23"/>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OPEB</w:t>
            </w:r>
          </w:p>
        </w:tc>
        <w:tc>
          <w:tcPr>
            <w:tcW w:w="3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9"/>
        </w:trPr>
        <w:tc>
          <w:tcPr>
            <w:tcW w:w="3780" w:type="dxa"/>
            <w:vAlign w:val="bottom"/>
            <w:shd w:val="clear" w:color="auto" w:fill="CEFFE7"/>
          </w:tcPr>
          <w:p>
            <w:pPr>
              <w:ind w:left="440"/>
              <w:spacing w:after="0" w:line="219" w:lineRule="exact"/>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(b)</w:t>
            </w:r>
          </w:p>
        </w:tc>
        <w:tc>
          <w:tcPr>
            <w:tcW w:w="3060" w:type="dxa"/>
            <w:vAlign w:val="bottom"/>
            <w:shd w:val="clear" w:color="auto" w:fill="CEFFE7"/>
          </w:tcPr>
          <w:p>
            <w:pPr>
              <w:jc w:val="right"/>
              <w:ind w:right="539"/>
              <w:spacing w:after="0"/>
              <w:rPr>
                <w:sz w:val="20"/>
                <w:szCs w:val="20"/>
                <w:color w:val="auto"/>
              </w:rPr>
            </w:pPr>
            <w:r>
              <w:rPr>
                <w:rFonts w:ascii="Arial" w:cs="Arial" w:eastAsia="Arial" w:hAnsi="Arial"/>
                <w:sz w:val="16"/>
                <w:szCs w:val="16"/>
                <w:color w:val="auto"/>
              </w:rPr>
              <w:t>+/- 0.5</w:t>
            </w:r>
          </w:p>
        </w:tc>
        <w:tc>
          <w:tcPr>
            <w:tcW w:w="2000" w:type="dxa"/>
            <w:vAlign w:val="bottom"/>
            <w:shd w:val="clear" w:color="auto" w:fill="CEFFE7"/>
          </w:tcPr>
          <w:p>
            <w:pPr>
              <w:jc w:val="center"/>
              <w:ind w:right="159"/>
              <w:spacing w:after="0"/>
              <w:rPr>
                <w:sz w:val="20"/>
                <w:szCs w:val="20"/>
                <w:color w:val="auto"/>
              </w:rPr>
            </w:pPr>
            <w:r>
              <w:rPr>
                <w:rFonts w:ascii="Arial" w:cs="Arial" w:eastAsia="Arial" w:hAnsi="Arial"/>
                <w:sz w:val="16"/>
                <w:szCs w:val="16"/>
                <w:color w:val="auto"/>
              </w:rPr>
              <w:t>(3,139)/3,425</w:t>
            </w:r>
          </w:p>
        </w:tc>
        <w:tc>
          <w:tcPr>
            <w:tcW w:w="210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(100)/108</w:t>
            </w:r>
          </w:p>
        </w:tc>
      </w:tr>
      <w:tr>
        <w:trPr>
          <w:trHeight w:val="210"/>
        </w:trPr>
        <w:tc>
          <w:tcPr>
            <w:tcW w:w="3780" w:type="dxa"/>
            <w:vAlign w:val="bottom"/>
          </w:tcPr>
          <w:p>
            <w:pPr>
              <w:ind w:left="440"/>
              <w:spacing w:after="0"/>
              <w:rPr>
                <w:sz w:val="20"/>
                <w:szCs w:val="20"/>
                <w:color w:val="auto"/>
              </w:rPr>
            </w:pPr>
            <w:r>
              <w:rPr>
                <w:rFonts w:ascii="Arial" w:cs="Arial" w:eastAsia="Arial" w:hAnsi="Arial"/>
                <w:sz w:val="16"/>
                <w:szCs w:val="16"/>
                <w:color w:val="auto"/>
              </w:rPr>
              <w:t>Expected return on assets</w:t>
            </w:r>
          </w:p>
        </w:tc>
        <w:tc>
          <w:tcPr>
            <w:tcW w:w="3060" w:type="dxa"/>
            <w:vAlign w:val="bottom"/>
          </w:tcPr>
          <w:p>
            <w:pPr>
              <w:jc w:val="right"/>
              <w:ind w:right="539"/>
              <w:spacing w:after="0"/>
              <w:rPr>
                <w:sz w:val="20"/>
                <w:szCs w:val="20"/>
                <w:color w:val="auto"/>
              </w:rPr>
            </w:pPr>
            <w:r>
              <w:rPr>
                <w:rFonts w:ascii="Arial" w:cs="Arial" w:eastAsia="Arial" w:hAnsi="Arial"/>
                <w:sz w:val="16"/>
                <w:szCs w:val="16"/>
                <w:color w:val="auto"/>
              </w:rPr>
              <w:t>+/- 0.5</w:t>
            </w:r>
          </w:p>
        </w:tc>
        <w:tc>
          <w:tcPr>
            <w:tcW w:w="2000" w:type="dxa"/>
            <w:vAlign w:val="bottom"/>
          </w:tcPr>
          <w:p>
            <w:pPr>
              <w:jc w:val="center"/>
              <w:ind w:right="159"/>
              <w:spacing w:after="0"/>
              <w:rPr>
                <w:sz w:val="20"/>
                <w:szCs w:val="20"/>
                <w:color w:val="auto"/>
              </w:rPr>
            </w:pPr>
            <w:r>
              <w:rPr>
                <w:rFonts w:ascii="Arial" w:cs="Arial" w:eastAsia="Arial" w:hAnsi="Arial"/>
                <w:sz w:val="16"/>
                <w:szCs w:val="16"/>
                <w:color w:val="auto"/>
              </w:rPr>
              <w:t>N/A</w:t>
            </w:r>
          </w:p>
        </w:tc>
        <w:tc>
          <w:tcPr>
            <w:tcW w:w="2100" w:type="dxa"/>
            <w:vAlign w:val="bottom"/>
          </w:tcPr>
          <w:p>
            <w:pPr>
              <w:jc w:val="center"/>
              <w:ind w:left="39"/>
              <w:spacing w:after="0"/>
              <w:rPr>
                <w:sz w:val="20"/>
                <w:szCs w:val="20"/>
                <w:color w:val="auto"/>
              </w:rPr>
            </w:pPr>
            <w:r>
              <w:rPr>
                <w:rFonts w:ascii="Arial" w:cs="Arial" w:eastAsia="Arial" w:hAnsi="Arial"/>
                <w:sz w:val="16"/>
                <w:szCs w:val="16"/>
                <w:color w:val="auto"/>
                <w:w w:val="98"/>
              </w:rPr>
              <w:t>(38)/38</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Projected benefit obligation (PBO) for the pension plan and accumulated postretirement benefit obligation (APBO) for OPEB plans.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Impact on service cost, interest cost and amortization of gains or losses.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Company and its subsidiaries file consolidated federal income tax returns. Each entity records income taxes as if it were a separate taxpayer for both federal and state income tax purposes and consolidating adjustments are allocated to the subsidiaries based on separate company computations of taxable income or loss.</w:t>
      </w:r>
    </w:p>
    <w:p>
      <w:pPr>
        <w:spacing w:after="0" w:line="22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229"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As of December 31, 2020, we have a regulatory liability associated with TCJA related items of $285 million, completing our accounting for the revaluation of deferred taxes pursuant to the TCJA. A significant portion of the excess deferred taxes are subject to the average rate assumption method, as prescribed by the IRS, and will generally be amortized as a reduction of customer rates over the remaining lives of the related assets.</w:t>
      </w:r>
    </w:p>
    <w:p>
      <w:pPr>
        <w:spacing w:after="0" w:line="228"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As of December 31, 2020, the Company has amortized $13.3 million of regulatory liability associated with TCJA related items. The portion that was eligible for amortization under the average rate assumption method in 2020, but is awaiting resolution of the treatment of these amounts in future regulatory proceedings, has not been recognized and may be refunded in customer rates at any time in accordance with the resolution of pending or future regulatory proceedings.</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and provides any necessary valuation allowances as required. If we determine that we will be unable to realize all or part of our deferred tax assets in the future, an adjustment to the deferred tax asset would be charged to income in the period such determination was made. Although we believe our assumptions, judgments and estimates are reasonable, changes in tax laws or our interpretations of tax laws and the resolution of current and any future tax audits could significantly impact the amounts provided for income taxes in our consolidated financial statements.</w:t>
      </w:r>
    </w:p>
    <w:p>
      <w:pPr>
        <w:spacing w:after="0" w:line="230"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16">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additional information.</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New Accounting Pronouncements</w:t>
      </w:r>
    </w:p>
    <w:p>
      <w:pPr>
        <w:spacing w:after="0" w:line="268" w:lineRule="exact"/>
        <w:rPr>
          <w:sz w:val="20"/>
          <w:szCs w:val="20"/>
          <w:color w:val="auto"/>
        </w:rPr>
      </w:pPr>
    </w:p>
    <w:p>
      <w:pPr>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72">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 for information on new accounting standards adopted in 2020 or pending adoption.</w:t>
      </w: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6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activities in the regulated and non-regulated energy sectors expose us to a number of risks in the normal operations of our businesses. Depending on the activity, we are exposed to varying degrees of market risk and credit risk.</w:t>
      </w:r>
    </w:p>
    <w:p>
      <w:pPr>
        <w:spacing w:after="0" w:line="222"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222" w:lineRule="exact"/>
        <w:rPr>
          <w:sz w:val="20"/>
          <w:szCs w:val="20"/>
          <w:color w:val="auto"/>
        </w:rPr>
      </w:pPr>
    </w:p>
    <w:p>
      <w:pPr>
        <w:ind w:left="500" w:right="60" w:hanging="330"/>
        <w:spacing w:after="0" w:line="253" w:lineRule="auto"/>
        <w:tabs>
          <w:tab w:leader="none" w:pos="4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services, wholesale electric power marketing activities and fuel procurement for several of our gas-fired generation assets. Market fluctuations may occur due to unpredictable factors such as the COVID-19 pandemic, weather, market speculation, pipeline constraints, and other factors that may impact natural gas and electric supply and demand; and</w:t>
      </w:r>
    </w:p>
    <w:p>
      <w:pPr>
        <w:spacing w:after="0" w:line="228" w:lineRule="exact"/>
        <w:rPr>
          <w:rFonts w:ascii="Arial" w:cs="Arial" w:eastAsia="Arial" w:hAnsi="Arial"/>
          <w:sz w:val="16"/>
          <w:szCs w:val="16"/>
          <w:color w:val="auto"/>
        </w:rPr>
      </w:pPr>
    </w:p>
    <w:p>
      <w:pPr>
        <w:ind w:left="500" w:right="360" w:hanging="330"/>
        <w:spacing w:after="0" w:line="260" w:lineRule="auto"/>
        <w:tabs>
          <w:tab w:leader="none" w:pos="4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associated with financial loss resulting from non-performance of contractual obligations by a counterparty.</w:t>
      </w:r>
    </w:p>
    <w:p>
      <w:pPr>
        <w:spacing w:after="0" w:line="24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To manage and mitigate these identified risks, we have adopted the Black Hills Corporation Risk Policies and Procedures. The Black Hills Corporation Risk Policies and Procedures have been approved by our Executive Risk Committee. These policies relate to numerous matters including governance, control infrastructure, authorized commodities and trading instruments, prohibited activities and employee conduct. We report any issues or concerns pertaining to the Risk Policies and Procedures to the Audit Committee of our Board of Directors. The Executive Risk Committee, which includes senior level executives, meets at least quarterly and as necessary, to review our business and credit activities and to ensure that these activities are conducted within the authorized policies.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 Risk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and Gas Utilities</w:t>
      </w:r>
    </w:p>
    <w:p>
      <w:pPr>
        <w:spacing w:after="0" w:line="26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utilities have various provisions that allow them to pass the prudently-incurred cost of energy through to the customer. To the extent energy prices are higher or lower than amounts in our current billing rates, adjustments are made on a periodic basis to reflect billed amounts to match the actual energy cost we incurred. In Colorado, South Dakota and Wyoming, we have ECA or PCA provisions that adjust electric rates when energy costs are higher or lower than the costs included in our tariffs. In Arkansas, Colorado, Iowa, Kansas, Nebraska and Wyoming, we have GCA provisions that adjust natural gas rates when our natural gas costs are higher or lower than the energy cost included in our tariffs. These adjustments are subject to periodic prudence reviews by the state regulatory commissions.</w:t>
      </w:r>
    </w:p>
    <w:p>
      <w:pPr>
        <w:spacing w:after="0" w:line="23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regulatory commissions, we have entered into commission-approved hedging programs utilizing natural gas futures, options, over-the-counter swaps and basis swaps to reduce our customers’ underlying exposure to these fluctuations.</w:t>
      </w:r>
    </w:p>
    <w:p>
      <w:pPr>
        <w:spacing w:after="0" w:line="229" w:lineRule="exact"/>
        <w:rPr>
          <w:sz w:val="20"/>
          <w:szCs w:val="20"/>
          <w:color w:val="auto"/>
        </w:rPr>
      </w:pPr>
    </w:p>
    <w:p>
      <w:pPr>
        <w:ind w:right="8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 See additional information in </w:t>
      </w:r>
      <w:hyperlink w:anchor="page100">
        <w:r>
          <w:rPr>
            <w:rFonts w:ascii="Arial" w:cs="Arial" w:eastAsia="Arial" w:hAnsi="Arial"/>
            <w:sz w:val="16"/>
            <w:szCs w:val="16"/>
            <w:u w:val="single" w:color="auto"/>
            <w:color w:val="0000FF"/>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Wholesale Power</w:t>
      </w:r>
    </w:p>
    <w:p>
      <w:pPr>
        <w:spacing w:after="0" w:line="26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periodically have wholesale power purchase and sale contracts used to manage purchased power costs and load requirements associated with serving our electric customers that are considered derivative instruments and do not qualifying for the normal purchase and normal sales exception for derivative accounting. Changes in the fair value of these commodity derivatives are recognized in the Consolidated Statements of Income.</w:t>
      </w:r>
    </w:p>
    <w:p>
      <w:pPr>
        <w:spacing w:after="0" w:line="2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potential risk related to wholesale power sales is the price risk arising from the sale of power that exceeds our generating capacity. These potential short positions can arise from unplanned plant outages or from unanticipated load demands. To manage such risk, we restrict wholesale off-system sales to amounts by which our anticipated generating capabilities and purchased power resources exceed our anticipated load requirements plus a required reserve margin.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60" w:name="page61"/>
    <w:bookmarkEnd w:id="60"/>
    <w:p>
      <w:pPr>
        <w:spacing w:after="0"/>
        <w:rPr>
          <w:sz w:val="20"/>
          <w:szCs w:val="20"/>
          <w:color w:val="auto"/>
        </w:rPr>
      </w:pPr>
      <w:r>
        <w:rPr>
          <w:rFonts w:ascii="Arial" w:cs="Arial" w:eastAsia="Arial" w:hAnsi="Arial"/>
          <w:sz w:val="16"/>
          <w:szCs w:val="16"/>
          <w:i w:val="1"/>
          <w:iCs w:val="1"/>
          <w:color w:val="auto"/>
        </w:rPr>
        <w:t>Black Hills Energy Services</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buy and sell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A portion of our over-the-counter swaps have been designated as cash flow hedges to mitigate the commodity price risk associated with fixed price forward contracts to supply gas to our Choice Gas Program customers. The gain or loss on these designated derivatives is reported in AOCI in the accompanying Consolidated Balance Sheets and reclassified into earnings in the same period that the underlying hedged item is recognized in earnings.</w:t>
      </w:r>
    </w:p>
    <w:p>
      <w:pPr>
        <w:spacing w:after="0" w:line="23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additional commodity risk and derivative information in </w:t>
      </w:r>
      <w:hyperlink w:anchor="page100">
        <w:r>
          <w:rPr>
            <w:rFonts w:ascii="Arial" w:cs="Arial" w:eastAsia="Arial" w:hAnsi="Arial"/>
            <w:sz w:val="16"/>
            <w:szCs w:val="16"/>
            <w:u w:val="single" w:color="auto"/>
            <w:color w:val="0000FF"/>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68" w:lineRule="exact"/>
        <w:rPr>
          <w:sz w:val="20"/>
          <w:szCs w:val="20"/>
          <w:color w:val="auto"/>
        </w:rPr>
      </w:pPr>
    </w:p>
    <w:p>
      <w:pPr>
        <w:ind w:right="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Periodically, we have engaged in activities to manage risks associated with changes in interest rates. We have utilized pay-fixed interest rate swap agreements to reduce exposure to interest rate fluctuations associated with floating rate debt obligations and anticipated debt refinancings. At December 31, 2020, we had no interest rate swaps in place. Further details of past swap agreements are set forth in </w:t>
      </w:r>
      <w:hyperlink w:anchor="page100">
        <w:r>
          <w:rPr>
            <w:rFonts w:ascii="Arial" w:cs="Arial" w:eastAsia="Arial" w:hAnsi="Arial"/>
            <w:sz w:val="16"/>
            <w:szCs w:val="16"/>
            <w:u w:val="single" w:color="auto"/>
            <w:color w:val="0000FF"/>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29" w:lineRule="exact"/>
        <w:rPr>
          <w:sz w:val="20"/>
          <w:szCs w:val="20"/>
          <w:color w:val="auto"/>
        </w:rPr>
      </w:pPr>
    </w:p>
    <w:p>
      <w:pPr>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At December 31, 2020, 93% of our debt is fixed rate debt, which limits our exposure to variable interest rate fluctuations. A hypothetical 100 basis point increase in the benchmark rate on our variable rate debt would have increased annual pretax interest expense by approximately $2.1 million and $4.6 million for the years ended December 31, 2020 and 2019, respectively. See </w:t>
      </w:r>
      <w:hyperlink w:anchor="page97">
        <w:r>
          <w:rPr>
            <w:rFonts w:ascii="Arial" w:cs="Arial" w:eastAsia="Arial" w:hAnsi="Arial"/>
            <w:sz w:val="16"/>
            <w:szCs w:val="16"/>
            <w:u w:val="single" w:color="auto"/>
            <w:color w:val="0000FF"/>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 on cash amounts outstanding under short- and long-term variable rate borrowings.</w:t>
      </w:r>
    </w:p>
    <w:p>
      <w:pPr>
        <w:spacing w:after="0" w:line="229" w:lineRule="exact"/>
        <w:rPr>
          <w:sz w:val="20"/>
          <w:szCs w:val="20"/>
          <w:color w:val="auto"/>
        </w:rPr>
      </w:pPr>
    </w:p>
    <w:p>
      <w:pPr>
        <w:ind w:right="2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We are subject to interest rate risk associated with our pension and post-retirement benefit obligations. Changes in interest rates impact the liabilities associated with these benefit plans as well as the amount of income or expense recognized for these plans. Declines in the value of the plan assets could diminish the funded status of the pension plans and potentially increase the requirements to make cash contributions to these plans. See additional information in </w:t>
      </w:r>
      <w:hyperlink w:anchor="page56">
        <w:r>
          <w:rPr>
            <w:rFonts w:ascii="Arial" w:cs="Arial" w:eastAsia="Arial" w:hAnsi="Arial"/>
            <w:sz w:val="16"/>
            <w:szCs w:val="16"/>
            <w:u w:val="single" w:color="auto"/>
            <w:color w:val="0000FF"/>
          </w:rPr>
          <w:t>Critical Accounting Estimates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in Item 7 and </w:t>
      </w:r>
      <w:hyperlink w:anchor="page108">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adopted the Black Hills Corporation Credit Policy that establishes guidelines, controls and limits to manage and mitigate credit risk within risk tolerances established by the Board of Directors.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 Our credit exposure at December 31, 2020 was concentrated primarily among retail utility customers, investment grade companies, cooperative utilities and federal agencies.</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more information in Notes </w:t>
      </w:r>
      <w:hyperlink w:anchor="page72">
        <w:r>
          <w:rPr>
            <w:rFonts w:ascii="Arial" w:cs="Arial" w:eastAsia="Arial" w:hAnsi="Arial"/>
            <w:sz w:val="16"/>
            <w:szCs w:val="16"/>
            <w:u w:val="single" w:color="auto"/>
            <w:color w:val="0000FF"/>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100">
        <w:r>
          <w:rPr>
            <w:rFonts w:ascii="Arial" w:cs="Arial" w:eastAsia="Arial" w:hAnsi="Arial"/>
            <w:sz w:val="16"/>
            <w:szCs w:val="16"/>
            <w:u w:val="single" w:color="auto"/>
            <w:color w:val="0000FF"/>
          </w:rPr>
          <w:t>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2020, based on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This evaluation included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2020.</w:t>
      </w:r>
    </w:p>
    <w:p>
      <w:pPr>
        <w:spacing w:after="0" w:line="23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Deloitte &amp; Touche LLP, an independent registered public accounting firm, as auditors of Black Hills Corporation’s financial statements, has issued an attestation report on the effectiveness of Black Hills Corporation's internal control over financial reporting as of December 31, 2020. Deloitte &amp; Touche LLP's report on Black Hills Corporation's internal control over financial reporting is included herein.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Black Hills Corporation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audited the accompanying consolidated balance sheets of Black Hills Corporation and subsidiaries (the "Company") as of December 31, 2020 and 2019, the related consolidated statements of income, comprehensive income, shareholders'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3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26, 2021, expressed an unqualified opinion on the Company's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Accounting - Impact of Rate Regulation on the Financial Statements — Refer to Notes 1 and 2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Company is subject to cost-of-service regulation and earnings oversight by state and federal utility commissions (collectively, the “Commissions”), which have jurisdiction over the Company’s electric rates in Colorado, Montana, South Dakota and Wyoming and natural gas rates in Arkansas, Colorado, Iowa, Kansas, Nebraska and Wyoming.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regulatory assets and liabilities; revenue; operating expenses; and income tax benefit (expense).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Rates are regulated on a state-by-state basis by the relevant state regulatory commissions based on an analysis of the costs, as reviewed and approved in a regulatory proceeding. Rate regulation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its regulatory assets are probable of recovery in current rates or in future proceedings, there is a risk that the Commissions will not judge all costs to have been prudently incurred or that the rate regulation process in which rates are determined will not always result in rates that produce a full recovery of costs and the return on invested capital.</w:t>
      </w:r>
    </w:p>
    <w:p>
      <w:pPr>
        <w:spacing w:after="0" w:line="23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and (2) a refund or future rate reduction to be provided to customers. Given the uncertainty of future decisions by the Commissions, auditing these judgments required specialized knowledge of accounting for rate regulation and the rate setting process due to its inherent complexities.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uncertainty of future decisions by the Commissions included the following, among others:</w:t>
      </w:r>
    </w:p>
    <w:p>
      <w:pPr>
        <w:spacing w:after="0" w:line="248" w:lineRule="exact"/>
        <w:rPr>
          <w:sz w:val="20"/>
          <w:szCs w:val="20"/>
          <w:color w:val="auto"/>
        </w:rPr>
      </w:pPr>
    </w:p>
    <w:p>
      <w:pPr>
        <w:ind w:left="660" w:hanging="328"/>
        <w:spacing w:after="0" w:line="24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tested the effectiveness of management’s controls over the evaluation of the likelihood of (1) the recovery in future rates of costs incurred as property, plant, and equipment and deferred as regulatory assets, and (2) refunds or future reductions in rates that should be reported as regulatory liabilities. 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2" w:lineRule="exact"/>
        <w:rPr>
          <w:rFonts w:ascii="Arial" w:cs="Arial" w:eastAsia="Arial" w:hAnsi="Arial"/>
          <w:sz w:val="16"/>
          <w:szCs w:val="16"/>
          <w:color w:val="auto"/>
        </w:rPr>
      </w:pPr>
    </w:p>
    <w:p>
      <w:pPr>
        <w:ind w:left="660" w:right="40" w:hanging="328"/>
        <w:spacing w:after="0" w:line="24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read relevant regulatory orders issued by the Commissions, procedural memorandums, filings made by the Company, and other publicly available information, as appropriate, to assess the likelihood of recovery in future rates or of a future reduction in rates based on precedents of the Commissions’ treatment of similar costs under similar circumstances. We evaluated the external information and compared it to the Company’s recorded regulatory asset and liability balances for completeness and for any evidence that might contradict management’s assertions.</w:t>
      </w:r>
    </w:p>
    <w:p>
      <w:pPr>
        <w:spacing w:after="0" w:line="1" w:lineRule="exact"/>
        <w:rPr>
          <w:rFonts w:ascii="Arial" w:cs="Arial" w:eastAsia="Arial" w:hAnsi="Arial"/>
          <w:sz w:val="16"/>
          <w:szCs w:val="16"/>
          <w:color w:val="auto"/>
        </w:rPr>
      </w:pPr>
    </w:p>
    <w:p>
      <w:pPr>
        <w:ind w:left="660" w:right="40" w:hanging="328"/>
        <w:spacing w:after="0" w:line="24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obtained and evaluated an analysis from management regarding probability of recovery for regulatory assets or refund or future reduction in rates for regulatory liabilities not yet addressed in a regulatory order to assess management’s assertion that amounts are probable of recovery or of a future reduction in rates.</w:t>
      </w:r>
    </w:p>
    <w:p>
      <w:pPr>
        <w:spacing w:after="0" w:line="1" w:lineRule="exact"/>
        <w:rPr>
          <w:rFonts w:ascii="Arial" w:cs="Arial" w:eastAsia="Arial" w:hAnsi="Arial"/>
          <w:sz w:val="16"/>
          <w:szCs w:val="16"/>
          <w:color w:val="auto"/>
        </w:rPr>
      </w:pPr>
    </w:p>
    <w:p>
      <w:pPr>
        <w:ind w:left="660" w:right="500" w:hanging="328"/>
        <w:spacing w:after="0" w:line="24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inspected minutes of the board of directors to identify any evidence that may contradict management’s assertions regarding probability of recovery or refunds. We also inquired of management regarding current year rate filings and new regulatory assets or liabilities.</w:t>
      </w: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55"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 xml:space="preserve">We have audited the internal control over financial reporting of Black Hills Corporation and subsidiaries (the “Company”)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224"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2020, of the Company and our report dated February 26, 2021, expressed an unqualified opinion on those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5"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9" w:lineRule="exact"/>
        <w:rPr>
          <w:sz w:val="20"/>
          <w:szCs w:val="20"/>
          <w:color w:val="auto"/>
        </w:rPr>
      </w:pPr>
    </w:p>
    <w:p>
      <w:pPr>
        <w:ind w:right="280"/>
        <w:spacing w:after="0" w:line="23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2020</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2019</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184"/>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40" w:type="dxa"/>
            <w:vAlign w:val="bottom"/>
            <w:gridSpan w:val="5"/>
          </w:tcPr>
          <w:p>
            <w:pPr>
              <w:jc w:val="right"/>
              <w:ind w:right="1148"/>
              <w:spacing w:after="0"/>
              <w:rPr>
                <w:sz w:val="20"/>
                <w:szCs w:val="20"/>
                <w:color w:val="auto"/>
              </w:rPr>
            </w:pPr>
            <w:r>
              <w:rPr>
                <w:rFonts w:ascii="Arial" w:cs="Arial" w:eastAsia="Arial" w:hAnsi="Arial"/>
                <w:sz w:val="14"/>
                <w:szCs w:val="14"/>
                <w:color w:val="auto"/>
              </w:rPr>
              <w:t>(in thousands, except per share amounts)</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1,696,941</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1,734,900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1,754,268</w:t>
            </w:r>
          </w:p>
        </w:tc>
        <w:tc>
          <w:tcPr>
            <w:tcW w:w="0" w:type="dxa"/>
            <w:vAlign w:val="bottom"/>
          </w:tcPr>
          <w:p>
            <w:pPr>
              <w:spacing w:after="0"/>
              <w:rPr>
                <w:sz w:val="1"/>
                <w:szCs w:val="1"/>
                <w:color w:val="auto"/>
              </w:rPr>
            </w:pPr>
          </w:p>
        </w:tc>
      </w:tr>
      <w:tr>
        <w:trPr>
          <w:trHeight w:val="128"/>
        </w:trPr>
        <w:tc>
          <w:tcPr>
            <w:tcW w:w="6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Fuel, purchased power and cost of natural gas sold</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492,404</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570,829</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625,610</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Operations and maintenance</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495,404</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495,994</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481,706</w:t>
            </w: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224,457</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209,120</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196,328</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Taxes - property and production</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56,373</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52,915</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51,746</w:t>
            </w:r>
          </w:p>
        </w:tc>
        <w:tc>
          <w:tcPr>
            <w:tcW w:w="0" w:type="dxa"/>
            <w:vAlign w:val="bottom"/>
          </w:tcPr>
          <w:p>
            <w:pPr>
              <w:spacing w:after="0"/>
              <w:rPr>
                <w:sz w:val="1"/>
                <w:szCs w:val="1"/>
                <w:color w:val="auto"/>
              </w:rPr>
            </w:pPr>
          </w:p>
        </w:tc>
      </w:tr>
      <w:tr>
        <w:trPr>
          <w:trHeight w:val="189"/>
        </w:trPr>
        <w:tc>
          <w:tcPr>
            <w:tcW w:w="61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Other operating expenses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83"/>
        </w:trPr>
        <w:tc>
          <w:tcPr>
            <w:tcW w:w="6140" w:type="dxa"/>
            <w:vAlign w:val="bottom"/>
            <w:shd w:val="clear" w:color="auto" w:fill="CEFFE7"/>
          </w:tcPr>
          <w:p>
            <w:pPr>
              <w:ind w:left="48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CEFFE7"/>
          </w:tcPr>
          <w:p>
            <w:pPr>
              <w:spacing w:after="0"/>
              <w:rPr>
                <w:sz w:val="15"/>
                <w:szCs w:val="15"/>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1,268,638</w:t>
            </w:r>
          </w:p>
        </w:tc>
        <w:tc>
          <w:tcPr>
            <w:tcW w:w="160" w:type="dxa"/>
            <w:vAlign w:val="bottom"/>
            <w:tcBorders>
              <w:bottom w:val="single" w:sz="8" w:color="auto"/>
            </w:tcBorders>
            <w:shd w:val="clear" w:color="auto" w:fill="CEFFE7"/>
          </w:tcPr>
          <w:p>
            <w:pPr>
              <w:spacing w:after="0"/>
              <w:rPr>
                <w:sz w:val="15"/>
                <w:szCs w:val="15"/>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1,328,858</w:t>
            </w:r>
          </w:p>
        </w:tc>
        <w:tc>
          <w:tcPr>
            <w:tcW w:w="160" w:type="dxa"/>
            <w:vAlign w:val="bottom"/>
            <w:tcBorders>
              <w:bottom w:val="single" w:sz="8" w:color="auto"/>
            </w:tcBorders>
            <w:shd w:val="clear" w:color="auto" w:fill="CEFFE7"/>
          </w:tcPr>
          <w:p>
            <w:pPr>
              <w:spacing w:after="0"/>
              <w:rPr>
                <w:sz w:val="15"/>
                <w:szCs w:val="15"/>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1,357,231</w:t>
            </w:r>
          </w:p>
        </w:tc>
        <w:tc>
          <w:tcPr>
            <w:tcW w:w="0" w:type="dxa"/>
            <w:vAlign w:val="bottom"/>
          </w:tcPr>
          <w:p>
            <w:pPr>
              <w:spacing w:after="0"/>
              <w:rPr>
                <w:sz w:val="1"/>
                <w:szCs w:val="1"/>
                <w:color w:val="auto"/>
              </w:rPr>
            </w:pPr>
          </w:p>
        </w:tc>
      </w:tr>
      <w:tr>
        <w:trPr>
          <w:trHeight w:val="128"/>
        </w:trPr>
        <w:tc>
          <w:tcPr>
            <w:tcW w:w="6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Operating income</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428,303</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406,042</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397,037</w:t>
            </w:r>
          </w:p>
        </w:tc>
        <w:tc>
          <w:tcPr>
            <w:tcW w:w="0" w:type="dxa"/>
            <w:vAlign w:val="bottom"/>
          </w:tcPr>
          <w:p>
            <w:pPr>
              <w:spacing w:after="0"/>
              <w:rPr>
                <w:sz w:val="1"/>
                <w:szCs w:val="1"/>
                <w:color w:val="auto"/>
              </w:rPr>
            </w:pPr>
          </w:p>
        </w:tc>
      </w:tr>
      <w:tr>
        <w:trPr>
          <w:trHeight w:val="129"/>
        </w:trPr>
        <w:tc>
          <w:tcPr>
            <w:tcW w:w="6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140" w:type="dxa"/>
            <w:vAlign w:val="bottom"/>
          </w:tcPr>
          <w:p>
            <w:pPr>
              <w:ind w:left="20"/>
              <w:spacing w:after="0" w:line="153" w:lineRule="exact"/>
              <w:rPr>
                <w:sz w:val="20"/>
                <w:szCs w:val="20"/>
                <w:color w:val="auto"/>
              </w:rPr>
            </w:pPr>
            <w:r>
              <w:rPr>
                <w:rFonts w:ascii="Arial" w:cs="Arial" w:eastAsia="Arial" w:hAnsi="Arial"/>
                <w:sz w:val="14"/>
                <w:szCs w:val="14"/>
                <w:color w:val="auto"/>
              </w:rPr>
              <w:t>Interest expense incurred net of amounts capitalized (including amortization of debt issuance</w:t>
            </w:r>
          </w:p>
        </w:tc>
        <w:tc>
          <w:tcPr>
            <w:tcW w:w="16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(144,931)</w:t>
            </w:r>
          </w:p>
        </w:tc>
        <w:tc>
          <w:tcPr>
            <w:tcW w:w="16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(139,291)</w:t>
            </w:r>
          </w:p>
        </w:tc>
        <w:tc>
          <w:tcPr>
            <w:tcW w:w="16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(141,616)</w:t>
            </w:r>
          </w:p>
        </w:tc>
        <w:tc>
          <w:tcPr>
            <w:tcW w:w="0" w:type="dxa"/>
            <w:vAlign w:val="bottom"/>
          </w:tcPr>
          <w:p>
            <w:pPr>
              <w:spacing w:after="0"/>
              <w:rPr>
                <w:sz w:val="1"/>
                <w:szCs w:val="1"/>
                <w:color w:val="auto"/>
              </w:rPr>
            </w:pPr>
          </w:p>
        </w:tc>
      </w:tr>
      <w:tr>
        <w:trPr>
          <w:trHeight w:val="171"/>
        </w:trPr>
        <w:tc>
          <w:tcPr>
            <w:tcW w:w="6140" w:type="dxa"/>
            <w:vAlign w:val="bottom"/>
          </w:tcPr>
          <w:p>
            <w:pPr>
              <w:ind w:left="20"/>
              <w:spacing w:after="0"/>
              <w:rPr>
                <w:sz w:val="20"/>
                <w:szCs w:val="20"/>
                <w:color w:val="auto"/>
              </w:rPr>
            </w:pPr>
            <w:r>
              <w:rPr>
                <w:rFonts w:ascii="Arial" w:cs="Arial" w:eastAsia="Arial" w:hAnsi="Arial"/>
                <w:sz w:val="14"/>
                <w:szCs w:val="14"/>
                <w:color w:val="auto"/>
              </w:rPr>
              <w:t>costs, premiums and discounts)</w:t>
            </w:r>
          </w:p>
        </w:tc>
        <w:tc>
          <w:tcPr>
            <w:tcW w:w="1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1,461</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1,632</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Impairment of investment</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(6,859)</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(19,741)</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(2,293)</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(5,740)</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CEFFE7"/>
            </w:tcBorders>
          </w:tcPr>
          <w:p>
            <w:pPr>
              <w:ind w:left="48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(152,622)</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(163,140)</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(141,155)</w:t>
            </w:r>
          </w:p>
        </w:tc>
        <w:tc>
          <w:tcPr>
            <w:tcW w:w="0" w:type="dxa"/>
            <w:vAlign w:val="bottom"/>
          </w:tcPr>
          <w:p>
            <w:pPr>
              <w:spacing w:after="0"/>
              <w:rPr>
                <w:sz w:val="1"/>
                <w:szCs w:val="1"/>
                <w:color w:val="auto"/>
              </w:rPr>
            </w:pPr>
          </w:p>
        </w:tc>
      </w:tr>
      <w:tr>
        <w:trPr>
          <w:trHeight w:val="183"/>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EFFE7"/>
          </w:tcPr>
          <w:p>
            <w:pPr>
              <w:spacing w:after="0"/>
              <w:rPr>
                <w:sz w:val="15"/>
                <w:szCs w:val="15"/>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275,681</w:t>
            </w:r>
          </w:p>
        </w:tc>
        <w:tc>
          <w:tcPr>
            <w:tcW w:w="160" w:type="dxa"/>
            <w:vAlign w:val="bottom"/>
            <w:shd w:val="clear" w:color="auto" w:fill="CEFFE7"/>
          </w:tcPr>
          <w:p>
            <w:pPr>
              <w:spacing w:after="0"/>
              <w:rPr>
                <w:sz w:val="15"/>
                <w:szCs w:val="15"/>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242,902</w:t>
            </w:r>
          </w:p>
        </w:tc>
        <w:tc>
          <w:tcPr>
            <w:tcW w:w="160" w:type="dxa"/>
            <w:vAlign w:val="bottom"/>
            <w:shd w:val="clear" w:color="auto" w:fill="CEFFE7"/>
          </w:tcPr>
          <w:p>
            <w:pPr>
              <w:spacing w:after="0"/>
              <w:rPr>
                <w:sz w:val="15"/>
                <w:szCs w:val="15"/>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255,882</w:t>
            </w:r>
          </w:p>
        </w:tc>
        <w:tc>
          <w:tcPr>
            <w:tcW w:w="0" w:type="dxa"/>
            <w:vAlign w:val="bottom"/>
          </w:tcPr>
          <w:p>
            <w:pPr>
              <w:spacing w:after="0"/>
              <w:rPr>
                <w:sz w:val="1"/>
                <w:szCs w:val="1"/>
                <w:color w:val="auto"/>
              </w:rPr>
            </w:pPr>
          </w:p>
        </w:tc>
      </w:tr>
      <w:tr>
        <w:trPr>
          <w:trHeight w:val="189"/>
        </w:trPr>
        <w:tc>
          <w:tcPr>
            <w:tcW w:w="61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(32,918)</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(29,580)</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23,667</w:t>
            </w:r>
          </w:p>
        </w:tc>
        <w:tc>
          <w:tcPr>
            <w:tcW w:w="0" w:type="dxa"/>
            <w:vAlign w:val="bottom"/>
          </w:tcPr>
          <w:p>
            <w:pPr>
              <w:spacing w:after="0"/>
              <w:rPr>
                <w:sz w:val="1"/>
                <w:szCs w:val="1"/>
                <w:color w:val="auto"/>
              </w:rPr>
            </w:pPr>
          </w:p>
        </w:tc>
      </w:tr>
      <w:tr>
        <w:trPr>
          <w:trHeight w:val="183"/>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Income from continuing operations</w:t>
            </w:r>
          </w:p>
        </w:tc>
        <w:tc>
          <w:tcPr>
            <w:tcW w:w="160" w:type="dxa"/>
            <w:vAlign w:val="bottom"/>
            <w:shd w:val="clear" w:color="auto" w:fill="CEFFE7"/>
          </w:tcPr>
          <w:p>
            <w:pPr>
              <w:spacing w:after="0"/>
              <w:rPr>
                <w:sz w:val="15"/>
                <w:szCs w:val="15"/>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242,763</w:t>
            </w:r>
          </w:p>
        </w:tc>
        <w:tc>
          <w:tcPr>
            <w:tcW w:w="160" w:type="dxa"/>
            <w:vAlign w:val="bottom"/>
            <w:shd w:val="clear" w:color="auto" w:fill="CEFFE7"/>
          </w:tcPr>
          <w:p>
            <w:pPr>
              <w:spacing w:after="0"/>
              <w:rPr>
                <w:sz w:val="15"/>
                <w:szCs w:val="15"/>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213,322</w:t>
            </w:r>
          </w:p>
        </w:tc>
        <w:tc>
          <w:tcPr>
            <w:tcW w:w="160" w:type="dxa"/>
            <w:vAlign w:val="bottom"/>
            <w:shd w:val="clear" w:color="auto" w:fill="CEFFE7"/>
          </w:tcPr>
          <w:p>
            <w:pPr>
              <w:spacing w:after="0"/>
              <w:rPr>
                <w:sz w:val="15"/>
                <w:szCs w:val="15"/>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279,549</w:t>
            </w:r>
          </w:p>
        </w:tc>
        <w:tc>
          <w:tcPr>
            <w:tcW w:w="0" w:type="dxa"/>
            <w:vAlign w:val="bottom"/>
          </w:tcPr>
          <w:p>
            <w:pPr>
              <w:spacing w:after="0"/>
              <w:rPr>
                <w:sz w:val="1"/>
                <w:szCs w:val="1"/>
                <w:color w:val="auto"/>
              </w:rPr>
            </w:pPr>
          </w:p>
        </w:tc>
      </w:tr>
      <w:tr>
        <w:trPr>
          <w:trHeight w:val="189"/>
        </w:trPr>
        <w:tc>
          <w:tcPr>
            <w:tcW w:w="61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(loss) from discontinued operations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(6,887)</w:t>
            </w:r>
          </w:p>
        </w:tc>
        <w:tc>
          <w:tcPr>
            <w:tcW w:w="0" w:type="dxa"/>
            <w:vAlign w:val="bottom"/>
          </w:tcPr>
          <w:p>
            <w:pPr>
              <w:spacing w:after="0"/>
              <w:rPr>
                <w:sz w:val="1"/>
                <w:szCs w:val="1"/>
                <w:color w:val="auto"/>
              </w:rPr>
            </w:pPr>
          </w:p>
        </w:tc>
      </w:tr>
      <w:tr>
        <w:trPr>
          <w:trHeight w:val="183"/>
        </w:trPr>
        <w:tc>
          <w:tcPr>
            <w:tcW w:w="6140" w:type="dxa"/>
            <w:vAlign w:val="bottom"/>
            <w:shd w:val="clear" w:color="auto" w:fill="CEFFE7"/>
          </w:tcPr>
          <w:p>
            <w:pPr>
              <w:ind w:left="1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EFFE7"/>
          </w:tcPr>
          <w:p>
            <w:pPr>
              <w:spacing w:after="0"/>
              <w:rPr>
                <w:sz w:val="15"/>
                <w:szCs w:val="15"/>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242,763</w:t>
            </w:r>
          </w:p>
        </w:tc>
        <w:tc>
          <w:tcPr>
            <w:tcW w:w="160" w:type="dxa"/>
            <w:vAlign w:val="bottom"/>
            <w:shd w:val="clear" w:color="auto" w:fill="CEFFE7"/>
          </w:tcPr>
          <w:p>
            <w:pPr>
              <w:spacing w:after="0"/>
              <w:rPr>
                <w:sz w:val="15"/>
                <w:szCs w:val="15"/>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213,322</w:t>
            </w:r>
          </w:p>
        </w:tc>
        <w:tc>
          <w:tcPr>
            <w:tcW w:w="160" w:type="dxa"/>
            <w:vAlign w:val="bottom"/>
            <w:shd w:val="clear" w:color="auto" w:fill="CEFFE7"/>
          </w:tcPr>
          <w:p>
            <w:pPr>
              <w:spacing w:after="0"/>
              <w:rPr>
                <w:sz w:val="15"/>
                <w:szCs w:val="15"/>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272,662</w:t>
            </w:r>
          </w:p>
        </w:tc>
        <w:tc>
          <w:tcPr>
            <w:tcW w:w="0" w:type="dxa"/>
            <w:vAlign w:val="bottom"/>
          </w:tcPr>
          <w:p>
            <w:pPr>
              <w:spacing w:after="0"/>
              <w:rPr>
                <w:sz w:val="1"/>
                <w:szCs w:val="1"/>
                <w:color w:val="auto"/>
              </w:rPr>
            </w:pPr>
          </w:p>
        </w:tc>
      </w:tr>
      <w:tr>
        <w:trPr>
          <w:trHeight w:val="189"/>
        </w:trPr>
        <w:tc>
          <w:tcPr>
            <w:tcW w:w="61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(15,155)</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(14,012)</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(14,220)</w:t>
            </w:r>
          </w:p>
        </w:tc>
        <w:tc>
          <w:tcPr>
            <w:tcW w:w="0" w:type="dxa"/>
            <w:vAlign w:val="bottom"/>
          </w:tcPr>
          <w:p>
            <w:pPr>
              <w:spacing w:after="0"/>
              <w:rPr>
                <w:sz w:val="1"/>
                <w:szCs w:val="1"/>
                <w:color w:val="auto"/>
              </w:rPr>
            </w:pPr>
          </w:p>
        </w:tc>
      </w:tr>
      <w:tr>
        <w:trPr>
          <w:trHeight w:val="208"/>
        </w:trPr>
        <w:tc>
          <w:tcPr>
            <w:tcW w:w="6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4"/>
                <w:szCs w:val="14"/>
                <w:color w:val="auto"/>
              </w:rPr>
              <w:t>Net income available for common stock</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227,608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199,310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258,442</w:t>
            </w:r>
          </w:p>
        </w:tc>
        <w:tc>
          <w:tcPr>
            <w:tcW w:w="0" w:type="dxa"/>
            <w:vAlign w:val="bottom"/>
          </w:tcPr>
          <w:p>
            <w:pPr>
              <w:spacing w:after="0"/>
              <w:rPr>
                <w:sz w:val="1"/>
                <w:szCs w:val="1"/>
                <w:color w:val="auto"/>
              </w:rPr>
            </w:pPr>
          </w:p>
        </w:tc>
      </w:tr>
      <w:tr>
        <w:trPr>
          <w:trHeight w:val="20"/>
        </w:trPr>
        <w:tc>
          <w:tcPr>
            <w:tcW w:w="61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Amounts attributable to common shareholders:</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140"/>
              <w:spacing w:after="0"/>
              <w:rPr>
                <w:sz w:val="20"/>
                <w:szCs w:val="20"/>
                <w:color w:val="auto"/>
              </w:rPr>
            </w:pPr>
            <w:r>
              <w:rPr>
                <w:rFonts w:ascii="Arial" w:cs="Arial" w:eastAsia="Arial" w:hAnsi="Arial"/>
                <w:sz w:val="14"/>
                <w:szCs w:val="14"/>
                <w:color w:val="auto"/>
              </w:rPr>
              <w:t>Net income from continuing operations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227,608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199,310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265,329</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140"/>
              <w:spacing w:after="0"/>
              <w:rPr>
                <w:sz w:val="20"/>
                <w:szCs w:val="20"/>
                <w:color w:val="auto"/>
              </w:rPr>
            </w:pPr>
            <w:r>
              <w:rPr>
                <w:rFonts w:ascii="Arial" w:cs="Arial" w:eastAsia="Arial" w:hAnsi="Arial"/>
                <w:sz w:val="14"/>
                <w:szCs w:val="14"/>
                <w:color w:val="auto"/>
              </w:rPr>
              <w:t>Net (loss) from discontinued operations</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(6,887)</w:t>
            </w:r>
          </w:p>
        </w:tc>
        <w:tc>
          <w:tcPr>
            <w:tcW w:w="0" w:type="dxa"/>
            <w:vAlign w:val="bottom"/>
          </w:tcPr>
          <w:p>
            <w:pPr>
              <w:spacing w:after="0"/>
              <w:rPr>
                <w:sz w:val="1"/>
                <w:szCs w:val="1"/>
                <w:color w:val="auto"/>
              </w:rPr>
            </w:pP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color w:val="auto"/>
              </w:rPr>
              <w:t>Net income available for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227,608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199,310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258,442</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EFFE7"/>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1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Earnings (loss) per share of common stock, Basic -</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140"/>
              <w:spacing w:after="0"/>
              <w:rPr>
                <w:sz w:val="20"/>
                <w:szCs w:val="20"/>
                <w:color w:val="auto"/>
              </w:rPr>
            </w:pPr>
            <w:r>
              <w:rPr>
                <w:rFonts w:ascii="Arial" w:cs="Arial" w:eastAsia="Arial" w:hAnsi="Arial"/>
                <w:sz w:val="14"/>
                <w:szCs w:val="14"/>
                <w:color w:val="auto"/>
              </w:rPr>
              <w:t>Earnings from continuing operations</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3.65</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3.29</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89"/>
        </w:trPr>
        <w:tc>
          <w:tcPr>
            <w:tcW w:w="614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(Loss) from discontinued operations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8"/>
        </w:trPr>
        <w:tc>
          <w:tcPr>
            <w:tcW w:w="6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4"/>
                <w:szCs w:val="14"/>
                <w:color w:val="auto"/>
              </w:rPr>
              <w:t>Total earnings per share of common stock, Basic</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3.65</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3.29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0"/>
        </w:trPr>
        <w:tc>
          <w:tcPr>
            <w:tcW w:w="61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20"/>
              <w:spacing w:after="0"/>
              <w:rPr>
                <w:sz w:val="20"/>
                <w:szCs w:val="20"/>
                <w:color w:val="auto"/>
              </w:rPr>
            </w:pPr>
            <w:r>
              <w:rPr>
                <w:rFonts w:ascii="Arial" w:cs="Arial" w:eastAsia="Arial" w:hAnsi="Arial"/>
                <w:sz w:val="14"/>
                <w:szCs w:val="14"/>
                <w:color w:val="auto"/>
              </w:rPr>
              <w:t>Earnings (loss) per share of common stock, Diluted -</w:t>
            </w: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54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140"/>
              <w:spacing w:after="0"/>
              <w:rPr>
                <w:sz w:val="20"/>
                <w:szCs w:val="20"/>
                <w:color w:val="auto"/>
              </w:rPr>
            </w:pPr>
            <w:r>
              <w:rPr>
                <w:rFonts w:ascii="Arial" w:cs="Arial" w:eastAsia="Arial" w:hAnsi="Arial"/>
                <w:sz w:val="14"/>
                <w:szCs w:val="14"/>
                <w:color w:val="auto"/>
              </w:rPr>
              <w:t>Earnings from continuing operations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3.65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3.28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9"/>
        </w:trPr>
        <w:tc>
          <w:tcPr>
            <w:tcW w:w="6140" w:type="dxa"/>
            <w:vAlign w:val="bottom"/>
            <w:shd w:val="clear" w:color="auto" w:fill="CEFFE7"/>
          </w:tcPr>
          <w:p>
            <w:pPr>
              <w:ind w:left="140"/>
              <w:spacing w:after="0"/>
              <w:rPr>
                <w:sz w:val="20"/>
                <w:szCs w:val="20"/>
                <w:color w:val="auto"/>
              </w:rPr>
            </w:pPr>
            <w:r>
              <w:rPr>
                <w:rFonts w:ascii="Arial" w:cs="Arial" w:eastAsia="Arial" w:hAnsi="Arial"/>
                <w:sz w:val="14"/>
                <w:szCs w:val="14"/>
                <w:color w:val="auto"/>
              </w:rPr>
              <w:t>(Loss) from discontinued operations</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6"/>
                <w:szCs w:val="16"/>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color w:val="auto"/>
              </w:rPr>
              <w:t>Total earnings per share of common stock,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EFFE7"/>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1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54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EFFE7"/>
          </w:tcPr>
          <w:p>
            <w:pPr>
              <w:spacing w:after="0"/>
              <w:rPr>
                <w:sz w:val="18"/>
                <w:szCs w:val="18"/>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62,378</w:t>
            </w:r>
          </w:p>
        </w:tc>
        <w:tc>
          <w:tcPr>
            <w:tcW w:w="160" w:type="dxa"/>
            <w:vAlign w:val="bottom"/>
            <w:tcBorders>
              <w:bottom w:val="single" w:sz="8" w:color="auto"/>
            </w:tcBorders>
            <w:shd w:val="clear" w:color="auto" w:fill="CEFFE7"/>
          </w:tcPr>
          <w:p>
            <w:pPr>
              <w:spacing w:after="0"/>
              <w:rPr>
                <w:sz w:val="18"/>
                <w:szCs w:val="18"/>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60,662</w:t>
            </w:r>
          </w:p>
        </w:tc>
        <w:tc>
          <w:tcPr>
            <w:tcW w:w="160" w:type="dxa"/>
            <w:vAlign w:val="bottom"/>
            <w:tcBorders>
              <w:bottom w:val="single" w:sz="8" w:color="auto"/>
            </w:tcBorders>
            <w:shd w:val="clear" w:color="auto" w:fill="CEFFE7"/>
          </w:tcPr>
          <w:p>
            <w:pPr>
              <w:spacing w:after="0"/>
              <w:rPr>
                <w:sz w:val="18"/>
                <w:szCs w:val="18"/>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54,420</w:t>
            </w:r>
          </w:p>
        </w:tc>
        <w:tc>
          <w:tcPr>
            <w:tcW w:w="0" w:type="dxa"/>
            <w:vAlign w:val="bottom"/>
          </w:tcPr>
          <w:p>
            <w:pPr>
              <w:spacing w:after="0"/>
              <w:rPr>
                <w:sz w:val="1"/>
                <w:szCs w:val="1"/>
                <w:color w:val="auto"/>
              </w:rPr>
            </w:pPr>
          </w:p>
        </w:tc>
      </w:tr>
      <w:tr>
        <w:trPr>
          <w:trHeight w:val="20"/>
        </w:trPr>
        <w:tc>
          <w:tcPr>
            <w:tcW w:w="61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40" w:type="dxa"/>
            <w:vAlign w:val="bottom"/>
          </w:tcPr>
          <w:p>
            <w:pPr>
              <w:ind w:left="14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62,439</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60,798</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55,486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71">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5"/>
        </w:trPr>
        <w:tc>
          <w:tcPr>
            <w:tcW w:w="6040" w:type="dxa"/>
            <w:vAlign w:val="bottom"/>
            <w:gridSpan w:val="2"/>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744"/>
        </w:trPr>
        <w:tc>
          <w:tcPr>
            <w:tcW w:w="20" w:type="dxa"/>
            <w:vAlign w:val="bottom"/>
          </w:tcPr>
          <w:p>
            <w:pPr>
              <w:spacing w:after="0"/>
              <w:rPr>
                <w:sz w:val="24"/>
                <w:szCs w:val="24"/>
                <w:color w:val="auto"/>
              </w:rPr>
            </w:pPr>
          </w:p>
        </w:tc>
        <w:tc>
          <w:tcPr>
            <w:tcW w:w="7740" w:type="dxa"/>
            <w:vAlign w:val="bottom"/>
            <w:gridSpan w:val="3"/>
          </w:tcPr>
          <w:p>
            <w:pPr>
              <w:ind w:left="4440"/>
              <w:spacing w:after="0"/>
              <w:rPr>
                <w:sz w:val="20"/>
                <w:szCs w:val="20"/>
                <w:color w:val="auto"/>
              </w:rPr>
            </w:pPr>
            <w:r>
              <w:rPr>
                <w:rFonts w:ascii="Arial" w:cs="Arial" w:eastAsia="Arial" w:hAnsi="Arial"/>
                <w:sz w:val="16"/>
                <w:szCs w:val="16"/>
                <w:b w:val="1"/>
                <w:bCs w:val="1"/>
                <w:color w:val="auto"/>
              </w:rPr>
              <w:t>BLACK HILLS CORPORATION</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9480" w:type="dxa"/>
            <w:vAlign w:val="bottom"/>
            <w:gridSpan w:val="5"/>
          </w:tcPr>
          <w:p>
            <w:pPr>
              <w:ind w:left="3180"/>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27"/>
        </w:trPr>
        <w:tc>
          <w:tcPr>
            <w:tcW w:w="20" w:type="dxa"/>
            <w:vAlign w:val="bottom"/>
          </w:tcPr>
          <w:p>
            <w:pPr>
              <w:spacing w:after="0"/>
              <w:rPr>
                <w:sz w:val="24"/>
                <w:szCs w:val="24"/>
                <w:color w:val="auto"/>
              </w:rPr>
            </w:pP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Year ended</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December 31, 2020</w:t>
            </w: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December 31, 2019</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December 31, 2018</w:t>
            </w:r>
          </w:p>
        </w:tc>
      </w:tr>
      <w:tr>
        <w:trPr>
          <w:trHeight w:val="209"/>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242,763</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213,322</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272,662</w:t>
            </w:r>
          </w:p>
        </w:tc>
      </w:tr>
      <w:tr>
        <w:trPr>
          <w:trHeight w:val="25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shd w:val="clear" w:color="auto" w:fill="CEFFE7"/>
          </w:tcPr>
          <w:p>
            <w:pPr>
              <w:spacing w:after="0"/>
              <w:rPr>
                <w:sz w:val="18"/>
                <w:szCs w:val="18"/>
                <w:color w:val="auto"/>
              </w:rPr>
            </w:pPr>
          </w:p>
        </w:tc>
        <w:tc>
          <w:tcPr>
            <w:tcW w:w="158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6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600" w:type="dxa"/>
            <w:vAlign w:val="bottom"/>
            <w:shd w:val="clear" w:color="auto" w:fill="CEFFE7"/>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6020" w:type="dxa"/>
            <w:vAlign w:val="bottom"/>
          </w:tcPr>
          <w:p>
            <w:pPr>
              <w:ind w:left="340"/>
              <w:spacing w:after="0" w:line="178" w:lineRule="exact"/>
              <w:rPr>
                <w:sz w:val="20"/>
                <w:szCs w:val="20"/>
                <w:color w:val="auto"/>
              </w:rPr>
            </w:pPr>
            <w:r>
              <w:rPr>
                <w:rFonts w:ascii="Arial" w:cs="Arial" w:eastAsia="Arial" w:hAnsi="Arial"/>
                <w:sz w:val="16"/>
                <w:szCs w:val="16"/>
                <w:color w:val="auto"/>
              </w:rPr>
              <w:t>Benefit plan liability adjustments - net gain (loss) (net of tax of $191, $1,886</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and $(660), respectively)</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(1,062)</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(6,253)</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2,155</w:t>
            </w:r>
          </w:p>
        </w:tc>
      </w:tr>
      <w:tr>
        <w:trPr>
          <w:trHeight w:val="180"/>
        </w:trPr>
        <w:tc>
          <w:tcPr>
            <w:tcW w:w="20" w:type="dxa"/>
            <w:vAlign w:val="bottom"/>
          </w:tcPr>
          <w:p>
            <w:pPr>
              <w:spacing w:after="0"/>
              <w:rPr>
                <w:sz w:val="15"/>
                <w:szCs w:val="15"/>
                <w:color w:val="auto"/>
              </w:rPr>
            </w:pPr>
          </w:p>
        </w:tc>
        <w:tc>
          <w:tcPr>
            <w:tcW w:w="6020" w:type="dxa"/>
            <w:vAlign w:val="bottom"/>
            <w:shd w:val="clear" w:color="auto" w:fill="CEFFE7"/>
          </w:tcPr>
          <w:p>
            <w:pPr>
              <w:ind w:left="340"/>
              <w:spacing w:after="0" w:line="181" w:lineRule="exact"/>
              <w:rPr>
                <w:sz w:val="20"/>
                <w:szCs w:val="20"/>
                <w:color w:val="auto"/>
              </w:rPr>
            </w:pPr>
            <w:r>
              <w:rPr>
                <w:rFonts w:ascii="Arial" w:cs="Arial" w:eastAsia="Arial" w:hAnsi="Arial"/>
                <w:sz w:val="16"/>
                <w:szCs w:val="16"/>
                <w:color w:val="auto"/>
              </w:rPr>
              <w:t>Benefit plan liability adjustments - prior service costs (net of tax of $0, $2 and</w:t>
            </w:r>
          </w:p>
        </w:tc>
        <w:tc>
          <w:tcPr>
            <w:tcW w:w="140" w:type="dxa"/>
            <w:vAlign w:val="bottom"/>
            <w:shd w:val="clear" w:color="auto" w:fill="CEFFE7"/>
          </w:tcPr>
          <w:p>
            <w:pPr>
              <w:spacing w:after="0"/>
              <w:rPr>
                <w:sz w:val="15"/>
                <w:szCs w:val="15"/>
                <w:color w:val="auto"/>
              </w:rPr>
            </w:pPr>
          </w:p>
        </w:tc>
        <w:tc>
          <w:tcPr>
            <w:tcW w:w="15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EFFE7"/>
          </w:tcPr>
          <w:p>
            <w:pPr>
              <w:ind w:left="340"/>
              <w:spacing w:after="0"/>
              <w:rPr>
                <w:sz w:val="20"/>
                <w:szCs w:val="20"/>
                <w:color w:val="auto"/>
              </w:rPr>
            </w:pPr>
            <w:r>
              <w:rPr>
                <w:rFonts w:ascii="Arial" w:cs="Arial" w:eastAsia="Arial" w:hAnsi="Arial"/>
                <w:sz w:val="16"/>
                <w:szCs w:val="16"/>
                <w:color w:val="auto"/>
              </w:rPr>
              <w:t>$0 respectively)</w:t>
            </w:r>
          </w:p>
        </w:tc>
        <w:tc>
          <w:tcPr>
            <w:tcW w:w="140" w:type="dxa"/>
            <w:vAlign w:val="bottom"/>
            <w:shd w:val="clear" w:color="auto" w:fill="CEFFE7"/>
          </w:tcPr>
          <w:p>
            <w:pPr>
              <w:spacing w:after="0"/>
              <w:rPr>
                <w:sz w:val="17"/>
                <w:szCs w:val="17"/>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20" w:type="dxa"/>
            <w:vAlign w:val="bottom"/>
          </w:tcPr>
          <w:p>
            <w:pPr>
              <w:spacing w:after="0"/>
              <w:rPr>
                <w:sz w:val="15"/>
                <w:szCs w:val="15"/>
                <w:color w:val="auto"/>
              </w:rPr>
            </w:pPr>
          </w:p>
        </w:tc>
        <w:tc>
          <w:tcPr>
            <w:tcW w:w="6020" w:type="dxa"/>
            <w:vAlign w:val="bottom"/>
          </w:tcPr>
          <w:p>
            <w:pPr>
              <w:ind w:left="340"/>
              <w:spacing w:after="0" w:line="178" w:lineRule="exact"/>
              <w:rPr>
                <w:sz w:val="20"/>
                <w:szCs w:val="20"/>
                <w:color w:val="auto"/>
              </w:rPr>
            </w:pPr>
            <w:r>
              <w:rPr>
                <w:rFonts w:ascii="Arial" w:cs="Arial" w:eastAsia="Arial" w:hAnsi="Arial"/>
                <w:sz w:val="16"/>
                <w:szCs w:val="16"/>
                <w:color w:val="auto"/>
              </w:rPr>
              <w:t>Reclassification adjustment of benefit plan liability - net loss (net of tax of</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$(958), $434 and $(586), respectively)</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1,429</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1,901</w:t>
            </w:r>
          </w:p>
        </w:tc>
      </w:tr>
      <w:tr>
        <w:trPr>
          <w:trHeight w:val="180"/>
        </w:trPr>
        <w:tc>
          <w:tcPr>
            <w:tcW w:w="20" w:type="dxa"/>
            <w:vAlign w:val="bottom"/>
          </w:tcPr>
          <w:p>
            <w:pPr>
              <w:spacing w:after="0"/>
              <w:rPr>
                <w:sz w:val="15"/>
                <w:szCs w:val="15"/>
                <w:color w:val="auto"/>
              </w:rPr>
            </w:pPr>
          </w:p>
        </w:tc>
        <w:tc>
          <w:tcPr>
            <w:tcW w:w="6020" w:type="dxa"/>
            <w:vAlign w:val="bottom"/>
            <w:shd w:val="clear" w:color="auto" w:fill="CEFFE7"/>
          </w:tcPr>
          <w:p>
            <w:pPr>
              <w:ind w:left="340"/>
              <w:spacing w:after="0" w:line="181" w:lineRule="exact"/>
              <w:rPr>
                <w:sz w:val="20"/>
                <w:szCs w:val="20"/>
                <w:color w:val="auto"/>
              </w:rPr>
            </w:pPr>
            <w:r>
              <w:rPr>
                <w:rFonts w:ascii="Arial" w:cs="Arial" w:eastAsia="Arial" w:hAnsi="Arial"/>
                <w:sz w:val="16"/>
                <w:szCs w:val="16"/>
                <w:color w:val="auto"/>
              </w:rPr>
              <w:t>Reclassification adjustment of benefit plan liability - prior service cost (net of</w:t>
            </w:r>
          </w:p>
        </w:tc>
        <w:tc>
          <w:tcPr>
            <w:tcW w:w="140" w:type="dxa"/>
            <w:vAlign w:val="bottom"/>
            <w:shd w:val="clear" w:color="auto" w:fill="CEFFE7"/>
          </w:tcPr>
          <w:p>
            <w:pPr>
              <w:spacing w:after="0"/>
              <w:rPr>
                <w:sz w:val="15"/>
                <w:szCs w:val="15"/>
                <w:color w:val="auto"/>
              </w:rPr>
            </w:pPr>
          </w:p>
        </w:tc>
        <w:tc>
          <w:tcPr>
            <w:tcW w:w="15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EFFE7"/>
          </w:tcPr>
          <w:p>
            <w:pPr>
              <w:ind w:left="340"/>
              <w:spacing w:after="0"/>
              <w:rPr>
                <w:sz w:val="20"/>
                <w:szCs w:val="20"/>
                <w:color w:val="auto"/>
              </w:rPr>
            </w:pPr>
            <w:r>
              <w:rPr>
                <w:rFonts w:ascii="Arial" w:cs="Arial" w:eastAsia="Arial" w:hAnsi="Arial"/>
                <w:sz w:val="16"/>
                <w:szCs w:val="16"/>
                <w:color w:val="auto"/>
              </w:rPr>
              <w:t>tax of $23, $19 and $43, respectively)</w:t>
            </w:r>
          </w:p>
        </w:tc>
        <w:tc>
          <w:tcPr>
            <w:tcW w:w="140" w:type="dxa"/>
            <w:vAlign w:val="bottom"/>
            <w:shd w:val="clear" w:color="auto" w:fill="CEFFE7"/>
          </w:tcPr>
          <w:p>
            <w:pPr>
              <w:spacing w:after="0"/>
              <w:rPr>
                <w:sz w:val="17"/>
                <w:szCs w:val="17"/>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6"/>
                <w:szCs w:val="16"/>
                <w:color w:val="auto"/>
              </w:rPr>
              <w:t>Derivative instruments designated as cash flow hedges: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6020" w:type="dxa"/>
            <w:vAlign w:val="bottom"/>
            <w:shd w:val="clear" w:color="auto" w:fill="CEFFE7"/>
          </w:tcPr>
          <w:p>
            <w:pPr>
              <w:ind w:left="340"/>
              <w:spacing w:after="0" w:line="181" w:lineRule="exact"/>
              <w:rPr>
                <w:sz w:val="20"/>
                <w:szCs w:val="20"/>
                <w:color w:val="auto"/>
              </w:rPr>
            </w:pPr>
            <w:r>
              <w:rPr>
                <w:rFonts w:ascii="Arial" w:cs="Arial" w:eastAsia="Arial" w:hAnsi="Arial"/>
                <w:sz w:val="16"/>
                <w:szCs w:val="16"/>
                <w:color w:val="auto"/>
              </w:rPr>
              <w:t>Reclassification of net realized (gains) losses on settled/amortized interest rate</w:t>
            </w:r>
          </w:p>
        </w:tc>
        <w:tc>
          <w:tcPr>
            <w:tcW w:w="140" w:type="dxa"/>
            <w:vAlign w:val="bottom"/>
            <w:shd w:val="clear" w:color="auto" w:fill="CEFFE7"/>
          </w:tcPr>
          <w:p>
            <w:pPr>
              <w:spacing w:after="0"/>
              <w:rPr>
                <w:sz w:val="15"/>
                <w:szCs w:val="15"/>
                <w:color w:val="auto"/>
              </w:rPr>
            </w:pPr>
          </w:p>
        </w:tc>
        <w:tc>
          <w:tcPr>
            <w:tcW w:w="15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EFFE7"/>
          </w:tcPr>
          <w:p>
            <w:pPr>
              <w:ind w:left="340"/>
              <w:spacing w:after="0"/>
              <w:rPr>
                <w:sz w:val="20"/>
                <w:szCs w:val="20"/>
                <w:color w:val="auto"/>
              </w:rPr>
            </w:pPr>
            <w:r>
              <w:rPr>
                <w:rFonts w:ascii="Arial" w:cs="Arial" w:eastAsia="Arial" w:hAnsi="Arial"/>
                <w:sz w:val="16"/>
                <w:szCs w:val="16"/>
                <w:color w:val="auto"/>
              </w:rPr>
              <w:t>swaps (net of tax of $(287), $(666) and $(599), respectively)</w:t>
            </w:r>
          </w:p>
        </w:tc>
        <w:tc>
          <w:tcPr>
            <w:tcW w:w="140" w:type="dxa"/>
            <w:vAlign w:val="bottom"/>
            <w:shd w:val="clear" w:color="auto" w:fill="CEFFE7"/>
          </w:tcPr>
          <w:p>
            <w:pPr>
              <w:spacing w:after="0"/>
              <w:rPr>
                <w:sz w:val="17"/>
                <w:szCs w:val="17"/>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2,564</w:t>
            </w:r>
          </w:p>
        </w:tc>
        <w:tc>
          <w:tcPr>
            <w:tcW w:w="14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2,185</w:t>
            </w:r>
          </w:p>
        </w:tc>
        <w:tc>
          <w:tcPr>
            <w:tcW w:w="120" w:type="dxa"/>
            <w:vAlign w:val="bottom"/>
            <w:shd w:val="clear" w:color="auto" w:fill="CEFFE7"/>
          </w:tcPr>
          <w:p>
            <w:pPr>
              <w:spacing w:after="0"/>
              <w:rPr>
                <w:sz w:val="17"/>
                <w:szCs w:val="17"/>
                <w:color w:val="auto"/>
              </w:rPr>
            </w:pPr>
          </w:p>
        </w:tc>
        <w:tc>
          <w:tcPr>
            <w:tcW w:w="16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2,252</w:t>
            </w:r>
          </w:p>
        </w:tc>
      </w:tr>
      <w:tr>
        <w:trPr>
          <w:trHeight w:val="177"/>
        </w:trPr>
        <w:tc>
          <w:tcPr>
            <w:tcW w:w="20" w:type="dxa"/>
            <w:vAlign w:val="bottom"/>
          </w:tcPr>
          <w:p>
            <w:pPr>
              <w:spacing w:after="0"/>
              <w:rPr>
                <w:sz w:val="15"/>
                <w:szCs w:val="15"/>
                <w:color w:val="auto"/>
              </w:rPr>
            </w:pPr>
          </w:p>
        </w:tc>
        <w:tc>
          <w:tcPr>
            <w:tcW w:w="6020" w:type="dxa"/>
            <w:vAlign w:val="bottom"/>
          </w:tcPr>
          <w:p>
            <w:pPr>
              <w:ind w:left="340"/>
              <w:spacing w:after="0" w:line="178" w:lineRule="exact"/>
              <w:rPr>
                <w:sz w:val="20"/>
                <w:szCs w:val="20"/>
                <w:color w:val="auto"/>
              </w:rPr>
            </w:pPr>
            <w:r>
              <w:rPr>
                <w:rFonts w:ascii="Arial" w:cs="Arial" w:eastAsia="Arial" w:hAnsi="Arial"/>
                <w:sz w:val="16"/>
                <w:szCs w:val="16"/>
                <w:color w:val="auto"/>
              </w:rPr>
              <w:t>Net unrealized gains (losses) on commodity derivatives (net of tax of $14,</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$126 and $(228), respectively)</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755</w:t>
            </w:r>
          </w:p>
        </w:tc>
      </w:tr>
      <w:tr>
        <w:trPr>
          <w:trHeight w:val="180"/>
        </w:trPr>
        <w:tc>
          <w:tcPr>
            <w:tcW w:w="20" w:type="dxa"/>
            <w:vAlign w:val="bottom"/>
          </w:tcPr>
          <w:p>
            <w:pPr>
              <w:spacing w:after="0"/>
              <w:rPr>
                <w:sz w:val="15"/>
                <w:szCs w:val="15"/>
                <w:color w:val="auto"/>
              </w:rPr>
            </w:pPr>
          </w:p>
        </w:tc>
        <w:tc>
          <w:tcPr>
            <w:tcW w:w="6020" w:type="dxa"/>
            <w:vAlign w:val="bottom"/>
            <w:shd w:val="clear" w:color="auto" w:fill="CEFFE7"/>
          </w:tcPr>
          <w:p>
            <w:pPr>
              <w:ind w:left="340"/>
              <w:spacing w:after="0" w:line="181" w:lineRule="exact"/>
              <w:rPr>
                <w:sz w:val="20"/>
                <w:szCs w:val="20"/>
                <w:color w:val="auto"/>
              </w:rPr>
            </w:pPr>
            <w:r>
              <w:rPr>
                <w:rFonts w:ascii="Arial" w:cs="Arial" w:eastAsia="Arial" w:hAnsi="Arial"/>
                <w:sz w:val="16"/>
                <w:szCs w:val="16"/>
                <w:color w:val="auto"/>
              </w:rPr>
              <w:t>Reclassification of net realized (gains) losses on settled commodity derivatives</w:t>
            </w:r>
          </w:p>
        </w:tc>
        <w:tc>
          <w:tcPr>
            <w:tcW w:w="140" w:type="dxa"/>
            <w:vAlign w:val="bottom"/>
            <w:shd w:val="clear" w:color="auto" w:fill="CEFFE7"/>
          </w:tcPr>
          <w:p>
            <w:pPr>
              <w:spacing w:after="0"/>
              <w:rPr>
                <w:sz w:val="15"/>
                <w:szCs w:val="15"/>
                <w:color w:val="auto"/>
              </w:rPr>
            </w:pPr>
          </w:p>
        </w:tc>
        <w:tc>
          <w:tcPr>
            <w:tcW w:w="15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600" w:type="dxa"/>
            <w:vAlign w:val="bottom"/>
            <w:shd w:val="clear" w:color="auto" w:fill="CEFFE7"/>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20" w:type="dxa"/>
            <w:vAlign w:val="bottom"/>
            <w:shd w:val="clear" w:color="auto" w:fill="CEFFE7"/>
          </w:tcPr>
          <w:p>
            <w:pPr>
              <w:ind w:left="340"/>
              <w:spacing w:after="0"/>
              <w:rPr>
                <w:sz w:val="20"/>
                <w:szCs w:val="20"/>
                <w:color w:val="auto"/>
              </w:rPr>
            </w:pPr>
            <w:r>
              <w:rPr>
                <w:rFonts w:ascii="Arial" w:cs="Arial" w:eastAsia="Arial" w:hAnsi="Arial"/>
                <w:sz w:val="16"/>
                <w:szCs w:val="16"/>
                <w:color w:val="auto"/>
              </w:rPr>
              <w:t>(net of tax of $(96), $55 and $(31), respectively)</w:t>
            </w:r>
          </w:p>
        </w:tc>
        <w:tc>
          <w:tcPr>
            <w:tcW w:w="140" w:type="dxa"/>
            <w:vAlign w:val="bottom"/>
            <w:tcBorders>
              <w:bottom w:val="single" w:sz="8" w:color="auto"/>
            </w:tcBorders>
            <w:shd w:val="clear" w:color="auto" w:fill="CEFFE7"/>
          </w:tcPr>
          <w:p>
            <w:pPr>
              <w:spacing w:after="0"/>
              <w:rPr>
                <w:sz w:val="17"/>
                <w:szCs w:val="17"/>
                <w:color w:val="auto"/>
              </w:rPr>
            </w:pP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505</w:t>
            </w:r>
          </w:p>
        </w:tc>
        <w:tc>
          <w:tcPr>
            <w:tcW w:w="140" w:type="dxa"/>
            <w:vAlign w:val="bottom"/>
            <w:tcBorders>
              <w:bottom w:val="single" w:sz="8" w:color="auto"/>
            </w:tcBorders>
            <w:shd w:val="clear" w:color="auto" w:fill="CEFFE7"/>
          </w:tcPr>
          <w:p>
            <w:pPr>
              <w:spacing w:after="0"/>
              <w:rPr>
                <w:sz w:val="17"/>
                <w:szCs w:val="17"/>
                <w:color w:val="auto"/>
              </w:rPr>
            </w:pP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auto"/>
            </w:tcBorders>
            <w:shd w:val="clear" w:color="auto" w:fill="CEFFE7"/>
          </w:tcPr>
          <w:p>
            <w:pPr>
              <w:spacing w:after="0"/>
              <w:rPr>
                <w:sz w:val="17"/>
                <w:szCs w:val="17"/>
                <w:color w:val="auto"/>
              </w:rPr>
            </w:pP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99</w:t>
            </w: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3,309</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7,027</w:t>
            </w:r>
          </w:p>
        </w:tc>
      </w:tr>
      <w:tr>
        <w:trPr>
          <w:trHeight w:val="253"/>
        </w:trPr>
        <w:tc>
          <w:tcPr>
            <w:tcW w:w="20" w:type="dxa"/>
            <w:vAlign w:val="bottom"/>
          </w:tcPr>
          <w:p>
            <w:pPr>
              <w:spacing w:after="0"/>
              <w:rPr>
                <w:sz w:val="22"/>
                <w:szCs w:val="22"/>
                <w:color w:val="auto"/>
              </w:rPr>
            </w:pPr>
          </w:p>
        </w:tc>
        <w:tc>
          <w:tcPr>
            <w:tcW w:w="6020" w:type="dxa"/>
            <w:vAlign w:val="bottom"/>
            <w:shd w:val="clear" w:color="auto" w:fill="CEFFE7"/>
          </w:tcPr>
          <w:p>
            <w:pPr>
              <w:spacing w:after="0"/>
              <w:rPr>
                <w:sz w:val="22"/>
                <w:szCs w:val="22"/>
                <w:color w:val="auto"/>
              </w:rPr>
            </w:pPr>
          </w:p>
        </w:tc>
        <w:tc>
          <w:tcPr>
            <w:tcW w:w="140" w:type="dxa"/>
            <w:vAlign w:val="bottom"/>
            <w:shd w:val="clear" w:color="auto" w:fill="CEFFE7"/>
          </w:tcPr>
          <w:p>
            <w:pPr>
              <w:spacing w:after="0"/>
              <w:rPr>
                <w:sz w:val="22"/>
                <w:szCs w:val="22"/>
                <w:color w:val="auto"/>
              </w:rPr>
            </w:pPr>
          </w:p>
        </w:tc>
        <w:tc>
          <w:tcPr>
            <w:tcW w:w="1580" w:type="dxa"/>
            <w:vAlign w:val="bottom"/>
            <w:shd w:val="clear" w:color="auto" w:fill="CEFFE7"/>
          </w:tcPr>
          <w:p>
            <w:pPr>
              <w:spacing w:after="0"/>
              <w:rPr>
                <w:sz w:val="22"/>
                <w:szCs w:val="22"/>
                <w:color w:val="auto"/>
              </w:rPr>
            </w:pPr>
          </w:p>
        </w:tc>
        <w:tc>
          <w:tcPr>
            <w:tcW w:w="140" w:type="dxa"/>
            <w:vAlign w:val="bottom"/>
            <w:shd w:val="clear" w:color="auto" w:fill="CEFFE7"/>
          </w:tcPr>
          <w:p>
            <w:pPr>
              <w:spacing w:after="0"/>
              <w:rPr>
                <w:sz w:val="22"/>
                <w:szCs w:val="22"/>
                <w:color w:val="auto"/>
              </w:rPr>
            </w:pPr>
          </w:p>
        </w:tc>
        <w:tc>
          <w:tcPr>
            <w:tcW w:w="1600" w:type="dxa"/>
            <w:vAlign w:val="bottom"/>
            <w:shd w:val="clear" w:color="auto" w:fill="CEFFE7"/>
          </w:tcPr>
          <w:p>
            <w:pPr>
              <w:spacing w:after="0"/>
              <w:rPr>
                <w:sz w:val="22"/>
                <w:szCs w:val="22"/>
                <w:color w:val="auto"/>
              </w:rPr>
            </w:pPr>
          </w:p>
        </w:tc>
        <w:tc>
          <w:tcPr>
            <w:tcW w:w="120" w:type="dxa"/>
            <w:vAlign w:val="bottom"/>
            <w:shd w:val="clear" w:color="auto" w:fill="CEFFE7"/>
          </w:tcPr>
          <w:p>
            <w:pPr>
              <w:spacing w:after="0"/>
              <w:rPr>
                <w:sz w:val="22"/>
                <w:szCs w:val="22"/>
                <w:color w:val="auto"/>
              </w:rPr>
            </w:pPr>
          </w:p>
        </w:tc>
        <w:tc>
          <w:tcPr>
            <w:tcW w:w="1600" w:type="dxa"/>
            <w:vAlign w:val="bottom"/>
            <w:shd w:val="clear" w:color="auto" w:fill="CEFFE7"/>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246,072</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209,583</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279,689</w:t>
            </w:r>
          </w:p>
        </w:tc>
      </w:tr>
      <w:tr>
        <w:trPr>
          <w:trHeight w:val="216"/>
        </w:trPr>
        <w:tc>
          <w:tcPr>
            <w:tcW w:w="20" w:type="dxa"/>
            <w:vAlign w:val="bottom"/>
          </w:tcPr>
          <w:p>
            <w:pPr>
              <w:spacing w:after="0"/>
              <w:rPr>
                <w:sz w:val="18"/>
                <w:szCs w:val="18"/>
                <w:color w:val="auto"/>
              </w:rPr>
            </w:pPr>
          </w:p>
        </w:tc>
        <w:tc>
          <w:tcPr>
            <w:tcW w:w="6020" w:type="dxa"/>
            <w:vAlign w:val="bottom"/>
            <w:shd w:val="clear" w:color="auto" w:fill="CEFFE7"/>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40" w:type="dxa"/>
            <w:vAlign w:val="bottom"/>
            <w:tcBorders>
              <w:bottom w:val="single" w:sz="8" w:color="auto"/>
            </w:tcBorders>
            <w:shd w:val="clear" w:color="auto" w:fill="CEFFE7"/>
          </w:tcPr>
          <w:p>
            <w:pPr>
              <w:spacing w:after="0"/>
              <w:rPr>
                <w:sz w:val="18"/>
                <w:szCs w:val="18"/>
                <w:color w:val="auto"/>
              </w:rPr>
            </w:pP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(15,155)</w:t>
            </w:r>
          </w:p>
        </w:tc>
        <w:tc>
          <w:tcPr>
            <w:tcW w:w="140" w:type="dxa"/>
            <w:vAlign w:val="bottom"/>
            <w:tcBorders>
              <w:bottom w:val="single" w:sz="8" w:color="auto"/>
            </w:tcBorders>
            <w:shd w:val="clear" w:color="auto" w:fill="CEFFE7"/>
          </w:tcPr>
          <w:p>
            <w:pPr>
              <w:spacing w:after="0"/>
              <w:rPr>
                <w:sz w:val="18"/>
                <w:szCs w:val="18"/>
                <w:color w:val="auto"/>
              </w:rPr>
            </w:pP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(14,012)</w:t>
            </w:r>
          </w:p>
        </w:tc>
        <w:tc>
          <w:tcPr>
            <w:tcW w:w="120" w:type="dxa"/>
            <w:vAlign w:val="bottom"/>
            <w:tcBorders>
              <w:bottom w:val="single" w:sz="8" w:color="auto"/>
            </w:tcBorders>
            <w:shd w:val="clear" w:color="auto" w:fill="CEFFE7"/>
          </w:tcPr>
          <w:p>
            <w:pPr>
              <w:spacing w:after="0"/>
              <w:rPr>
                <w:sz w:val="18"/>
                <w:szCs w:val="18"/>
                <w:color w:val="auto"/>
              </w:rPr>
            </w:pPr>
          </w:p>
        </w:tc>
        <w:tc>
          <w:tcPr>
            <w:tcW w:w="1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(14,220)</w:t>
            </w:r>
          </w:p>
        </w:tc>
      </w:tr>
      <w:tr>
        <w:trPr>
          <w:trHeight w:val="213"/>
        </w:trPr>
        <w:tc>
          <w:tcPr>
            <w:tcW w:w="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265,469</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See </w:t>
      </w:r>
      <w:hyperlink w:anchor="page105">
        <w:r>
          <w:rPr>
            <w:rFonts w:ascii="Arial" w:cs="Arial" w:eastAsia="Arial" w:hAnsi="Arial"/>
            <w:sz w:val="14"/>
            <w:szCs w:val="14"/>
            <w:u w:val="single" w:color="auto"/>
            <w:color w:val="0000FF"/>
          </w:rPr>
          <w:t>Note 13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additional disclosures related to Comprehensive Income.</w:t>
      </w:r>
    </w:p>
    <w:p>
      <w:pPr>
        <w:spacing w:after="0" w:line="244"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71">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5"/>
        </w:trPr>
        <w:tc>
          <w:tcPr>
            <w:tcW w:w="3420" w:type="dxa"/>
            <w:vAlign w:val="bottom"/>
            <w:gridSpan w:val="2"/>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622"/>
        </w:trPr>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2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BLACK HILLS CORPORATION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2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CONSOLIDATED BALANCE SHEETS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4"/>
        </w:trPr>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6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December 31, 2020</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December 31, 2019</w:t>
            </w:r>
          </w:p>
        </w:tc>
      </w:tr>
      <w:tr>
        <w:trPr>
          <w:trHeight w:val="207"/>
        </w:trPr>
        <w:tc>
          <w:tcPr>
            <w:tcW w:w="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
          </w:tcPr>
          <w:p>
            <w:pPr>
              <w:jc w:val="right"/>
              <w:ind w:right="1279"/>
              <w:spacing w:after="0"/>
              <w:rPr>
                <w:sz w:val="20"/>
                <w:szCs w:val="20"/>
                <w:color w:val="auto"/>
              </w:rPr>
            </w:pPr>
            <w:r>
              <w:rPr>
                <w:rFonts w:ascii="Arial" w:cs="Arial" w:eastAsia="Arial" w:hAnsi="Arial"/>
                <w:sz w:val="16"/>
                <w:szCs w:val="16"/>
                <w:color w:val="auto"/>
              </w:rPr>
              <w:t>(in thousands)</w:t>
            </w:r>
          </w:p>
        </w:tc>
      </w:tr>
      <w:tr>
        <w:trPr>
          <w:trHeight w:val="219"/>
        </w:trPr>
        <w:tc>
          <w:tcPr>
            <w:tcW w:w="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220" w:type="dxa"/>
            <w:vAlign w:val="bottom"/>
            <w:gridSpan w:val="2"/>
          </w:tcPr>
          <w:p>
            <w:pPr>
              <w:jc w:val="right"/>
              <w:ind w:right="3560"/>
              <w:spacing w:after="0"/>
              <w:rPr>
                <w:sz w:val="20"/>
                <w:szCs w:val="20"/>
                <w:color w:val="auto"/>
              </w:rPr>
            </w:pPr>
            <w:r>
              <w:rPr>
                <w:rFonts w:ascii="Arial" w:cs="Arial" w:eastAsia="Arial" w:hAnsi="Arial"/>
                <w:sz w:val="16"/>
                <w:szCs w:val="16"/>
                <w:b w:val="1"/>
                <w:bCs w:val="1"/>
                <w:color w:val="auto"/>
                <w:w w:val="99"/>
              </w:rPr>
              <w:t>ASSETS</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380" w:type="dxa"/>
            <w:vAlign w:val="bottom"/>
            <w:shd w:val="clear" w:color="auto" w:fill="CEFFE7"/>
          </w:tcPr>
          <w:p>
            <w:pPr>
              <w:spacing w:after="0"/>
              <w:rPr>
                <w:sz w:val="20"/>
                <w:szCs w:val="20"/>
                <w:color w:val="auto"/>
              </w:rPr>
            </w:pPr>
            <w:r>
              <w:rPr>
                <w:rFonts w:ascii="Arial" w:cs="Arial" w:eastAsia="Arial" w:hAnsi="Arial"/>
                <w:sz w:val="16"/>
                <w:szCs w:val="16"/>
                <w:color w:val="auto"/>
              </w:rPr>
              <w:t>Current assets:</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4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6,356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9,777</w:t>
            </w:r>
          </w:p>
        </w:tc>
      </w:tr>
      <w:tr>
        <w:trPr>
          <w:trHeight w:val="219"/>
        </w:trPr>
        <w:tc>
          <w:tcPr>
            <w:tcW w:w="40" w:type="dxa"/>
            <w:vAlign w:val="bottom"/>
          </w:tcPr>
          <w:p>
            <w:pPr>
              <w:spacing w:after="0"/>
              <w:rPr>
                <w:sz w:val="19"/>
                <w:szCs w:val="19"/>
                <w:color w:val="auto"/>
              </w:rPr>
            </w:pPr>
          </w:p>
        </w:tc>
        <w:tc>
          <w:tcPr>
            <w:tcW w:w="33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Restricted cash and equivalents</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4,383</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3,881</w:t>
            </w:r>
          </w:p>
        </w:tc>
      </w:tr>
      <w:tr>
        <w:trPr>
          <w:trHeight w:val="213"/>
        </w:trPr>
        <w:tc>
          <w:tcPr>
            <w:tcW w:w="4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265,961</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255,805</w:t>
            </w:r>
          </w:p>
        </w:tc>
      </w:tr>
      <w:tr>
        <w:trPr>
          <w:trHeight w:val="219"/>
        </w:trPr>
        <w:tc>
          <w:tcPr>
            <w:tcW w:w="40" w:type="dxa"/>
            <w:vAlign w:val="bottom"/>
          </w:tcPr>
          <w:p>
            <w:pPr>
              <w:spacing w:after="0"/>
              <w:rPr>
                <w:sz w:val="19"/>
                <w:szCs w:val="19"/>
                <w:color w:val="auto"/>
              </w:rPr>
            </w:pPr>
          </w:p>
        </w:tc>
        <w:tc>
          <w:tcPr>
            <w:tcW w:w="33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Materials, supplies and fuel</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117,400</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117,172</w:t>
            </w:r>
          </w:p>
        </w:tc>
      </w:tr>
      <w:tr>
        <w:trPr>
          <w:trHeight w:val="213"/>
        </w:trPr>
        <w:tc>
          <w:tcPr>
            <w:tcW w:w="4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Derivative assets, current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1,848</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9"/>
        </w:trPr>
        <w:tc>
          <w:tcPr>
            <w:tcW w:w="40" w:type="dxa"/>
            <w:vAlign w:val="bottom"/>
          </w:tcPr>
          <w:p>
            <w:pPr>
              <w:spacing w:after="0"/>
              <w:rPr>
                <w:sz w:val="19"/>
                <w:szCs w:val="19"/>
                <w:color w:val="auto"/>
              </w:rPr>
            </w:pPr>
          </w:p>
        </w:tc>
        <w:tc>
          <w:tcPr>
            <w:tcW w:w="33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Income tax receivable, net</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19,446</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16,446</w:t>
            </w:r>
          </w:p>
        </w:tc>
      </w:tr>
      <w:tr>
        <w:trPr>
          <w:trHeight w:val="213"/>
        </w:trPr>
        <w:tc>
          <w:tcPr>
            <w:tcW w:w="4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Regulatory assets, current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51,676</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43,282</w:t>
            </w:r>
          </w:p>
        </w:tc>
      </w:tr>
      <w:tr>
        <w:trPr>
          <w:trHeight w:val="216"/>
        </w:trPr>
        <w:tc>
          <w:tcPr>
            <w:tcW w:w="40" w:type="dxa"/>
            <w:vAlign w:val="bottom"/>
          </w:tcPr>
          <w:p>
            <w:pPr>
              <w:spacing w:after="0"/>
              <w:rPr>
                <w:sz w:val="18"/>
                <w:szCs w:val="18"/>
                <w:color w:val="auto"/>
              </w:rPr>
            </w:pPr>
          </w:p>
        </w:tc>
        <w:tc>
          <w:tcPr>
            <w:tcW w:w="33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Other current assets</w:t>
            </w:r>
          </w:p>
        </w:tc>
        <w:tc>
          <w:tcPr>
            <w:tcW w:w="406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26,221</w:t>
            </w:r>
          </w:p>
        </w:tc>
        <w:tc>
          <w:tcPr>
            <w:tcW w:w="20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26,479</w:t>
            </w:r>
          </w:p>
        </w:tc>
      </w:tr>
      <w:tr>
        <w:trPr>
          <w:trHeight w:val="209"/>
        </w:trPr>
        <w:tc>
          <w:tcPr>
            <w:tcW w:w="40" w:type="dxa"/>
            <w:vAlign w:val="bottom"/>
          </w:tcPr>
          <w:p>
            <w:pPr>
              <w:spacing w:after="0"/>
              <w:rPr>
                <w:sz w:val="18"/>
                <w:szCs w:val="18"/>
                <w:color w:val="auto"/>
              </w:rPr>
            </w:pPr>
          </w:p>
        </w:tc>
        <w:tc>
          <w:tcPr>
            <w:tcW w:w="3380" w:type="dxa"/>
            <w:vAlign w:val="bottom"/>
            <w:tcBorders>
              <w:bottom w:val="single" w:sz="8" w:color="CEFFE7"/>
            </w:tcBorders>
          </w:tcPr>
          <w:p>
            <w:pPr>
              <w:ind w:left="460"/>
              <w:spacing w:after="0"/>
              <w:rPr>
                <w:sz w:val="20"/>
                <w:szCs w:val="20"/>
                <w:color w:val="auto"/>
              </w:rPr>
            </w:pPr>
            <w:r>
              <w:rPr>
                <w:rFonts w:ascii="Arial" w:cs="Arial" w:eastAsia="Arial" w:hAnsi="Arial"/>
                <w:sz w:val="16"/>
                <w:szCs w:val="16"/>
                <w:color w:val="auto"/>
              </w:rPr>
              <w:t>Total current assets</w:t>
            </w:r>
          </w:p>
        </w:tc>
        <w:tc>
          <w:tcPr>
            <w:tcW w:w="406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493,291</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473,184</w:t>
            </w:r>
          </w:p>
        </w:tc>
      </w:tr>
      <w:tr>
        <w:trPr>
          <w:trHeight w:val="239"/>
        </w:trPr>
        <w:tc>
          <w:tcPr>
            <w:tcW w:w="40" w:type="dxa"/>
            <w:vAlign w:val="bottom"/>
          </w:tcPr>
          <w:p>
            <w:pPr>
              <w:spacing w:after="0"/>
              <w:rPr>
                <w:sz w:val="20"/>
                <w:szCs w:val="20"/>
                <w:color w:val="auto"/>
              </w:rPr>
            </w:pPr>
          </w:p>
        </w:tc>
        <w:tc>
          <w:tcPr>
            <w:tcW w:w="3380" w:type="dxa"/>
            <w:vAlign w:val="bottom"/>
            <w:shd w:val="clear" w:color="auto" w:fill="CEFFE7"/>
          </w:tcPr>
          <w:p>
            <w:pPr>
              <w:spacing w:after="0"/>
              <w:rPr>
                <w:sz w:val="20"/>
                <w:szCs w:val="20"/>
                <w:color w:val="auto"/>
              </w:rPr>
            </w:pPr>
          </w:p>
        </w:tc>
        <w:tc>
          <w:tcPr>
            <w:tcW w:w="406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70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1680" w:type="dxa"/>
            <w:vAlign w:val="bottom"/>
            <w:shd w:val="clear" w:color="auto" w:fill="CEFFE7"/>
          </w:tcPr>
          <w:p>
            <w:pPr>
              <w:spacing w:after="0"/>
              <w:rPr>
                <w:sz w:val="20"/>
                <w:szCs w:val="20"/>
                <w:color w:val="auto"/>
              </w:rPr>
            </w:pPr>
          </w:p>
        </w:tc>
      </w:tr>
      <w:tr>
        <w:trPr>
          <w:trHeight w:val="213"/>
        </w:trPr>
        <w:tc>
          <w:tcPr>
            <w:tcW w:w="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7,305,530</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6,784,679</w:t>
            </w:r>
          </w:p>
        </w:tc>
      </w:tr>
      <w:tr>
        <w:trPr>
          <w:trHeight w:val="216"/>
        </w:trPr>
        <w:tc>
          <w:tcPr>
            <w:tcW w:w="40" w:type="dxa"/>
            <w:vAlign w:val="bottom"/>
          </w:tcPr>
          <w:p>
            <w:pPr>
              <w:spacing w:after="0"/>
              <w:rPr>
                <w:sz w:val="18"/>
                <w:szCs w:val="18"/>
                <w:color w:val="auto"/>
              </w:rPr>
            </w:pPr>
          </w:p>
        </w:tc>
        <w:tc>
          <w:tcPr>
            <w:tcW w:w="33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Less accumulated depreciation and depletion</w:t>
            </w:r>
          </w:p>
        </w:tc>
        <w:tc>
          <w:tcPr>
            <w:tcW w:w="406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(1,285,816)</w:t>
            </w:r>
          </w:p>
        </w:tc>
        <w:tc>
          <w:tcPr>
            <w:tcW w:w="20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(1,281,493)</w:t>
            </w:r>
          </w:p>
        </w:tc>
      </w:tr>
      <w:tr>
        <w:trPr>
          <w:trHeight w:val="210"/>
        </w:trPr>
        <w:tc>
          <w:tcPr>
            <w:tcW w:w="40" w:type="dxa"/>
            <w:vAlign w:val="bottom"/>
          </w:tcPr>
          <w:p>
            <w:pPr>
              <w:spacing w:after="0"/>
              <w:rPr>
                <w:sz w:val="18"/>
                <w:szCs w:val="18"/>
                <w:color w:val="auto"/>
              </w:rPr>
            </w:pPr>
          </w:p>
        </w:tc>
        <w:tc>
          <w:tcPr>
            <w:tcW w:w="3380" w:type="dxa"/>
            <w:vAlign w:val="bottom"/>
            <w:tcBorders>
              <w:bottom w:val="single" w:sz="8" w:color="CEFFE7"/>
            </w:tcBorders>
          </w:tcPr>
          <w:p>
            <w:pPr>
              <w:ind w:left="460"/>
              <w:spacing w:after="0"/>
              <w:rPr>
                <w:sz w:val="20"/>
                <w:szCs w:val="20"/>
                <w:color w:val="auto"/>
              </w:rPr>
            </w:pPr>
            <w:r>
              <w:rPr>
                <w:rFonts w:ascii="Arial" w:cs="Arial" w:eastAsia="Arial" w:hAnsi="Arial"/>
                <w:sz w:val="16"/>
                <w:szCs w:val="16"/>
                <w:color w:val="auto"/>
              </w:rPr>
              <w:t>Total property, plant and equipment, net</w:t>
            </w:r>
          </w:p>
        </w:tc>
        <w:tc>
          <w:tcPr>
            <w:tcW w:w="406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6,019,714</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5,503,186</w:t>
            </w:r>
          </w:p>
        </w:tc>
      </w:tr>
      <w:tr>
        <w:trPr>
          <w:trHeight w:val="239"/>
        </w:trPr>
        <w:tc>
          <w:tcPr>
            <w:tcW w:w="40" w:type="dxa"/>
            <w:vAlign w:val="bottom"/>
          </w:tcPr>
          <w:p>
            <w:pPr>
              <w:spacing w:after="0"/>
              <w:rPr>
                <w:sz w:val="20"/>
                <w:szCs w:val="20"/>
                <w:color w:val="auto"/>
              </w:rPr>
            </w:pPr>
          </w:p>
        </w:tc>
        <w:tc>
          <w:tcPr>
            <w:tcW w:w="3380" w:type="dxa"/>
            <w:vAlign w:val="bottom"/>
            <w:shd w:val="clear" w:color="auto" w:fill="CEFFE7"/>
          </w:tcPr>
          <w:p>
            <w:pPr>
              <w:spacing w:after="0"/>
              <w:rPr>
                <w:sz w:val="20"/>
                <w:szCs w:val="20"/>
                <w:color w:val="auto"/>
              </w:rPr>
            </w:pPr>
          </w:p>
        </w:tc>
        <w:tc>
          <w:tcPr>
            <w:tcW w:w="406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70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1680" w:type="dxa"/>
            <w:vAlign w:val="bottom"/>
            <w:shd w:val="clear" w:color="auto" w:fill="CEFFE7"/>
          </w:tcPr>
          <w:p>
            <w:pPr>
              <w:spacing w:after="0"/>
              <w:rPr>
                <w:sz w:val="20"/>
                <w:szCs w:val="20"/>
                <w:color w:val="auto"/>
              </w:rPr>
            </w:pPr>
          </w:p>
        </w:tc>
      </w:tr>
      <w:tr>
        <w:trPr>
          <w:trHeight w:val="213"/>
        </w:trPr>
        <w:tc>
          <w:tcPr>
            <w:tcW w:w="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Other assets: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33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Goodwill</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1,299,454</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1,299,454</w:t>
            </w:r>
          </w:p>
        </w:tc>
      </w:tr>
      <w:tr>
        <w:trPr>
          <w:trHeight w:val="213"/>
        </w:trPr>
        <w:tc>
          <w:tcPr>
            <w:tcW w:w="4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11,944</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13,266</w:t>
            </w:r>
          </w:p>
        </w:tc>
      </w:tr>
      <w:tr>
        <w:trPr>
          <w:trHeight w:val="219"/>
        </w:trPr>
        <w:tc>
          <w:tcPr>
            <w:tcW w:w="40" w:type="dxa"/>
            <w:vAlign w:val="bottom"/>
          </w:tcPr>
          <w:p>
            <w:pPr>
              <w:spacing w:after="0"/>
              <w:rPr>
                <w:sz w:val="19"/>
                <w:szCs w:val="19"/>
                <w:color w:val="auto"/>
              </w:rPr>
            </w:pPr>
          </w:p>
        </w:tc>
        <w:tc>
          <w:tcPr>
            <w:tcW w:w="33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Regulatory assets, non-current</w:t>
            </w:r>
          </w:p>
        </w:tc>
        <w:tc>
          <w:tcPr>
            <w:tcW w:w="4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226,582</w:t>
            </w:r>
          </w:p>
        </w:tc>
        <w:tc>
          <w:tcPr>
            <w:tcW w:w="20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228,062</w:t>
            </w:r>
          </w:p>
        </w:tc>
      </w:tr>
      <w:tr>
        <w:trPr>
          <w:trHeight w:val="213"/>
        </w:trPr>
        <w:tc>
          <w:tcPr>
            <w:tcW w:w="40" w:type="dxa"/>
            <w:vAlign w:val="bottom"/>
          </w:tcPr>
          <w:p>
            <w:pPr>
              <w:spacing w:after="0"/>
              <w:rPr>
                <w:sz w:val="18"/>
                <w:szCs w:val="18"/>
                <w:color w:val="auto"/>
              </w:rPr>
            </w:pPr>
          </w:p>
        </w:tc>
        <w:tc>
          <w:tcPr>
            <w:tcW w:w="33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Other assets, non-current</w:t>
            </w:r>
          </w:p>
        </w:tc>
        <w:tc>
          <w:tcPr>
            <w:tcW w:w="406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37,801</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41,305</w:t>
            </w:r>
          </w:p>
        </w:tc>
      </w:tr>
      <w:tr>
        <w:trPr>
          <w:trHeight w:val="209"/>
        </w:trPr>
        <w:tc>
          <w:tcPr>
            <w:tcW w:w="40" w:type="dxa"/>
            <w:vAlign w:val="bottom"/>
          </w:tcPr>
          <w:p>
            <w:pPr>
              <w:spacing w:after="0"/>
              <w:rPr>
                <w:sz w:val="18"/>
                <w:szCs w:val="18"/>
                <w:color w:val="auto"/>
              </w:rPr>
            </w:pPr>
          </w:p>
        </w:tc>
        <w:tc>
          <w:tcPr>
            <w:tcW w:w="3380" w:type="dxa"/>
            <w:vAlign w:val="bottom"/>
            <w:shd w:val="clear" w:color="auto" w:fill="CEFFE7"/>
          </w:tcPr>
          <w:p>
            <w:pPr>
              <w:ind w:left="460"/>
              <w:spacing w:after="0"/>
              <w:rPr>
                <w:sz w:val="20"/>
                <w:szCs w:val="20"/>
                <w:color w:val="auto"/>
              </w:rPr>
            </w:pPr>
            <w:r>
              <w:rPr>
                <w:rFonts w:ascii="Arial" w:cs="Arial" w:eastAsia="Arial" w:hAnsi="Arial"/>
                <w:sz w:val="16"/>
                <w:szCs w:val="16"/>
                <w:color w:val="auto"/>
              </w:rPr>
              <w:t>Total other assets, non-current</w:t>
            </w:r>
          </w:p>
        </w:tc>
        <w:tc>
          <w:tcPr>
            <w:tcW w:w="406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1,575,781</w:t>
            </w:r>
          </w:p>
        </w:tc>
        <w:tc>
          <w:tcPr>
            <w:tcW w:w="20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1,582,087</w:t>
            </w:r>
          </w:p>
        </w:tc>
      </w:tr>
      <w:tr>
        <w:trPr>
          <w:trHeight w:val="213"/>
        </w:trPr>
        <w:tc>
          <w:tcPr>
            <w:tcW w:w="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TOTAL ASSETS</w:t>
            </w:r>
          </w:p>
        </w:tc>
        <w:tc>
          <w:tcPr>
            <w:tcW w:w="4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8,088,786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7,558,457</w:t>
            </w: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71">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622"/>
        </w:trPr>
        <w:tc>
          <w:tcPr>
            <w:tcW w:w="7480" w:type="dxa"/>
            <w:vAlign w:val="bottom"/>
          </w:tcPr>
          <w:p>
            <w:pPr>
              <w:jc w:val="center"/>
              <w:ind w:left="3679"/>
              <w:spacing w:after="0"/>
              <w:rPr>
                <w:sz w:val="20"/>
                <w:szCs w:val="20"/>
                <w:color w:val="auto"/>
              </w:rPr>
            </w:pPr>
            <w:r>
              <w:rPr>
                <w:rFonts w:ascii="Arial" w:cs="Arial" w:eastAsia="Arial" w:hAnsi="Arial"/>
                <w:sz w:val="16"/>
                <w:szCs w:val="16"/>
                <w:b w:val="1"/>
                <w:bCs w:val="1"/>
                <w:color w:val="auto"/>
              </w:rPr>
              <w:t>BLACK HILLS CORPORATION</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9"/>
        </w:trPr>
        <w:tc>
          <w:tcPr>
            <w:tcW w:w="7480" w:type="dxa"/>
            <w:vAlign w:val="bottom"/>
          </w:tcPr>
          <w:p>
            <w:pPr>
              <w:jc w:val="center"/>
              <w:ind w:left="3699"/>
              <w:spacing w:after="0"/>
              <w:rPr>
                <w:sz w:val="20"/>
                <w:szCs w:val="20"/>
                <w:color w:val="auto"/>
              </w:rPr>
            </w:pPr>
            <w:r>
              <w:rPr>
                <w:rFonts w:ascii="Arial" w:cs="Arial" w:eastAsia="Arial" w:hAnsi="Arial"/>
                <w:sz w:val="16"/>
                <w:szCs w:val="16"/>
                <w:b w:val="1"/>
                <w:bCs w:val="1"/>
                <w:color w:val="auto"/>
              </w:rPr>
              <w:t>CONSOLIDATED BALANCE SHEETS</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5"/>
        </w:trPr>
        <w:tc>
          <w:tcPr>
            <w:tcW w:w="7480" w:type="dxa"/>
            <w:vAlign w:val="bottom"/>
          </w:tcPr>
          <w:p>
            <w:pPr>
              <w:jc w:val="center"/>
              <w:ind w:left="3679"/>
              <w:spacing w:after="0"/>
              <w:rPr>
                <w:sz w:val="20"/>
                <w:szCs w:val="20"/>
                <w:color w:val="auto"/>
              </w:rPr>
            </w:pPr>
            <w:r>
              <w:rPr>
                <w:rFonts w:ascii="Arial" w:cs="Arial" w:eastAsia="Arial" w:hAnsi="Arial"/>
                <w:sz w:val="16"/>
                <w:szCs w:val="16"/>
                <w:b w:val="1"/>
                <w:bCs w:val="1"/>
                <w:color w:val="auto"/>
              </w:rPr>
              <w:t>(Continued)</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4"/>
        </w:trPr>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680" w:type="dxa"/>
            <w:vAlign w:val="bottom"/>
          </w:tcPr>
          <w:p>
            <w:pPr>
              <w:spacing w:after="0"/>
              <w:rPr>
                <w:sz w:val="24"/>
                <w:szCs w:val="24"/>
                <w:color w:val="auto"/>
              </w:rPr>
            </w:pPr>
          </w:p>
        </w:tc>
      </w:tr>
      <w:tr>
        <w:trPr>
          <w:trHeight w:val="219"/>
        </w:trPr>
        <w:tc>
          <w:tcPr>
            <w:tcW w:w="7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December 31, 2020</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December 31, 2019</w:t>
            </w:r>
          </w:p>
        </w:tc>
      </w:tr>
      <w:tr>
        <w:trPr>
          <w:trHeight w:val="207"/>
        </w:trPr>
        <w:tc>
          <w:tcPr>
            <w:tcW w:w="7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3"/>
          </w:tcPr>
          <w:p>
            <w:pPr>
              <w:jc w:val="right"/>
              <w:ind w:right="439"/>
              <w:spacing w:after="0"/>
              <w:rPr>
                <w:sz w:val="20"/>
                <w:szCs w:val="20"/>
                <w:color w:val="auto"/>
              </w:rPr>
            </w:pPr>
            <w:r>
              <w:rPr>
                <w:rFonts w:ascii="Arial" w:cs="Arial" w:eastAsia="Arial" w:hAnsi="Arial"/>
                <w:sz w:val="16"/>
                <w:szCs w:val="16"/>
                <w:color w:val="auto"/>
              </w:rPr>
              <w:t>(in thousands, except share amounts)</w:t>
            </w:r>
          </w:p>
        </w:tc>
      </w:tr>
      <w:tr>
        <w:trPr>
          <w:trHeight w:val="216"/>
        </w:trPr>
        <w:tc>
          <w:tcPr>
            <w:tcW w:w="7480" w:type="dxa"/>
            <w:vAlign w:val="bottom"/>
          </w:tcPr>
          <w:p>
            <w:pPr>
              <w:ind w:left="276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4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183,340</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193,523</w:t>
            </w: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243,612</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226,767</w:t>
            </w:r>
          </w:p>
        </w:tc>
      </w:tr>
      <w:tr>
        <w:trPr>
          <w:trHeight w:val="219"/>
        </w:trPr>
        <w:tc>
          <w:tcPr>
            <w:tcW w:w="74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Derivative liabilities, current</w:t>
            </w:r>
          </w:p>
        </w:tc>
        <w:tc>
          <w:tcPr>
            <w:tcW w:w="18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2,044</w:t>
            </w:r>
          </w:p>
        </w:tc>
        <w:tc>
          <w:tcPr>
            <w:tcW w:w="22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2,254</w:t>
            </w: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Regulatory liabilities, current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25,061</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33,507</w:t>
            </w:r>
          </w:p>
        </w:tc>
      </w:tr>
      <w:tr>
        <w:trPr>
          <w:trHeight w:val="219"/>
        </w:trPr>
        <w:tc>
          <w:tcPr>
            <w:tcW w:w="74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Notes payable</w:t>
            </w:r>
          </w:p>
        </w:tc>
        <w:tc>
          <w:tcPr>
            <w:tcW w:w="18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234,040</w:t>
            </w:r>
          </w:p>
        </w:tc>
        <w:tc>
          <w:tcPr>
            <w:tcW w:w="220" w:type="dxa"/>
            <w:vAlign w:val="bottom"/>
            <w:shd w:val="clear" w:color="auto" w:fill="CEFFE7"/>
          </w:tcPr>
          <w:p>
            <w:pPr>
              <w:spacing w:after="0"/>
              <w:rPr>
                <w:sz w:val="19"/>
                <w:szCs w:val="19"/>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349,500</w:t>
            </w:r>
          </w:p>
        </w:tc>
      </w:tr>
      <w:tr>
        <w:trPr>
          <w:trHeight w:val="213"/>
        </w:trPr>
        <w:tc>
          <w:tcPr>
            <w:tcW w:w="74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8,436</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5,743</w:t>
            </w:r>
          </w:p>
        </w:tc>
      </w:tr>
      <w:tr>
        <w:trPr>
          <w:trHeight w:val="210"/>
        </w:trPr>
        <w:tc>
          <w:tcPr>
            <w:tcW w:w="748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696,533</w:t>
            </w:r>
          </w:p>
        </w:tc>
        <w:tc>
          <w:tcPr>
            <w:tcW w:w="22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811,294</w:t>
            </w:r>
          </w:p>
        </w:tc>
      </w:tr>
      <w:tr>
        <w:trPr>
          <w:trHeight w:val="239"/>
        </w:trPr>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3"/>
        </w:trPr>
        <w:tc>
          <w:tcPr>
            <w:tcW w:w="7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3,528,100</w:t>
            </w:r>
          </w:p>
        </w:tc>
        <w:tc>
          <w:tcPr>
            <w:tcW w:w="22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3,140,096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credits and other liabilities: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income tax liabilities, net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Regulatory liabilities, non-current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Benefit plan liabilities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deferred credits and other liabilities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jc w:val="right"/>
              <w:ind w:right="479"/>
              <w:spacing w:after="0"/>
              <w:rPr>
                <w:sz w:val="20"/>
                <w:szCs w:val="20"/>
                <w:color w:val="auto"/>
              </w:rPr>
            </w:pPr>
            <w:r>
              <w:rPr>
                <w:rFonts w:ascii="Arial" w:cs="Arial" w:eastAsia="Arial" w:hAnsi="Arial"/>
                <w:sz w:val="16"/>
                <w:szCs w:val="16"/>
                <w:color w:val="auto"/>
              </w:rPr>
              <w:t>408,624</w:t>
            </w:r>
          </w:p>
        </w:tc>
        <w:tc>
          <w:tcPr>
            <w:tcW w:w="1380" w:type="dxa"/>
            <w:vAlign w:val="bottom"/>
          </w:tcPr>
          <w:p>
            <w:pPr>
              <w:jc w:val="right"/>
              <w:spacing w:after="0"/>
              <w:rPr>
                <w:sz w:val="20"/>
                <w:szCs w:val="20"/>
                <w:color w:val="auto"/>
              </w:rPr>
            </w:pPr>
            <w:r>
              <w:rPr>
                <w:rFonts w:ascii="Arial" w:cs="Arial" w:eastAsia="Arial" w:hAnsi="Arial"/>
                <w:sz w:val="16"/>
                <w:szCs w:val="16"/>
                <w:color w:val="auto"/>
              </w:rPr>
              <w:t>360,719</w:t>
            </w:r>
          </w:p>
        </w:tc>
      </w:tr>
      <w:tr>
        <w:trPr>
          <w:trHeight w:val="216"/>
        </w:trPr>
        <w:tc>
          <w:tcPr>
            <w:tcW w:w="2380" w:type="dxa"/>
            <w:vAlign w:val="bottom"/>
          </w:tcPr>
          <w:p>
            <w:pPr>
              <w:jc w:val="right"/>
              <w:ind w:right="479"/>
              <w:spacing w:after="0"/>
              <w:rPr>
                <w:sz w:val="20"/>
                <w:szCs w:val="20"/>
                <w:color w:val="auto"/>
              </w:rPr>
            </w:pPr>
            <w:r>
              <w:rPr>
                <w:rFonts w:ascii="Arial" w:cs="Arial" w:eastAsia="Arial" w:hAnsi="Arial"/>
                <w:sz w:val="16"/>
                <w:szCs w:val="16"/>
                <w:color w:val="auto"/>
              </w:rPr>
              <w:t>507,659</w:t>
            </w:r>
          </w:p>
        </w:tc>
        <w:tc>
          <w:tcPr>
            <w:tcW w:w="1380" w:type="dxa"/>
            <w:vAlign w:val="bottom"/>
          </w:tcPr>
          <w:p>
            <w:pPr>
              <w:jc w:val="right"/>
              <w:spacing w:after="0"/>
              <w:rPr>
                <w:sz w:val="20"/>
                <w:szCs w:val="20"/>
                <w:color w:val="auto"/>
              </w:rPr>
            </w:pPr>
            <w:r>
              <w:rPr>
                <w:rFonts w:ascii="Arial" w:cs="Arial" w:eastAsia="Arial" w:hAnsi="Arial"/>
                <w:sz w:val="16"/>
                <w:szCs w:val="16"/>
                <w:color w:val="auto"/>
              </w:rPr>
              <w:t>503,145</w:t>
            </w:r>
          </w:p>
        </w:tc>
      </w:tr>
      <w:tr>
        <w:trPr>
          <w:trHeight w:val="216"/>
        </w:trPr>
        <w:tc>
          <w:tcPr>
            <w:tcW w:w="2380" w:type="dxa"/>
            <w:vAlign w:val="bottom"/>
          </w:tcPr>
          <w:p>
            <w:pPr>
              <w:jc w:val="right"/>
              <w:ind w:right="479"/>
              <w:spacing w:after="0"/>
              <w:rPr>
                <w:sz w:val="20"/>
                <w:szCs w:val="20"/>
                <w:color w:val="auto"/>
              </w:rPr>
            </w:pPr>
            <w:r>
              <w:rPr>
                <w:rFonts w:ascii="Arial" w:cs="Arial" w:eastAsia="Arial" w:hAnsi="Arial"/>
                <w:sz w:val="16"/>
                <w:szCs w:val="16"/>
                <w:color w:val="auto"/>
              </w:rPr>
              <w:t>150,556</w:t>
            </w:r>
          </w:p>
        </w:tc>
        <w:tc>
          <w:tcPr>
            <w:tcW w:w="1380" w:type="dxa"/>
            <w:vAlign w:val="bottom"/>
          </w:tcPr>
          <w:p>
            <w:pPr>
              <w:jc w:val="right"/>
              <w:spacing w:after="0"/>
              <w:rPr>
                <w:sz w:val="20"/>
                <w:szCs w:val="20"/>
                <w:color w:val="auto"/>
              </w:rPr>
            </w:pPr>
            <w:r>
              <w:rPr>
                <w:rFonts w:ascii="Arial" w:cs="Arial" w:eastAsia="Arial" w:hAnsi="Arial"/>
                <w:sz w:val="16"/>
                <w:szCs w:val="16"/>
                <w:color w:val="auto"/>
              </w:rPr>
              <w:t>154,472</w:t>
            </w:r>
          </w:p>
        </w:tc>
      </w:tr>
      <w:tr>
        <w:trPr>
          <w:trHeight w:val="219"/>
        </w:trPr>
        <w:tc>
          <w:tcPr>
            <w:tcW w:w="2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134,667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124,662</w:t>
            </w:r>
          </w:p>
        </w:tc>
      </w:tr>
      <w:tr>
        <w:trPr>
          <w:trHeight w:val="209"/>
        </w:trPr>
        <w:tc>
          <w:tcPr>
            <w:tcW w:w="2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1,201,506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-565150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-290830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-8255</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20"/>
            <w:col w:w="3760"/>
          </w:cols>
          <w:pgMar w:left="320" w:top="121" w:right="339" w:bottom="1440" w:gutter="0" w:footer="0" w:header="0"/>
          <w:type w:val="continuous"/>
        </w:sectPr>
      </w:pPr>
    </w:p>
    <w:p>
      <w:pPr>
        <w:spacing w:after="0" w:line="58"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Commitments, contingencies and guarantees (</w:t>
      </w:r>
      <w:hyperlink w:anchor="page85">
        <w:r>
          <w:rPr>
            <w:rFonts w:ascii="Arial" w:cs="Arial" w:eastAsia="Arial" w:hAnsi="Arial"/>
            <w:sz w:val="16"/>
            <w:szCs w:val="16"/>
            <w:u w:val="single" w:color="auto"/>
            <w:color w:val="0000FF"/>
          </w:rPr>
          <w:t>Note 3</w:t>
        </w:r>
      </w:hyperlink>
      <w:r>
        <w:rPr>
          <w:rFonts w:ascii="Arial" w:cs="Arial" w:eastAsia="Arial" w:hAnsi="Arial"/>
          <w:sz w:val="16"/>
          <w:szCs w:val="16"/>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480" w:type="dxa"/>
            <w:vAlign w:val="bottom"/>
            <w:shd w:val="clear" w:color="auto" w:fill="CEFFE7"/>
          </w:tcPr>
          <w:p>
            <w:pPr>
              <w:spacing w:after="0"/>
              <w:rPr>
                <w:sz w:val="21"/>
                <w:szCs w:val="21"/>
                <w:color w:val="auto"/>
              </w:rPr>
            </w:pPr>
          </w:p>
        </w:tc>
        <w:tc>
          <w:tcPr>
            <w:tcW w:w="600" w:type="dxa"/>
            <w:vAlign w:val="bottom"/>
            <w:shd w:val="clear" w:color="auto" w:fill="CEFFE7"/>
          </w:tcPr>
          <w:p>
            <w:pPr>
              <w:spacing w:after="0"/>
              <w:rPr>
                <w:sz w:val="21"/>
                <w:szCs w:val="21"/>
                <w:color w:val="auto"/>
              </w:rPr>
            </w:pPr>
          </w:p>
        </w:tc>
        <w:tc>
          <w:tcPr>
            <w:tcW w:w="1280" w:type="dxa"/>
            <w:vAlign w:val="bottom"/>
            <w:shd w:val="clear" w:color="auto" w:fill="CEFFE7"/>
          </w:tcPr>
          <w:p>
            <w:pPr>
              <w:spacing w:after="0"/>
              <w:rPr>
                <w:sz w:val="21"/>
                <w:szCs w:val="21"/>
                <w:color w:val="auto"/>
              </w:rPr>
            </w:pPr>
          </w:p>
        </w:tc>
        <w:tc>
          <w:tcPr>
            <w:tcW w:w="600" w:type="dxa"/>
            <w:vAlign w:val="bottom"/>
            <w:shd w:val="clear" w:color="auto" w:fill="CEFFE7"/>
          </w:tcPr>
          <w:p>
            <w:pPr>
              <w:spacing w:after="0"/>
              <w:rPr>
                <w:sz w:val="21"/>
                <w:szCs w:val="21"/>
                <w:color w:val="auto"/>
              </w:rPr>
            </w:pPr>
          </w:p>
        </w:tc>
        <w:tc>
          <w:tcPr>
            <w:tcW w:w="1280" w:type="dxa"/>
            <w:vAlign w:val="bottom"/>
            <w:shd w:val="clear" w:color="auto" w:fill="CEFFE7"/>
          </w:tcPr>
          <w:p>
            <w:pPr>
              <w:spacing w:after="0"/>
              <w:rPr>
                <w:sz w:val="21"/>
                <w:szCs w:val="2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Equity:</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Stockholders’ equity -</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r>
      <w:tr>
        <w:trPr>
          <w:trHeight w:val="177"/>
        </w:trPr>
        <w:tc>
          <w:tcPr>
            <w:tcW w:w="7480" w:type="dxa"/>
            <w:vAlign w:val="bottom"/>
          </w:tcPr>
          <w:p>
            <w:pPr>
              <w:ind w:left="140"/>
              <w:spacing w:after="0" w:line="178" w:lineRule="exact"/>
              <w:rPr>
                <w:sz w:val="20"/>
                <w:szCs w:val="20"/>
                <w:color w:val="auto"/>
              </w:rPr>
            </w:pPr>
            <w:r>
              <w:rPr>
                <w:rFonts w:ascii="Arial" w:cs="Arial" w:eastAsia="Arial" w:hAnsi="Arial"/>
                <w:sz w:val="16"/>
                <w:szCs w:val="16"/>
                <w:color w:val="auto"/>
              </w:rPr>
              <w:t>Common stock $1.00 par value; 100,000,000 shares authorized; issued: 62,827,179 and 61,480,658,</w:t>
            </w: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8"/>
        </w:trPr>
        <w:tc>
          <w:tcPr>
            <w:tcW w:w="748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6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62,827</w:t>
            </w:r>
          </w:p>
        </w:tc>
        <w:tc>
          <w:tcPr>
            <w:tcW w:w="6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61,481</w:t>
            </w:r>
          </w:p>
        </w:tc>
      </w:tr>
      <w:tr>
        <w:trPr>
          <w:trHeight w:val="219"/>
        </w:trPr>
        <w:tc>
          <w:tcPr>
            <w:tcW w:w="74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Additional paid-in capital</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1,657,285</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1,552,788</w:t>
            </w: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870,738</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778,776</w:t>
            </w:r>
          </w:p>
        </w:tc>
      </w:tr>
      <w:tr>
        <w:trPr>
          <w:trHeight w:val="219"/>
        </w:trPr>
        <w:tc>
          <w:tcPr>
            <w:tcW w:w="74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Treasury stock at cost - 32,492 and 3,956, respectively</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(2,119)</w:t>
            </w:r>
          </w:p>
        </w:tc>
        <w:tc>
          <w:tcPr>
            <w:tcW w:w="60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(267)</w:t>
            </w:r>
          </w:p>
        </w:tc>
      </w:tr>
      <w:tr>
        <w:trPr>
          <w:trHeight w:val="213"/>
        </w:trPr>
        <w:tc>
          <w:tcPr>
            <w:tcW w:w="74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(27,346)</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(30,655)</w:t>
            </w:r>
          </w:p>
        </w:tc>
      </w:tr>
      <w:tr>
        <w:trPr>
          <w:trHeight w:val="213"/>
        </w:trPr>
        <w:tc>
          <w:tcPr>
            <w:tcW w:w="748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stockholders’ equity</w:t>
            </w:r>
          </w:p>
        </w:tc>
        <w:tc>
          <w:tcPr>
            <w:tcW w:w="60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2,561,385</w:t>
            </w:r>
          </w:p>
        </w:tc>
        <w:tc>
          <w:tcPr>
            <w:tcW w:w="60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2,362,123</w:t>
            </w:r>
          </w:p>
        </w:tc>
      </w:tr>
      <w:tr>
        <w:trPr>
          <w:trHeight w:val="213"/>
        </w:trPr>
        <w:tc>
          <w:tcPr>
            <w:tcW w:w="74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Noncontrolling interest</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101,262</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101,946</w:t>
            </w:r>
          </w:p>
        </w:tc>
      </w:tr>
      <w:tr>
        <w:trPr>
          <w:trHeight w:val="209"/>
        </w:trPr>
        <w:tc>
          <w:tcPr>
            <w:tcW w:w="748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equity</w:t>
            </w:r>
          </w:p>
        </w:tc>
        <w:tc>
          <w:tcPr>
            <w:tcW w:w="60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2,662,647</w:t>
            </w:r>
          </w:p>
        </w:tc>
        <w:tc>
          <w:tcPr>
            <w:tcW w:w="60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2,464,069</w:t>
            </w:r>
          </w:p>
        </w:tc>
      </w:tr>
      <w:tr>
        <w:trPr>
          <w:trHeight w:val="240"/>
        </w:trPr>
        <w:tc>
          <w:tcPr>
            <w:tcW w:w="7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1"/>
        </w:trPr>
        <w:tc>
          <w:tcPr>
            <w:tcW w:w="7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LIABILITIES AND TOTAL EQUITY</w:t>
            </w:r>
          </w:p>
        </w:tc>
        <w:tc>
          <w:tcPr>
            <w:tcW w:w="600" w:type="dxa"/>
            <w:vAlign w:val="bottom"/>
            <w:tcBorders>
              <w:bottom w:val="single" w:sz="8" w:color="auto"/>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8,088,786</w:t>
            </w:r>
          </w:p>
        </w:tc>
        <w:tc>
          <w:tcPr>
            <w:tcW w:w="600" w:type="dxa"/>
            <w:vAlign w:val="bottom"/>
            <w:tcBorders>
              <w:bottom w:val="single" w:sz="8" w:color="auto"/>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7,558,457</w:t>
            </w:r>
          </w:p>
        </w:tc>
      </w:tr>
      <w:tr>
        <w:trPr>
          <w:trHeight w:val="20"/>
        </w:trPr>
        <w:tc>
          <w:tcPr>
            <w:tcW w:w="7480" w:type="dxa"/>
            <w:vAlign w:val="bottom"/>
            <w:tcBorders>
              <w:top w:val="single" w:sz="8" w:color="CEFFE7"/>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71">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Arial" w:cs="Arial" w:eastAsia="Arial" w:hAnsi="Arial"/>
                <w:sz w:val="13"/>
                <w:szCs w:val="13"/>
                <w:color w:val="auto"/>
              </w:rPr>
              <w:t>Year ended</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99"/>
              </w:rPr>
              <w:t>December 31, 2020</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99"/>
              </w:rPr>
              <w:t>December 31, 2019</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December 31, 2018</w:t>
            </w:r>
          </w:p>
        </w:tc>
      </w:tr>
      <w:tr>
        <w:trPr>
          <w:trHeight w:val="168"/>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277"/>
              <w:spacing w:after="0"/>
              <w:rPr>
                <w:sz w:val="20"/>
                <w:szCs w:val="20"/>
                <w:color w:val="auto"/>
              </w:rPr>
            </w:pPr>
            <w:r>
              <w:rPr>
                <w:rFonts w:ascii="Arial" w:cs="Arial" w:eastAsia="Arial" w:hAnsi="Arial"/>
                <w:sz w:val="13"/>
                <w:szCs w:val="13"/>
                <w:color w:val="auto"/>
              </w:rPr>
              <w:t>(in thousands)</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4"/>
        </w:trPr>
        <w:tc>
          <w:tcPr>
            <w:tcW w:w="6600" w:type="dxa"/>
            <w:vAlign w:val="bottom"/>
            <w:shd w:val="clear" w:color="auto" w:fill="CEFFE7"/>
          </w:tcPr>
          <w:p>
            <w:pPr>
              <w:spacing w:after="0"/>
              <w:rPr>
                <w:sz w:val="20"/>
                <w:szCs w:val="20"/>
                <w:color w:val="auto"/>
              </w:rPr>
            </w:pPr>
            <w:r>
              <w:rPr>
                <w:rFonts w:ascii="Arial" w:cs="Arial" w:eastAsia="Arial" w:hAnsi="Arial"/>
                <w:sz w:val="13"/>
                <w:szCs w:val="13"/>
                <w:color w:val="auto"/>
              </w:rPr>
              <w:t>Operating activities:</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spacing w:after="0"/>
              <w:rPr>
                <w:sz w:val="15"/>
                <w:szCs w:val="15"/>
                <w:color w:val="auto"/>
              </w:rPr>
            </w:pPr>
          </w:p>
        </w:tc>
      </w:tr>
      <w:tr>
        <w:trPr>
          <w:trHeight w:val="168"/>
        </w:trPr>
        <w:tc>
          <w:tcPr>
            <w:tcW w:w="6600" w:type="dxa"/>
            <w:vAlign w:val="bottom"/>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242,763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213,322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272,662</w:t>
            </w:r>
          </w:p>
        </w:tc>
      </w:tr>
      <w:tr>
        <w:trPr>
          <w:trHeight w:val="183"/>
        </w:trPr>
        <w:tc>
          <w:tcPr>
            <w:tcW w:w="6600" w:type="dxa"/>
            <w:vAlign w:val="bottom"/>
            <w:shd w:val="clear" w:color="auto" w:fill="CEFFE7"/>
          </w:tcPr>
          <w:p>
            <w:pPr>
              <w:spacing w:after="0"/>
              <w:rPr>
                <w:sz w:val="20"/>
                <w:szCs w:val="20"/>
                <w:color w:val="auto"/>
              </w:rPr>
            </w:pPr>
            <w:r>
              <w:rPr>
                <w:rFonts w:ascii="Arial" w:cs="Arial" w:eastAsia="Arial" w:hAnsi="Arial"/>
                <w:sz w:val="13"/>
                <w:szCs w:val="13"/>
                <w:color w:val="auto"/>
              </w:rPr>
              <w:t>Loss from discontinued operations, net of tax</w:t>
            </w:r>
          </w:p>
        </w:tc>
        <w:tc>
          <w:tcPr>
            <w:tcW w:w="160" w:type="dxa"/>
            <w:vAlign w:val="bottom"/>
            <w:tcBorders>
              <w:bottom w:val="single" w:sz="8" w:color="auto"/>
            </w:tcBorders>
            <w:shd w:val="clear" w:color="auto" w:fill="CEFFE7"/>
          </w:tcPr>
          <w:p>
            <w:pPr>
              <w:spacing w:after="0"/>
              <w:rPr>
                <w:sz w:val="15"/>
                <w:szCs w:val="15"/>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EFFE7"/>
          </w:tcPr>
          <w:p>
            <w:pPr>
              <w:spacing w:after="0"/>
              <w:rPr>
                <w:sz w:val="15"/>
                <w:szCs w:val="15"/>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EFFE7"/>
          </w:tcPr>
          <w:p>
            <w:pPr>
              <w:spacing w:after="0"/>
              <w:rPr>
                <w:sz w:val="15"/>
                <w:szCs w:val="15"/>
                <w:color w:val="auto"/>
              </w:rPr>
            </w:pP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6,887</w:t>
            </w:r>
          </w:p>
        </w:tc>
      </w:tr>
      <w:tr>
        <w:trPr>
          <w:trHeight w:val="161"/>
        </w:trPr>
        <w:tc>
          <w:tcPr>
            <w:tcW w:w="6600" w:type="dxa"/>
            <w:vAlign w:val="bottom"/>
          </w:tcPr>
          <w:p>
            <w:pPr>
              <w:spacing w:after="0"/>
              <w:rPr>
                <w:sz w:val="20"/>
                <w:szCs w:val="20"/>
                <w:color w:val="auto"/>
              </w:rPr>
            </w:pPr>
            <w:r>
              <w:rPr>
                <w:rFonts w:ascii="Arial" w:cs="Arial" w:eastAsia="Arial" w:hAnsi="Arial"/>
                <w:sz w:val="13"/>
                <w:szCs w:val="13"/>
                <w:color w:val="auto"/>
              </w:rPr>
              <w:t>Income from continuing operations</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242,763</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213,322</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279,549</w:t>
            </w:r>
          </w:p>
        </w:tc>
      </w:tr>
      <w:tr>
        <w:trPr>
          <w:trHeight w:val="183"/>
        </w:trPr>
        <w:tc>
          <w:tcPr>
            <w:tcW w:w="6600" w:type="dxa"/>
            <w:vAlign w:val="bottom"/>
            <w:shd w:val="clear" w:color="auto" w:fill="CEFFE7"/>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spacing w:after="0"/>
              <w:rPr>
                <w:sz w:val="15"/>
                <w:szCs w:val="15"/>
                <w:color w:val="auto"/>
              </w:rPr>
            </w:pPr>
          </w:p>
        </w:tc>
      </w:tr>
      <w:tr>
        <w:trPr>
          <w:trHeight w:val="168"/>
        </w:trPr>
        <w:tc>
          <w:tcPr>
            <w:tcW w:w="6600" w:type="dxa"/>
            <w:vAlign w:val="bottom"/>
          </w:tcPr>
          <w:p>
            <w:pPr>
              <w:ind w:left="200"/>
              <w:spacing w:after="0"/>
              <w:rPr>
                <w:sz w:val="20"/>
                <w:szCs w:val="20"/>
                <w:color w:val="auto"/>
              </w:rPr>
            </w:pPr>
            <w:r>
              <w:rPr>
                <w:rFonts w:ascii="Arial" w:cs="Arial" w:eastAsia="Arial" w:hAnsi="Arial"/>
                <w:sz w:val="13"/>
                <w:szCs w:val="13"/>
                <w:color w:val="auto"/>
              </w:rPr>
              <w:t>Depreciation, depletion and amortization</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224,457</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209,120</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196,328</w:t>
            </w:r>
          </w:p>
        </w:tc>
      </w:tr>
      <w:tr>
        <w:trPr>
          <w:trHeight w:val="183"/>
        </w:trPr>
        <w:tc>
          <w:tcPr>
            <w:tcW w:w="6600" w:type="dxa"/>
            <w:vAlign w:val="bottom"/>
            <w:shd w:val="clear" w:color="auto" w:fill="CEFFE7"/>
          </w:tcPr>
          <w:p>
            <w:pPr>
              <w:ind w:left="200"/>
              <w:spacing w:after="0"/>
              <w:rPr>
                <w:sz w:val="20"/>
                <w:szCs w:val="20"/>
                <w:color w:val="auto"/>
              </w:rPr>
            </w:pPr>
            <w:r>
              <w:rPr>
                <w:rFonts w:ascii="Arial" w:cs="Arial" w:eastAsia="Arial" w:hAnsi="Arial"/>
                <w:sz w:val="13"/>
                <w:szCs w:val="13"/>
                <w:color w:val="auto"/>
              </w:rPr>
              <w:t>Deferred financing cost amortization</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7,883</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7,838</w:t>
            </w: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7,845</w:t>
            </w:r>
          </w:p>
        </w:tc>
      </w:tr>
      <w:tr>
        <w:trPr>
          <w:trHeight w:val="168"/>
        </w:trPr>
        <w:tc>
          <w:tcPr>
            <w:tcW w:w="6600" w:type="dxa"/>
            <w:vAlign w:val="bottom"/>
          </w:tcPr>
          <w:p>
            <w:pPr>
              <w:ind w:left="200"/>
              <w:spacing w:after="0"/>
              <w:rPr>
                <w:sz w:val="20"/>
                <w:szCs w:val="20"/>
                <w:color w:val="auto"/>
              </w:rPr>
            </w:pPr>
            <w:r>
              <w:rPr>
                <w:rFonts w:ascii="Arial" w:cs="Arial" w:eastAsia="Arial" w:hAnsi="Arial"/>
                <w:sz w:val="13"/>
                <w:szCs w:val="13"/>
                <w:color w:val="auto"/>
              </w:rPr>
              <w:t>Impairment of investment</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6,859</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19,741</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600" w:type="dxa"/>
            <w:vAlign w:val="bottom"/>
            <w:shd w:val="clear" w:color="auto" w:fill="CEFFE7"/>
          </w:tcPr>
          <w:p>
            <w:pPr>
              <w:ind w:left="200"/>
              <w:spacing w:after="0"/>
              <w:rPr>
                <w:sz w:val="20"/>
                <w:szCs w:val="20"/>
                <w:color w:val="auto"/>
              </w:rPr>
            </w:pPr>
            <w:r>
              <w:rPr>
                <w:rFonts w:ascii="Arial" w:cs="Arial" w:eastAsia="Arial" w:hAnsi="Arial"/>
                <w:sz w:val="13"/>
                <w:szCs w:val="13"/>
                <w:color w:val="auto"/>
              </w:rPr>
              <w:t>Stock compensation</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5,373</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12,095</w:t>
            </w: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12,390</w:t>
            </w:r>
          </w:p>
        </w:tc>
      </w:tr>
      <w:tr>
        <w:trPr>
          <w:trHeight w:val="168"/>
        </w:trPr>
        <w:tc>
          <w:tcPr>
            <w:tcW w:w="660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38,091</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38,020</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(24,239)</w:t>
            </w:r>
          </w:p>
        </w:tc>
      </w:tr>
      <w:tr>
        <w:trPr>
          <w:trHeight w:val="183"/>
        </w:trPr>
        <w:tc>
          <w:tcPr>
            <w:tcW w:w="6600" w:type="dxa"/>
            <w:vAlign w:val="bottom"/>
            <w:shd w:val="clear" w:color="auto" w:fill="CEFFE7"/>
          </w:tcPr>
          <w:p>
            <w:pPr>
              <w:ind w:left="200"/>
              <w:spacing w:after="0"/>
              <w:rPr>
                <w:sz w:val="20"/>
                <w:szCs w:val="20"/>
                <w:color w:val="auto"/>
              </w:rPr>
            </w:pPr>
            <w:r>
              <w:rPr>
                <w:rFonts w:ascii="Arial" w:cs="Arial" w:eastAsia="Arial" w:hAnsi="Arial"/>
                <w:sz w:val="13"/>
                <w:szCs w:val="13"/>
                <w:color w:val="auto"/>
              </w:rPr>
              <w:t>Employee benefit plans</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11,997</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12,406</w:t>
            </w: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14,068</w:t>
            </w:r>
          </w:p>
        </w:tc>
      </w:tr>
      <w:tr>
        <w:trPr>
          <w:trHeight w:val="167"/>
        </w:trPr>
        <w:tc>
          <w:tcPr>
            <w:tcW w:w="6600" w:type="dxa"/>
            <w:vAlign w:val="bottom"/>
          </w:tcPr>
          <w:p>
            <w:pPr>
              <w:ind w:left="200"/>
              <w:spacing w:after="0"/>
              <w:rPr>
                <w:sz w:val="20"/>
                <w:szCs w:val="20"/>
                <w:color w:val="auto"/>
              </w:rPr>
            </w:pPr>
            <w:r>
              <w:rPr>
                <w:rFonts w:ascii="Arial" w:cs="Arial" w:eastAsia="Arial" w:hAnsi="Arial"/>
                <w:sz w:val="13"/>
                <w:szCs w:val="13"/>
                <w:color w:val="auto"/>
              </w:rPr>
              <w:t>Other adjustments, net</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11,669</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16,485</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5,836</w:t>
            </w:r>
          </w:p>
        </w:tc>
      </w:tr>
      <w:tr>
        <w:trPr>
          <w:trHeight w:val="184"/>
        </w:trPr>
        <w:tc>
          <w:tcPr>
            <w:tcW w:w="6600" w:type="dxa"/>
            <w:vAlign w:val="bottom"/>
            <w:shd w:val="clear" w:color="auto" w:fill="CEFFE7"/>
          </w:tcPr>
          <w:p>
            <w:pPr>
              <w:ind w:left="120"/>
              <w:spacing w:after="0"/>
              <w:rPr>
                <w:sz w:val="20"/>
                <w:szCs w:val="20"/>
                <w:color w:val="auto"/>
              </w:rPr>
            </w:pPr>
            <w:r>
              <w:rPr>
                <w:rFonts w:ascii="Arial" w:cs="Arial" w:eastAsia="Arial" w:hAnsi="Arial"/>
                <w:sz w:val="13"/>
                <w:szCs w:val="13"/>
                <w:color w:val="auto"/>
              </w:rPr>
              <w:t>Change in certain operating assets and liabilities:</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spacing w:after="0"/>
              <w:rPr>
                <w:sz w:val="15"/>
                <w:szCs w:val="15"/>
                <w:color w:val="auto"/>
              </w:rPr>
            </w:pPr>
          </w:p>
        </w:tc>
      </w:tr>
      <w:tr>
        <w:trPr>
          <w:trHeight w:val="168"/>
        </w:trPr>
        <w:tc>
          <w:tcPr>
            <w:tcW w:w="6600" w:type="dxa"/>
            <w:vAlign w:val="bottom"/>
          </w:tcPr>
          <w:p>
            <w:pPr>
              <w:ind w:left="200"/>
              <w:spacing w:after="0"/>
              <w:rPr>
                <w:sz w:val="20"/>
                <w:szCs w:val="20"/>
                <w:color w:val="auto"/>
              </w:rPr>
            </w:pPr>
            <w:r>
              <w:rPr>
                <w:rFonts w:ascii="Arial" w:cs="Arial" w:eastAsia="Arial" w:hAnsi="Arial"/>
                <w:sz w:val="13"/>
                <w:szCs w:val="13"/>
                <w:color w:val="auto"/>
              </w:rPr>
              <w:t>Materials, supplies and fuel</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2,755</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2,052</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(2,919)</w:t>
            </w:r>
          </w:p>
        </w:tc>
      </w:tr>
      <w:tr>
        <w:trPr>
          <w:trHeight w:val="183"/>
        </w:trPr>
        <w:tc>
          <w:tcPr>
            <w:tcW w:w="6600" w:type="dxa"/>
            <w:vAlign w:val="bottom"/>
            <w:shd w:val="clear" w:color="auto" w:fill="CEFFE7"/>
          </w:tcPr>
          <w:p>
            <w:pPr>
              <w:ind w:left="200"/>
              <w:spacing w:after="0"/>
              <w:rPr>
                <w:sz w:val="20"/>
                <w:szCs w:val="20"/>
                <w:color w:val="auto"/>
              </w:rPr>
            </w:pPr>
            <w:r>
              <w:rPr>
                <w:rFonts w:ascii="Arial" w:cs="Arial" w:eastAsia="Arial" w:hAnsi="Arial"/>
                <w:sz w:val="13"/>
                <w:szCs w:val="13"/>
                <w:color w:val="auto"/>
              </w:rPr>
              <w:t>Accounts receivable and other current assets</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(10,843)</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7,578</w:t>
            </w: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(45,966)</w:t>
            </w:r>
          </w:p>
        </w:tc>
      </w:tr>
      <w:tr>
        <w:trPr>
          <w:trHeight w:val="168"/>
        </w:trPr>
        <w:tc>
          <w:tcPr>
            <w:tcW w:w="6600" w:type="dxa"/>
            <w:vAlign w:val="bottom"/>
          </w:tcPr>
          <w:p>
            <w:pPr>
              <w:ind w:left="200"/>
              <w:spacing w:after="0"/>
              <w:rPr>
                <w:sz w:val="20"/>
                <w:szCs w:val="20"/>
                <w:color w:val="auto"/>
              </w:rPr>
            </w:pPr>
            <w:r>
              <w:rPr>
                <w:rFonts w:ascii="Arial" w:cs="Arial" w:eastAsia="Arial" w:hAnsi="Arial"/>
                <w:sz w:val="13"/>
                <w:szCs w:val="13"/>
                <w:color w:val="auto"/>
              </w:rPr>
              <w:t>Accounts payable and other current liabilities</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24,659</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(34,906)</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5,305</w:t>
            </w:r>
          </w:p>
        </w:tc>
      </w:tr>
      <w:tr>
        <w:trPr>
          <w:trHeight w:val="183"/>
        </w:trPr>
        <w:tc>
          <w:tcPr>
            <w:tcW w:w="6600" w:type="dxa"/>
            <w:vAlign w:val="bottom"/>
            <w:shd w:val="clear" w:color="auto" w:fill="CEFFE7"/>
          </w:tcPr>
          <w:p>
            <w:pPr>
              <w:ind w:left="200"/>
              <w:spacing w:after="0"/>
              <w:rPr>
                <w:sz w:val="20"/>
                <w:szCs w:val="20"/>
                <w:color w:val="auto"/>
              </w:rPr>
            </w:pPr>
            <w:r>
              <w:rPr>
                <w:rFonts w:ascii="Arial" w:cs="Arial" w:eastAsia="Arial" w:hAnsi="Arial"/>
                <w:sz w:val="13"/>
                <w:szCs w:val="13"/>
                <w:color w:val="auto"/>
              </w:rPr>
              <w:t>Regulatory assets - current</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(5,047)</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23,619</w:t>
            </w: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33,608</w:t>
            </w:r>
          </w:p>
        </w:tc>
      </w:tr>
      <w:tr>
        <w:trPr>
          <w:trHeight w:val="168"/>
        </w:trPr>
        <w:tc>
          <w:tcPr>
            <w:tcW w:w="6600" w:type="dxa"/>
            <w:vAlign w:val="bottom"/>
          </w:tcPr>
          <w:p>
            <w:pPr>
              <w:ind w:left="200"/>
              <w:spacing w:after="0"/>
              <w:rPr>
                <w:sz w:val="20"/>
                <w:szCs w:val="20"/>
                <w:color w:val="auto"/>
              </w:rPr>
            </w:pPr>
            <w:r>
              <w:rPr>
                <w:rFonts w:ascii="Arial" w:cs="Arial" w:eastAsia="Arial" w:hAnsi="Arial"/>
                <w:sz w:val="13"/>
                <w:szCs w:val="13"/>
                <w:color w:val="auto"/>
              </w:rPr>
              <w:t>Regulatory liabilities - current</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(10,706)</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(15,158)</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18,533</w:t>
            </w:r>
          </w:p>
        </w:tc>
      </w:tr>
      <w:tr>
        <w:trPr>
          <w:trHeight w:val="183"/>
        </w:trPr>
        <w:tc>
          <w:tcPr>
            <w:tcW w:w="6600" w:type="dxa"/>
            <w:vAlign w:val="bottom"/>
            <w:shd w:val="clear" w:color="auto" w:fill="CEFFE7"/>
          </w:tcPr>
          <w:p>
            <w:pPr>
              <w:ind w:left="120"/>
              <w:spacing w:after="0"/>
              <w:rPr>
                <w:sz w:val="20"/>
                <w:szCs w:val="20"/>
                <w:color w:val="auto"/>
              </w:rPr>
            </w:pPr>
            <w:r>
              <w:rPr>
                <w:rFonts w:ascii="Arial" w:cs="Arial" w:eastAsia="Arial" w:hAnsi="Arial"/>
                <w:sz w:val="13"/>
                <w:szCs w:val="13"/>
                <w:color w:val="auto"/>
              </w:rPr>
              <w:t>Contributions to defined benefit pension plans</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(12,700)</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(12,700)</w:t>
            </w: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(12,700)</w:t>
            </w:r>
          </w:p>
        </w:tc>
      </w:tr>
      <w:tr>
        <w:trPr>
          <w:trHeight w:val="169"/>
        </w:trPr>
        <w:tc>
          <w:tcPr>
            <w:tcW w:w="6600" w:type="dxa"/>
            <w:vAlign w:val="bottom"/>
            <w:tcBorders>
              <w:bottom w:val="single" w:sz="8" w:color="CEFFE7"/>
            </w:tcBorders>
          </w:tcPr>
          <w:p>
            <w:pPr>
              <w:ind w:left="120"/>
              <w:spacing w:after="0"/>
              <w:rPr>
                <w:sz w:val="20"/>
                <w:szCs w:val="20"/>
                <w:color w:val="auto"/>
              </w:rPr>
            </w:pPr>
            <w:r>
              <w:rPr>
                <w:rFonts w:ascii="Arial" w:cs="Arial" w:eastAsia="Arial" w:hAnsi="Arial"/>
                <w:sz w:val="13"/>
                <w:szCs w:val="13"/>
                <w:color w:val="auto"/>
              </w:rPr>
              <w:t>Other operating activities, net</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4,653</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6,001</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6,689</w:t>
            </w:r>
          </w:p>
        </w:tc>
      </w:tr>
      <w:tr>
        <w:trPr>
          <w:trHeight w:val="176"/>
        </w:trPr>
        <w:tc>
          <w:tcPr>
            <w:tcW w:w="6600" w:type="dxa"/>
            <w:vAlign w:val="bottom"/>
            <w:shd w:val="clear" w:color="auto" w:fill="CEFFE7"/>
          </w:tcPr>
          <w:p>
            <w:pPr>
              <w:spacing w:after="0"/>
              <w:rPr>
                <w:sz w:val="20"/>
                <w:szCs w:val="20"/>
                <w:color w:val="auto"/>
              </w:rPr>
            </w:pPr>
            <w:r>
              <w:rPr>
                <w:rFonts w:ascii="Arial" w:cs="Arial" w:eastAsia="Arial" w:hAnsi="Arial"/>
                <w:sz w:val="13"/>
                <w:szCs w:val="13"/>
                <w:color w:val="auto"/>
              </w:rPr>
              <w:t>Net cash provided by operating activities of continuing operations</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541,863</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505,513</w:t>
            </w: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494,327</w:t>
            </w:r>
          </w:p>
        </w:tc>
      </w:tr>
      <w:tr>
        <w:trPr>
          <w:trHeight w:val="169"/>
        </w:trPr>
        <w:tc>
          <w:tcPr>
            <w:tcW w:w="6600" w:type="dxa"/>
            <w:vAlign w:val="bottom"/>
            <w:tcBorders>
              <w:bottom w:val="single" w:sz="8" w:color="CEFFE7"/>
            </w:tcBorders>
          </w:tcPr>
          <w:p>
            <w:pPr>
              <w:spacing w:after="0"/>
              <w:rPr>
                <w:sz w:val="20"/>
                <w:szCs w:val="20"/>
                <w:color w:val="auto"/>
              </w:rPr>
            </w:pPr>
            <w:r>
              <w:rPr>
                <w:rFonts w:ascii="Arial" w:cs="Arial" w:eastAsia="Arial" w:hAnsi="Arial"/>
                <w:sz w:val="13"/>
                <w:szCs w:val="13"/>
                <w:color w:val="auto"/>
              </w:rPr>
              <w:t>Net cash provided by (used in) operating activities of discontinued operations</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(5,516)</w:t>
            </w:r>
          </w:p>
        </w:tc>
      </w:tr>
      <w:tr>
        <w:trPr>
          <w:trHeight w:val="169"/>
        </w:trPr>
        <w:tc>
          <w:tcPr>
            <w:tcW w:w="6600" w:type="dxa"/>
            <w:vAlign w:val="bottom"/>
            <w:shd w:val="clear" w:color="auto" w:fill="CEFFE7"/>
          </w:tcPr>
          <w:p>
            <w:pPr>
              <w:spacing w:after="0"/>
              <w:rPr>
                <w:sz w:val="20"/>
                <w:szCs w:val="20"/>
                <w:color w:val="auto"/>
              </w:rPr>
            </w:pPr>
            <w:r>
              <w:rPr>
                <w:rFonts w:ascii="Arial" w:cs="Arial" w:eastAsia="Arial" w:hAnsi="Arial"/>
                <w:sz w:val="13"/>
                <w:szCs w:val="13"/>
                <w:color w:val="auto"/>
              </w:rPr>
              <w:t>Net cash provided by operating activities</w:t>
            </w:r>
          </w:p>
        </w:tc>
        <w:tc>
          <w:tcPr>
            <w:tcW w:w="160" w:type="dxa"/>
            <w:vAlign w:val="bottom"/>
            <w:tcBorders>
              <w:bottom w:val="single" w:sz="8" w:color="auto"/>
            </w:tcBorders>
            <w:shd w:val="clear" w:color="auto" w:fill="CEFFE7"/>
          </w:tcPr>
          <w:p>
            <w:pPr>
              <w:spacing w:after="0"/>
              <w:rPr>
                <w:sz w:val="14"/>
                <w:szCs w:val="14"/>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541,863</w:t>
            </w:r>
          </w:p>
        </w:tc>
        <w:tc>
          <w:tcPr>
            <w:tcW w:w="160" w:type="dxa"/>
            <w:vAlign w:val="bottom"/>
            <w:tcBorders>
              <w:bottom w:val="single" w:sz="8" w:color="auto"/>
            </w:tcBorders>
            <w:shd w:val="clear" w:color="auto" w:fill="CEFFE7"/>
          </w:tcPr>
          <w:p>
            <w:pPr>
              <w:spacing w:after="0"/>
              <w:rPr>
                <w:sz w:val="14"/>
                <w:szCs w:val="14"/>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505,513</w:t>
            </w:r>
          </w:p>
        </w:tc>
        <w:tc>
          <w:tcPr>
            <w:tcW w:w="160" w:type="dxa"/>
            <w:vAlign w:val="bottom"/>
            <w:tcBorders>
              <w:bottom w:val="single" w:sz="8" w:color="auto"/>
            </w:tcBorders>
            <w:shd w:val="clear" w:color="auto" w:fill="CEFFE7"/>
          </w:tcPr>
          <w:p>
            <w:pPr>
              <w:spacing w:after="0"/>
              <w:rPr>
                <w:sz w:val="14"/>
                <w:szCs w:val="14"/>
                <w:color w:val="auto"/>
              </w:rPr>
            </w:pP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488,811</w:t>
            </w:r>
          </w:p>
        </w:tc>
      </w:tr>
      <w:tr>
        <w:trPr>
          <w:trHeight w:val="189"/>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76"/>
        </w:trPr>
        <w:tc>
          <w:tcPr>
            <w:tcW w:w="6600" w:type="dxa"/>
            <w:vAlign w:val="bottom"/>
            <w:shd w:val="clear" w:color="auto" w:fill="CEFFE7"/>
          </w:tcPr>
          <w:p>
            <w:pPr>
              <w:spacing w:after="0"/>
              <w:rPr>
                <w:sz w:val="20"/>
                <w:szCs w:val="20"/>
                <w:color w:val="auto"/>
              </w:rPr>
            </w:pPr>
            <w:r>
              <w:rPr>
                <w:rFonts w:ascii="Arial" w:cs="Arial" w:eastAsia="Arial" w:hAnsi="Arial"/>
                <w:sz w:val="13"/>
                <w:szCs w:val="13"/>
                <w:color w:val="auto"/>
              </w:rPr>
              <w:t>Investing activities:</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spacing w:after="0"/>
              <w:rPr>
                <w:sz w:val="15"/>
                <w:szCs w:val="15"/>
                <w:color w:val="auto"/>
              </w:rPr>
            </w:pPr>
          </w:p>
        </w:tc>
      </w:tr>
      <w:tr>
        <w:trPr>
          <w:trHeight w:val="168"/>
        </w:trPr>
        <w:tc>
          <w:tcPr>
            <w:tcW w:w="6600" w:type="dxa"/>
            <w:vAlign w:val="bottom"/>
          </w:tcPr>
          <w:p>
            <w:pPr>
              <w:ind w:left="120"/>
              <w:spacing w:after="0"/>
              <w:rPr>
                <w:sz w:val="20"/>
                <w:szCs w:val="20"/>
                <w:color w:val="auto"/>
              </w:rPr>
            </w:pPr>
            <w:r>
              <w:rPr>
                <w:rFonts w:ascii="Arial" w:cs="Arial" w:eastAsia="Arial" w:hAnsi="Arial"/>
                <w:sz w:val="13"/>
                <w:szCs w:val="13"/>
                <w:color w:val="auto"/>
              </w:rPr>
              <w:t>Property, plant and equipment additions</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(767,404)</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(818,376)</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(457,524)</w:t>
            </w:r>
          </w:p>
        </w:tc>
      </w:tr>
      <w:tr>
        <w:trPr>
          <w:trHeight w:val="183"/>
        </w:trPr>
        <w:tc>
          <w:tcPr>
            <w:tcW w:w="6600" w:type="dxa"/>
            <w:vAlign w:val="bottom"/>
            <w:shd w:val="clear" w:color="auto" w:fill="CEFFE7"/>
          </w:tcPr>
          <w:p>
            <w:pPr>
              <w:ind w:left="120"/>
              <w:spacing w:after="0"/>
              <w:rPr>
                <w:sz w:val="20"/>
                <w:szCs w:val="20"/>
                <w:color w:val="auto"/>
              </w:rPr>
            </w:pPr>
            <w:r>
              <w:rPr>
                <w:rFonts w:ascii="Arial" w:cs="Arial" w:eastAsia="Arial" w:hAnsi="Arial"/>
                <w:sz w:val="13"/>
                <w:szCs w:val="13"/>
                <w:color w:val="auto"/>
              </w:rPr>
              <w:t>Purchase of investment</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(24,429)</w:t>
            </w:r>
          </w:p>
        </w:tc>
      </w:tr>
      <w:tr>
        <w:trPr>
          <w:trHeight w:val="169"/>
        </w:trPr>
        <w:tc>
          <w:tcPr>
            <w:tcW w:w="6600" w:type="dxa"/>
            <w:vAlign w:val="bottom"/>
            <w:tcBorders>
              <w:bottom w:val="single" w:sz="8" w:color="CEFFE7"/>
            </w:tcBorders>
          </w:tcPr>
          <w:p>
            <w:pPr>
              <w:ind w:left="120"/>
              <w:spacing w:after="0"/>
              <w:rPr>
                <w:sz w:val="20"/>
                <w:szCs w:val="20"/>
                <w:color w:val="auto"/>
              </w:rPr>
            </w:pPr>
            <w:r>
              <w:rPr>
                <w:rFonts w:ascii="Arial" w:cs="Arial" w:eastAsia="Arial" w:hAnsi="Arial"/>
                <w:sz w:val="13"/>
                <w:szCs w:val="13"/>
                <w:color w:val="auto"/>
              </w:rPr>
              <w:t>Other investing activities</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5,740</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2,166</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(4,281)</w:t>
            </w:r>
          </w:p>
        </w:tc>
      </w:tr>
      <w:tr>
        <w:trPr>
          <w:trHeight w:val="175"/>
        </w:trPr>
        <w:tc>
          <w:tcPr>
            <w:tcW w:w="6600" w:type="dxa"/>
            <w:vAlign w:val="bottom"/>
            <w:shd w:val="clear" w:color="auto" w:fill="CEFFE7"/>
          </w:tcPr>
          <w:p>
            <w:pPr>
              <w:spacing w:after="0"/>
              <w:rPr>
                <w:sz w:val="20"/>
                <w:szCs w:val="20"/>
                <w:color w:val="auto"/>
              </w:rPr>
            </w:pPr>
            <w:r>
              <w:rPr>
                <w:rFonts w:ascii="Arial" w:cs="Arial" w:eastAsia="Arial" w:hAnsi="Arial"/>
                <w:sz w:val="13"/>
                <w:szCs w:val="13"/>
                <w:color w:val="auto"/>
              </w:rPr>
              <w:t>Net cash (used in) investing activities of continuing operations</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(761,664)</w:t>
            </w:r>
          </w:p>
        </w:tc>
        <w:tc>
          <w:tcPr>
            <w:tcW w:w="160" w:type="dxa"/>
            <w:vAlign w:val="bottom"/>
            <w:shd w:val="clear" w:color="auto" w:fill="CEFFE7"/>
          </w:tcPr>
          <w:p>
            <w:pPr>
              <w:spacing w:after="0"/>
              <w:rPr>
                <w:sz w:val="15"/>
                <w:szCs w:val="15"/>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(816,210)</w:t>
            </w:r>
          </w:p>
        </w:tc>
        <w:tc>
          <w:tcPr>
            <w:tcW w:w="160" w:type="dxa"/>
            <w:vAlign w:val="bottom"/>
            <w:shd w:val="clear" w:color="auto" w:fill="CEFFE7"/>
          </w:tcPr>
          <w:p>
            <w:pPr>
              <w:spacing w:after="0"/>
              <w:rPr>
                <w:sz w:val="15"/>
                <w:szCs w:val="15"/>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(486,234)</w:t>
            </w:r>
          </w:p>
        </w:tc>
      </w:tr>
      <w:tr>
        <w:trPr>
          <w:trHeight w:val="169"/>
        </w:trPr>
        <w:tc>
          <w:tcPr>
            <w:tcW w:w="6600" w:type="dxa"/>
            <w:vAlign w:val="bottom"/>
            <w:tcBorders>
              <w:bottom w:val="single" w:sz="8" w:color="CEFFE7"/>
            </w:tcBorders>
          </w:tcPr>
          <w:p>
            <w:pPr>
              <w:spacing w:after="0"/>
              <w:rPr>
                <w:sz w:val="20"/>
                <w:szCs w:val="20"/>
                <w:color w:val="auto"/>
              </w:rPr>
            </w:pPr>
            <w:r>
              <w:rPr>
                <w:rFonts w:ascii="Arial" w:cs="Arial" w:eastAsia="Arial" w:hAnsi="Arial"/>
                <w:sz w:val="13"/>
                <w:szCs w:val="13"/>
                <w:color w:val="auto"/>
              </w:rPr>
              <w:t>Net cash provided by investing activities of discontinued operations</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20,385</w:t>
            </w:r>
          </w:p>
        </w:tc>
      </w:tr>
      <w:tr>
        <w:trPr>
          <w:trHeight w:val="169"/>
        </w:trPr>
        <w:tc>
          <w:tcPr>
            <w:tcW w:w="6600" w:type="dxa"/>
            <w:vAlign w:val="bottom"/>
            <w:shd w:val="clear" w:color="auto" w:fill="CEFFE7"/>
          </w:tcPr>
          <w:p>
            <w:pPr>
              <w:spacing w:after="0"/>
              <w:rPr>
                <w:sz w:val="20"/>
                <w:szCs w:val="20"/>
                <w:color w:val="auto"/>
              </w:rPr>
            </w:pPr>
            <w:r>
              <w:rPr>
                <w:rFonts w:ascii="Arial" w:cs="Arial" w:eastAsia="Arial" w:hAnsi="Arial"/>
                <w:sz w:val="13"/>
                <w:szCs w:val="13"/>
                <w:color w:val="auto"/>
              </w:rPr>
              <w:t>Net cash (used in) investing activities</w:t>
            </w:r>
          </w:p>
        </w:tc>
        <w:tc>
          <w:tcPr>
            <w:tcW w:w="160" w:type="dxa"/>
            <w:vAlign w:val="bottom"/>
            <w:tcBorders>
              <w:bottom w:val="single" w:sz="8" w:color="auto"/>
            </w:tcBorders>
            <w:shd w:val="clear" w:color="auto" w:fill="CEFFE7"/>
          </w:tcPr>
          <w:p>
            <w:pPr>
              <w:spacing w:after="0"/>
              <w:rPr>
                <w:sz w:val="14"/>
                <w:szCs w:val="14"/>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(761,664)</w:t>
            </w:r>
          </w:p>
        </w:tc>
        <w:tc>
          <w:tcPr>
            <w:tcW w:w="160" w:type="dxa"/>
            <w:vAlign w:val="bottom"/>
            <w:tcBorders>
              <w:bottom w:val="single" w:sz="8" w:color="auto"/>
            </w:tcBorders>
            <w:shd w:val="clear" w:color="auto" w:fill="CEFFE7"/>
          </w:tcPr>
          <w:p>
            <w:pPr>
              <w:spacing w:after="0"/>
              <w:rPr>
                <w:sz w:val="14"/>
                <w:szCs w:val="14"/>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(816,210)</w:t>
            </w:r>
          </w:p>
        </w:tc>
        <w:tc>
          <w:tcPr>
            <w:tcW w:w="160" w:type="dxa"/>
            <w:vAlign w:val="bottom"/>
            <w:tcBorders>
              <w:bottom w:val="single" w:sz="8" w:color="auto"/>
            </w:tcBorders>
            <w:shd w:val="clear" w:color="auto" w:fill="CEFFE7"/>
          </w:tcPr>
          <w:p>
            <w:pPr>
              <w:spacing w:after="0"/>
              <w:rPr>
                <w:sz w:val="14"/>
                <w:szCs w:val="14"/>
                <w:color w:val="auto"/>
              </w:rPr>
            </w:pP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(465,849)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111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97" w:lineRule="exact"/>
        <w:rPr>
          <w:sz w:val="20"/>
          <w:szCs w:val="20"/>
          <w:color w:val="auto"/>
        </w:rPr>
      </w:pPr>
    </w:p>
    <w:p>
      <w:pPr>
        <w:ind w:left="40"/>
        <w:spacing w:after="0"/>
        <w:rPr>
          <w:sz w:val="20"/>
          <w:szCs w:val="20"/>
          <w:color w:val="auto"/>
        </w:rPr>
      </w:pPr>
      <w:r>
        <w:rPr>
          <w:rFonts w:ascii="Arial" w:cs="Arial" w:eastAsia="Arial" w:hAnsi="Arial"/>
          <w:sz w:val="13"/>
          <w:szCs w:val="13"/>
          <w:color w:val="auto"/>
        </w:rPr>
        <w:t>Financing activities: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Dividends paid on common stock</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Common stock issued</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 (payments) borrowings of short-term debt</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Long-term debt - issuance</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Long-term debt - repayments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Distributions to noncontrolling interests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Other financing activities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cash provided by (used in) financing activities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Net change in cash, restricted cash and cash equivalents</w:t>
      </w:r>
    </w:p>
    <w:p>
      <w:pPr>
        <w:spacing w:after="0" w:line="229" w:lineRule="exact"/>
        <w:rPr>
          <w:sz w:val="20"/>
          <w:szCs w:val="20"/>
          <w:color w:val="auto"/>
        </w:rPr>
      </w:pPr>
    </w:p>
    <w:p>
      <w:pPr>
        <w:ind w:left="160" w:right="2360"/>
        <w:spacing w:after="0" w:line="400" w:lineRule="auto"/>
        <w:rPr>
          <w:sz w:val="20"/>
          <w:szCs w:val="20"/>
          <w:color w:val="auto"/>
        </w:rPr>
      </w:pPr>
      <w:r>
        <w:rPr>
          <w:rFonts w:ascii="Arial" w:cs="Arial" w:eastAsia="Arial" w:hAnsi="Arial"/>
          <w:sz w:val="12"/>
          <w:szCs w:val="12"/>
          <w:color w:val="auto"/>
        </w:rPr>
        <w:t>Cash, restricted cash and cash equivalents beginning of year Cash, restricted cash and cash equivalents end of year</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3"/>
          <w:szCs w:val="13"/>
          <w:color w:val="auto"/>
        </w:rPr>
        <w:t>Supplemental cash flow information: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Cash (paid) refunded during the period for continuing operations: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Interest (net of amounts capitalized)</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Income taxes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Non-cash investing and financing activities from continuing operations: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property, plant and equipment purchases at December 31</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Increase in capitalized assets associated with asset retirement obligations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5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(135,439)</w:t>
            </w:r>
          </w:p>
        </w:tc>
        <w:tc>
          <w:tcPr>
            <w:tcW w:w="5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(124,647)</w:t>
            </w:r>
          </w:p>
        </w:tc>
        <w:tc>
          <w:tcPr>
            <w:tcW w:w="5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(106,591)</w:t>
            </w:r>
          </w:p>
        </w:tc>
      </w:tr>
      <w:tr>
        <w:trPr>
          <w:trHeight w:val="175"/>
        </w:trPr>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99,278</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101,358</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300,834</w:t>
            </w:r>
          </w:p>
        </w:tc>
      </w:tr>
      <w:tr>
        <w:trPr>
          <w:trHeight w:val="175"/>
        </w:trPr>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(115,460)</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163,880</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(25,680)</w:t>
            </w:r>
          </w:p>
        </w:tc>
      </w:tr>
      <w:tr>
        <w:trPr>
          <w:trHeight w:val="175"/>
        </w:trPr>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400,000</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1,100,000</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700,000</w:t>
            </w:r>
          </w:p>
        </w:tc>
      </w:tr>
      <w:tr>
        <w:trPr>
          <w:trHeight w:val="175"/>
        </w:trPr>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(8,597)</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(905,743)</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(854,743)</w:t>
            </w:r>
          </w:p>
        </w:tc>
      </w:tr>
      <w:tr>
        <w:trPr>
          <w:trHeight w:val="176"/>
        </w:trPr>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(15,839)</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(17,901)</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(19,617)</w:t>
            </w:r>
          </w:p>
        </w:tc>
      </w:tr>
      <w:tr>
        <w:trPr>
          <w:trHeight w:val="185"/>
        </w:trPr>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(7,061)</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(16,737)</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(11,260)</w:t>
            </w:r>
          </w:p>
        </w:tc>
      </w:tr>
      <w:tr>
        <w:trPr>
          <w:trHeight w:val="159"/>
        </w:trPr>
        <w:tc>
          <w:tcPr>
            <w:tcW w:w="5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216,882</w:t>
            </w:r>
          </w:p>
        </w:tc>
        <w:tc>
          <w:tcPr>
            <w:tcW w:w="5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300,210</w:t>
            </w:r>
          </w:p>
        </w:tc>
        <w:tc>
          <w:tcPr>
            <w:tcW w:w="5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(17,057)</w:t>
            </w:r>
          </w:p>
        </w:tc>
      </w:tr>
      <w:tr>
        <w:trPr>
          <w:trHeight w:val="378"/>
        </w:trPr>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(2,919)</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(10,487)</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5,905</w:t>
            </w:r>
          </w:p>
        </w:tc>
      </w:tr>
      <w:tr>
        <w:trPr>
          <w:trHeight w:val="388"/>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w:t>
            </w: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24,145</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18,240</w:t>
            </w:r>
          </w:p>
        </w:tc>
      </w:tr>
      <w:tr>
        <w:trPr>
          <w:trHeight w:val="169"/>
        </w:trPr>
        <w:tc>
          <w:tcPr>
            <w:tcW w:w="5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10,739</w:t>
            </w:r>
          </w:p>
        </w:tc>
        <w:tc>
          <w:tcPr>
            <w:tcW w:w="5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w:t>
            </w:r>
          </w:p>
        </w:tc>
        <w:tc>
          <w:tcPr>
            <w:tcW w:w="5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24,145</w:t>
            </w:r>
          </w:p>
        </w:tc>
      </w:tr>
      <w:tr>
        <w:trPr>
          <w:trHeight w:val="27"/>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79"/>
        </w:trPr>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(136,549)</w:t>
            </w: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(131,774)</w:t>
            </w: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(137,965)</w:t>
            </w:r>
          </w:p>
        </w:tc>
      </w:tr>
      <w:tr>
        <w:trPr>
          <w:trHeight w:val="176"/>
        </w:trPr>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2,172</w:t>
            </w: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4,682</w:t>
            </w: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(14,730)</w:t>
            </w:r>
          </w:p>
        </w:tc>
      </w:tr>
      <w:tr>
        <w:trPr>
          <w:trHeight w:val="553"/>
        </w:trPr>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72,215</w:t>
            </w: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91,491</w:t>
            </w: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69,017</w:t>
            </w:r>
          </w:p>
        </w:tc>
      </w:tr>
      <w:tr>
        <w:trPr>
          <w:trHeight w:val="175"/>
        </w:trPr>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4,774</w:t>
            </w: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5,044</w:t>
            </w: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-2432050</wp:posOffset>
            </wp:positionV>
            <wp:extent cx="7106285" cy="111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111760"/>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-2209165</wp:posOffset>
            </wp:positionV>
            <wp:extent cx="7106285" cy="1111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1112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-1986280</wp:posOffset>
            </wp:positionV>
            <wp:extent cx="7106285" cy="111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1112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-1763395</wp:posOffset>
            </wp:positionV>
            <wp:extent cx="710628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-1515110</wp:posOffset>
            </wp:positionV>
            <wp:extent cx="7106285" cy="1111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11112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-1275080</wp:posOffset>
            </wp:positionV>
            <wp:extent cx="7106285" cy="111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6285" cy="11112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-1026160</wp:posOffset>
            </wp:positionV>
            <wp:extent cx="7106285" cy="1282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128270"/>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-786130</wp:posOffset>
            </wp:positionV>
            <wp:extent cx="7106285"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11112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-563245</wp:posOffset>
            </wp:positionV>
            <wp:extent cx="7106285" cy="11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11112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-323215</wp:posOffset>
            </wp:positionV>
            <wp:extent cx="7106285" cy="111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11112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-100965</wp:posOffset>
            </wp:positionV>
            <wp:extent cx="7106285"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580"/>
          </w:cols>
          <w:pgMar w:left="320" w:top="121" w:right="359" w:bottom="1440" w:gutter="0" w:footer="0" w:header="0"/>
          <w:type w:val="continuous"/>
        </w:sectPr>
      </w:pPr>
    </w:p>
    <w:p>
      <w:pPr>
        <w:spacing w:after="0" w:line="145" w:lineRule="exact"/>
        <w:rPr>
          <w:sz w:val="20"/>
          <w:szCs w:val="20"/>
          <w:color w:val="auto"/>
        </w:rPr>
      </w:pPr>
    </w:p>
    <w:p>
      <w:pPr>
        <w:jc w:val="center"/>
        <w:ind w:right="140"/>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71">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0" w:name="page71"/>
    <w:bookmarkEnd w:id="7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Common Stock</w:t>
            </w:r>
          </w:p>
        </w:tc>
        <w:tc>
          <w:tcPr>
            <w:tcW w:w="152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4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share amounts)</w:t>
            </w:r>
          </w:p>
        </w:tc>
        <w:tc>
          <w:tcPr>
            <w:tcW w:w="980" w:type="dxa"/>
            <w:vAlign w:val="bottom"/>
            <w:vMerge w:val="restart"/>
          </w:tcPr>
          <w:p>
            <w:pPr>
              <w:jc w:val="right"/>
              <w:ind w:right="2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700" w:type="dxa"/>
            <w:vAlign w:val="bottom"/>
            <w:vMerge w:val="restart"/>
          </w:tcPr>
          <w:p>
            <w:pPr>
              <w:jc w:val="right"/>
              <w:ind w:right="257"/>
              <w:spacing w:after="0"/>
              <w:rPr>
                <w:sz w:val="20"/>
                <w:szCs w:val="20"/>
                <w:color w:val="auto"/>
              </w:rPr>
            </w:pPr>
            <w:r>
              <w:rPr>
                <w:rFonts w:ascii="Arial" w:cs="Arial" w:eastAsia="Arial" w:hAnsi="Arial"/>
                <w:sz w:val="13"/>
                <w:szCs w:val="13"/>
                <w:color w:val="auto"/>
              </w:rPr>
              <w:t>Value</w:t>
            </w:r>
          </w:p>
        </w:tc>
        <w:tc>
          <w:tcPr>
            <w:tcW w:w="720" w:type="dxa"/>
            <w:vAlign w:val="bottom"/>
            <w:vMerge w:val="restart"/>
          </w:tcPr>
          <w:p>
            <w:pPr>
              <w:jc w:val="right"/>
              <w:ind w:right="13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color w:val="auto"/>
              </w:rPr>
              <w:t>Value</w:t>
            </w:r>
          </w:p>
        </w:tc>
        <w:tc>
          <w:tcPr>
            <w:tcW w:w="900" w:type="dxa"/>
            <w:vAlign w:val="bottom"/>
            <w:gridSpan w:val="2"/>
          </w:tcPr>
          <w:p>
            <w:pPr>
              <w:ind w:left="40"/>
              <w:spacing w:after="0" w:line="116" w:lineRule="exact"/>
              <w:rPr>
                <w:sz w:val="20"/>
                <w:szCs w:val="20"/>
                <w:color w:val="auto"/>
              </w:rPr>
            </w:pPr>
            <w:r>
              <w:rPr>
                <w:rFonts w:ascii="Arial" w:cs="Arial" w:eastAsia="Arial" w:hAnsi="Arial"/>
                <w:sz w:val="13"/>
                <w:szCs w:val="13"/>
                <w:color w:val="auto"/>
                <w:w w:val="96"/>
              </w:rPr>
              <w:t>Additional Paid</w:t>
            </w:r>
          </w:p>
        </w:tc>
        <w:tc>
          <w:tcPr>
            <w:tcW w:w="140" w:type="dxa"/>
            <w:vAlign w:val="bottom"/>
          </w:tcPr>
          <w:p>
            <w:pPr>
              <w:spacing w:after="0"/>
              <w:rPr>
                <w:sz w:val="10"/>
                <w:szCs w:val="10"/>
                <w:color w:val="auto"/>
              </w:rPr>
            </w:pPr>
          </w:p>
        </w:tc>
        <w:tc>
          <w:tcPr>
            <w:tcW w:w="740" w:type="dxa"/>
            <w:vAlign w:val="bottom"/>
          </w:tcPr>
          <w:p>
            <w:pPr>
              <w:jc w:val="right"/>
              <w:ind w:right="117"/>
              <w:spacing w:after="0" w:line="116" w:lineRule="exact"/>
              <w:rPr>
                <w:sz w:val="20"/>
                <w:szCs w:val="20"/>
                <w:color w:val="auto"/>
              </w:rPr>
            </w:pPr>
            <w:r>
              <w:rPr>
                <w:rFonts w:ascii="Arial" w:cs="Arial" w:eastAsia="Arial" w:hAnsi="Arial"/>
                <w:sz w:val="13"/>
                <w:szCs w:val="13"/>
                <w:color w:val="auto"/>
              </w:rPr>
              <w:t>Retained</w:t>
            </w:r>
          </w:p>
        </w:tc>
        <w:tc>
          <w:tcPr>
            <w:tcW w:w="160" w:type="dxa"/>
            <w:vAlign w:val="bottom"/>
          </w:tcPr>
          <w:p>
            <w:pPr>
              <w:spacing w:after="0"/>
              <w:rPr>
                <w:sz w:val="10"/>
                <w:szCs w:val="10"/>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color w:val="auto"/>
              </w:rPr>
              <w:t>AOCI</w:t>
            </w:r>
          </w:p>
        </w:tc>
        <w:tc>
          <w:tcPr>
            <w:tcW w:w="900" w:type="dxa"/>
            <w:vAlign w:val="bottom"/>
            <w:gridSpan w:val="2"/>
          </w:tcPr>
          <w:p>
            <w:pPr>
              <w:jc w:val="right"/>
              <w:spacing w:after="0" w:line="116" w:lineRule="exact"/>
              <w:rPr>
                <w:sz w:val="20"/>
                <w:szCs w:val="20"/>
                <w:color w:val="auto"/>
              </w:rPr>
            </w:pPr>
            <w:r>
              <w:rPr>
                <w:rFonts w:ascii="Arial" w:cs="Arial" w:eastAsia="Arial" w:hAnsi="Arial"/>
                <w:sz w:val="13"/>
                <w:szCs w:val="13"/>
                <w:color w:val="auto"/>
                <w:w w:val="99"/>
              </w:rPr>
              <w:t>Non controlling</w:t>
            </w:r>
          </w:p>
        </w:tc>
        <w:tc>
          <w:tcPr>
            <w:tcW w:w="240" w:type="dxa"/>
            <w:vAlign w:val="bottom"/>
          </w:tcPr>
          <w:p>
            <w:pPr>
              <w:spacing w:after="0"/>
              <w:rPr>
                <w:sz w:val="10"/>
                <w:szCs w:val="10"/>
                <w:color w:val="auto"/>
              </w:rPr>
            </w:pPr>
          </w:p>
        </w:tc>
        <w:tc>
          <w:tcPr>
            <w:tcW w:w="780" w:type="dxa"/>
            <w:vAlign w:val="bottom"/>
            <w:vMerge w:val="restart"/>
          </w:tcPr>
          <w:p>
            <w:pPr>
              <w:jc w:val="right"/>
              <w:ind w:right="29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1"/>
        </w:trPr>
        <w:tc>
          <w:tcPr>
            <w:tcW w:w="3340" w:type="dxa"/>
            <w:vAlign w:val="bottom"/>
            <w:tcBorders>
              <w:bottom w:val="single" w:sz="8" w:color="CEFFE7"/>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in Capital</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Earnings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Interest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b w:val="1"/>
                <w:bCs w:val="1"/>
                <w:color w:val="auto"/>
              </w:rPr>
              <w:t>Balance at December 31, 2017</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53,579,986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53,580</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39,064</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(2,306)</w:t>
            </w:r>
          </w:p>
        </w:tc>
        <w:tc>
          <w:tcPr>
            <w:tcW w:w="140" w:type="dxa"/>
            <w:vAlign w:val="bottom"/>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1,150,285</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548,617</w:t>
            </w:r>
          </w:p>
        </w:tc>
        <w:tc>
          <w:tcPr>
            <w:tcW w:w="1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(41,202)</w:t>
            </w:r>
          </w:p>
        </w:tc>
        <w:tc>
          <w:tcPr>
            <w:tcW w:w="16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111,232</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1,820,206</w:t>
            </w: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3"/>
                <w:szCs w:val="13"/>
                <w:color w:val="auto"/>
              </w:rPr>
              <w:t>Net income available for common stock</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258,442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14,220</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272,662</w:t>
            </w:r>
          </w:p>
        </w:tc>
        <w:tc>
          <w:tcPr>
            <w:tcW w:w="0" w:type="dxa"/>
            <w:vAlign w:val="bottom"/>
          </w:tcPr>
          <w:p>
            <w:pPr>
              <w:spacing w:after="0"/>
              <w:rPr>
                <w:sz w:val="1"/>
                <w:szCs w:val="1"/>
                <w:color w:val="auto"/>
              </w:rPr>
            </w:pPr>
          </w:p>
        </w:tc>
      </w:tr>
      <w:tr>
        <w:trPr>
          <w:trHeight w:val="184"/>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7,027</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7,027</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Reclassification of certain tax effects from AOCI</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740</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740</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Reclassification to regulatory asset</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6,519</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6,519</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Dividends on common stock ($1.93 per share)</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(106,591)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(106,591)</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92,830</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93</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5,189</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(204)</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7,301</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7,190</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80" w:type="dxa"/>
            <w:vAlign w:val="bottom"/>
          </w:tcPr>
          <w:p>
            <w:pPr>
              <w:jc w:val="right"/>
              <w:spacing w:after="0"/>
              <w:rPr>
                <w:sz w:val="20"/>
                <w:szCs w:val="20"/>
                <w:color w:val="auto"/>
              </w:rPr>
            </w:pPr>
            <w:r>
              <w:rPr>
                <w:rFonts w:ascii="Arial" w:cs="Arial" w:eastAsia="Arial" w:hAnsi="Arial"/>
                <w:sz w:val="13"/>
                <w:szCs w:val="13"/>
                <w:color w:val="auto"/>
              </w:rPr>
              <w:t>6,371,690</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6,372</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292,628</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299,000</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Issuance costs</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Dividend reinvestment and stock purchase plan</w:t>
            </w:r>
          </w:p>
        </w:tc>
        <w:tc>
          <w:tcPr>
            <w:tcW w:w="980" w:type="dxa"/>
            <w:vAlign w:val="bottom"/>
          </w:tcPr>
          <w:p>
            <w:pPr>
              <w:jc w:val="right"/>
              <w:spacing w:after="0"/>
              <w:rPr>
                <w:sz w:val="20"/>
                <w:szCs w:val="20"/>
                <w:color w:val="auto"/>
              </w:rPr>
            </w:pPr>
            <w:r>
              <w:rPr>
                <w:rFonts w:ascii="Arial" w:cs="Arial" w:eastAsia="Arial" w:hAnsi="Arial"/>
                <w:sz w:val="13"/>
                <w:szCs w:val="13"/>
                <w:color w:val="auto"/>
              </w:rPr>
              <w:t>4,061</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216</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 stock transactions</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154</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(72)</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69"/>
        </w:trPr>
        <w:tc>
          <w:tcPr>
            <w:tcW w:w="3340" w:type="dxa"/>
            <w:vAlign w:val="bottom"/>
            <w:tcBorders>
              <w:bottom w:val="single" w:sz="8" w:color="CEFFE7"/>
            </w:tcBorders>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(19,617)</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(19,617)</w:t>
            </w:r>
          </w:p>
        </w:tc>
        <w:tc>
          <w:tcPr>
            <w:tcW w:w="0" w:type="dxa"/>
            <w:vAlign w:val="bottom"/>
          </w:tcPr>
          <w:p>
            <w:pPr>
              <w:spacing w:after="0"/>
              <w:rPr>
                <w:sz w:val="1"/>
                <w:szCs w:val="1"/>
                <w:color w:val="auto"/>
              </w:rPr>
            </w:pPr>
          </w:p>
        </w:tc>
      </w:tr>
      <w:tr>
        <w:trPr>
          <w:trHeight w:val="176"/>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60,048,567</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60,049</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44,253</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(2,510)</w:t>
            </w:r>
          </w:p>
        </w:tc>
        <w:tc>
          <w:tcPr>
            <w:tcW w:w="140" w:type="dxa"/>
            <w:vAlign w:val="bottom"/>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1,450,569</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700,396</w:t>
            </w:r>
          </w:p>
        </w:tc>
        <w:tc>
          <w:tcPr>
            <w:tcW w:w="1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(26,916)</w:t>
            </w:r>
          </w:p>
        </w:tc>
        <w:tc>
          <w:tcPr>
            <w:tcW w:w="16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105,835</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2,287,423</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Net income available for common stock</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199,310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14,012</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213,322</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(3,739)</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(3,739)</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Dividends on common stock ($2.05 per share)</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(124,647)</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(124,647)</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103,759</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104</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(40,297)</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2,243</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4,729</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7,076</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80" w:type="dxa"/>
            <w:vAlign w:val="bottom"/>
          </w:tcPr>
          <w:p>
            <w:pPr>
              <w:jc w:val="right"/>
              <w:spacing w:after="0"/>
              <w:rPr>
                <w:sz w:val="20"/>
                <w:szCs w:val="20"/>
                <w:color w:val="auto"/>
              </w:rPr>
            </w:pPr>
            <w:r>
              <w:rPr>
                <w:rFonts w:ascii="Arial" w:cs="Arial" w:eastAsia="Arial" w:hAnsi="Arial"/>
                <w:sz w:val="13"/>
                <w:szCs w:val="13"/>
                <w:color w:val="auto"/>
              </w:rPr>
              <w:t>1,328,332</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1,328</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98,672</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Issuance costs</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(1,182)</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(1,182)</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327</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Implementation of ASU 2016-02 Leases</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3,390</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3,390</w:t>
            </w:r>
          </w:p>
        </w:tc>
        <w:tc>
          <w:tcPr>
            <w:tcW w:w="0" w:type="dxa"/>
            <w:vAlign w:val="bottom"/>
          </w:tcPr>
          <w:p>
            <w:pPr>
              <w:spacing w:after="0"/>
              <w:rPr>
                <w:sz w:val="1"/>
                <w:szCs w:val="1"/>
                <w:color w:val="auto"/>
              </w:rPr>
            </w:pPr>
          </w:p>
        </w:tc>
      </w:tr>
      <w:tr>
        <w:trPr>
          <w:trHeight w:val="169"/>
        </w:trPr>
        <w:tc>
          <w:tcPr>
            <w:tcW w:w="3340" w:type="dxa"/>
            <w:vAlign w:val="bottom"/>
            <w:tcBorders>
              <w:bottom w:val="single" w:sz="8" w:color="CEFFE7"/>
            </w:tcBorders>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(17,901)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(17,901)</w:t>
            </w:r>
          </w:p>
        </w:tc>
        <w:tc>
          <w:tcPr>
            <w:tcW w:w="0" w:type="dxa"/>
            <w:vAlign w:val="bottom"/>
          </w:tcPr>
          <w:p>
            <w:pPr>
              <w:spacing w:after="0"/>
              <w:rPr>
                <w:sz w:val="1"/>
                <w:szCs w:val="1"/>
                <w:color w:val="auto"/>
              </w:rPr>
            </w:pPr>
          </w:p>
        </w:tc>
      </w:tr>
      <w:tr>
        <w:trPr>
          <w:trHeight w:val="176"/>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61,480,658</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61,481</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3,956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(267)</w:t>
            </w:r>
          </w:p>
        </w:tc>
        <w:tc>
          <w:tcPr>
            <w:tcW w:w="140" w:type="dxa"/>
            <w:vAlign w:val="bottom"/>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1,552,788</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778,776</w:t>
            </w:r>
          </w:p>
        </w:tc>
        <w:tc>
          <w:tcPr>
            <w:tcW w:w="1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(30,655)</w:t>
            </w:r>
          </w:p>
        </w:tc>
        <w:tc>
          <w:tcPr>
            <w:tcW w:w="16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101,946</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2,464,069</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Net income available for common stock</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227,608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15,155</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242,763</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3,309</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3,309</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Dividends on common stock ($2.17 per share)</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(135,439)</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(135,439)</w:t>
            </w:r>
          </w:p>
        </w:tc>
        <w:tc>
          <w:tcPr>
            <w:tcW w:w="0" w:type="dxa"/>
            <w:vAlign w:val="bottom"/>
          </w:tcPr>
          <w:p>
            <w:pPr>
              <w:spacing w:after="0"/>
              <w:rPr>
                <w:sz w:val="1"/>
                <w:szCs w:val="1"/>
                <w:color w:val="auto"/>
              </w:rPr>
            </w:pPr>
          </w:p>
        </w:tc>
      </w:tr>
      <w:tr>
        <w:trPr>
          <w:trHeight w:val="183"/>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123,578</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123</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28,536</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(1,852)</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6,923</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5,194</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80" w:type="dxa"/>
            <w:vAlign w:val="bottom"/>
          </w:tcPr>
          <w:p>
            <w:pPr>
              <w:jc w:val="right"/>
              <w:spacing w:after="0"/>
              <w:rPr>
                <w:sz w:val="20"/>
                <w:szCs w:val="20"/>
                <w:color w:val="auto"/>
              </w:rPr>
            </w:pPr>
            <w:r>
              <w:rPr>
                <w:rFonts w:ascii="Arial" w:cs="Arial" w:eastAsia="Arial" w:hAnsi="Arial"/>
                <w:sz w:val="13"/>
                <w:szCs w:val="13"/>
                <w:color w:val="auto"/>
              </w:rPr>
              <w:t>1,222,943</w:t>
            </w:r>
          </w:p>
        </w:tc>
        <w:tc>
          <w:tcPr>
            <w:tcW w:w="1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1,223</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98,777</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84"/>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Issuance costs</w:t>
            </w:r>
          </w:p>
        </w:tc>
        <w:tc>
          <w:tcPr>
            <w:tcW w:w="9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(1,203)</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(1,203)</w:t>
            </w:r>
          </w:p>
        </w:tc>
        <w:tc>
          <w:tcPr>
            <w:tcW w:w="0" w:type="dxa"/>
            <w:vAlign w:val="bottom"/>
          </w:tcPr>
          <w:p>
            <w:pPr>
              <w:spacing w:after="0"/>
              <w:rPr>
                <w:sz w:val="1"/>
                <w:szCs w:val="1"/>
                <w:color w:val="auto"/>
              </w:rPr>
            </w:pPr>
          </w:p>
        </w:tc>
      </w:tr>
      <w:tr>
        <w:trPr>
          <w:trHeight w:val="129"/>
        </w:trPr>
        <w:tc>
          <w:tcPr>
            <w:tcW w:w="3340" w:type="dxa"/>
            <w:vAlign w:val="bottom"/>
          </w:tcPr>
          <w:p>
            <w:pPr>
              <w:ind w:left="20"/>
              <w:spacing w:after="0" w:line="129" w:lineRule="exact"/>
              <w:rPr>
                <w:sz w:val="20"/>
                <w:szCs w:val="20"/>
                <w:color w:val="auto"/>
              </w:rPr>
            </w:pPr>
            <w:r>
              <w:rPr>
                <w:rFonts w:ascii="Arial" w:cs="Arial" w:eastAsia="Arial" w:hAnsi="Arial"/>
                <w:sz w:val="13"/>
                <w:szCs w:val="13"/>
                <w:color w:val="auto"/>
              </w:rPr>
              <w:t>Implementation of ASU 2016-13 Financial Instruments - -</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(207)</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60"/>
        </w:trPr>
        <w:tc>
          <w:tcPr>
            <w:tcW w:w="3340" w:type="dxa"/>
            <w:vAlign w:val="bottom"/>
          </w:tcPr>
          <w:p>
            <w:pPr>
              <w:ind w:left="20"/>
              <w:spacing w:after="0"/>
              <w:rPr>
                <w:sz w:val="20"/>
                <w:szCs w:val="20"/>
                <w:color w:val="auto"/>
              </w:rPr>
            </w:pPr>
            <w:r>
              <w:rPr>
                <w:rFonts w:ascii="Arial" w:cs="Arial" w:eastAsia="Arial" w:hAnsi="Arial"/>
                <w:sz w:val="13"/>
                <w:szCs w:val="13"/>
                <w:color w:val="auto"/>
              </w:rPr>
              <w:t>Credit Losses</w:t>
            </w:r>
          </w:p>
        </w:tc>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(15,839)</w:t>
            </w:r>
          </w:p>
        </w:tc>
        <w:tc>
          <w:tcPr>
            <w:tcW w:w="24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(15,839)</w:t>
            </w: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62,827,179</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62,827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32,492</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(2,119)</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1,657,285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870,738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(27,346)</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101,262</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2,662,647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71">
        <w:r>
          <w:rPr>
            <w:rFonts w:ascii="Arial" w:cs="Arial" w:eastAsia="Arial" w:hAnsi="Arial"/>
            <w:sz w:val="14"/>
            <w:szCs w:val="14"/>
            <w:u w:val="single" w:color="auto"/>
            <w:color w:val="0000FF"/>
          </w:rPr>
          <w:t>Notes to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2019 and 2018</w:t>
      </w:r>
    </w:p>
    <w:p>
      <w:pPr>
        <w:spacing w:after="0" w:line="235" w:lineRule="exact"/>
        <w:rPr>
          <w:sz w:val="20"/>
          <w:szCs w:val="20"/>
          <w:color w:val="auto"/>
        </w:rPr>
      </w:pPr>
    </w:p>
    <w:p>
      <w:pPr>
        <w:ind w:right="5460" w:firstLine="8"/>
        <w:spacing w:after="0" w:line="576" w:lineRule="auto"/>
        <w:tabs>
          <w:tab w:leader="none" w:pos="378"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DESCRIPTION AND SIGNIFICANT ACCOUNTING POLICIES Business Description</w:t>
      </w:r>
    </w:p>
    <w:p>
      <w:pPr>
        <w:spacing w:after="0" w:line="1"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Black Hills Corporation is a customer-focused, growth-oriented utility company headquartered in Rapid City, South Dakota. We are a holding company that, through our subsidiaries, conducts our operations through the following reportable segments: Electric Utilities, Gas Utilities, Power Generation and Mining. Certain unallocated corporate expenses that support our operating segments are presented as Corporate and Other.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222"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Our Gas Utilities segment consists of the operating results of our regulated natural gas utility subsidiaries in Arkansas, Colorado, Iowa, Kansas, Nebraska and Wyoming.</w:t>
      </w:r>
    </w:p>
    <w:p>
      <w:pPr>
        <w:spacing w:after="0" w:line="228" w:lineRule="exact"/>
        <w:rPr>
          <w:sz w:val="20"/>
          <w:szCs w:val="20"/>
          <w:color w:val="auto"/>
        </w:rPr>
      </w:pPr>
    </w:p>
    <w:p>
      <w:pPr>
        <w:ind w:right="2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Both of our non-utility business segments support our Electric Utilities. Our Power Generation segment, which is conducted through Black Hills Electric Generation and its subsidiaries, engages in independent power generation activities in Colorado, Iowa and Wyoming. Our Mining segment, which is conducted through WRDC, engages in coal mining activities located near Gillette, Wyoming. For further descriptions of our reportable business segments, see </w:t>
      </w:r>
      <w:hyperlink w:anchor="page120">
        <w:r>
          <w:rPr>
            <w:rFonts w:ascii="Arial" w:cs="Arial" w:eastAsia="Arial" w:hAnsi="Arial"/>
            <w:sz w:val="16"/>
            <w:szCs w:val="16"/>
            <w:u w:val="single" w:color="auto"/>
            <w:color w:val="0000FF"/>
          </w:rPr>
          <w:t>Note 18</w:t>
        </w:r>
      </w:hyperlink>
      <w:r>
        <w:rPr>
          <w:rFonts w:ascii="Arial" w:cs="Arial" w:eastAsia="Arial" w:hAnsi="Arial"/>
          <w:sz w:val="16"/>
          <w:szCs w:val="16"/>
          <w:color w:val="auto"/>
        </w:rPr>
        <w:t>.</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November 1, 2017, our Board of Directors approved a complete divestiture of our Oil and Gas segment. We completed the divestiture of our Oil and Gas segment in 2018. The Oil and Gas segment results of operations were shown in income (loss) from discontinued operations, other than certain general and administrative costs and interest expense which did not meet the criteria for income (loss) from discontinued operations. Unless otherwise noted, the amounts presented in the accompanying Notes to Consolidated Financial Statements relate to the Company’s continuing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certain assets and liabilities and disclosure of contingent assets and liabilities at the date of the financial statements and the reported amounts of revenues and expenses during the reporting period. Changes in facts and circumstances or additional information may result in revised estimates and actual results could differ materially from those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outbreak a national emergency. The U.S. government has deemed electric and natural gas utilities to be critical infrastructure sectors that provide essential services during this emergency. As a provider of essential services, the Company has an obligation to provide services to our customers. The Company remains focused on protecting the health of our customers, employees and the communities in which we operate while assuring the continuity of our business operations.</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Company’s Consolidated Financial Statements reflect estimates and assumptions made by management that affect the reported amounts of assets and liabilities and disclosure of contingent assets and liabilities at the date of the Consolidated Financial Statements and reported amounts of revenue and expenses during the reporting periods presented. The Company considered the impacts of COVID-19 on the assumptions and estimates used and determined that, for the year ended December 31, 2020, there were no material adverse impacts on the Company’s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accounts of Black Hills Corporation and its wholly-owned and majority-owned and controlled subsidiaries.</w:t>
      </w:r>
    </w:p>
    <w:p>
      <w:pPr>
        <w:spacing w:after="0" w:line="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All intercompany balances and transactions have been eliminated in consolidation. For additional information on intercompany revenues, see </w:t>
      </w:r>
      <w:hyperlink w:anchor="page120">
        <w:r>
          <w:rPr>
            <w:rFonts w:ascii="Arial" w:cs="Arial" w:eastAsia="Arial" w:hAnsi="Arial"/>
            <w:sz w:val="16"/>
            <w:szCs w:val="16"/>
            <w:u w:val="single" w:color="auto"/>
            <w:color w:val="0000FF"/>
          </w:rPr>
          <w:t>Note 18</w:t>
        </w:r>
      </w:hyperlink>
      <w:r>
        <w:rPr>
          <w:rFonts w:ascii="Arial" w:cs="Arial" w:eastAsia="Arial" w:hAnsi="Arial"/>
          <w:sz w:val="16"/>
          <w:szCs w:val="16"/>
          <w:color w:val="auto"/>
        </w:rPr>
        <w:t>.</w:t>
      </w:r>
    </w:p>
    <w:p>
      <w:pPr>
        <w:spacing w:after="0" w:line="248" w:lineRule="exact"/>
        <w:rPr>
          <w:sz w:val="20"/>
          <w:szCs w:val="20"/>
          <w:color w:val="auto"/>
        </w:rPr>
      </w:pPr>
    </w:p>
    <w:p>
      <w:pPr>
        <w:ind w:right="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Our Consolidated Statements of Income include operating activity of acquired companies beginning with their acquisition date. We use the proportionate consolidation method to account for our ownership interest in any jointly-owned electric utility generation facility, wind farm or transmission tie. See </w:t>
      </w:r>
      <w:hyperlink w:anchor="page93">
        <w:r>
          <w:rPr>
            <w:rFonts w:ascii="Arial" w:cs="Arial" w:eastAsia="Arial" w:hAnsi="Arial"/>
            <w:sz w:val="16"/>
            <w:szCs w:val="16"/>
            <w:u w:val="single" w:color="auto"/>
            <w:color w:val="0000FF"/>
          </w:rPr>
          <w:t>Note 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26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evaluate arrangements and contracts with other entities to determine if they are VIEs and if we are the primary beneficiary. GAAP provides a framework for identifying VIEs and determining when a company should include the assets, liabilities, noncontrolling interest and results of activities of a VIE in its consolidated financial statements.</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 VIE should be consolidated if a party with an ownership, contractual or other financial interest in the VIE (a variable interest holder) has the power to direct the VIE’s most significant activities and the obligation to absorb losses or right to receive benefits of the VIE that could be significant to the VIE.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w:t>
      </w:r>
    </w:p>
    <w:p>
      <w:pPr>
        <w:spacing w:after="0" w:line="229" w:lineRule="exact"/>
        <w:rPr>
          <w:sz w:val="20"/>
          <w:szCs w:val="20"/>
          <w:color w:val="auto"/>
        </w:rPr>
      </w:pPr>
    </w:p>
    <w:p>
      <w:pPr>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Our evaluation of whether our interest qualifies as the primary beneficiary of a VIE involves significant judgments, estimates and assumptions and includes a qualitative analysis of the activities that most significantly impact the VIE’s economic performance and whether the Company has the power to direct those activities, the design of the entity, the rights of the parties and the purpose of the arrangement. Black Hills Colorado IPP is a VIE. See additional information in </w:t>
      </w:r>
      <w:hyperlink w:anchor="page107">
        <w:r>
          <w:rPr>
            <w:rFonts w:ascii="Arial" w:cs="Arial" w:eastAsia="Arial" w:hAnsi="Arial"/>
            <w:sz w:val="16"/>
            <w:szCs w:val="16"/>
            <w:u w:val="single" w:color="auto"/>
            <w:color w:val="0000FF"/>
          </w:rPr>
          <w:t>Note 14</w:t>
        </w:r>
      </w:hyperlink>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and Restricted Cash</w:t>
      </w:r>
    </w:p>
    <w:p>
      <w:pPr>
        <w:spacing w:after="0" w:line="26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consider all highly liquid investments with an original maturity of three months or less to be cash and cash equivalents. We maintain cash accounts for various specified purposes, which are classified as restricted cash.</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Credit Losses</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Accounts receivable for our Electric and Gas Utilities business segments primarily consists of sales to residential, commercial, industrial, transportation and other customers, all of which do not bear interest. These accounts receivable are stated at billed and estimated unbilled amounts, net of allowance for credit losses. Accounts receivable for our Power Generation and Mining business segments consists of amounts due from sales of electric energy and capacity and coal primarily to affiliates or regional utilities.</w:t>
      </w:r>
    </w:p>
    <w:p>
      <w:pPr>
        <w:spacing w:after="0" w:line="16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maintain an allowance for credit losses which reflects our estimate of uncollectible trade receivables. We regularly review our trade receivable allowance by considering such factors as historical experience, credit worthiness, the age of the receivable balances and current economic conditions that may affect collectibility.</w:t>
      </w:r>
    </w:p>
    <w:p>
      <w:pPr>
        <w:spacing w:after="0" w:line="22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specific cases where we are aware of a customer’s inability or reluctance to pay, we record an allowance for credit losses to reduce the net receivable balance to the amount we reasonably expect to collect. However, if circumstances change, our estimate of the recoverability of accounts receivable could be affected. Circumstances which could affect our estimates include, but are not limited to, customer credit issues, expected losses, the level of commodity prices, customer deposits and general economic conditions. Accounts are written off once they are deemed to be uncollectible or the time allowed for dispute under the contract has expired.</w:t>
      </w:r>
    </w:p>
    <w:p>
      <w:pPr>
        <w:spacing w:after="0" w:line="176"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as of December 31 (in thousands):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20" w:type="dxa"/>
            <w:vAlign w:val="bottom"/>
            <w:vMerge w:val="restart"/>
          </w:tcPr>
          <w:p>
            <w:pPr>
              <w:ind w:left="1980"/>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color w:val="auto"/>
              </w:rPr>
              <w:t>Billed Accounts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color w:val="auto"/>
              </w:rPr>
              <w:t>Less Allowance for</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rPr>
              <w:t>Accounts Receivable,</w:t>
            </w:r>
          </w:p>
        </w:tc>
        <w:tc>
          <w:tcPr>
            <w:tcW w:w="0" w:type="dxa"/>
            <w:vAlign w:val="bottom"/>
          </w:tcPr>
          <w:p>
            <w:pPr>
              <w:spacing w:after="0"/>
              <w:rPr>
                <w:sz w:val="1"/>
                <w:szCs w:val="1"/>
                <w:color w:val="auto"/>
              </w:rPr>
            </w:pPr>
          </w:p>
        </w:tc>
      </w:tr>
      <w:tr>
        <w:trPr>
          <w:trHeight w:val="198"/>
        </w:trPr>
        <w:tc>
          <w:tcPr>
            <w:tcW w:w="43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Receivable</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Unbilled Revenue</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Credit Losses</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213"/>
        </w:trPr>
        <w:tc>
          <w:tcPr>
            <w:tcW w:w="4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Electric Utilities</w:t>
            </w:r>
          </w:p>
        </w:tc>
        <w:tc>
          <w:tcPr>
            <w:tcW w:w="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45,841</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32,915</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(1,269)</w:t>
            </w:r>
          </w:p>
        </w:tc>
        <w:tc>
          <w:tcPr>
            <w:tcW w:w="4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77,487</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95,592</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93,150</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(5,734)</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183,008</w:t>
            </w:r>
          </w:p>
        </w:tc>
        <w:tc>
          <w:tcPr>
            <w:tcW w:w="0" w:type="dxa"/>
            <w:vAlign w:val="bottom"/>
          </w:tcPr>
          <w:p>
            <w:pPr>
              <w:spacing w:after="0"/>
              <w:rPr>
                <w:sz w:val="1"/>
                <w:szCs w:val="1"/>
                <w:color w:val="auto"/>
              </w:rPr>
            </w:pPr>
          </w:p>
        </w:tc>
      </w:tr>
      <w:tr>
        <w:trPr>
          <w:trHeight w:val="219"/>
        </w:trPr>
        <w:tc>
          <w:tcPr>
            <w:tcW w:w="4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Power Generation</w:t>
            </w:r>
          </w:p>
        </w:tc>
        <w:tc>
          <w:tcPr>
            <w:tcW w:w="200" w:type="dxa"/>
            <w:vAlign w:val="bottom"/>
            <w:shd w:val="clear" w:color="auto" w:fill="CEFFE7"/>
          </w:tcPr>
          <w:p>
            <w:pPr>
              <w:spacing w:after="0"/>
              <w:rPr>
                <w:sz w:val="19"/>
                <w:szCs w:val="19"/>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1,837</w:t>
            </w:r>
          </w:p>
        </w:tc>
        <w:tc>
          <w:tcPr>
            <w:tcW w:w="20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Mining</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2,511</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2,511</w:t>
            </w:r>
          </w:p>
        </w:tc>
        <w:tc>
          <w:tcPr>
            <w:tcW w:w="0" w:type="dxa"/>
            <w:vAlign w:val="bottom"/>
          </w:tcPr>
          <w:p>
            <w:pPr>
              <w:spacing w:after="0"/>
              <w:rPr>
                <w:sz w:val="1"/>
                <w:szCs w:val="1"/>
                <w:color w:val="auto"/>
              </w:rPr>
            </w:pPr>
          </w:p>
        </w:tc>
      </w:tr>
      <w:tr>
        <w:trPr>
          <w:trHeight w:val="216"/>
        </w:trPr>
        <w:tc>
          <w:tcPr>
            <w:tcW w:w="4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1,118</w:t>
            </w:r>
          </w:p>
        </w:tc>
        <w:tc>
          <w:tcPr>
            <w:tcW w:w="20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(7,003)</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265,961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4320" w:type="dxa"/>
            <w:vAlign w:val="bottom"/>
            <w:vMerge w:val="restart"/>
          </w:tcPr>
          <w:p>
            <w:pPr>
              <w:ind w:left="1980"/>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4"/>
                <w:szCs w:val="24"/>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color w:val="auto"/>
              </w:rPr>
              <w:t>Billed Accounts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color w:val="auto"/>
              </w:rPr>
              <w:t>Less Allowance for</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rPr>
              <w:t>Accounts Receivable,</w:t>
            </w:r>
          </w:p>
        </w:tc>
        <w:tc>
          <w:tcPr>
            <w:tcW w:w="0" w:type="dxa"/>
            <w:vAlign w:val="bottom"/>
          </w:tcPr>
          <w:p>
            <w:pPr>
              <w:spacing w:after="0"/>
              <w:rPr>
                <w:sz w:val="1"/>
                <w:szCs w:val="1"/>
                <w:color w:val="auto"/>
              </w:rPr>
            </w:pPr>
          </w:p>
        </w:tc>
      </w:tr>
      <w:tr>
        <w:trPr>
          <w:trHeight w:val="198"/>
        </w:trPr>
        <w:tc>
          <w:tcPr>
            <w:tcW w:w="43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Receivable</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Unbilled Revenue</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Credit Losses</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212"/>
        </w:trPr>
        <w:tc>
          <w:tcPr>
            <w:tcW w:w="4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Electric Utilities</w:t>
            </w:r>
          </w:p>
        </w:tc>
        <w:tc>
          <w:tcPr>
            <w:tcW w:w="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41,428</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33,886</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(592)</w:t>
            </w:r>
          </w:p>
        </w:tc>
        <w:tc>
          <w:tcPr>
            <w:tcW w:w="4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74,722</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97,607</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79,616</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(1,683)</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175,540</w:t>
            </w:r>
          </w:p>
        </w:tc>
        <w:tc>
          <w:tcPr>
            <w:tcW w:w="0" w:type="dxa"/>
            <w:vAlign w:val="bottom"/>
          </w:tcPr>
          <w:p>
            <w:pPr>
              <w:spacing w:after="0"/>
              <w:rPr>
                <w:sz w:val="1"/>
                <w:szCs w:val="1"/>
                <w:color w:val="auto"/>
              </w:rPr>
            </w:pPr>
          </w:p>
        </w:tc>
      </w:tr>
      <w:tr>
        <w:trPr>
          <w:trHeight w:val="219"/>
        </w:trPr>
        <w:tc>
          <w:tcPr>
            <w:tcW w:w="4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Power Generation</w:t>
            </w:r>
          </w:p>
        </w:tc>
        <w:tc>
          <w:tcPr>
            <w:tcW w:w="200" w:type="dxa"/>
            <w:vAlign w:val="bottom"/>
            <w:shd w:val="clear" w:color="auto" w:fill="CEFFE7"/>
          </w:tcPr>
          <w:p>
            <w:pPr>
              <w:spacing w:after="0"/>
              <w:rPr>
                <w:sz w:val="19"/>
                <w:szCs w:val="19"/>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2,164</w:t>
            </w:r>
          </w:p>
        </w:tc>
        <w:tc>
          <w:tcPr>
            <w:tcW w:w="20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Mining</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2,277</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216"/>
        </w:trPr>
        <w:tc>
          <w:tcPr>
            <w:tcW w:w="4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1,271</w:t>
            </w:r>
          </w:p>
        </w:tc>
        <w:tc>
          <w:tcPr>
            <w:tcW w:w="20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(169)</w:t>
            </w:r>
          </w:p>
        </w:tc>
        <w:tc>
          <w:tcPr>
            <w:tcW w:w="42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255,805</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years ended December 31,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16"/>
                <w:szCs w:val="16"/>
                <w:color w:val="auto"/>
              </w:rPr>
            </w:pPr>
          </w:p>
        </w:tc>
        <w:tc>
          <w:tcPr>
            <w:tcW w:w="2420" w:type="dxa"/>
            <w:vAlign w:val="bottom"/>
            <w:gridSpan w:val="2"/>
          </w:tcPr>
          <w:p>
            <w:pPr>
              <w:jc w:val="right"/>
              <w:ind w:right="19"/>
              <w:spacing w:after="0"/>
              <w:rPr>
                <w:sz w:val="20"/>
                <w:szCs w:val="20"/>
                <w:color w:val="auto"/>
              </w:rPr>
            </w:pPr>
            <w:r>
              <w:rPr>
                <w:rFonts w:ascii="Arial" w:cs="Arial" w:eastAsia="Arial" w:hAnsi="Arial"/>
                <w:sz w:val="16"/>
                <w:szCs w:val="16"/>
                <w:color w:val="auto"/>
              </w:rPr>
              <w:t>Balance at Beginning</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Additions Charged to</w:t>
            </w:r>
          </w:p>
        </w:tc>
        <w:tc>
          <w:tcPr>
            <w:tcW w:w="280" w:type="dxa"/>
            <w:vAlign w:val="bottom"/>
          </w:tcPr>
          <w:p>
            <w:pPr>
              <w:spacing w:after="0"/>
              <w:rPr>
                <w:sz w:val="16"/>
                <w:szCs w:val="16"/>
                <w:color w:val="auto"/>
              </w:rPr>
            </w:pPr>
          </w:p>
        </w:tc>
        <w:tc>
          <w:tcPr>
            <w:tcW w:w="1820" w:type="dxa"/>
            <w:vAlign w:val="bottom"/>
            <w:gridSpan w:val="2"/>
          </w:tcPr>
          <w:p>
            <w:pPr>
              <w:jc w:val="right"/>
              <w:ind w:right="19"/>
              <w:spacing w:after="0"/>
              <w:rPr>
                <w:sz w:val="20"/>
                <w:szCs w:val="20"/>
                <w:color w:val="auto"/>
              </w:rPr>
            </w:pPr>
            <w:r>
              <w:rPr>
                <w:rFonts w:ascii="Arial" w:cs="Arial" w:eastAsia="Arial" w:hAnsi="Arial"/>
                <w:sz w:val="16"/>
                <w:szCs w:val="16"/>
                <w:color w:val="auto"/>
              </w:rPr>
              <w:t>Recoveries and Other</w:t>
            </w:r>
          </w:p>
        </w:tc>
        <w:tc>
          <w:tcPr>
            <w:tcW w:w="200" w:type="dxa"/>
            <w:vAlign w:val="bottom"/>
          </w:tcPr>
          <w:p>
            <w:pPr>
              <w:spacing w:after="0"/>
              <w:rPr>
                <w:sz w:val="16"/>
                <w:szCs w:val="16"/>
                <w:color w:val="auto"/>
              </w:rPr>
            </w:pPr>
          </w:p>
        </w:tc>
        <w:tc>
          <w:tcPr>
            <w:tcW w:w="1640" w:type="dxa"/>
            <w:vAlign w:val="bottom"/>
          </w:tcPr>
          <w:p>
            <w:pPr>
              <w:jc w:val="right"/>
              <w:ind w:right="99"/>
              <w:spacing w:after="0"/>
              <w:rPr>
                <w:sz w:val="20"/>
                <w:szCs w:val="20"/>
                <w:color w:val="auto"/>
              </w:rPr>
            </w:pPr>
            <w:r>
              <w:rPr>
                <w:rFonts w:ascii="Arial" w:cs="Arial" w:eastAsia="Arial" w:hAnsi="Arial"/>
                <w:sz w:val="16"/>
                <w:szCs w:val="16"/>
                <w:color w:val="auto"/>
                <w:w w:val="99"/>
              </w:rPr>
              <w:t>Write-offs and Other</w:t>
            </w: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1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of Year</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Costs and Expenses</w:t>
            </w: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Additions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Deductions</w:t>
            </w: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Balance at End of Year</w:t>
            </w:r>
          </w:p>
        </w:tc>
      </w:tr>
      <w:tr>
        <w:trPr>
          <w:trHeight w:val="213"/>
        </w:trPr>
        <w:tc>
          <w:tcPr>
            <w:tcW w:w="1320" w:type="dxa"/>
            <w:vAlign w:val="bottom"/>
            <w:shd w:val="clear" w:color="auto" w:fill="CEFFE7"/>
          </w:tcPr>
          <w:p>
            <w:pPr>
              <w:jc w:val="right"/>
              <w:ind w:right="659"/>
              <w:spacing w:after="0"/>
              <w:rPr>
                <w:sz w:val="20"/>
                <w:szCs w:val="20"/>
                <w:color w:val="auto"/>
              </w:rPr>
            </w:pPr>
            <w:r>
              <w:rPr>
                <w:rFonts w:ascii="Arial" w:cs="Arial" w:eastAsia="Arial" w:hAnsi="Arial"/>
                <w:sz w:val="16"/>
                <w:szCs w:val="16"/>
                <w:color w:val="auto"/>
              </w:rPr>
              <w:t>2020</w:t>
            </w:r>
          </w:p>
        </w:tc>
        <w:tc>
          <w:tcPr>
            <w:tcW w:w="106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2,444</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8,927</w:t>
            </w:r>
          </w:p>
        </w:tc>
        <w:tc>
          <w:tcPr>
            <w:tcW w:w="280" w:type="dxa"/>
            <w:vAlign w:val="bottom"/>
            <w:shd w:val="clear" w:color="auto" w:fill="CEFFE7"/>
          </w:tcPr>
          <w:p>
            <w:pPr>
              <w:ind w:left="40"/>
              <w:spacing w:after="0"/>
              <w:rPr>
                <w:sz w:val="20"/>
                <w:szCs w:val="20"/>
                <w:color w:val="auto"/>
              </w:rPr>
            </w:pPr>
            <w:r>
              <w:rPr>
                <w:rFonts w:ascii="Arial" w:cs="Arial" w:eastAsia="Arial" w:hAnsi="Arial"/>
                <w:sz w:val="11"/>
                <w:szCs w:val="11"/>
                <w:color w:val="auto"/>
              </w:rPr>
              <w:t>(a)</w:t>
            </w:r>
          </w:p>
        </w:tc>
        <w:tc>
          <w:tcPr>
            <w:tcW w:w="40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4,728</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(9,096)</w:t>
            </w:r>
          </w:p>
        </w:tc>
        <w:tc>
          <w:tcPr>
            <w:tcW w:w="740" w:type="dxa"/>
            <w:vAlign w:val="bottom"/>
            <w:shd w:val="clear" w:color="auto" w:fill="CEFFE7"/>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7,003</w:t>
            </w:r>
          </w:p>
        </w:tc>
      </w:tr>
      <w:tr>
        <w:trPr>
          <w:trHeight w:val="213"/>
        </w:trPr>
        <w:tc>
          <w:tcPr>
            <w:tcW w:w="1320" w:type="dxa"/>
            <w:vAlign w:val="bottom"/>
          </w:tcPr>
          <w:p>
            <w:pPr>
              <w:jc w:val="right"/>
              <w:ind w:right="659"/>
              <w:spacing w:after="0"/>
              <w:rPr>
                <w:sz w:val="20"/>
                <w:szCs w:val="20"/>
                <w:color w:val="auto"/>
              </w:rPr>
            </w:pPr>
            <w:r>
              <w:rPr>
                <w:rFonts w:ascii="Arial" w:cs="Arial" w:eastAsia="Arial" w:hAnsi="Arial"/>
                <w:sz w:val="16"/>
                <w:szCs w:val="16"/>
                <w:color w:val="auto"/>
              </w:rPr>
              <w:t>2019</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5,795</w:t>
            </w:r>
          </w:p>
        </w:tc>
        <w:tc>
          <w:tcPr>
            <w:tcW w:w="280" w:type="dxa"/>
            <w:vAlign w:val="bottom"/>
          </w:tcPr>
          <w:p>
            <w:pPr>
              <w:spacing w:after="0"/>
              <w:rPr>
                <w:sz w:val="18"/>
                <w:szCs w:val="18"/>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3,942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(10,502)</w:t>
            </w:r>
          </w:p>
        </w:tc>
        <w:tc>
          <w:tcPr>
            <w:tcW w:w="740" w:type="dxa"/>
            <w:vAlign w:val="bottom"/>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2,444</w:t>
            </w:r>
          </w:p>
        </w:tc>
      </w:tr>
      <w:tr>
        <w:trPr>
          <w:trHeight w:val="219"/>
        </w:trPr>
        <w:tc>
          <w:tcPr>
            <w:tcW w:w="1320" w:type="dxa"/>
            <w:vAlign w:val="bottom"/>
            <w:shd w:val="clear" w:color="auto" w:fill="CEFFE7"/>
          </w:tcPr>
          <w:p>
            <w:pPr>
              <w:jc w:val="right"/>
              <w:ind w:right="659"/>
              <w:spacing w:after="0"/>
              <w:rPr>
                <w:sz w:val="20"/>
                <w:szCs w:val="20"/>
                <w:color w:val="auto"/>
              </w:rPr>
            </w:pPr>
            <w:r>
              <w:rPr>
                <w:rFonts w:ascii="Arial" w:cs="Arial" w:eastAsia="Arial" w:hAnsi="Arial"/>
                <w:sz w:val="16"/>
                <w:szCs w:val="16"/>
                <w:color w:val="auto"/>
              </w:rPr>
              <w:t>2018</w:t>
            </w:r>
          </w:p>
        </w:tc>
        <w:tc>
          <w:tcPr>
            <w:tcW w:w="106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3,081</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6,859</w:t>
            </w:r>
          </w:p>
        </w:tc>
        <w:tc>
          <w:tcPr>
            <w:tcW w:w="280" w:type="dxa"/>
            <w:vAlign w:val="bottom"/>
            <w:shd w:val="clear" w:color="auto" w:fill="CEFFE7"/>
          </w:tcPr>
          <w:p>
            <w:pPr>
              <w:spacing w:after="0"/>
              <w:rPr>
                <w:sz w:val="19"/>
                <w:szCs w:val="19"/>
                <w:color w:val="auto"/>
              </w:rPr>
            </w:pPr>
          </w:p>
        </w:tc>
        <w:tc>
          <w:tcPr>
            <w:tcW w:w="40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4,092</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(10,823)</w:t>
            </w:r>
          </w:p>
        </w:tc>
        <w:tc>
          <w:tcPr>
            <w:tcW w:w="740" w:type="dxa"/>
            <w:vAlign w:val="bottom"/>
            <w:shd w:val="clear" w:color="auto" w:fill="CEFFE7"/>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3,209</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ind w:left="340" w:right="320" w:hanging="332"/>
        <w:spacing w:after="0" w:line="249" w:lineRule="auto"/>
        <w:tabs>
          <w:tab w:leader="none" w:pos="352"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Due to the COVID-19 pandemic, all of our jurisdictions temporarily suspended disconnections due to non-payment for a period of time, which increased our accounts receivable arrears balances. As a result, we increased our allowance for credit losses and bad debt expense for the year ended December 31, 2020 by an incremental $3.3 million. The ongoing credit evaluation of our customers during the COVID-19 pandemic is further discussed in the Credit Risk section of </w:t>
      </w:r>
      <w:hyperlink w:anchor="page100">
        <w:r>
          <w:rPr>
            <w:rFonts w:ascii="Arial" w:cs="Arial" w:eastAsia="Arial" w:hAnsi="Arial"/>
            <w:sz w:val="14"/>
            <w:szCs w:val="14"/>
            <w:u w:val="single" w:color="auto"/>
            <w:color w:val="0000FF"/>
          </w:rPr>
          <w:t>Note 11</w:t>
        </w:r>
      </w:hyperlink>
      <w:r>
        <w:rPr>
          <w:rFonts w:ascii="Arial" w:cs="Arial" w:eastAsia="Arial" w:hAnsi="Arial"/>
          <w:sz w:val="14"/>
          <w:szCs w:val="14"/>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Materials, Supplies and Fuel</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20" w:type="dxa"/>
            <w:vAlign w:val="bottom"/>
            <w:tcBorders>
              <w:bottom w:val="single" w:sz="8" w:color="CEFFE7"/>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2020</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2019</w:t>
            </w:r>
          </w:p>
        </w:tc>
      </w:tr>
      <w:tr>
        <w:trPr>
          <w:trHeight w:val="213"/>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Materials and supplies</w:t>
            </w:r>
          </w:p>
        </w:tc>
        <w:tc>
          <w:tcPr>
            <w:tcW w:w="1380" w:type="dxa"/>
            <w:vAlign w:val="bottom"/>
            <w:shd w:val="clear" w:color="auto" w:fill="CEFFE7"/>
          </w:tcPr>
          <w:p>
            <w:pPr>
              <w:jc w:val="right"/>
              <w:ind w:right="11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85,250</w:t>
            </w:r>
          </w:p>
        </w:tc>
        <w:tc>
          <w:tcPr>
            <w:tcW w:w="52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82,809</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Fuel</w:t>
            </w:r>
          </w:p>
        </w:tc>
        <w:tc>
          <w:tcPr>
            <w:tcW w:w="1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1,531</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2,425</w:t>
            </w:r>
          </w:p>
        </w:tc>
      </w:tr>
      <w:tr>
        <w:trPr>
          <w:trHeight w:val="216"/>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in storage</w:t>
            </w:r>
          </w:p>
        </w:tc>
        <w:tc>
          <w:tcPr>
            <w:tcW w:w="13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30,619</w:t>
            </w:r>
          </w:p>
        </w:tc>
        <w:tc>
          <w:tcPr>
            <w:tcW w:w="52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31,938</w:t>
            </w:r>
          </w:p>
        </w:tc>
      </w:tr>
      <w:tr>
        <w:trPr>
          <w:trHeight w:val="213"/>
        </w:trPr>
        <w:tc>
          <w:tcPr>
            <w:tcW w:w="6920" w:type="dxa"/>
            <w:vAlign w:val="bottom"/>
          </w:tcPr>
          <w:p>
            <w:pPr>
              <w:ind w:left="140"/>
              <w:spacing w:after="0"/>
              <w:rPr>
                <w:sz w:val="20"/>
                <w:szCs w:val="20"/>
                <w:color w:val="auto"/>
              </w:rPr>
            </w:pPr>
            <w:r>
              <w:rPr>
                <w:rFonts w:ascii="Arial" w:cs="Arial" w:eastAsia="Arial" w:hAnsi="Arial"/>
                <w:sz w:val="16"/>
                <w:szCs w:val="16"/>
                <w:color w:val="auto"/>
              </w:rPr>
              <w:t>Total materials, supplies and fuel</w:t>
            </w:r>
          </w:p>
        </w:tc>
        <w:tc>
          <w:tcPr>
            <w:tcW w:w="13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117,400</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117,172</w:t>
            </w:r>
          </w:p>
        </w:tc>
      </w:tr>
      <w:tr>
        <w:trPr>
          <w:trHeight w:val="21"/>
        </w:trPr>
        <w:tc>
          <w:tcPr>
            <w:tcW w:w="6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Materials and supplies represent parts and supplies for all of our business segments. Fuel represents diesel oil and gas used by our Electric Utilities to produce power. Natural gas in storage primarily represents gas purchased for use by our gas customers. All of our Materials, supplies and fuel are recorded using the weighted-average cost method and are valued at the lower-of-cost or net realizable value. The value of our natural gas in storage fluctuates with seasonal volume requirements of our business and the commodity price of natural gas.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w:t>
      </w:r>
    </w:p>
    <w:p>
      <w:pPr>
        <w:spacing w:after="0" w:line="2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February 2018, we made a contribution of $28 million of assets in exchange for equity securities in a privately held oil and gas company as we divested of our Oil and Gas segment. The carrying value of our investment in the equity securities was recorded at cost. We review this investment on a periodic basis to determine whether a significant event or change in circumstances has occurred that may have an adverse effect on the value of the investment.</w:t>
      </w:r>
    </w:p>
    <w:p>
      <w:pPr>
        <w:spacing w:after="0" w:line="22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During the third quarter of 2019, we assessed our investment for impairment as a result of a deterioration in earnings performance of the privately held oil and gas company and an adverse change in future natural gas prices. We engaged a third-party valuation consultant to estimate the fair value of our investment. The valuation was primarily based on an income approach but also considered a market valuation approach. The significant inputs used to estimate the fair value were the oil and gas reserve quantities and values utilizing forward market price curves, industry standard reserve adjustment factors and a discount rate of 10%. Based on the results of the valuation, we concluded that the carrying value of the investment exceeded fair value. As a result, we recorded a pre-tax impairment loss of $20 million for the three months ended September 30, 2019, which was the difference between the carrying amount and the fair value of the investment at that time.</w:t>
      </w:r>
    </w:p>
    <w:p>
      <w:pPr>
        <w:spacing w:after="0" w:line="235"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During the first quarter of 2020, we assessed our investment for impairment as a result of continued adverse changes in future natural gas prices and liquidity concerns at the privately held oil and gas company. We performed an internal analysis to compute the fair value of our investment, utilizing a consistent methodology as applied during the third quarter of 2019. Based on the results of the valuation, we concluded that the carrying value of the investment exceeded fair value. As a result, we recorded a pre-tax impairment loss of $6.9 million for the three months ended March 31, 2020, which was the difference between the carrying value and the fair value of the investment at that time.</w:t>
      </w:r>
    </w:p>
    <w:p>
      <w:pPr>
        <w:spacing w:after="0" w:line="230"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following table presents the carrying value of our investments (in thousands), which are included in Other assets, non-current on the Consolidated Balance Sheets, as of December 31: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20" w:type="dxa"/>
            <w:vAlign w:val="bottom"/>
            <w:tcBorders>
              <w:bottom w:val="single" w:sz="8" w:color="CEFFE7"/>
            </w:tcBorders>
          </w:tcPr>
          <w:p>
            <w:pPr>
              <w:spacing w:after="0"/>
              <w:rPr>
                <w:sz w:val="17"/>
                <w:szCs w:val="17"/>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2020</w:t>
            </w: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2019</w:t>
            </w:r>
          </w:p>
        </w:tc>
      </w:tr>
      <w:tr>
        <w:trPr>
          <w:trHeight w:val="213"/>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Investment in privately held oil and gas company</w:t>
            </w:r>
          </w:p>
        </w:tc>
        <w:tc>
          <w:tcPr>
            <w:tcW w:w="1420" w:type="dxa"/>
            <w:vAlign w:val="bottom"/>
            <w:shd w:val="clear" w:color="auto" w:fill="CEFFE7"/>
          </w:tcPr>
          <w:p>
            <w:pPr>
              <w:jc w:val="right"/>
              <w:ind w:right="12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1,500</w:t>
            </w:r>
          </w:p>
        </w:tc>
        <w:tc>
          <w:tcPr>
            <w:tcW w:w="52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8,359</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Cash surrender value of life insurance contracts</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13,628</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13,056</w:t>
            </w:r>
          </w:p>
        </w:tc>
      </w:tr>
      <w:tr>
        <w:trPr>
          <w:trHeight w:val="216"/>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investments</w:t>
            </w:r>
          </w:p>
        </w:tc>
        <w:tc>
          <w:tcPr>
            <w:tcW w:w="142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682</w:t>
            </w:r>
          </w:p>
        </w:tc>
        <w:tc>
          <w:tcPr>
            <w:tcW w:w="52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514</w:t>
            </w:r>
          </w:p>
        </w:tc>
      </w:tr>
      <w:tr>
        <w:trPr>
          <w:trHeight w:val="212"/>
        </w:trPr>
        <w:tc>
          <w:tcPr>
            <w:tcW w:w="692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142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15,810</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21,929</w:t>
            </w:r>
          </w:p>
        </w:tc>
      </w:tr>
      <w:tr>
        <w:trPr>
          <w:trHeight w:val="21"/>
        </w:trPr>
        <w:tc>
          <w:tcPr>
            <w:tcW w:w="6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We changed the classification of our investments on the Consolidated Balance Sheets as of December 31, 2019 to conform with current year presentation.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prior year reclassification of $22 million from Investments to Other assets, non-current did not impact previously reported current or total assets.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268"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Additions to property, plant and equipment are recorded at cost. Included in the cost of regulated construction projects is AFUDC, when applicable, which represents the approximate composite cost of borrowed funds and a return on equity used to finance a regulated utility project. We also capitalize interest, when applicable, on undeveloped leasehold costs and certain non-regulated construction projects. In addition, asset retirement costs associated with tangible long-lived regulated utility assets are recognized as liabilities with an increase to the carrying amounts of the related long-lived regulated utility assets in the period incurred. The amounts capitalized are included in Property, plant and equipment on the accompanying Consolidated Balance Sheets. We also classify our stored natural gas base or Cushion Gas as property, plant and equipment.</w:t>
      </w:r>
    </w:p>
    <w:p>
      <w:pPr>
        <w:spacing w:after="0" w:line="232"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cost of regulated utility property, plant and equipment retired, or otherwise disposed of in the ordinary course of business, less salvage plus retirement costs, is charged to accumulated depreciation. Estimated removal costs related to our regulated properties that do not have legal retirement obligations are reclassified from accumulated depreciation and reflected as regulatory liabilities. Retirement or disposal of all other assets result in gains or losses recognized as a component of operating income. Ordinary repairs and maintenance of property, except as allowed under rate regulations, are charged to operations as incurred.</w:t>
      </w:r>
    </w:p>
    <w:p>
      <w:pPr>
        <w:spacing w:after="0" w:line="23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Depreciation provisions for property, plant and equipment are generally computed on a straight-line basis based on the applicable estimated service life of the various classes of property. The composite depreciation method is applied to regulated utility property. Capitalized mining costs and coal leases are amortized on a unit-of-production method based on volumes produced and estimated reserves. For certain non-utility power plant components, depreciation is computed on a unit-of-production methodology based on plant hours run.</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91">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26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Accounting standards for AROs associated with long-lived assets require that the present value of retirement costs for which we have a legal obligation be recorded as liabilities with an equivalent amount added to the asset cost and depreciated over an appropriate period. The associated ARO accretion expense for our non-regulated operations is included within Depreciation, depletion and amortization on the accompanying Consolidated Statements of Income. The accounting for the obligation for regulated operations has no income statement impact due to the deferral of the adjustments through the establishment of a regulatory asset or a regulatory liability.</w:t>
      </w:r>
    </w:p>
    <w:p>
      <w:pPr>
        <w:spacing w:after="0" w:line="230" w:lineRule="exact"/>
        <w:rPr>
          <w:sz w:val="20"/>
          <w:szCs w:val="20"/>
          <w:color w:val="auto"/>
        </w:rPr>
      </w:pPr>
    </w:p>
    <w:p>
      <w:pPr>
        <w:ind w:right="6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We initially record liabilities for the present value of retirement costs for which we have a legal obligation, with an equivalent amount added to the asset cost. The asset is then depreciated or depleted over the appropriate useful life and the liability is accreted over time by applying an interest method of allocation. Any difference in the actual cost of the settlement of the liability and the recorded amount is recognized as a gain or loss in the results of operations at the time of settlement for our non-regulated operations. Additional information is included in </w:t>
      </w:r>
      <w:hyperlink w:anchor="page94">
        <w:r>
          <w:rPr>
            <w:rFonts w:ascii="Arial" w:cs="Arial" w:eastAsia="Arial" w:hAnsi="Arial"/>
            <w:sz w:val="16"/>
            <w:szCs w:val="16"/>
            <w:u w:val="single" w:color="auto"/>
            <w:color w:val="0000FF"/>
          </w:rPr>
          <w:t>Note 7</w:t>
        </w:r>
      </w:hyperlink>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268"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Goodwill and intangible assets with indefinite lives are not amortized, but the carrying values are reviewed upon an indicator of impairment or at least annually. Intangible assets with a finite life are amortized over their estimated useful lives.</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determined that the reporting units for its goodwill impairment test are its operating segments, which are also its reportable segments.</w:t>
      </w:r>
    </w:p>
    <w:p>
      <w:pPr>
        <w:spacing w:after="0" w:line="24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goodwill impairment analysis includes an income approach and a market approach to estimate the fair value of our reporting units. This analysis requires the input of several critical assumptions, including future growth rates, cash flow projections, operating cost escalation rates, rates of return, a risk-adjusted discount rate, timing and level of success in regulatory rate proceedings, the cost of debt and equity capital, long-term earnings and merger multiples for comparable companies.</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believe that goodwill reflects the inherent value of the relatively stable, long-lived cash flows of the regulated electric and gas utility businesses, considering the regulatory environment, and the long-lived cash flow and rate base growth opportunities at our utilities. Goodwill amounts have not changed since 2016. As of December 31, 2020 and 2019, Goodwill balances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79"/>
              <w:spacing w:after="0"/>
              <w:rPr>
                <w:sz w:val="20"/>
                <w:szCs w:val="20"/>
                <w:color w:val="auto"/>
              </w:rPr>
            </w:pPr>
            <w:r>
              <w:rPr>
                <w:rFonts w:ascii="Arial" w:cs="Arial" w:eastAsia="Arial" w:hAnsi="Arial"/>
                <w:sz w:val="16"/>
                <w:szCs w:val="16"/>
                <w:color w:val="auto"/>
              </w:rPr>
              <w:t>Power</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8"/>
        </w:trPr>
        <w:tc>
          <w:tcPr>
            <w:tcW w:w="6280" w:type="dxa"/>
            <w:vAlign w:val="bottom"/>
            <w:tcBorders>
              <w:bottom w:val="single" w:sz="8" w:color="CEFFE7"/>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Electric Utilities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Gas Utilities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Generation</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Total</w:t>
            </w:r>
          </w:p>
        </w:tc>
      </w:tr>
      <w:tr>
        <w:trPr>
          <w:trHeight w:val="238"/>
        </w:trPr>
        <w:tc>
          <w:tcPr>
            <w:tcW w:w="6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248,479</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1,042,210</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8,765</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ind w:left="160"/>
              <w:spacing w:after="0"/>
              <w:rPr>
                <w:sz w:val="20"/>
                <w:szCs w:val="20"/>
                <w:color w:val="auto"/>
              </w:rPr>
            </w:pPr>
            <w:r>
              <w:rPr>
                <w:rFonts w:ascii="Arial" w:cs="Arial" w:eastAsia="Arial" w:hAnsi="Arial"/>
                <w:sz w:val="16"/>
                <w:szCs w:val="16"/>
                <w:color w:val="auto"/>
              </w:rPr>
              <w:t>1,299,454</w:t>
            </w:r>
          </w:p>
        </w:tc>
      </w:tr>
      <w:tr>
        <w:trPr>
          <w:trHeight w:val="20"/>
        </w:trPr>
        <w:tc>
          <w:tcPr>
            <w:tcW w:w="628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Our intangible assets represent contract intangibles, easements, rights-of-way, customer listings and trademarks. The finite-lived intangible assets are amortized using a straight-line method based on estimated useful lives; these assets are currently being amortized from 2 years to 40 years. Changes to intangible assets for the years ended December 31, were as follows (in thousands):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680" w:type="dxa"/>
            <w:vAlign w:val="bottom"/>
            <w:tcBorders>
              <w:bottom w:val="single" w:sz="8" w:color="CEFFE7"/>
            </w:tcBorders>
          </w:tcPr>
          <w:p>
            <w:pPr>
              <w:spacing w:after="0"/>
              <w:rPr>
                <w:sz w:val="17"/>
                <w:szCs w:val="17"/>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2020</w:t>
            </w: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2019</w:t>
            </w: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2018</w:t>
            </w:r>
          </w:p>
        </w:tc>
      </w:tr>
      <w:tr>
        <w:trPr>
          <w:trHeight w:val="213"/>
        </w:trPr>
        <w:tc>
          <w:tcPr>
            <w:tcW w:w="46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Intangible assets, net, beginning balance</w:t>
            </w:r>
          </w:p>
        </w:tc>
        <w:tc>
          <w:tcPr>
            <w:tcW w:w="1420" w:type="dxa"/>
            <w:vAlign w:val="bottom"/>
            <w:shd w:val="clear" w:color="auto" w:fill="CEFFE7"/>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13,266</w:t>
            </w:r>
          </w:p>
        </w:tc>
        <w:tc>
          <w:tcPr>
            <w:tcW w:w="52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14,337</w:t>
            </w:r>
          </w:p>
        </w:tc>
        <w:tc>
          <w:tcPr>
            <w:tcW w:w="520" w:type="dxa"/>
            <w:vAlign w:val="bottom"/>
            <w:shd w:val="clear" w:color="auto" w:fill="CEFFE7"/>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7,559</w:t>
            </w:r>
          </w:p>
        </w:tc>
      </w:tr>
      <w:tr>
        <w:trPr>
          <w:trHeight w:val="213"/>
        </w:trPr>
        <w:tc>
          <w:tcPr>
            <w:tcW w:w="4680" w:type="dxa"/>
            <w:vAlign w:val="bottom"/>
          </w:tcPr>
          <w:p>
            <w:pPr>
              <w:ind w:left="140"/>
              <w:spacing w:after="0"/>
              <w:rPr>
                <w:sz w:val="20"/>
                <w:szCs w:val="20"/>
                <w:color w:val="auto"/>
              </w:rPr>
            </w:pPr>
            <w:r>
              <w:rPr>
                <w:rFonts w:ascii="Arial" w:cs="Arial" w:eastAsia="Arial" w:hAnsi="Arial"/>
                <w:sz w:val="16"/>
                <w:szCs w:val="16"/>
                <w:color w:val="auto"/>
              </w:rPr>
              <w:t>Additions</w:t>
            </w: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7,602</w:t>
            </w:r>
          </w:p>
        </w:tc>
      </w:tr>
      <w:tr>
        <w:trPr>
          <w:trHeight w:val="219"/>
        </w:trPr>
        <w:tc>
          <w:tcPr>
            <w:tcW w:w="468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Amortization expense </w:t>
            </w:r>
            <w:r>
              <w:rPr>
                <w:rFonts w:ascii="Arial" w:cs="Arial" w:eastAsia="Arial" w:hAnsi="Arial"/>
                <w:sz w:val="21"/>
                <w:szCs w:val="21"/>
                <w:color w:val="auto"/>
                <w:vertAlign w:val="superscript"/>
              </w:rPr>
              <w:t>(a)</w:t>
            </w:r>
          </w:p>
        </w:tc>
        <w:tc>
          <w:tcPr>
            <w:tcW w:w="1420" w:type="dxa"/>
            <w:vAlign w:val="bottom"/>
            <w:tcBorders>
              <w:bottom w:val="single" w:sz="8" w:color="auto"/>
            </w:tcBorders>
            <w:shd w:val="clear" w:color="auto" w:fill="CEFFE7"/>
          </w:tcPr>
          <w:p>
            <w:pPr>
              <w:spacing w:after="0"/>
              <w:rPr>
                <w:sz w:val="19"/>
                <w:szCs w:val="19"/>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(1,322)</w:t>
            </w:r>
          </w:p>
        </w:tc>
        <w:tc>
          <w:tcPr>
            <w:tcW w:w="520" w:type="dxa"/>
            <w:vAlign w:val="bottom"/>
            <w:tcBorders>
              <w:bottom w:val="single" w:sz="8" w:color="auto"/>
            </w:tcBorders>
            <w:shd w:val="clear" w:color="auto" w:fill="CEFFE7"/>
          </w:tcPr>
          <w:p>
            <w:pPr>
              <w:spacing w:after="0"/>
              <w:rPr>
                <w:sz w:val="19"/>
                <w:szCs w:val="19"/>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(1,071)</w:t>
            </w:r>
          </w:p>
        </w:tc>
        <w:tc>
          <w:tcPr>
            <w:tcW w:w="520" w:type="dxa"/>
            <w:vAlign w:val="bottom"/>
            <w:tcBorders>
              <w:bottom w:val="single" w:sz="8" w:color="auto"/>
            </w:tcBorders>
            <w:shd w:val="clear" w:color="auto" w:fill="CEFFE7"/>
          </w:tcPr>
          <w:p>
            <w:pPr>
              <w:spacing w:after="0"/>
              <w:rPr>
                <w:sz w:val="19"/>
                <w:szCs w:val="19"/>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(824)</w:t>
            </w:r>
          </w:p>
        </w:tc>
      </w:tr>
      <w:tr>
        <w:trPr>
          <w:trHeight w:val="210"/>
        </w:trPr>
        <w:tc>
          <w:tcPr>
            <w:tcW w:w="4680" w:type="dxa"/>
            <w:vAlign w:val="bottom"/>
          </w:tcPr>
          <w:p>
            <w:pPr>
              <w:ind w:left="20"/>
              <w:spacing w:after="0"/>
              <w:rPr>
                <w:sz w:val="20"/>
                <w:szCs w:val="20"/>
                <w:color w:val="auto"/>
              </w:rPr>
            </w:pPr>
            <w:r>
              <w:rPr>
                <w:rFonts w:ascii="Arial" w:cs="Arial" w:eastAsia="Arial" w:hAnsi="Arial"/>
                <w:sz w:val="16"/>
                <w:szCs w:val="16"/>
                <w:color w:val="auto"/>
              </w:rPr>
              <w:t>Intangible assets, net, ending balance</w:t>
            </w:r>
          </w:p>
        </w:tc>
        <w:tc>
          <w:tcPr>
            <w:tcW w:w="142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11,944</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13,266</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14,337</w:t>
            </w:r>
          </w:p>
        </w:tc>
      </w:tr>
      <w:tr>
        <w:trPr>
          <w:trHeight w:val="20"/>
        </w:trPr>
        <w:tc>
          <w:tcPr>
            <w:tcW w:w="4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Amortization expense for existing intangible assets is expected to be $1.3 million for each year of the next five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Liabilities</w:t>
      </w:r>
    </w:p>
    <w:p>
      <w:pPr>
        <w:spacing w:after="0" w:line="26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 December 31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20" w:type="dxa"/>
            <w:vAlign w:val="bottom"/>
            <w:tcBorders>
              <w:bottom w:val="single" w:sz="8" w:color="CEFFE7"/>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2020</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2019</w:t>
            </w:r>
          </w:p>
        </w:tc>
      </w:tr>
      <w:tr>
        <w:trPr>
          <w:trHeight w:val="213"/>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1380" w:type="dxa"/>
            <w:vAlign w:val="bottom"/>
            <w:shd w:val="clear" w:color="auto" w:fill="CEFFE7"/>
          </w:tcPr>
          <w:p>
            <w:pPr>
              <w:jc w:val="right"/>
              <w:ind w:right="11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77,806</w:t>
            </w:r>
          </w:p>
        </w:tc>
        <w:tc>
          <w:tcPr>
            <w:tcW w:w="52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62,837</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1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47,105</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44,547</w:t>
            </w:r>
          </w:p>
        </w:tc>
      </w:tr>
      <w:tr>
        <w:trPr>
          <w:trHeight w:val="219"/>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Customer deposits and prepayments</w:t>
            </w:r>
          </w:p>
        </w:tc>
        <w:tc>
          <w:tcPr>
            <w:tcW w:w="138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52,185</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54,728</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31,520</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31,868</w:t>
            </w:r>
          </w:p>
        </w:tc>
      </w:tr>
      <w:tr>
        <w:trPr>
          <w:trHeight w:val="216"/>
        </w:trPr>
        <w:tc>
          <w:tcPr>
            <w:tcW w:w="6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13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34,996</w:t>
            </w:r>
          </w:p>
        </w:tc>
        <w:tc>
          <w:tcPr>
            <w:tcW w:w="52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32,787</w:t>
            </w:r>
          </w:p>
        </w:tc>
      </w:tr>
      <w:tr>
        <w:trPr>
          <w:trHeight w:val="213"/>
        </w:trPr>
        <w:tc>
          <w:tcPr>
            <w:tcW w:w="6920" w:type="dxa"/>
            <w:vAlign w:val="bottom"/>
          </w:tcPr>
          <w:p>
            <w:pPr>
              <w:ind w:left="220"/>
              <w:spacing w:after="0"/>
              <w:rPr>
                <w:sz w:val="20"/>
                <w:szCs w:val="20"/>
                <w:color w:val="auto"/>
              </w:rPr>
            </w:pPr>
            <w:r>
              <w:rPr>
                <w:rFonts w:ascii="Arial" w:cs="Arial" w:eastAsia="Arial" w:hAnsi="Arial"/>
                <w:sz w:val="16"/>
                <w:szCs w:val="16"/>
                <w:color w:val="auto"/>
              </w:rPr>
              <w:t>Total accrued liabilities</w:t>
            </w:r>
          </w:p>
        </w:tc>
        <w:tc>
          <w:tcPr>
            <w:tcW w:w="13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243,612</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226,767</w:t>
            </w:r>
          </w:p>
        </w:tc>
      </w:tr>
      <w:tr>
        <w:trPr>
          <w:trHeight w:val="20"/>
        </w:trPr>
        <w:tc>
          <w:tcPr>
            <w:tcW w:w="6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Instruments</w:t>
      </w:r>
    </w:p>
    <w:p>
      <w:pPr>
        <w:spacing w:after="0" w:line="24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22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22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Valuation Methodologies for Derivatives</w:t>
      </w:r>
    </w:p>
    <w:p>
      <w:pPr>
        <w:spacing w:after="0" w:line="24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wholesale electric energy and natural gas commodity contracts for our Utilities segments are valued using the market approach and include forward strip pricing at liquid delivery points, exchange-traded futures, options, basis swaps and over-the-counter swaps and options (Level 2).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w:t>
      </w:r>
    </w:p>
    <w:p>
      <w:pPr>
        <w:spacing w:after="0" w:line="23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Additional information on fair value measurements is included in </w:t>
      </w:r>
      <w:hyperlink w:anchor="page104">
        <w:r>
          <w:rPr>
            <w:rFonts w:ascii="Arial" w:cs="Arial" w:eastAsia="Arial" w:hAnsi="Arial"/>
            <w:sz w:val="16"/>
            <w:szCs w:val="16"/>
            <w:u w:val="single" w:color="auto"/>
            <w:color w:val="0000FF"/>
          </w:rPr>
          <w:t>Notes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108">
        <w:r>
          <w:rPr>
            <w:rFonts w:ascii="Arial" w:cs="Arial" w:eastAsia="Arial" w:hAnsi="Arial"/>
            <w:sz w:val="16"/>
            <w:szCs w:val="16"/>
            <w:u w:val="single" w:color="auto"/>
            <w:color w:val="0000FF"/>
          </w:rPr>
          <w:t>15</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Activities</w:t>
      </w:r>
    </w:p>
    <w:p>
      <w:pPr>
        <w:spacing w:after="0" w:line="2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All our derivatives are measured at fair value and recognized as either assets or liabilities on the Consolidated Balance Sheets, except for derivative contracts that qualify for and are elected under the normal purchase and normal sales exception. Normal purchases and normal sales are contracts where physical delivery is probable, quantities are expected to be used or sold in the normal course of business over a reasonable amount of time and price is not tied to an unrelated underlying derivative. Normal purchase and sales contracts are recognized when the underlying physical transaction is completed under the accrual basis of accounting.</w:t>
      </w:r>
    </w:p>
    <w:p>
      <w:pPr>
        <w:spacing w:after="0" w:line="230"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In addition, certain derivative contracts approved by regulatory authorities are either recovered or refunded through customer rates. Any changes in the fair value of these approved derivative contracts are deferred as a regulatory asset or regulatory liability pursuant to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w:t>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also have some derivatives that qualify for hedge accounting and are designated as cash flow hedges. The gain or loss on these designated derivatives is deferred in AOCI and reclassified into earnings when the corresponding hedged transaction is recognized in earnings. Changes in the fair value of all other derivative contracts are recognized in earnings.</w:t>
      </w:r>
    </w:p>
    <w:p>
      <w:pPr>
        <w:spacing w:after="0" w:line="228"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 We reflect the offsetting of net derivative positions with fair value amounts for cash collateral with the same counterparty when a legal right of offset exists. Therefore, the gross amounts are not indicative of either our actual credit or net economic exposures.</w:t>
      </w:r>
    </w:p>
    <w:p>
      <w:pPr>
        <w:spacing w:after="0" w:line="23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additional information in </w:t>
      </w:r>
      <w:hyperlink w:anchor="page100">
        <w:r>
          <w:rPr>
            <w:rFonts w:ascii="Arial" w:cs="Arial" w:eastAsia="Arial" w:hAnsi="Arial"/>
            <w:sz w:val="16"/>
            <w:szCs w:val="16"/>
            <w:u w:val="single" w:color="auto"/>
            <w:color w:val="0000FF"/>
          </w:rPr>
          <w:t>Notes 11</w:t>
        </w:r>
      </w:hyperlink>
      <w:r>
        <w:rPr>
          <w:rFonts w:ascii="Arial" w:cs="Arial" w:eastAsia="Arial" w:hAnsi="Arial"/>
          <w:sz w:val="16"/>
          <w:szCs w:val="16"/>
          <w:color w:val="auto"/>
        </w:rPr>
        <w:t xml:space="preserve">, </w:t>
      </w:r>
      <w:hyperlink w:anchor="page104">
        <w:r>
          <w:rPr>
            <w:rFonts w:ascii="Arial" w:cs="Arial" w:eastAsia="Arial" w:hAnsi="Arial"/>
            <w:sz w:val="16"/>
            <w:szCs w:val="16"/>
            <w:u w:val="single" w:color="auto"/>
            <w:color w:val="0000FF"/>
          </w:rPr>
          <w:t>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105">
        <w:r>
          <w:rPr>
            <w:rFonts w:ascii="Arial" w:cs="Arial" w:eastAsia="Arial" w:hAnsi="Arial"/>
            <w:sz w:val="16"/>
            <w:szCs w:val="16"/>
            <w:u w:val="single" w:color="auto"/>
            <w:color w:val="0000FF"/>
          </w:rPr>
          <w:t>13</w:t>
        </w:r>
      </w:hyperlink>
      <w:r>
        <w:rPr>
          <w:rFonts w:ascii="Arial" w:cs="Arial" w:eastAsia="Arial" w:hAnsi="Arial"/>
          <w:sz w:val="16"/>
          <w:szCs w:val="16"/>
          <w:color w:val="auto"/>
        </w:rPr>
        <w:t>.</w:t>
      </w:r>
    </w:p>
    <w:p>
      <w:pPr>
        <w:spacing w:after="0" w:line="22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Deferred Financing Costs</w:t>
      </w:r>
    </w:p>
    <w:p>
      <w:pPr>
        <w:spacing w:after="0" w:line="268" w:lineRule="exact"/>
        <w:rPr>
          <w:rFonts w:ascii="Arial" w:cs="Arial" w:eastAsia="Arial" w:hAnsi="Arial"/>
          <w:sz w:val="16"/>
          <w:szCs w:val="16"/>
          <w:color w:val="auto"/>
        </w:rPr>
      </w:pPr>
    </w:p>
    <w:p>
      <w:pPr>
        <w:jc w:val="both"/>
        <w:ind w:right="38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Deferred financing costs include loan origination fees, underwriter fees, legal fees and other costs directly attributable to the issuance of debt. Deferred financing costs are amortized over the estimated useful life of the related debt. These costs are presented on the balance sheet as an adjustment to the related debt liabilities. See additional information in </w:t>
      </w:r>
      <w:hyperlink w:anchor="page97">
        <w:r>
          <w:rPr>
            <w:rFonts w:ascii="Arial" w:cs="Arial" w:eastAsia="Arial" w:hAnsi="Arial"/>
            <w:sz w:val="16"/>
            <w:szCs w:val="16"/>
            <w:u w:val="single" w:color="auto"/>
            <w:color w:val="0000FF"/>
          </w:rPr>
          <w:t>Note 9</w:t>
        </w:r>
      </w:hyperlink>
      <w:r>
        <w:rPr>
          <w:rFonts w:ascii="Arial" w:cs="Arial" w:eastAsia="Arial" w:hAnsi="Arial"/>
          <w:sz w:val="16"/>
          <w:szCs w:val="16"/>
          <w:color w:val="auto"/>
        </w:rPr>
        <w:t>.</w:t>
      </w:r>
    </w:p>
    <w:p>
      <w:pPr>
        <w:spacing w:after="0" w:line="20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Regulatory Accounting</w:t>
      </w:r>
    </w:p>
    <w:p>
      <w:pPr>
        <w:spacing w:after="0" w:line="268" w:lineRule="exact"/>
        <w:rPr>
          <w:rFonts w:ascii="Arial" w:cs="Arial" w:eastAsia="Arial" w:hAnsi="Arial"/>
          <w:sz w:val="16"/>
          <w:szCs w:val="16"/>
          <w:color w:val="auto"/>
        </w:rPr>
      </w:pPr>
    </w:p>
    <w:p>
      <w:pPr>
        <w:ind w:right="40"/>
        <w:spacing w:after="0" w:line="253" w:lineRule="auto"/>
        <w:rPr>
          <w:sz w:val="20"/>
          <w:szCs w:val="20"/>
          <w:color w:val="auto"/>
        </w:rPr>
      </w:pPr>
      <w:r>
        <w:rPr>
          <w:rFonts w:ascii="Arial" w:cs="Arial" w:eastAsia="Arial" w:hAnsi="Arial"/>
          <w:sz w:val="16"/>
          <w:szCs w:val="16"/>
          <w:color w:val="auto"/>
        </w:rPr>
        <w:t>Our regulated Electric Utilities and Gas Utilities are subject to cost-of-service regulation and earnings oversight from federal and state regulatory commissions. Our Electric and Gas Utilities account for income and expense items in accordance with accounting standards for regulated operations. These accounting policies differ in some respects from those used by our non-regulated businesses. Under these regulated operations accounting standards:</w:t>
      </w:r>
    </w:p>
    <w:p>
      <w:pPr>
        <w:spacing w:after="0" w:line="228" w:lineRule="exact"/>
        <w:rPr>
          <w:rFonts w:ascii="Arial" w:cs="Arial" w:eastAsia="Arial" w:hAnsi="Arial"/>
          <w:sz w:val="16"/>
          <w:szCs w:val="16"/>
          <w:color w:val="auto"/>
        </w:rPr>
      </w:pPr>
    </w:p>
    <w:p>
      <w:pPr>
        <w:ind w:left="660" w:right="80" w:hanging="328"/>
        <w:spacing w:after="0" w:line="260"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Certain costs, which would otherwise be charged to expense or OCI, are deferred as regulatory assets based on the expected ability to recover the costs in future rates.</w:t>
      </w:r>
    </w:p>
    <w:p>
      <w:pPr>
        <w:spacing w:after="0" w:line="222" w:lineRule="exact"/>
        <w:rPr>
          <w:rFonts w:ascii="Arial" w:cs="Arial" w:eastAsia="Arial" w:hAnsi="Arial"/>
          <w:sz w:val="16"/>
          <w:szCs w:val="16"/>
          <w:color w:val="auto"/>
        </w:rPr>
      </w:pPr>
    </w:p>
    <w:p>
      <w:pPr>
        <w:ind w:left="660" w:right="240" w:hanging="328"/>
        <w:spacing w:after="0" w:line="260"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Certain credits, which would otherwise be reflected as income or OCI, are deferred as regulatory liabilities based on the expectation the amounts will be returned to customers in future rates, or because the amounts were collected in rates prior to the costs being incurred.</w:t>
      </w:r>
    </w:p>
    <w:p>
      <w:pPr>
        <w:spacing w:after="0" w:line="222" w:lineRule="exact"/>
        <w:rPr>
          <w:rFonts w:ascii="Arial" w:cs="Arial" w:eastAsia="Arial" w:hAnsi="Arial"/>
          <w:sz w:val="16"/>
          <w:szCs w:val="16"/>
          <w:color w:val="auto"/>
        </w:rPr>
      </w:pPr>
    </w:p>
    <w:p>
      <w:pPr>
        <w:ind w:right="100"/>
        <w:spacing w:after="0" w:line="253" w:lineRule="auto"/>
        <w:rPr>
          <w:sz w:val="20"/>
          <w:szCs w:val="20"/>
          <w:color w:val="auto"/>
        </w:rPr>
      </w:pPr>
      <w:r>
        <w:rPr>
          <w:rFonts w:ascii="Arial" w:cs="Arial" w:eastAsia="Arial" w:hAnsi="Arial"/>
          <w:sz w:val="16"/>
          <w:szCs w:val="16"/>
          <w:color w:val="auto"/>
        </w:rPr>
        <w:t>Management continually assesses the probability of future recoveries and obligations associated with regulatory assets and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228" w:lineRule="exact"/>
        <w:rPr>
          <w:rFonts w:ascii="Arial" w:cs="Arial" w:eastAsia="Arial" w:hAnsi="Arial"/>
          <w:sz w:val="16"/>
          <w:szCs w:val="16"/>
          <w:color w:val="auto"/>
        </w:rPr>
      </w:pPr>
    </w:p>
    <w:p>
      <w:pPr>
        <w:ind w:right="80"/>
        <w:spacing w:after="0" w:line="260" w:lineRule="auto"/>
        <w:rPr>
          <w:sz w:val="20"/>
          <w:szCs w:val="20"/>
          <w:color w:val="auto"/>
        </w:rPr>
      </w:pPr>
      <w:r>
        <w:rPr>
          <w:rFonts w:ascii="Arial" w:cs="Arial" w:eastAsia="Arial" w:hAnsi="Arial"/>
          <w:sz w:val="16"/>
          <w:szCs w:val="16"/>
          <w:color w:val="auto"/>
        </w:rPr>
        <w:t>If changes in the regulatory environment occur, we may no longer be eligible to apply this accounting treatment, and may be required to eliminate regulatory assets and liabilities from our balance sheet. Such changes could adversely affect our results of operations, financial position or cash flows.</w:t>
      </w:r>
    </w:p>
    <w:p>
      <w:pPr>
        <w:spacing w:after="0" w:line="222"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As of December 31, 2020 and 2019, we had total regulatory assets of $278 million and $271 million respectively, and total regulatory liabilities of $533 million and $537 million respectively. See </w:t>
      </w:r>
      <w:hyperlink w:anchor="page81">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3"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6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Company and its subsidiaries file consolidated federal income tax returns. Each entity records both federal and state income taxes as if it were a separate taxpayer and consolidating expense adjustments are allocated to the subsidiaries based on separate company computations of taxable income or loss.</w:t>
      </w:r>
    </w:p>
    <w:p>
      <w:pPr>
        <w:spacing w:after="0" w:line="22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use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22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It is our policy to apply the flow-through method of accounting for ITCs. Under the flow-through method, ITCs are reflected in net income as a reduction to income tax expense in the year they qualify. An exception to this general policy is the deferral method, which applies to our regulated businesses. Such a method results in the ITC being amortized as a reduction to income tax expense over the estimated useful lives of the underlying property that gave rise to the credit.</w:t>
      </w:r>
    </w:p>
    <w:p>
      <w:pPr>
        <w:spacing w:after="0" w:line="229"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We recognize interest income or interest expense and penalties related to income tax matters in Income tax benefit (expense) on the Consolidated Statements of Income.</w:t>
      </w:r>
    </w:p>
    <w:p>
      <w:pPr>
        <w:spacing w:after="0" w:line="222" w:lineRule="exact"/>
        <w:rPr>
          <w:sz w:val="20"/>
          <w:szCs w:val="20"/>
          <w:color w:val="auto"/>
        </w:rPr>
      </w:pPr>
    </w:p>
    <w:p>
      <w:pPr>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We account for uncertainty in income taxes recognized in the financial statements in accordance with the accounting standards for income taxes. The unrecognized tax benefit is classified in Other deferred credits and other liabilities or in Deferred income tax liabilities, net on the accompanying Consolidated Balance Sheets. See </w:t>
      </w:r>
      <w:hyperlink w:anchor="page116">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of Common Stock</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Basic earnings per share from continuing and discontinued operations is computed by dividing Net income (loss) from continuing and discontinued operations by the weighted average number of common shares outstanding during each year. Diluted earnings per share is computed by including all dilutive common shares outstanding during each year. Diluted common shares are primarily due to equity units, outstanding stock options, restricted stock and performance shares under our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is as follows for the years ended December 31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2018</w:t>
            </w:r>
          </w:p>
        </w:tc>
      </w:tr>
      <w:tr>
        <w:trPr>
          <w:trHeight w:val="239"/>
        </w:trPr>
        <w:tc>
          <w:tcPr>
            <w:tcW w:w="5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1"/>
        </w:trPr>
        <w:tc>
          <w:tcPr>
            <w:tcW w:w="56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1140" w:type="dxa"/>
            <w:vAlign w:val="bottom"/>
            <w:tcBorders>
              <w:bottom w:val="single" w:sz="8" w:color="auto"/>
            </w:tcBorders>
            <w:shd w:val="clear" w:color="auto" w:fill="CEFFE7"/>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227,608</w:t>
            </w:r>
          </w:p>
        </w:tc>
        <w:tc>
          <w:tcPr>
            <w:tcW w:w="1200" w:type="dxa"/>
            <w:vAlign w:val="bottom"/>
            <w:tcBorders>
              <w:bottom w:val="single" w:sz="8" w:color="auto"/>
            </w:tcBorders>
            <w:shd w:val="clear" w:color="auto" w:fill="CEFFE7"/>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199,310</w:t>
            </w:r>
          </w:p>
        </w:tc>
        <w:tc>
          <w:tcPr>
            <w:tcW w:w="44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258,442</w:t>
            </w:r>
          </w:p>
        </w:tc>
      </w:tr>
      <w:tr>
        <w:trPr>
          <w:trHeight w:val="20"/>
        </w:trPr>
        <w:tc>
          <w:tcPr>
            <w:tcW w:w="566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r>
      <w:tr>
        <w:trPr>
          <w:trHeight w:val="203"/>
        </w:trPr>
        <w:tc>
          <w:tcPr>
            <w:tcW w:w="5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5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shares - basic</w:t>
            </w:r>
          </w:p>
        </w:tc>
        <w:tc>
          <w:tcPr>
            <w:tcW w:w="114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62,378</w:t>
            </w:r>
          </w:p>
        </w:tc>
        <w:tc>
          <w:tcPr>
            <w:tcW w:w="120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60,662</w:t>
            </w:r>
          </w:p>
        </w:tc>
        <w:tc>
          <w:tcPr>
            <w:tcW w:w="4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54,420</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6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Equity Units</w:t>
            </w:r>
          </w:p>
        </w:tc>
        <w:tc>
          <w:tcPr>
            <w:tcW w:w="1140" w:type="dxa"/>
            <w:vAlign w:val="bottom"/>
            <w:shd w:val="clear" w:color="auto" w:fill="CEFFE7"/>
          </w:tcPr>
          <w:p>
            <w:pPr>
              <w:spacing w:after="0"/>
              <w:rPr>
                <w:sz w:val="19"/>
                <w:szCs w:val="19"/>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spacing w:after="0"/>
              <w:rPr>
                <w:sz w:val="19"/>
                <w:szCs w:val="19"/>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EFFE7"/>
          </w:tcPr>
          <w:p>
            <w:pPr>
              <w:spacing w:after="0"/>
              <w:rPr>
                <w:sz w:val="19"/>
                <w:szCs w:val="19"/>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898</w:t>
            </w:r>
          </w:p>
        </w:tc>
      </w:tr>
      <w:tr>
        <w:trPr>
          <w:trHeight w:val="213"/>
        </w:trPr>
        <w:tc>
          <w:tcPr>
            <w:tcW w:w="566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Equity compensation</w:t>
            </w: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38"/>
        </w:trPr>
        <w:tc>
          <w:tcPr>
            <w:tcW w:w="56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Weighted average shares - diluted</w:t>
            </w:r>
          </w:p>
        </w:tc>
        <w:tc>
          <w:tcPr>
            <w:tcW w:w="1140" w:type="dxa"/>
            <w:vAlign w:val="bottom"/>
            <w:tcBorders>
              <w:bottom w:val="single" w:sz="8" w:color="auto"/>
            </w:tcBorders>
            <w:shd w:val="clear" w:color="auto" w:fill="CEFFE7"/>
          </w:tcPr>
          <w:p>
            <w:pPr>
              <w:spacing w:after="0"/>
              <w:rPr>
                <w:sz w:val="20"/>
                <w:szCs w:val="20"/>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62,439</w:t>
            </w:r>
          </w:p>
        </w:tc>
        <w:tc>
          <w:tcPr>
            <w:tcW w:w="1200" w:type="dxa"/>
            <w:vAlign w:val="bottom"/>
            <w:tcBorders>
              <w:bottom w:val="single" w:sz="8" w:color="auto"/>
            </w:tcBorders>
            <w:shd w:val="clear" w:color="auto" w:fill="CEFFE7"/>
          </w:tcPr>
          <w:p>
            <w:pPr>
              <w:spacing w:after="0"/>
              <w:rPr>
                <w:sz w:val="20"/>
                <w:szCs w:val="20"/>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60,798</w:t>
            </w:r>
          </w:p>
        </w:tc>
        <w:tc>
          <w:tcPr>
            <w:tcW w:w="440" w:type="dxa"/>
            <w:vAlign w:val="bottom"/>
            <w:tcBorders>
              <w:bottom w:val="single" w:sz="8" w:color="auto"/>
            </w:tcBorders>
            <w:shd w:val="clear" w:color="auto" w:fill="CEFFE7"/>
          </w:tcPr>
          <w:p>
            <w:pPr>
              <w:spacing w:after="0"/>
              <w:rPr>
                <w:sz w:val="20"/>
                <w:szCs w:val="20"/>
                <w:color w:val="auto"/>
              </w:rPr>
            </w:pP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55,486</w:t>
            </w:r>
          </w:p>
        </w:tc>
      </w:tr>
      <w:tr>
        <w:trPr>
          <w:trHeight w:val="20"/>
        </w:trPr>
        <w:tc>
          <w:tcPr>
            <w:tcW w:w="566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56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 per share - Diluted</w:t>
            </w:r>
          </w:p>
        </w:tc>
        <w:tc>
          <w:tcPr>
            <w:tcW w:w="1140" w:type="dxa"/>
            <w:vAlign w:val="bottom"/>
            <w:tcBorders>
              <w:bottom w:val="single" w:sz="8" w:color="auto"/>
            </w:tcBorders>
            <w:shd w:val="clear" w:color="auto" w:fill="CEFFE7"/>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3.65</w:t>
            </w:r>
          </w:p>
        </w:tc>
        <w:tc>
          <w:tcPr>
            <w:tcW w:w="1200" w:type="dxa"/>
            <w:vAlign w:val="bottom"/>
            <w:tcBorders>
              <w:bottom w:val="single" w:sz="8" w:color="auto"/>
            </w:tcBorders>
            <w:shd w:val="clear" w:color="auto" w:fill="CEFFE7"/>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3.28</w:t>
            </w:r>
          </w:p>
        </w:tc>
        <w:tc>
          <w:tcPr>
            <w:tcW w:w="44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4.66</w:t>
            </w:r>
          </w:p>
        </w:tc>
      </w:tr>
      <w:tr>
        <w:trPr>
          <w:trHeight w:val="20"/>
        </w:trPr>
        <w:tc>
          <w:tcPr>
            <w:tcW w:w="566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following securities were excluded from the diluted earnings per share computation for the years ended December 31 because of their anti-dilutive nature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40" w:type="dxa"/>
            <w:vAlign w:val="bottom"/>
            <w:gridSpan w:val="2"/>
          </w:tcPr>
          <w:p>
            <w:pPr>
              <w:jc w:val="right"/>
              <w:ind w:right="240"/>
              <w:spacing w:after="0"/>
              <w:rPr>
                <w:sz w:val="20"/>
                <w:szCs w:val="20"/>
                <w:color w:val="auto"/>
              </w:rPr>
            </w:pPr>
            <w:r>
              <w:rPr>
                <w:rFonts w:ascii="Arial" w:cs="Arial" w:eastAsia="Arial" w:hAnsi="Arial"/>
                <w:sz w:val="16"/>
                <w:szCs w:val="16"/>
                <w:color w:val="auto"/>
              </w:rPr>
              <w:t>2020</w:t>
            </w:r>
          </w:p>
        </w:tc>
        <w:tc>
          <w:tcPr>
            <w:tcW w:w="1900" w:type="dxa"/>
            <w:vAlign w:val="bottom"/>
          </w:tcPr>
          <w:p>
            <w:pPr>
              <w:jc w:val="right"/>
              <w:ind w:right="219"/>
              <w:spacing w:after="0"/>
              <w:rPr>
                <w:sz w:val="20"/>
                <w:szCs w:val="20"/>
                <w:color w:val="auto"/>
              </w:rPr>
            </w:pPr>
            <w:r>
              <w:rPr>
                <w:rFonts w:ascii="Arial" w:cs="Arial" w:eastAsia="Arial" w:hAnsi="Arial"/>
                <w:sz w:val="16"/>
                <w:szCs w:val="16"/>
                <w:color w:val="auto"/>
              </w:rPr>
              <w:t>2019</w:t>
            </w:r>
          </w:p>
        </w:tc>
        <w:tc>
          <w:tcPr>
            <w:tcW w:w="780" w:type="dxa"/>
            <w:vAlign w:val="bottom"/>
          </w:tcPr>
          <w:p>
            <w:pPr>
              <w:spacing w:after="0"/>
              <w:rPr>
                <w:sz w:val="17"/>
                <w:szCs w:val="17"/>
                <w:color w:val="auto"/>
              </w:rPr>
            </w:pPr>
          </w:p>
        </w:tc>
        <w:tc>
          <w:tcPr>
            <w:tcW w:w="1520" w:type="dxa"/>
            <w:vAlign w:val="bottom"/>
          </w:tcPr>
          <w:p>
            <w:pPr>
              <w:jc w:val="right"/>
              <w:ind w:right="659"/>
              <w:spacing w:after="0"/>
              <w:rPr>
                <w:sz w:val="20"/>
                <w:szCs w:val="20"/>
                <w:color w:val="auto"/>
              </w:rPr>
            </w:pPr>
            <w:r>
              <w:rPr>
                <w:rFonts w:ascii="Arial" w:cs="Arial" w:eastAsia="Arial" w:hAnsi="Arial"/>
                <w:sz w:val="16"/>
                <w:szCs w:val="16"/>
                <w:color w:val="auto"/>
              </w:rPr>
              <w:t>2018</w:t>
            </w:r>
          </w:p>
        </w:tc>
      </w:tr>
      <w:tr>
        <w:trPr>
          <w:trHeight w:val="253"/>
        </w:trPr>
        <w:tc>
          <w:tcPr>
            <w:tcW w:w="570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13"/>
        </w:trPr>
        <w:tc>
          <w:tcPr>
            <w:tcW w:w="5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Equity compensation</w:t>
            </w:r>
          </w:p>
        </w:tc>
        <w:tc>
          <w:tcPr>
            <w:tcW w:w="1340" w:type="dxa"/>
            <w:vAlign w:val="bottom"/>
            <w:tcBorders>
              <w:bottom w:val="single" w:sz="8" w:color="auto"/>
            </w:tcBorders>
            <w:shd w:val="clear" w:color="auto" w:fill="CEFFE7"/>
          </w:tcPr>
          <w:p>
            <w:pPr>
              <w:spacing w:after="0"/>
              <w:rPr>
                <w:sz w:val="18"/>
                <w:szCs w:val="18"/>
                <w:color w:val="auto"/>
              </w:rPr>
            </w:pPr>
          </w:p>
        </w:tc>
        <w:tc>
          <w:tcPr>
            <w:tcW w:w="1900" w:type="dxa"/>
            <w:vAlign w:val="bottom"/>
            <w:tcBorders>
              <w:bottom w:val="single" w:sz="8" w:color="auto"/>
            </w:tcBorders>
            <w:shd w:val="clear" w:color="auto" w:fill="CEFFE7"/>
          </w:tcPr>
          <w:p>
            <w:pPr>
              <w:jc w:val="right"/>
              <w:ind w:right="1399"/>
              <w:spacing w:after="0"/>
              <w:rPr>
                <w:sz w:val="20"/>
                <w:szCs w:val="20"/>
                <w:color w:val="auto"/>
              </w:rPr>
            </w:pPr>
            <w:r>
              <w:rPr>
                <w:rFonts w:ascii="Arial" w:cs="Arial" w:eastAsia="Arial" w:hAnsi="Arial"/>
                <w:sz w:val="16"/>
                <w:szCs w:val="16"/>
                <w:color w:val="auto"/>
              </w:rPr>
              <w:t>60</w:t>
            </w:r>
          </w:p>
        </w:tc>
        <w:tc>
          <w:tcPr>
            <w:tcW w:w="78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1</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Anti-dilutive shares excluded from computation of earnings per share</w:t>
            </w:r>
          </w:p>
        </w:tc>
        <w:tc>
          <w:tcPr>
            <w:tcW w:w="1900" w:type="dxa"/>
            <w:vAlign w:val="bottom"/>
          </w:tcPr>
          <w:p>
            <w:pPr>
              <w:jc w:val="right"/>
              <w:ind w:right="1399"/>
              <w:spacing w:after="0"/>
              <w:rPr>
                <w:sz w:val="20"/>
                <w:szCs w:val="20"/>
                <w:color w:val="auto"/>
              </w:rPr>
            </w:pPr>
            <w:r>
              <w:rPr>
                <w:rFonts w:ascii="Arial" w:cs="Arial" w:eastAsia="Arial" w:hAnsi="Arial"/>
                <w:sz w:val="16"/>
                <w:szCs w:val="16"/>
                <w:color w:val="auto"/>
              </w:rPr>
              <w:t>60</w:t>
            </w:r>
          </w:p>
        </w:tc>
        <w:tc>
          <w:tcPr>
            <w:tcW w:w="780" w:type="dxa"/>
            <w:vAlign w:val="bottom"/>
          </w:tcPr>
          <w:p>
            <w:pPr>
              <w:jc w:val="right"/>
              <w:ind w:right="319"/>
              <w:spacing w:after="0"/>
              <w:rPr>
                <w:sz w:val="20"/>
                <w:szCs w:val="20"/>
                <w:color w:val="auto"/>
              </w:rPr>
            </w:pPr>
            <w:r>
              <w:rPr>
                <w:rFonts w:ascii="Arial" w:cs="Arial" w:eastAsia="Arial" w:hAnsi="Arial"/>
                <w:sz w:val="16"/>
                <w:szCs w:val="16"/>
                <w:color w:val="auto"/>
              </w:rPr>
              <w:t>1</w:t>
            </w: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5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Noncontrolling Interests</w:t>
      </w:r>
    </w:p>
    <w:p>
      <w:pPr>
        <w:spacing w:after="0" w:line="252" w:lineRule="exact"/>
        <w:rPr>
          <w:sz w:val="20"/>
          <w:szCs w:val="20"/>
          <w:color w:val="auto"/>
        </w:rPr>
      </w:pPr>
    </w:p>
    <w:p>
      <w:pPr>
        <w:ind w:right="240"/>
        <w:spacing w:after="0" w:line="255" w:lineRule="auto"/>
        <w:rPr>
          <w:rFonts w:ascii="Arial" w:cs="Arial" w:eastAsia="Arial" w:hAnsi="Arial"/>
          <w:sz w:val="16"/>
          <w:szCs w:val="16"/>
          <w:color w:val="auto"/>
        </w:rPr>
      </w:pPr>
      <w:r>
        <w:rPr>
          <w:rFonts w:ascii="Arial" w:cs="Arial" w:eastAsia="Arial" w:hAnsi="Arial"/>
          <w:sz w:val="16"/>
          <w:szCs w:val="16"/>
          <w:color w:val="auto"/>
        </w:rPr>
        <w:t>We account for changes in our controlling interests of subsidiaries according to ASC 810</w:t>
      </w:r>
      <w:r>
        <w:rPr>
          <w:rFonts w:ascii="Arial" w:cs="Arial" w:eastAsia="Arial" w:hAnsi="Arial"/>
          <w:sz w:val="16"/>
          <w:szCs w:val="16"/>
          <w:i w:val="1"/>
          <w:iCs w:val="1"/>
          <w:color w:val="auto"/>
        </w:rPr>
        <w:t>, Consolidation.</w:t>
      </w:r>
      <w:r>
        <w:rPr>
          <w:rFonts w:ascii="Arial" w:cs="Arial" w:eastAsia="Arial" w:hAnsi="Arial"/>
          <w:sz w:val="16"/>
          <w:szCs w:val="16"/>
          <w:color w:val="auto"/>
        </w:rPr>
        <w:t xml:space="preserve"> ASC 810 requires that the Company record such changes as equity transactions, recording no gain or loss on such a sale. GAAP requires that noncontrolling interests in subsidiaries and affiliates be reported in the equity section of a company’s balance sheet. In addition, the amounts attributable to the noncontrolling interest net income (loss) of those subsidiaries are reported separately in the consolidated statements of income and comprehensive income. See </w:t>
      </w:r>
      <w:hyperlink w:anchor="page107">
        <w:r>
          <w:rPr>
            <w:rFonts w:ascii="Arial" w:cs="Arial" w:eastAsia="Arial" w:hAnsi="Arial"/>
            <w:sz w:val="16"/>
            <w:szCs w:val="16"/>
            <w:u w:val="single" w:color="auto"/>
            <w:color w:val="0000FF"/>
          </w:rPr>
          <w:t>Note 14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 on noncontrolling interests.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252" w:lineRule="exact"/>
        <w:rPr>
          <w:sz w:val="20"/>
          <w:szCs w:val="20"/>
          <w:color w:val="auto"/>
        </w:rPr>
      </w:pPr>
    </w:p>
    <w:p>
      <w:pPr>
        <w:ind w:right="220"/>
        <w:spacing w:after="0" w:line="255" w:lineRule="auto"/>
        <w:rPr>
          <w:rFonts w:ascii="Arial" w:cs="Arial" w:eastAsia="Arial" w:hAnsi="Arial"/>
          <w:sz w:val="16"/>
          <w:szCs w:val="16"/>
          <w:color w:val="auto"/>
        </w:rPr>
      </w:pPr>
      <w:r>
        <w:rPr>
          <w:rFonts w:ascii="Arial" w:cs="Arial" w:eastAsia="Arial" w:hAnsi="Arial"/>
          <w:sz w:val="16"/>
          <w:szCs w:val="16"/>
          <w:color w:val="auto"/>
        </w:rPr>
        <w:t xml:space="preserve">We account for our share-based compensation arrangements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by recognizing compensation costs for all share-based awards over the respective service period for employee services received in exchange for an award of equity or equity-based compensation. Awards that will be settled in stock are accounted for as equity and the compensation expense is based on the grant date fair value. Awards that are settled in cash are accounted for as liabilities and the compensation expense is re-measured each period based on the current market price and performance achievement measures. See additional information in </w:t>
      </w:r>
      <w:hyperlink w:anchor="page114">
        <w:r>
          <w:rPr>
            <w:rFonts w:ascii="Arial" w:cs="Arial" w:eastAsia="Arial" w:hAnsi="Arial"/>
            <w:sz w:val="16"/>
            <w:szCs w:val="16"/>
            <w:u w:val="single" w:color="auto"/>
            <w:color w:val="0000FF"/>
          </w:rPr>
          <w:t>Note 16</w:t>
        </w:r>
      </w:hyperlink>
      <w:r>
        <w:rPr>
          <w:rFonts w:ascii="Arial" w:cs="Arial" w:eastAsia="Arial" w:hAnsi="Arial"/>
          <w:sz w:val="16"/>
          <w:szCs w:val="16"/>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 - Pension Accounting Asset Method</w:t>
      </w:r>
    </w:p>
    <w:p>
      <w:pPr>
        <w:spacing w:after="0" w:line="268" w:lineRule="exact"/>
        <w:rPr>
          <w:sz w:val="20"/>
          <w:szCs w:val="20"/>
          <w:color w:val="auto"/>
        </w:rPr>
      </w:pPr>
    </w:p>
    <w:p>
      <w:pPr>
        <w:ind w:right="10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Effective January 1, 2020, we changed our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continue to use a calculated value for the return-seeking assets (equities) in the portfolio but was changed to fair value for the liability-hedging assets (fixed income). See </w:t>
      </w:r>
      <w:hyperlink w:anchor="page108">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Facilitation of the Effects of Reference Rate Reform on Financial Reporting, ASU 2020-04</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was subsequently amended by ASU 2021-01. The standard provides relief for companies preparing for discontinuation of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2022. We are currently evaluating if we will apply the optional guidance as we assess the impact of the discontinuance of LIBOR on our current arrangements and the potential impact on our financial position, results of operations and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Simplifying the Accounting for Income Taxes, ASU 2019-12</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 part of its overall simplification initiative to reduce costs and complexity in applying accounting standards while maintaining or improving the usefulness of the information provided to users of the financial statements. Amendments include removal of certain exceptions to the general principles of ASC 740</w:t>
      </w:r>
      <w:r>
        <w:rPr>
          <w:rFonts w:ascii="Arial" w:cs="Arial" w:eastAsia="Arial" w:hAnsi="Arial"/>
          <w:sz w:val="16"/>
          <w:szCs w:val="16"/>
          <w:i w:val="1"/>
          <w:iCs w:val="1"/>
          <w:color w:val="auto"/>
        </w:rPr>
        <w:t>, Income Taxes</w:t>
      </w:r>
      <w:r>
        <w:rPr>
          <w:rFonts w:ascii="Arial" w:cs="Arial" w:eastAsia="Arial" w:hAnsi="Arial"/>
          <w:sz w:val="16"/>
          <w:szCs w:val="16"/>
          <w:color w:val="auto"/>
        </w:rPr>
        <w:t>, and simplification in several other areas such as accounting for a franchise tax (or similar tax) that is partially based on income. The new guidance is effective for interim and annual periods beginning after December 15, 2020 with early adoption permitted. Adoption of this standard is not anticipated to have a material impact on our financial position, results of operations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Instruments -- Credit Losses: Measurement of Credit Losses on Financial Instruments, ASU 2016-13</w:t>
      </w:r>
    </w:p>
    <w:p>
      <w:pPr>
        <w:spacing w:after="0" w:line="23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which was subsequently amended by ASU 2018-19, ASU 2019-04, 2019-05, 2019-10, and 2019-11. The standard introduces new accounting guidance for credit losses on financial instruments within its scope, including trade receivables. This new guidance adds an impairment model that is based on expected losses rather than incurred losses.</w:t>
      </w:r>
    </w:p>
    <w:p>
      <w:pPr>
        <w:spacing w:after="0" w:line="22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adopted this standard on January 1, 2020 with prior year comparative financial information remaining as previously reported when transitioning to the new standard. On January 1, 2020, we recorded an increase to our allowance for credit losses, primarily associated with the inclusion of expected losses on unbilled revenue. The cumulative effect of the adoption, net of tax impact, was $0.2 million, which was recorded as an adjustment to retained earnings.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Simplifying the Test for Goodwill Impairment, ASU 2017-04</w:t>
      </w:r>
    </w:p>
    <w:p>
      <w:pPr>
        <w:spacing w:after="0" w:line="23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We adopted this standard prospectively on January 1, 2020. Adoption of this guidance did not have any impact on our financial position, results of operations or cash flows.</w:t>
      </w:r>
    </w:p>
    <w:p>
      <w:pPr>
        <w:spacing w:after="0" w:line="22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u w:val="single" w:color="auto"/>
          <w:color w:val="auto"/>
        </w:rPr>
        <w:t>Internal-Use Software: Customer’s Accounting for Implementation Costs Incurred in a Cloud Computing Arrangement That Is a Service Contract, ASU 2018-15</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 That Is a</w:t>
      </w:r>
      <w:r>
        <w:rPr>
          <w:rFonts w:ascii="Arial" w:cs="Arial" w:eastAsia="Arial" w:hAnsi="Arial"/>
          <w:sz w:val="16"/>
          <w:szCs w:val="16"/>
          <w:color w:val="auto"/>
        </w:rPr>
        <w:t xml:space="preserve"> </w:t>
      </w:r>
      <w:r>
        <w:rPr>
          <w:rFonts w:ascii="Arial" w:cs="Arial" w:eastAsia="Arial" w:hAnsi="Arial"/>
          <w:sz w:val="16"/>
          <w:szCs w:val="16"/>
          <w:i w:val="1"/>
          <w:iCs w:val="1"/>
          <w:color w:val="auto"/>
        </w:rPr>
        <w:t>Service Contract</w:t>
      </w:r>
      <w:r>
        <w:rPr>
          <w:rFonts w:ascii="Arial" w:cs="Arial" w:eastAsia="Arial" w:hAnsi="Arial"/>
          <w:sz w:val="16"/>
          <w:szCs w:val="16"/>
          <w:color w:val="auto"/>
        </w:rPr>
        <w:t>, which aligns the requirements for recording implementation costs incurred in a hosting arrangement that is a service contract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to develop or obtain internal-use software. As a result, certain categories of implementation costs that previously would have been charged to expense as incurred are now capitalized as prepayments and amortized over the term of the arrangement. We adopted this standard prospectively on January 1, 2020. Adoption of this guidance did not have a material impact on our financial position, results of operations or cash flows.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gridSpan w:val="2"/>
          </w:tcPr>
          <w:p>
            <w:pPr>
              <w:spacing w:after="0"/>
              <w:rPr>
                <w:sz w:val="20"/>
                <w:szCs w:val="20"/>
                <w:color w:val="auto"/>
              </w:rPr>
            </w:pPr>
            <w:r>
              <w:rPr>
                <w:rFonts w:ascii="Arial" w:cs="Arial" w:eastAsia="Arial" w:hAnsi="Arial"/>
                <w:sz w:val="16"/>
                <w:szCs w:val="16"/>
                <w:b w:val="1"/>
                <w:bCs w:val="1"/>
                <w:color w:val="auto"/>
              </w:rPr>
              <w:t>(2)  REGULATORY MATTERS</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as of December 31 (in thousands):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2019</w:t>
            </w:r>
          </w:p>
        </w:tc>
      </w:tr>
      <w:tr>
        <w:trPr>
          <w:trHeight w:val="199"/>
        </w:trPr>
        <w:tc>
          <w:tcPr>
            <w:tcW w:w="40" w:type="dxa"/>
            <w:vAlign w:val="bottom"/>
          </w:tcPr>
          <w:p>
            <w:pPr>
              <w:spacing w:after="0"/>
              <w:rPr>
                <w:sz w:val="17"/>
                <w:szCs w:val="17"/>
                <w:color w:val="auto"/>
              </w:rPr>
            </w:pPr>
          </w:p>
        </w:tc>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Regulatory assets</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9"/>
        </w:trPr>
        <w:tc>
          <w:tcPr>
            <w:tcW w:w="40" w:type="dxa"/>
            <w:vAlign w:val="bottom"/>
          </w:tcPr>
          <w:p>
            <w:pPr>
              <w:spacing w:after="0"/>
              <w:rPr>
                <w:sz w:val="19"/>
                <w:szCs w:val="19"/>
                <w:color w:val="auto"/>
              </w:rPr>
            </w:pPr>
          </w:p>
        </w:tc>
        <w:tc>
          <w:tcPr>
            <w:tcW w:w="742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(a)</w:t>
            </w:r>
          </w:p>
        </w:tc>
        <w:tc>
          <w:tcPr>
            <w:tcW w:w="1160" w:type="dxa"/>
            <w:vAlign w:val="bottom"/>
            <w:shd w:val="clear" w:color="auto" w:fill="CEFFE7"/>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39,035</w:t>
            </w:r>
          </w:p>
        </w:tc>
        <w:tc>
          <w:tcPr>
            <w:tcW w:w="4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34,088</w:t>
            </w:r>
          </w:p>
        </w:tc>
      </w:tr>
      <w:tr>
        <w:trPr>
          <w:trHeight w:val="216"/>
        </w:trPr>
        <w:tc>
          <w:tcPr>
            <w:tcW w:w="40" w:type="dxa"/>
            <w:vAlign w:val="bottom"/>
          </w:tcPr>
          <w:p>
            <w:pPr>
              <w:spacing w:after="0"/>
              <w:rPr>
                <w:sz w:val="18"/>
                <w:szCs w:val="18"/>
                <w:color w:val="auto"/>
              </w:rPr>
            </w:pPr>
          </w:p>
        </w:tc>
        <w:tc>
          <w:tcPr>
            <w:tcW w:w="74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(a)</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3,200</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1,540</w:t>
            </w:r>
          </w:p>
        </w:tc>
      </w:tr>
      <w:tr>
        <w:trPr>
          <w:trHeight w:val="216"/>
        </w:trPr>
        <w:tc>
          <w:tcPr>
            <w:tcW w:w="40" w:type="dxa"/>
            <w:vAlign w:val="bottom"/>
          </w:tcPr>
          <w:p>
            <w:pPr>
              <w:spacing w:after="0"/>
              <w:rPr>
                <w:sz w:val="18"/>
                <w:szCs w:val="18"/>
                <w:color w:val="auto"/>
              </w:rPr>
            </w:pPr>
          </w:p>
        </w:tc>
        <w:tc>
          <w:tcPr>
            <w:tcW w:w="742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(a)</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2,226</w:t>
            </w: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3,328</w:t>
            </w:r>
          </w:p>
        </w:tc>
      </w:tr>
      <w:tr>
        <w:trPr>
          <w:trHeight w:val="216"/>
        </w:trPr>
        <w:tc>
          <w:tcPr>
            <w:tcW w:w="40" w:type="dxa"/>
            <w:vAlign w:val="bottom"/>
          </w:tcPr>
          <w:p>
            <w:pPr>
              <w:spacing w:after="0"/>
              <w:rPr>
                <w:sz w:val="18"/>
                <w:szCs w:val="18"/>
                <w:color w:val="auto"/>
              </w:rPr>
            </w:pPr>
          </w:p>
        </w:tc>
        <w:tc>
          <w:tcPr>
            <w:tcW w:w="74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(b)</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7,491</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7,790</w:t>
            </w:r>
          </w:p>
        </w:tc>
      </w:tr>
      <w:tr>
        <w:trPr>
          <w:trHeight w:val="216"/>
        </w:trPr>
        <w:tc>
          <w:tcPr>
            <w:tcW w:w="40" w:type="dxa"/>
            <w:vAlign w:val="bottom"/>
          </w:tcPr>
          <w:p>
            <w:pPr>
              <w:spacing w:after="0"/>
              <w:rPr>
                <w:sz w:val="18"/>
                <w:szCs w:val="18"/>
                <w:color w:val="auto"/>
              </w:rPr>
            </w:pPr>
          </w:p>
        </w:tc>
        <w:tc>
          <w:tcPr>
            <w:tcW w:w="742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116,598</w:t>
            </w: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115,900</w:t>
            </w:r>
          </w:p>
        </w:tc>
      </w:tr>
      <w:tr>
        <w:trPr>
          <w:trHeight w:val="216"/>
        </w:trPr>
        <w:tc>
          <w:tcPr>
            <w:tcW w:w="40" w:type="dxa"/>
            <w:vAlign w:val="bottom"/>
          </w:tcPr>
          <w:p>
            <w:pPr>
              <w:spacing w:after="0"/>
              <w:rPr>
                <w:sz w:val="18"/>
                <w:szCs w:val="18"/>
                <w:color w:val="auto"/>
              </w:rPr>
            </w:pPr>
          </w:p>
        </w:tc>
        <w:tc>
          <w:tcPr>
            <w:tcW w:w="74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(a)</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1,413</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1,454</w:t>
            </w:r>
          </w:p>
        </w:tc>
      </w:tr>
      <w:tr>
        <w:trPr>
          <w:trHeight w:val="216"/>
        </w:trPr>
        <w:tc>
          <w:tcPr>
            <w:tcW w:w="40" w:type="dxa"/>
            <w:vAlign w:val="bottom"/>
          </w:tcPr>
          <w:p>
            <w:pPr>
              <w:spacing w:after="0"/>
              <w:rPr>
                <w:sz w:val="18"/>
                <w:szCs w:val="18"/>
                <w:color w:val="auto"/>
              </w:rPr>
            </w:pPr>
          </w:p>
        </w:tc>
        <w:tc>
          <w:tcPr>
            <w:tcW w:w="742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(a)</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22,864</w:t>
            </w: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24,777</w:t>
            </w:r>
          </w:p>
        </w:tc>
      </w:tr>
      <w:tr>
        <w:trPr>
          <w:trHeight w:val="216"/>
        </w:trPr>
        <w:tc>
          <w:tcPr>
            <w:tcW w:w="40" w:type="dxa"/>
            <w:vAlign w:val="bottom"/>
          </w:tcPr>
          <w:p>
            <w:pPr>
              <w:spacing w:after="0"/>
              <w:rPr>
                <w:sz w:val="18"/>
                <w:szCs w:val="18"/>
                <w:color w:val="auto"/>
              </w:rPr>
            </w:pPr>
          </w:p>
        </w:tc>
        <w:tc>
          <w:tcPr>
            <w:tcW w:w="74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Renewable energy standard adjustment </w:t>
            </w:r>
            <w:r>
              <w:rPr>
                <w:rFonts w:ascii="Arial" w:cs="Arial" w:eastAsia="Arial" w:hAnsi="Arial"/>
                <w:sz w:val="21"/>
                <w:szCs w:val="21"/>
                <w:color w:val="auto"/>
                <w:vertAlign w:val="superscript"/>
              </w:rPr>
              <w:t>(a)</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1,622</w:t>
            </w:r>
          </w:p>
        </w:tc>
      </w:tr>
      <w:tr>
        <w:trPr>
          <w:trHeight w:val="216"/>
        </w:trPr>
        <w:tc>
          <w:tcPr>
            <w:tcW w:w="40" w:type="dxa"/>
            <w:vAlign w:val="bottom"/>
          </w:tcPr>
          <w:p>
            <w:pPr>
              <w:spacing w:after="0"/>
              <w:rPr>
                <w:sz w:val="18"/>
                <w:szCs w:val="18"/>
                <w:color w:val="auto"/>
              </w:rPr>
            </w:pPr>
          </w:p>
        </w:tc>
        <w:tc>
          <w:tcPr>
            <w:tcW w:w="742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flow-through accounting </w:t>
            </w:r>
            <w:r>
              <w:rPr>
                <w:rFonts w:ascii="Arial" w:cs="Arial" w:eastAsia="Arial" w:hAnsi="Arial"/>
                <w:sz w:val="21"/>
                <w:szCs w:val="21"/>
                <w:color w:val="auto"/>
                <w:vertAlign w:val="superscript"/>
              </w:rPr>
              <w:t>(c)</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47,515</w:t>
            </w: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41,220</w:t>
            </w:r>
          </w:p>
        </w:tc>
      </w:tr>
      <w:tr>
        <w:trPr>
          <w:trHeight w:val="216"/>
        </w:trPr>
        <w:tc>
          <w:tcPr>
            <w:tcW w:w="40" w:type="dxa"/>
            <w:vAlign w:val="bottom"/>
          </w:tcPr>
          <w:p>
            <w:pPr>
              <w:spacing w:after="0"/>
              <w:rPr>
                <w:sz w:val="18"/>
                <w:szCs w:val="18"/>
                <w:color w:val="auto"/>
              </w:rPr>
            </w:pPr>
          </w:p>
        </w:tc>
        <w:tc>
          <w:tcPr>
            <w:tcW w:w="74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(a)</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8,988</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10,670</w:t>
            </w:r>
          </w:p>
        </w:tc>
      </w:tr>
      <w:tr>
        <w:trPr>
          <w:trHeight w:val="216"/>
        </w:trPr>
        <w:tc>
          <w:tcPr>
            <w:tcW w:w="40" w:type="dxa"/>
            <w:vAlign w:val="bottom"/>
          </w:tcPr>
          <w:p>
            <w:pPr>
              <w:spacing w:after="0"/>
              <w:rPr>
                <w:sz w:val="18"/>
                <w:szCs w:val="18"/>
                <w:color w:val="auto"/>
              </w:rPr>
            </w:pPr>
          </w:p>
        </w:tc>
        <w:tc>
          <w:tcPr>
            <w:tcW w:w="742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Gas supply contract termination </w:t>
            </w:r>
            <w:r>
              <w:rPr>
                <w:rFonts w:ascii="Arial" w:cs="Arial" w:eastAsia="Arial" w:hAnsi="Arial"/>
                <w:sz w:val="21"/>
                <w:szCs w:val="21"/>
                <w:color w:val="auto"/>
                <w:vertAlign w:val="superscript"/>
              </w:rPr>
              <w:t>(a)</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2,524</w:t>
            </w: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8,485</w:t>
            </w:r>
          </w:p>
        </w:tc>
      </w:tr>
      <w:tr>
        <w:trPr>
          <w:trHeight w:val="216"/>
        </w:trPr>
        <w:tc>
          <w:tcPr>
            <w:tcW w:w="40" w:type="dxa"/>
            <w:vAlign w:val="bottom"/>
          </w:tcPr>
          <w:p>
            <w:pPr>
              <w:spacing w:after="0"/>
              <w:rPr>
                <w:sz w:val="18"/>
                <w:szCs w:val="18"/>
                <w:color w:val="auto"/>
              </w:rPr>
            </w:pPr>
          </w:p>
        </w:tc>
        <w:tc>
          <w:tcPr>
            <w:tcW w:w="7420" w:type="dxa"/>
            <w:vAlign w:val="bottom"/>
            <w:tcBorders>
              <w:bottom w:val="single" w:sz="8" w:color="CEFFE7"/>
            </w:tcBorders>
          </w:tcPr>
          <w:p>
            <w:pPr>
              <w:ind w:left="14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(a)</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26,404</w:t>
            </w: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20,470</w:t>
            </w:r>
          </w:p>
        </w:tc>
      </w:tr>
      <w:tr>
        <w:trPr>
          <w:trHeight w:val="210"/>
        </w:trPr>
        <w:tc>
          <w:tcPr>
            <w:tcW w:w="40" w:type="dxa"/>
            <w:vAlign w:val="bottom"/>
          </w:tcPr>
          <w:p>
            <w:pPr>
              <w:spacing w:after="0"/>
              <w:rPr>
                <w:sz w:val="18"/>
                <w:szCs w:val="18"/>
                <w:color w:val="auto"/>
              </w:rPr>
            </w:pPr>
          </w:p>
        </w:tc>
        <w:tc>
          <w:tcPr>
            <w:tcW w:w="742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regulatory assets</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278,258</w:t>
            </w: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271,344</w:t>
            </w:r>
          </w:p>
        </w:tc>
      </w:tr>
      <w:tr>
        <w:trPr>
          <w:trHeight w:val="213"/>
        </w:trPr>
        <w:tc>
          <w:tcPr>
            <w:tcW w:w="40" w:type="dxa"/>
            <w:vAlign w:val="bottom"/>
          </w:tcPr>
          <w:p>
            <w:pPr>
              <w:spacing w:after="0"/>
              <w:rPr>
                <w:sz w:val="18"/>
                <w:szCs w:val="18"/>
                <w:color w:val="auto"/>
              </w:rPr>
            </w:pPr>
          </w:p>
        </w:tc>
        <w:tc>
          <w:tcPr>
            <w:tcW w:w="742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Less current regulatory assets</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(51,676)</w:t>
            </w: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(43,282)</w:t>
            </w:r>
          </w:p>
        </w:tc>
      </w:tr>
      <w:tr>
        <w:trPr>
          <w:trHeight w:val="238"/>
        </w:trPr>
        <w:tc>
          <w:tcPr>
            <w:tcW w:w="40" w:type="dxa"/>
            <w:vAlign w:val="bottom"/>
          </w:tcPr>
          <w:p>
            <w:pPr>
              <w:spacing w:after="0"/>
              <w:rPr>
                <w:sz w:val="20"/>
                <w:szCs w:val="20"/>
                <w:color w:val="auto"/>
              </w:rPr>
            </w:pPr>
          </w:p>
        </w:tc>
        <w:tc>
          <w:tcPr>
            <w:tcW w:w="7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Regulatory assets, non-current</w:t>
            </w:r>
          </w:p>
        </w:tc>
        <w:tc>
          <w:tcPr>
            <w:tcW w:w="1160" w:type="dxa"/>
            <w:vAlign w:val="bottom"/>
            <w:tcBorders>
              <w:bottom w:val="single" w:sz="8" w:color="auto"/>
            </w:tcBorders>
            <w:shd w:val="clear" w:color="auto" w:fill="CEFFE7"/>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226,582</w:t>
            </w:r>
          </w:p>
        </w:tc>
        <w:tc>
          <w:tcPr>
            <w:tcW w:w="4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228,062</w:t>
            </w:r>
          </w:p>
        </w:tc>
      </w:tr>
      <w:tr>
        <w:trPr>
          <w:trHeight w:val="20"/>
        </w:trPr>
        <w:tc>
          <w:tcPr>
            <w:tcW w:w="40" w:type="dxa"/>
            <w:vAlign w:val="bottom"/>
          </w:tcPr>
          <w:p>
            <w:pPr>
              <w:spacing w:after="0" w:line="20" w:lineRule="exact"/>
              <w:rPr>
                <w:sz w:val="1"/>
                <w:szCs w:val="1"/>
                <w:color w:val="auto"/>
              </w:rPr>
            </w:pPr>
          </w:p>
        </w:tc>
        <w:tc>
          <w:tcPr>
            <w:tcW w:w="742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6"/>
        </w:trPr>
        <w:tc>
          <w:tcPr>
            <w:tcW w:w="40" w:type="dxa"/>
            <w:vAlign w:val="bottom"/>
          </w:tcPr>
          <w:p>
            <w:pPr>
              <w:spacing w:after="0"/>
              <w:rPr>
                <w:sz w:val="18"/>
                <w:szCs w:val="18"/>
                <w:color w:val="auto"/>
              </w:rPr>
            </w:pPr>
          </w:p>
        </w:tc>
        <w:tc>
          <w:tcPr>
            <w:tcW w:w="7420" w:type="dxa"/>
            <w:vAlign w:val="bottom"/>
            <w:shd w:val="clear" w:color="auto" w:fill="CEFFE7"/>
          </w:tcPr>
          <w:p>
            <w:pPr>
              <w:ind w:left="20"/>
              <w:spacing w:after="0"/>
              <w:rPr>
                <w:sz w:val="20"/>
                <w:szCs w:val="20"/>
                <w:color w:val="auto"/>
              </w:rPr>
            </w:pPr>
            <w:r>
              <w:rPr>
                <w:rFonts w:ascii="Arial" w:cs="Arial" w:eastAsia="Arial" w:hAnsi="Arial"/>
                <w:sz w:val="16"/>
                <w:szCs w:val="16"/>
                <w:b w:val="1"/>
                <w:bCs w:val="1"/>
                <w:color w:val="auto"/>
              </w:rPr>
              <w:t>Regulatory liabilities</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4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(a)</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13,253</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17,278</w:t>
            </w:r>
          </w:p>
        </w:tc>
      </w:tr>
      <w:tr>
        <w:trPr>
          <w:trHeight w:val="216"/>
        </w:trPr>
        <w:tc>
          <w:tcPr>
            <w:tcW w:w="40" w:type="dxa"/>
            <w:vAlign w:val="bottom"/>
          </w:tcPr>
          <w:p>
            <w:pPr>
              <w:spacing w:after="0"/>
              <w:rPr>
                <w:sz w:val="18"/>
                <w:szCs w:val="18"/>
                <w:color w:val="auto"/>
              </w:rPr>
            </w:pPr>
          </w:p>
        </w:tc>
        <w:tc>
          <w:tcPr>
            <w:tcW w:w="742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Employee benefit plan costs and related deferred taxes </w:t>
            </w:r>
            <w:r>
              <w:rPr>
                <w:rFonts w:ascii="Arial" w:cs="Arial" w:eastAsia="Arial" w:hAnsi="Arial"/>
                <w:sz w:val="21"/>
                <w:szCs w:val="21"/>
                <w:color w:val="auto"/>
                <w:vertAlign w:val="superscript"/>
              </w:rPr>
              <w:t>(c)</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40,256</w:t>
            </w: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43,349</w:t>
            </w:r>
          </w:p>
        </w:tc>
      </w:tr>
      <w:tr>
        <w:trPr>
          <w:trHeight w:val="216"/>
        </w:trPr>
        <w:tc>
          <w:tcPr>
            <w:tcW w:w="40" w:type="dxa"/>
            <w:vAlign w:val="bottom"/>
          </w:tcPr>
          <w:p>
            <w:pPr>
              <w:spacing w:after="0"/>
              <w:rPr>
                <w:sz w:val="18"/>
                <w:szCs w:val="18"/>
                <w:color w:val="auto"/>
              </w:rPr>
            </w:pPr>
          </w:p>
        </w:tc>
        <w:tc>
          <w:tcPr>
            <w:tcW w:w="74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(a)</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172,902</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166,727</w:t>
            </w:r>
          </w:p>
        </w:tc>
      </w:tr>
      <w:tr>
        <w:trPr>
          <w:trHeight w:val="216"/>
        </w:trPr>
        <w:tc>
          <w:tcPr>
            <w:tcW w:w="40" w:type="dxa"/>
            <w:vAlign w:val="bottom"/>
          </w:tcPr>
          <w:p>
            <w:pPr>
              <w:spacing w:after="0"/>
              <w:rPr>
                <w:sz w:val="18"/>
                <w:szCs w:val="18"/>
                <w:color w:val="auto"/>
              </w:rPr>
            </w:pPr>
          </w:p>
        </w:tc>
        <w:tc>
          <w:tcPr>
            <w:tcW w:w="742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(c)</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285,259</w:t>
            </w: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285,438</w:t>
            </w:r>
          </w:p>
        </w:tc>
      </w:tr>
      <w:tr>
        <w:trPr>
          <w:trHeight w:val="216"/>
        </w:trPr>
        <w:tc>
          <w:tcPr>
            <w:tcW w:w="40" w:type="dxa"/>
            <w:vAlign w:val="bottom"/>
          </w:tcPr>
          <w:p>
            <w:pPr>
              <w:spacing w:after="0"/>
              <w:rPr>
                <w:sz w:val="18"/>
                <w:szCs w:val="18"/>
                <w:color w:val="auto"/>
              </w:rPr>
            </w:pPr>
          </w:p>
        </w:tc>
        <w:tc>
          <w:tcPr>
            <w:tcW w:w="7420" w:type="dxa"/>
            <w:vAlign w:val="bottom"/>
            <w:tcBorders>
              <w:bottom w:val="single" w:sz="8" w:color="CEFFE7"/>
            </w:tcBorders>
          </w:tcPr>
          <w:p>
            <w:pPr>
              <w:ind w:left="14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(c)</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21,050</w:t>
            </w: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23,860</w:t>
            </w:r>
          </w:p>
        </w:tc>
      </w:tr>
      <w:tr>
        <w:trPr>
          <w:trHeight w:val="210"/>
        </w:trPr>
        <w:tc>
          <w:tcPr>
            <w:tcW w:w="40" w:type="dxa"/>
            <w:vAlign w:val="bottom"/>
          </w:tcPr>
          <w:p>
            <w:pPr>
              <w:spacing w:after="0"/>
              <w:rPr>
                <w:sz w:val="18"/>
                <w:szCs w:val="18"/>
                <w:color w:val="auto"/>
              </w:rPr>
            </w:pPr>
          </w:p>
        </w:tc>
        <w:tc>
          <w:tcPr>
            <w:tcW w:w="742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regulatory liabilities</w:t>
            </w:r>
          </w:p>
        </w:tc>
        <w:tc>
          <w:tcPr>
            <w:tcW w:w="116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532,720</w:t>
            </w:r>
          </w:p>
        </w:tc>
        <w:tc>
          <w:tcPr>
            <w:tcW w:w="4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536,652</w:t>
            </w:r>
          </w:p>
        </w:tc>
      </w:tr>
      <w:tr>
        <w:trPr>
          <w:trHeight w:val="213"/>
        </w:trPr>
        <w:tc>
          <w:tcPr>
            <w:tcW w:w="40" w:type="dxa"/>
            <w:vAlign w:val="bottom"/>
          </w:tcPr>
          <w:p>
            <w:pPr>
              <w:spacing w:after="0"/>
              <w:rPr>
                <w:sz w:val="18"/>
                <w:szCs w:val="18"/>
                <w:color w:val="auto"/>
              </w:rPr>
            </w:pPr>
          </w:p>
        </w:tc>
        <w:tc>
          <w:tcPr>
            <w:tcW w:w="742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Less current regulatory liabilities</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(25,061)</w:t>
            </w: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(33,507)</w:t>
            </w:r>
          </w:p>
        </w:tc>
      </w:tr>
      <w:tr>
        <w:trPr>
          <w:trHeight w:val="238"/>
        </w:trPr>
        <w:tc>
          <w:tcPr>
            <w:tcW w:w="40" w:type="dxa"/>
            <w:vAlign w:val="bottom"/>
          </w:tcPr>
          <w:p>
            <w:pPr>
              <w:spacing w:after="0"/>
              <w:rPr>
                <w:sz w:val="20"/>
                <w:szCs w:val="20"/>
                <w:color w:val="auto"/>
              </w:rPr>
            </w:pPr>
          </w:p>
        </w:tc>
        <w:tc>
          <w:tcPr>
            <w:tcW w:w="7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Regulatory liabilities, non-current</w:t>
            </w:r>
          </w:p>
        </w:tc>
        <w:tc>
          <w:tcPr>
            <w:tcW w:w="1160" w:type="dxa"/>
            <w:vAlign w:val="bottom"/>
            <w:tcBorders>
              <w:bottom w:val="single" w:sz="8" w:color="auto"/>
            </w:tcBorders>
            <w:shd w:val="clear" w:color="auto" w:fill="CEFFE7"/>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507,659</w:t>
            </w:r>
          </w:p>
        </w:tc>
        <w:tc>
          <w:tcPr>
            <w:tcW w:w="4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503,145</w:t>
            </w:r>
          </w:p>
        </w:tc>
      </w:tr>
      <w:tr>
        <w:trPr>
          <w:trHeight w:val="20"/>
        </w:trPr>
        <w:tc>
          <w:tcPr>
            <w:tcW w:w="40" w:type="dxa"/>
            <w:vAlign w:val="bottom"/>
          </w:tcPr>
          <w:p>
            <w:pPr>
              <w:spacing w:after="0" w:line="20" w:lineRule="exact"/>
              <w:rPr>
                <w:sz w:val="1"/>
                <w:szCs w:val="1"/>
                <w:color w:val="auto"/>
              </w:rPr>
            </w:pPr>
          </w:p>
        </w:tc>
        <w:tc>
          <w:tcPr>
            <w:tcW w:w="742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Recovery of costs, but we are not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addition to recovery of costs, we are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Regulatory assets represent items we expect to recover from customers through probable future rates.</w:t>
      </w:r>
    </w:p>
    <w:p>
      <w:pPr>
        <w:spacing w:after="0" w:line="248" w:lineRule="exact"/>
        <w:rPr>
          <w:sz w:val="20"/>
          <w:szCs w:val="20"/>
          <w:color w:val="auto"/>
        </w:rPr>
      </w:pPr>
    </w:p>
    <w:p>
      <w:pPr>
        <w:ind w:left="340" w:right="180"/>
        <w:spacing w:after="0" w:line="250" w:lineRule="auto"/>
        <w:rPr>
          <w:sz w:val="20"/>
          <w:szCs w:val="20"/>
          <w:color w:val="auto"/>
        </w:rPr>
      </w:pPr>
      <w:r>
        <w:rPr>
          <w:rFonts w:ascii="Arial" w:cs="Arial" w:eastAsia="Arial" w:hAnsi="Arial"/>
          <w:sz w:val="16"/>
          <w:szCs w:val="16"/>
          <w:u w:val="single" w:color="auto"/>
          <w:color w:val="auto"/>
        </w:rPr>
        <w:t>Deferred Energy and Fuel Cost Adjustments</w:t>
      </w:r>
      <w:r>
        <w:rPr>
          <w:rFonts w:ascii="Arial" w:cs="Arial" w:eastAsia="Arial" w:hAnsi="Arial"/>
          <w:sz w:val="16"/>
          <w:szCs w:val="16"/>
          <w:color w:val="auto"/>
        </w:rPr>
        <w:t xml:space="preserve"> - Deferred energy and fuel cost adjustments represent the cost of electricity delivered to our Electric Utilities’ customers that is either higher or lower than the current rates and will be recovered or refunded in future rates. Deferred energy and fuel cost adjustments are recorded and recovered or amortized as approved by the appropriate state regulatory commission. Our Electric Utilities file periodic quarterly, semi-annual and/or annual filings to recover these costs based on the respective cost mechanisms approved by their applicable state regulatory commissions. The recovery period for these costs is less than a year.</w:t>
      </w:r>
    </w:p>
    <w:p>
      <w:pPr>
        <w:spacing w:after="0" w:line="230" w:lineRule="exact"/>
        <w:rPr>
          <w:sz w:val="20"/>
          <w:szCs w:val="20"/>
          <w:color w:val="auto"/>
        </w:rPr>
      </w:pPr>
    </w:p>
    <w:p>
      <w:pPr>
        <w:ind w:left="340" w:right="60"/>
        <w:spacing w:after="0" w:line="250" w:lineRule="auto"/>
        <w:rPr>
          <w:sz w:val="20"/>
          <w:szCs w:val="20"/>
          <w:color w:val="auto"/>
        </w:rPr>
      </w:pPr>
      <w:r>
        <w:rPr>
          <w:rFonts w:ascii="Arial" w:cs="Arial" w:eastAsia="Arial" w:hAnsi="Arial"/>
          <w:sz w:val="16"/>
          <w:szCs w:val="16"/>
          <w:u w:val="single" w:color="auto"/>
          <w:color w:val="auto"/>
        </w:rPr>
        <w:t>Deferred Gas Cost Adjustment</w:t>
      </w:r>
      <w:r>
        <w:rPr>
          <w:rFonts w:ascii="Arial" w:cs="Arial" w:eastAsia="Arial" w:hAnsi="Arial"/>
          <w:sz w:val="16"/>
          <w:szCs w:val="16"/>
          <w:color w:val="auto"/>
        </w:rPr>
        <w:t>s - Our regulated Gas Utilities have GCA provisions that allow them to pass the cost of gas on to their customers. The GCA is based on forecasts of the upcoming gas costs and recovery or refund of prior under-recovered or over-recovered costs. To the extent that gas costs are under-recovered or over-recovered, they are recorded as a regulatory asset or liability, respectively. Our Gas Utilities file periodic estimates of future gas costs based on market forecasts with state regulatory commissions. The recovery period for these costs is less than a year.</w:t>
      </w:r>
    </w:p>
    <w:p>
      <w:pPr>
        <w:spacing w:after="0" w:line="230" w:lineRule="exact"/>
        <w:rPr>
          <w:sz w:val="20"/>
          <w:szCs w:val="20"/>
          <w:color w:val="auto"/>
        </w:rPr>
      </w:pPr>
    </w:p>
    <w:p>
      <w:pPr>
        <w:ind w:left="340" w:right="80"/>
        <w:spacing w:after="0" w:line="251" w:lineRule="auto"/>
        <w:rPr>
          <w:sz w:val="20"/>
          <w:szCs w:val="20"/>
          <w:color w:val="auto"/>
        </w:rPr>
      </w:pPr>
      <w:r>
        <w:rPr>
          <w:rFonts w:ascii="Arial" w:cs="Arial" w:eastAsia="Arial" w:hAnsi="Arial"/>
          <w:sz w:val="16"/>
          <w:szCs w:val="16"/>
          <w:u w:val="single" w:color="auto"/>
          <w:color w:val="auto"/>
        </w:rPr>
        <w:t>Gas Price Derivatives</w:t>
      </w:r>
      <w:r>
        <w:rPr>
          <w:rFonts w:ascii="Arial" w:cs="Arial" w:eastAsia="Arial" w:hAnsi="Arial"/>
          <w:sz w:val="16"/>
          <w:szCs w:val="16"/>
          <w:color w:val="auto"/>
        </w:rPr>
        <w:t xml:space="preserve"> - Our regulated Gas Utilities, as allowed or required by state regulatory commissions, have entered into certain exchange-traded natural gas futures and options to reduce our customers’ underlying exposure to fluctuations in gas prices. Gas price derivatives represent our unrealized positions on our commodity contracts supporting our utilities. Gas price derivatives at December 31, 2020 are hedged over a maximum forward term of two years.</w:t>
      </w:r>
    </w:p>
    <w:p>
      <w:pPr>
        <w:spacing w:after="0" w:line="229" w:lineRule="exact"/>
        <w:rPr>
          <w:sz w:val="20"/>
          <w:szCs w:val="20"/>
          <w:color w:val="auto"/>
        </w:rPr>
      </w:pPr>
    </w:p>
    <w:p>
      <w:pPr>
        <w:ind w:left="340" w:right="20"/>
        <w:spacing w:after="0" w:line="249" w:lineRule="auto"/>
        <w:rPr>
          <w:sz w:val="20"/>
          <w:szCs w:val="20"/>
          <w:color w:val="auto"/>
        </w:rPr>
      </w:pPr>
      <w:r>
        <w:rPr>
          <w:rFonts w:ascii="Arial" w:cs="Arial" w:eastAsia="Arial" w:hAnsi="Arial"/>
          <w:sz w:val="16"/>
          <w:szCs w:val="16"/>
          <w:u w:val="single" w:color="auto"/>
          <w:color w:val="auto"/>
        </w:rPr>
        <w:t>Deferred Taxes on AFUDC</w:t>
      </w:r>
      <w:r>
        <w:rPr>
          <w:rFonts w:ascii="Arial" w:cs="Arial" w:eastAsia="Arial" w:hAnsi="Arial"/>
          <w:sz w:val="16"/>
          <w:szCs w:val="16"/>
          <w:color w:val="auto"/>
        </w:rPr>
        <w:t xml:space="preserve"> - The equity component of AFUDC is considered a permanent difference for tax purposes with the tax benefit being flowed through to customers as prescribed or allowed by regulators. If, based on a regulator’s action, it is probable the utility will recover the future increase in taxes payable represented by this flow-through treatment through a rate revenue increase, a regulatory asset is recognized. This regulatory asset is a temporary difference for which a deferred tax liability must be recognized. Accounting standards for income taxes specifically address AFUDC-equity and require a gross-up of such amounts to reflect the revenue requirement associated with a rate-regulated environment.</w:t>
      </w:r>
    </w:p>
    <w:p>
      <w:pPr>
        <w:spacing w:after="0" w:line="232" w:lineRule="exact"/>
        <w:rPr>
          <w:sz w:val="20"/>
          <w:szCs w:val="20"/>
          <w:color w:val="auto"/>
        </w:rPr>
      </w:pPr>
    </w:p>
    <w:p>
      <w:pPr>
        <w:ind w:left="340" w:right="200"/>
        <w:spacing w:after="0" w:line="250" w:lineRule="auto"/>
        <w:rPr>
          <w:sz w:val="20"/>
          <w:szCs w:val="20"/>
          <w:color w:val="auto"/>
        </w:rPr>
      </w:pPr>
      <w:r>
        <w:rPr>
          <w:rFonts w:ascii="Arial" w:cs="Arial" w:eastAsia="Arial" w:hAnsi="Arial"/>
          <w:sz w:val="16"/>
          <w:szCs w:val="16"/>
          <w:u w:val="single" w:color="auto"/>
          <w:color w:val="auto"/>
        </w:rPr>
        <w:t>Employee Benefit Plans and Related Deferred Taxes</w:t>
      </w:r>
      <w:r>
        <w:rPr>
          <w:rFonts w:ascii="Arial" w:cs="Arial" w:eastAsia="Arial" w:hAnsi="Arial"/>
          <w:sz w:val="16"/>
          <w:szCs w:val="16"/>
          <w:color w:val="auto"/>
        </w:rPr>
        <w:t xml:space="preserve"> - Employee benefit plans include the unrecognized prior service costs and net actuarial loss associated with our defined benefit pension plan and post-retirement benefit plans in regulatory assets rather than in AOCI. In addition, this regulatory asset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230" w:lineRule="exact"/>
        <w:rPr>
          <w:sz w:val="20"/>
          <w:szCs w:val="20"/>
          <w:color w:val="auto"/>
        </w:rPr>
      </w:pPr>
    </w:p>
    <w:p>
      <w:pPr>
        <w:ind w:left="340" w:right="80"/>
        <w:spacing w:after="0" w:line="251" w:lineRule="auto"/>
        <w:rPr>
          <w:sz w:val="20"/>
          <w:szCs w:val="20"/>
          <w:color w:val="auto"/>
        </w:rPr>
      </w:pP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 Environmental costs associated with certain former manufactured gas plant sites. These costs are first offset by recognition of insurance proceeds and settlements with other third parties. Any remaining cost will be requested for recovery in future rate filings. Recovery for these specific environmental costs has not yet been approved by the applicable state regulatory commission and therefore, the recovery period is unknown at this time.</w:t>
      </w:r>
    </w:p>
    <w:p>
      <w:pPr>
        <w:spacing w:after="0" w:line="229"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u w:val="single" w:color="auto"/>
          <w:color w:val="auto"/>
        </w:rPr>
        <w:t>Loss on Reacquired Debt</w:t>
      </w:r>
      <w:r>
        <w:rPr>
          <w:rFonts w:ascii="Arial" w:cs="Arial" w:eastAsia="Arial" w:hAnsi="Arial"/>
          <w:sz w:val="16"/>
          <w:szCs w:val="16"/>
          <w:color w:val="auto"/>
        </w:rPr>
        <w:t xml:space="preserve"> - Loss on reacquired debt is recovered over the remaining life of the original issue or, if refinanced, over the life of the new issue.</w:t>
      </w:r>
    </w:p>
    <w:p>
      <w:pPr>
        <w:spacing w:after="0" w:line="222" w:lineRule="exact"/>
        <w:rPr>
          <w:sz w:val="20"/>
          <w:szCs w:val="20"/>
          <w:color w:val="auto"/>
        </w:rPr>
      </w:pPr>
    </w:p>
    <w:p>
      <w:pPr>
        <w:ind w:left="340" w:right="60"/>
        <w:spacing w:after="0" w:line="251" w:lineRule="auto"/>
        <w:rPr>
          <w:sz w:val="20"/>
          <w:szCs w:val="20"/>
          <w:color w:val="auto"/>
        </w:rPr>
      </w:pPr>
      <w:r>
        <w:rPr>
          <w:rFonts w:ascii="Arial" w:cs="Arial" w:eastAsia="Arial" w:hAnsi="Arial"/>
          <w:sz w:val="16"/>
          <w:szCs w:val="16"/>
          <w:u w:val="single" w:color="auto"/>
          <w:color w:val="auto"/>
        </w:rPr>
        <w:t>Renewable Energy Standard Adjustment</w:t>
      </w:r>
      <w:r>
        <w:rPr>
          <w:rFonts w:ascii="Arial" w:cs="Arial" w:eastAsia="Arial" w:hAnsi="Arial"/>
          <w:sz w:val="16"/>
          <w:szCs w:val="16"/>
          <w:color w:val="auto"/>
        </w:rPr>
        <w:t xml:space="preserve"> - The renewable energy standard adjustment provides funding for various renewable energy projects and programs to comply with Colorado’s Renewable Energy Standard. These programs include incentives for our Colorado Electric customers to install renewable energy equipment at their location. These project costs and program incentives are recovered over time through the Renewable Energy Standard Adjustment charged on customers’ bills.</w:t>
      </w:r>
    </w:p>
    <w:p>
      <w:pPr>
        <w:spacing w:after="0" w:line="229" w:lineRule="exact"/>
        <w:rPr>
          <w:sz w:val="20"/>
          <w:szCs w:val="20"/>
          <w:color w:val="auto"/>
        </w:rPr>
      </w:pPr>
    </w:p>
    <w:p>
      <w:pPr>
        <w:ind w:left="340" w:right="80"/>
        <w:spacing w:after="0" w:line="250" w:lineRule="auto"/>
        <w:rPr>
          <w:sz w:val="20"/>
          <w:szCs w:val="20"/>
          <w:color w:val="auto"/>
        </w:rPr>
      </w:pPr>
      <w:r>
        <w:rPr>
          <w:rFonts w:ascii="Arial" w:cs="Arial" w:eastAsia="Arial" w:hAnsi="Arial"/>
          <w:sz w:val="16"/>
          <w:szCs w:val="16"/>
          <w:u w:val="single" w:color="auto"/>
          <w:color w:val="auto"/>
        </w:rPr>
        <w:t>Deferred Taxes on Flow-Through Accounting</w:t>
      </w:r>
      <w:r>
        <w:rPr>
          <w:rFonts w:ascii="Arial" w:cs="Arial" w:eastAsia="Arial" w:hAnsi="Arial"/>
          <w:sz w:val="16"/>
          <w:szCs w:val="16"/>
          <w:color w:val="auto"/>
        </w:rPr>
        <w:t xml:space="preserve"> - Under flow-through accounting, the income tax effects of certain tax items are reflected in our cost of service for the customer and result in lower utility rates in the year in which the tax benefits are realized. A regulatory asset was established to reflect that future increases in income taxes payable will be recovered from customers as the temporary differences reverse. As a result of this regulatory treatment, we continue to record a tax benefit for costs considered currently deductible for tax purposes, but are capitalized for book purposes.</w:t>
      </w:r>
    </w:p>
    <w:p>
      <w:pPr>
        <w:spacing w:after="0" w:line="230" w:lineRule="exact"/>
        <w:rPr>
          <w:sz w:val="20"/>
          <w:szCs w:val="20"/>
          <w:color w:val="auto"/>
        </w:rPr>
      </w:pPr>
    </w:p>
    <w:p>
      <w:pPr>
        <w:ind w:left="340" w:right="20"/>
        <w:spacing w:after="0" w:line="253" w:lineRule="auto"/>
        <w:rPr>
          <w:sz w:val="20"/>
          <w:szCs w:val="20"/>
          <w:color w:val="auto"/>
        </w:rPr>
      </w:pPr>
      <w:r>
        <w:rPr>
          <w:rFonts w:ascii="Arial" w:cs="Arial" w:eastAsia="Arial" w:hAnsi="Arial"/>
          <w:sz w:val="16"/>
          <w:szCs w:val="16"/>
          <w:u w:val="single" w:color="auto"/>
          <w:color w:val="auto"/>
        </w:rPr>
        <w:t>Decommissioning Costs</w:t>
      </w:r>
      <w:r>
        <w:rPr>
          <w:rFonts w:ascii="Arial" w:cs="Arial" w:eastAsia="Arial" w:hAnsi="Arial"/>
          <w:sz w:val="16"/>
          <w:szCs w:val="16"/>
          <w:color w:val="auto"/>
        </w:rPr>
        <w:t xml:space="preserve"> - South Dakota Electric and Colorado Electric received approval in 2014 for recovery of the remaining net book values and decommissioning costs of their decommissioned coal plants. In 2018, Arkansas Gas received approval to record Liquefied Natural Gas Plant decommissioning costs as a regulatory asset and received approval in 2020 to begin recovering those costs over three years.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bookmarkStart w:id="82" w:name="page83"/>
    <w:bookmarkEnd w:id="8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780"/>
        <w:spacing w:after="0" w:line="248" w:lineRule="auto"/>
        <w:rPr>
          <w:sz w:val="20"/>
          <w:szCs w:val="20"/>
          <w:color w:val="auto"/>
        </w:rPr>
      </w:pPr>
      <w:r>
        <w:rPr>
          <w:rFonts w:ascii="Arial" w:cs="Arial" w:eastAsia="Arial" w:hAnsi="Arial"/>
          <w:sz w:val="16"/>
          <w:szCs w:val="16"/>
          <w:u w:val="single" w:color="auto"/>
          <w:color w:val="auto"/>
        </w:rPr>
        <w:t>Gas Supply Contract Termination</w:t>
      </w:r>
      <w:r>
        <w:rPr>
          <w:rFonts w:ascii="Arial" w:cs="Arial" w:eastAsia="Arial" w:hAnsi="Arial"/>
          <w:sz w:val="16"/>
          <w:szCs w:val="16"/>
          <w:color w:val="auto"/>
        </w:rPr>
        <w:t xml:space="preserve"> - As part of our acquisition of SourceGas in 2016, we acquired agreements that required the Company to purchase all of the natural gas produced over the productive life of specific leaseholds in the Bowdoin Field in Montana. The majority of these purchases were committed to certain customers in Colorado, Nebraska, and Wyoming, which are subject to cost recovery mechanisms. The prices to be paid under these agreements varied, ranging from $6 to $8 per MMBtu at the time of acquisition, which exceeded market prices. We recorded a liability for this contract in our SourceGas Transaction purchase price allocation. We were granted approval to terminate these agreements from the CPUC, NPSC and WPSC on the basis that these agreements were not beneficial to customers over the long term. We received written orders allowing us to create a regulatory asset for the net buyout costs associated with the contract termination, and recover the majority of costs from customers over a period of five years. We terminated the contract and settled the liability on April 29, 2016.</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Regulatory liabilities represent items we expect to refund to customers through probable future decreases in rates.</w:t>
      </w:r>
    </w:p>
    <w:p>
      <w:pPr>
        <w:spacing w:after="0" w:line="228" w:lineRule="exact"/>
        <w:rPr>
          <w:sz w:val="20"/>
          <w:szCs w:val="20"/>
          <w:color w:val="auto"/>
        </w:rPr>
      </w:pPr>
    </w:p>
    <w:p>
      <w:pPr>
        <w:ind w:left="340" w:right="800"/>
        <w:spacing w:after="0" w:line="286" w:lineRule="auto"/>
        <w:rPr>
          <w:sz w:val="20"/>
          <w:szCs w:val="20"/>
          <w:color w:val="auto"/>
        </w:rPr>
      </w:pPr>
      <w:r>
        <w:rPr>
          <w:rFonts w:ascii="Arial" w:cs="Arial" w:eastAsia="Arial" w:hAnsi="Arial"/>
          <w:sz w:val="16"/>
          <w:szCs w:val="16"/>
          <w:u w:val="single" w:color="auto"/>
          <w:color w:val="auto"/>
        </w:rPr>
        <w:t>Deferred Energy and Gas Costs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Deferred energy and gas costs that have been over-recovered through customer rates and will be returned to customers in future periods.</w:t>
      </w:r>
    </w:p>
    <w:p>
      <w:pPr>
        <w:spacing w:after="0" w:line="183" w:lineRule="exact"/>
        <w:rPr>
          <w:sz w:val="20"/>
          <w:szCs w:val="20"/>
          <w:color w:val="auto"/>
        </w:rPr>
      </w:pPr>
    </w:p>
    <w:p>
      <w:pPr>
        <w:ind w:left="340" w:right="640"/>
        <w:spacing w:after="0" w:line="256" w:lineRule="auto"/>
        <w:rPr>
          <w:sz w:val="20"/>
          <w:szCs w:val="20"/>
          <w:color w:val="auto"/>
        </w:rPr>
      </w:pPr>
      <w:r>
        <w:rPr>
          <w:rFonts w:ascii="Arial" w:cs="Arial" w:eastAsia="Arial" w:hAnsi="Arial"/>
          <w:sz w:val="16"/>
          <w:szCs w:val="16"/>
          <w:u w:val="single" w:color="auto"/>
          <w:color w:val="auto"/>
        </w:rPr>
        <w:t>Employee Benefit Plan Costs and Related Deferred Taxes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Employee benefit plans represent the cumulative excess of pension and retiree healthcare costs recovered in rates over pension expense recorded in accordance with accounting standards for compensation - retirement benefits. In addition, this regulatory liability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207" w:lineRule="exact"/>
        <w:rPr>
          <w:sz w:val="20"/>
          <w:szCs w:val="20"/>
          <w:color w:val="auto"/>
        </w:rPr>
      </w:pPr>
    </w:p>
    <w:p>
      <w:pPr>
        <w:ind w:left="340" w:right="1100"/>
        <w:spacing w:after="0" w:line="286" w:lineRule="auto"/>
        <w:rPr>
          <w:sz w:val="20"/>
          <w:szCs w:val="20"/>
          <w:color w:val="auto"/>
        </w:rPr>
      </w:pPr>
      <w:r>
        <w:rPr>
          <w:rFonts w:ascii="Arial" w:cs="Arial" w:eastAsia="Arial" w:hAnsi="Arial"/>
          <w:sz w:val="16"/>
          <w:szCs w:val="16"/>
          <w:u w:val="single" w:color="auto"/>
          <w:color w:val="auto"/>
        </w:rPr>
        <w:t>Cost of Removal</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Cost of removal represents the estimated cumulative net provisions for future removal costs for which there is no legal obligation for removal included in depreciation expense.</w:t>
      </w:r>
    </w:p>
    <w:p>
      <w:pPr>
        <w:spacing w:after="0" w:line="203" w:lineRule="exact"/>
        <w:rPr>
          <w:sz w:val="20"/>
          <w:szCs w:val="20"/>
          <w:color w:val="auto"/>
        </w:rPr>
      </w:pPr>
    </w:p>
    <w:p>
      <w:pPr>
        <w:ind w:left="340" w:right="840"/>
        <w:spacing w:after="0" w:line="253" w:lineRule="auto"/>
        <w:rPr>
          <w:rFonts w:ascii="Arial" w:cs="Arial" w:eastAsia="Arial" w:hAnsi="Arial"/>
          <w:sz w:val="16"/>
          <w:szCs w:val="16"/>
          <w:color w:val="auto"/>
        </w:rPr>
      </w:pPr>
      <w:r>
        <w:rPr>
          <w:rFonts w:ascii="Arial" w:cs="Arial" w:eastAsia="Arial" w:hAnsi="Arial"/>
          <w:sz w:val="16"/>
          <w:szCs w:val="16"/>
          <w:u w:val="single" w:color="auto"/>
          <w:color w:val="auto"/>
        </w:rPr>
        <w:t>Excess Deferred Income Taxes</w:t>
      </w:r>
      <w:r>
        <w:rPr>
          <w:rFonts w:ascii="Arial" w:cs="Arial" w:eastAsia="Arial" w:hAnsi="Arial"/>
          <w:sz w:val="16"/>
          <w:szCs w:val="16"/>
          <w:color w:val="auto"/>
        </w:rPr>
        <w:t xml:space="preserve"> - The revaluation of the regulated utilities' deferred tax assets and liabilities due to the passage of the TCJA was recorded as an excess deferred income tax to be refunded to customers primarily using the normalization principles as prescribed in the TCJA. See </w:t>
      </w:r>
      <w:hyperlink w:anchor="page116">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Regulatory Activity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TCJA</w:t>
      </w:r>
    </w:p>
    <w:p>
      <w:pPr>
        <w:spacing w:after="0" w:line="26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TCJA. The TCJA reduced the U.S. federal corporate tax rate from 35% to 21%. As such, the Company remeasured our deferred income taxes at the 21% federal tax rate as of December 31, 2017. In 2018 and 2019, the Company successfully delivered several of these tax benefits from the TCJA to its utility customers.</w:t>
      </w:r>
    </w:p>
    <w:p>
      <w:pPr>
        <w:spacing w:after="0" w:line="22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In 2020, regulatory proceedings resolved the last of the Company’s open dockets seeking approval of its TCJA plans. As a result, the Company relieved certain TCJA-related liabilities, which resulted in an increase to net income for the year ended December 31, 2020 of $4.0 million.</w:t>
      </w:r>
    </w:p>
    <w:p>
      <w:pPr>
        <w:spacing w:after="0" w:line="22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On December 30, 2020, an administrative law judge approved a settlement of Colorado Electric’s plan to provide $9.3 million of TCJA-related customer billing credits to its customers. The billing credits, which represent a disposition of excess deferred income tax benefits resulting from the TCJA, will be delivered to customers in February 2021. These billing credits will be offset by a reduction in income tax expense and will result in a minimal impact to Net income.</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Janaury 26, 2021, NPSC approved Nebraska Gas’s plan to provide $2.9 million of TCJA-related customer billing credits to its customers. The billing credits, which represent a disposition of excess deferred income tax benefits resulting from the TCJA, is expected to be delivered to customers in the second quarter of 2021. These billing credits will be offset by a reduction in income tax and and will result in a minimal impact to Net income.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 Regulatory Activity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South Dakota Electric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Settlement</w:t>
      </w:r>
    </w:p>
    <w:p>
      <w:pPr>
        <w:spacing w:after="0" w:line="2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January 7, 2020, South Dakota Electric received approval from the SDPUC on a settlement agreement to extend the 6-year moratorium period by an additional 3 years to June 30, 2026. Also, as part of the settlement, we withdrew our application for deferred accounting treatment and expensed $5.4 million of development costs in 2019 related to projects we no longer intend to construct. This settlement amends a previous agreement approved by the SDPUC on June 16, 2017, whereby South Dakota Electric would not increase base rates, absent an extraordinary event, for a 6 year moratorium period effective July 1, 2017. The moratorium period also includes suspension of both the TFA and EIA.</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FERC Formula Rate</w:t>
      </w:r>
    </w:p>
    <w:p>
      <w:pPr>
        <w:spacing w:after="0" w:line="264"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annual rate determination process is governed by the FERC formula rate protocols established in the filed FERC joint-access transmission tariff. Effective January 1, 2020 the annual revenue requirement was $27 million and included estimated weighted average capital additions of $33 million for 2019 and 2020 combined. The annual transmission revenue requirement has a true-up mechanism that is recorded in June of each year.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Black Hills Wyoming and Wyoming Electric</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Wygen 1 FERC Filing</w:t>
      </w:r>
    </w:p>
    <w:p>
      <w:pPr>
        <w:spacing w:after="0" w:line="26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On October 15, 2020, the FERC approved a settlement agreement that represents a resolution of all issues in the joint application filed by Wyoming Electric and Black Hills Wyoming on August 2, 2019 for approval of a new 60 MW PPA. Under the terms of the settlement, Wyoming Electric will continue to receive 60 MW of capacity and energy from the Wygen I power plant. The new agreement will commence on January 1, 2022, replace the existing PPA and continue for 11 years.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 Regulatory Activity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Jurisdictional Consolidation and Rate Reviews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September 11, 2020, Colorado Gas filed a rate review with the CPUC seeking recovery on significant infrastructure investments in its 7,000-mile natural gas pipeline system. The rate review requests $13.5 million in new annual revenue with a </w:t>
      </w:r>
      <w:r>
        <w:rPr>
          <w:rFonts w:ascii="Arial" w:cs="Arial" w:eastAsia="Arial" w:hAnsi="Arial"/>
          <w:sz w:val="16"/>
          <w:szCs w:val="16"/>
          <w:color w:val="242424"/>
        </w:rPr>
        <w:t>capital structure of 50% equity and 50% debt and a return on</w:t>
      </w:r>
      <w:r>
        <w:rPr>
          <w:rFonts w:ascii="Arial" w:cs="Arial" w:eastAsia="Arial" w:hAnsi="Arial"/>
          <w:sz w:val="16"/>
          <w:szCs w:val="16"/>
          <w:color w:val="auto"/>
        </w:rPr>
        <w:t xml:space="preserve"> </w:t>
      </w:r>
      <w:r>
        <w:rPr>
          <w:rFonts w:ascii="Arial" w:cs="Arial" w:eastAsia="Arial" w:hAnsi="Arial"/>
          <w:sz w:val="16"/>
          <w:szCs w:val="16"/>
          <w:color w:val="242424"/>
        </w:rPr>
        <w:t xml:space="preserve">equity of 9.95%. The request seeks to implement new rates in the second quarter of 2021. </w:t>
      </w:r>
      <w:r>
        <w:rPr>
          <w:rFonts w:ascii="Arial" w:cs="Arial" w:eastAsia="Arial" w:hAnsi="Arial"/>
          <w:sz w:val="16"/>
          <w:szCs w:val="16"/>
          <w:color w:val="000000"/>
        </w:rPr>
        <w:t>On January 6, 2021 the CPUC issued an order dismissing the</w:t>
      </w:r>
      <w:r>
        <w:rPr>
          <w:rFonts w:ascii="Arial" w:cs="Arial" w:eastAsia="Arial" w:hAnsi="Arial"/>
          <w:sz w:val="16"/>
          <w:szCs w:val="16"/>
          <w:color w:val="242424"/>
        </w:rPr>
        <w:t xml:space="preserve"> </w:t>
      </w:r>
      <w:r>
        <w:rPr>
          <w:rFonts w:ascii="Arial" w:cs="Arial" w:eastAsia="Arial" w:hAnsi="Arial"/>
          <w:sz w:val="16"/>
          <w:szCs w:val="16"/>
          <w:color w:val="000000"/>
        </w:rPr>
        <w:t>rate rev</w:t>
      </w:r>
      <w:r>
        <w:rPr>
          <w:rFonts w:ascii="Arial" w:cs="Arial" w:eastAsia="Arial" w:hAnsi="Arial"/>
          <w:sz w:val="16"/>
          <w:szCs w:val="16"/>
          <w:color w:val="242424"/>
        </w:rPr>
        <w:t>iew. On January 26, 2021, Colorado Gas filed an application for rehearing, reargument or reconsideration in response to the Commission’s January 6</w:t>
      </w:r>
      <w:r>
        <w:rPr>
          <w:rFonts w:ascii="Arial" w:cs="Arial" w:eastAsia="Arial" w:hAnsi="Arial"/>
          <w:sz w:val="16"/>
          <w:szCs w:val="16"/>
          <w:color w:val="000000"/>
        </w:rPr>
        <w:t xml:space="preserve"> </w:t>
      </w:r>
      <w:r>
        <w:rPr>
          <w:rFonts w:ascii="Arial" w:cs="Arial" w:eastAsia="Arial" w:hAnsi="Arial"/>
          <w:sz w:val="16"/>
          <w:szCs w:val="16"/>
          <w:color w:val="242424"/>
        </w:rPr>
        <w:t>order.</w:t>
      </w:r>
    </w:p>
    <w:p>
      <w:pPr>
        <w:spacing w:after="0" w:line="39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On September 11, 2020, in accordance with the final order from the earlier rate review discussed below, Colorado Gas also filed a new SSIR proposal that would recover safety and integrity focused investments in its system over five years. A decision from the CPUC is expected by mid-2021.</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February 1, 2019, Colorado Gas filed a rate review with the CPUC requesting $2.5 million in new revenue to recover investments in safety, reliability and system integrity and approval to consolidate rates, tariffs, and services of its two existing gas distribution territories. Colorado Gas also requested a new rider mechanism to recover future safety and integrity investments in its system. On May 19, 2020, the CPUC issued a final order which denied the system integrity recovery mechanism and consolidation of rate territories. In addition, the order resulted in an annual revenue decrease of $0.6 million and a return on equity of 9.2%. New rates were effective July 3, 2020.</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RMNG SSIR</w:t>
      </w:r>
    </w:p>
    <w:p>
      <w:pPr>
        <w:spacing w:after="0" w:line="251" w:lineRule="exact"/>
        <w:rPr>
          <w:sz w:val="20"/>
          <w:szCs w:val="20"/>
          <w:color w:val="auto"/>
        </w:rPr>
      </w:pPr>
    </w:p>
    <w:p>
      <w:pPr>
        <w:ind w:right="420"/>
        <w:spacing w:after="0" w:line="242" w:lineRule="auto"/>
        <w:rPr>
          <w:sz w:val="20"/>
          <w:szCs w:val="20"/>
          <w:color w:val="auto"/>
        </w:rPr>
      </w:pPr>
      <w:r>
        <w:rPr>
          <w:rFonts w:ascii="Arial" w:cs="Arial" w:eastAsia="Arial" w:hAnsi="Arial"/>
          <w:sz w:val="16"/>
          <w:szCs w:val="16"/>
          <w:color w:val="auto"/>
        </w:rPr>
        <w:t>On October 30, 2020, RMNG filed the tariff adjusting rates to include 2021 projects with an expected capital investment of $33 million under the current SSIR. The new tariff rates went into effect January 1, 2021 and the current approved SSIR expires December 31, 2021.</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Nebraska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Jurisdictional Consolidation and Rate Review</w:t>
      </w:r>
    </w:p>
    <w:p>
      <w:pPr>
        <w:spacing w:after="0" w:line="264"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On January 26, 2021, Nebraska Gas received approval from the NPSC to consolidate rate schedules into a new, single statewide structure and recover significant infrastructure investments in its 13,000-mile natural gas pipeline system. Final rates will be enacted on March 1, 2021, to replace interim rates enacted September 1, 2020. The approval will shift $4.6 million of SSIR revenue to base rates and is expected to generate $6.5 million in new annual revenue with a capital structure of 50% equity and 50% debt and a return on equity of 9.5%. The approval also includes an extension of the SSIR for five years and an expansion of this mechanism for consolidated utility alignment.</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Jurisdictional Consolidation and Rate Review</w:t>
      </w:r>
    </w:p>
    <w:p>
      <w:pPr>
        <w:spacing w:after="0" w:line="26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Wyoming Gas’s new single statewide rate structure became effective March 1, 2020. Wyoming Gas received approval from the WPSC on December 11, 2019, to consolidate the rates, tariffs and services of its four existing gas distribution territories. New rates are expected to generate $13 million in new annual revenue based on a return on equity of 9.40% and a capital structure of 50.23% equity and 49.77% debt. The approval also allows for a rider to recover integrity investments for system safety and reliability.</w:t>
      </w:r>
    </w:p>
    <w:p>
      <w:pPr>
        <w:spacing w:after="0" w:line="200" w:lineRule="exact"/>
        <w:rPr>
          <w:sz w:val="20"/>
          <w:szCs w:val="20"/>
          <w:color w:val="auto"/>
        </w:rPr>
      </w:pPr>
    </w:p>
    <w:p>
      <w:pPr>
        <w:spacing w:after="0" w:line="252" w:lineRule="exact"/>
        <w:rPr>
          <w:sz w:val="20"/>
          <w:szCs w:val="20"/>
          <w:color w:val="auto"/>
        </w:rPr>
      </w:pPr>
    </w:p>
    <w:p>
      <w:pPr>
        <w:ind w:right="6620" w:firstLine="8"/>
        <w:spacing w:after="0" w:line="576" w:lineRule="auto"/>
        <w:tabs>
          <w:tab w:leader="none" w:pos="378"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 Power Purchase and Transmission Services Agreements</w:t>
      </w:r>
    </w:p>
    <w:p>
      <w:pPr>
        <w:spacing w:after="0" w:line="1"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Through our subsidiaries, we have the following significant long-term power purchase contracts and transmission services agreement (TSA) with non-affiliated third-parties: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Subsidiary</w:t>
            </w:r>
          </w:p>
        </w:tc>
        <w:tc>
          <w:tcPr>
            <w:tcW w:w="178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Contract Type</w:t>
            </w:r>
          </w:p>
        </w:tc>
        <w:tc>
          <w:tcPr>
            <w:tcW w:w="2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Counterparty</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Fuel Type</w:t>
            </w: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Quantity</w:t>
            </w:r>
          </w:p>
        </w:tc>
        <w:tc>
          <w:tcPr>
            <w:tcW w:w="25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Expiration Date</w:t>
            </w:r>
          </w:p>
        </w:tc>
        <w:tc>
          <w:tcPr>
            <w:tcW w:w="0" w:type="dxa"/>
            <w:vAlign w:val="bottom"/>
          </w:tcPr>
          <w:p>
            <w:pPr>
              <w:spacing w:after="0"/>
              <w:rPr>
                <w:sz w:val="1"/>
                <w:szCs w:val="1"/>
                <w:color w:val="auto"/>
              </w:rPr>
            </w:pPr>
          </w:p>
        </w:tc>
      </w:tr>
      <w:tr>
        <w:trPr>
          <w:trHeight w:val="215"/>
        </w:trPr>
        <w:tc>
          <w:tcPr>
            <w:tcW w:w="218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21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(MW)</w:t>
            </w:r>
          </w:p>
        </w:tc>
        <w:tc>
          <w:tcPr>
            <w:tcW w:w="2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shd w:val="clear" w:color="auto" w:fill="CEFFE7"/>
          </w:tcPr>
          <w:p>
            <w:pPr>
              <w:ind w:left="40"/>
              <w:spacing w:after="0" w:line="210" w:lineRule="exact"/>
              <w:rPr>
                <w:sz w:val="20"/>
                <w:szCs w:val="20"/>
                <w:color w:val="auto"/>
              </w:rPr>
            </w:pPr>
            <w:r>
              <w:rPr>
                <w:rFonts w:ascii="Arial" w:cs="Arial" w:eastAsia="Arial" w:hAnsi="Arial"/>
                <w:sz w:val="16"/>
                <w:szCs w:val="16"/>
                <w:color w:val="auto"/>
              </w:rPr>
              <w:t xml:space="preserve">Colorado Electric </w:t>
            </w:r>
            <w:r>
              <w:rPr>
                <w:rFonts w:ascii="Arial" w:cs="Arial" w:eastAsia="Arial" w:hAnsi="Arial"/>
                <w:sz w:val="21"/>
                <w:szCs w:val="21"/>
                <w:color w:val="auto"/>
                <w:vertAlign w:val="superscript"/>
              </w:rPr>
              <w:t>(a)</w:t>
            </w:r>
          </w:p>
        </w:tc>
        <w:tc>
          <w:tcPr>
            <w:tcW w:w="178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3"/>
              </w:rPr>
              <w:t>PPA</w:t>
            </w:r>
          </w:p>
        </w:tc>
        <w:tc>
          <w:tcPr>
            <w:tcW w:w="21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6"/>
              </w:rPr>
              <w:t>PRPA</w:t>
            </w:r>
          </w:p>
        </w:tc>
        <w:tc>
          <w:tcPr>
            <w:tcW w:w="13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8"/>
              </w:rPr>
              <w:t>Wind</w:t>
            </w:r>
          </w:p>
        </w:tc>
        <w:tc>
          <w:tcPr>
            <w:tcW w:w="13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60</w:t>
            </w:r>
          </w:p>
        </w:tc>
        <w:tc>
          <w:tcPr>
            <w:tcW w:w="2560" w:type="dxa"/>
            <w:vAlign w:val="bottom"/>
            <w:shd w:val="clear" w:color="auto" w:fill="CEFFE7"/>
          </w:tcPr>
          <w:p>
            <w:pPr>
              <w:jc w:val="center"/>
              <w:ind w:right="59"/>
              <w:spacing w:after="0"/>
              <w:rPr>
                <w:sz w:val="20"/>
                <w:szCs w:val="20"/>
                <w:color w:val="auto"/>
              </w:rPr>
            </w:pPr>
            <w:r>
              <w:rPr>
                <w:rFonts w:ascii="Arial" w:cs="Arial" w:eastAsia="Arial" w:hAnsi="Arial"/>
                <w:sz w:val="16"/>
                <w:szCs w:val="16"/>
                <w:color w:val="auto"/>
              </w:rPr>
              <w:t>May 31, 2030</w:t>
            </w:r>
          </w:p>
        </w:tc>
        <w:tc>
          <w:tcPr>
            <w:tcW w:w="0" w:type="dxa"/>
            <w:vAlign w:val="bottom"/>
          </w:tcPr>
          <w:p>
            <w:pPr>
              <w:spacing w:after="0"/>
              <w:rPr>
                <w:sz w:val="1"/>
                <w:szCs w:val="1"/>
                <w:color w:val="auto"/>
              </w:rPr>
            </w:pPr>
          </w:p>
        </w:tc>
      </w:tr>
      <w:tr>
        <w:trPr>
          <w:trHeight w:val="213"/>
        </w:trPr>
        <w:tc>
          <w:tcPr>
            <w:tcW w:w="218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1780" w:type="dxa"/>
            <w:vAlign w:val="bottom"/>
          </w:tcPr>
          <w:p>
            <w:pPr>
              <w:jc w:val="center"/>
              <w:ind w:left="39"/>
              <w:spacing w:after="0"/>
              <w:rPr>
                <w:sz w:val="20"/>
                <w:szCs w:val="20"/>
                <w:color w:val="auto"/>
              </w:rPr>
            </w:pPr>
            <w:r>
              <w:rPr>
                <w:rFonts w:ascii="Arial" w:cs="Arial" w:eastAsia="Arial" w:hAnsi="Arial"/>
                <w:sz w:val="16"/>
                <w:szCs w:val="16"/>
                <w:color w:val="auto"/>
                <w:w w:val="93"/>
              </w:rPr>
              <w:t>PPA</w:t>
            </w:r>
          </w:p>
        </w:tc>
        <w:tc>
          <w:tcPr>
            <w:tcW w:w="2100" w:type="dxa"/>
            <w:vAlign w:val="bottom"/>
          </w:tcPr>
          <w:p>
            <w:pPr>
              <w:jc w:val="center"/>
              <w:spacing w:after="0"/>
              <w:rPr>
                <w:sz w:val="20"/>
                <w:szCs w:val="20"/>
                <w:color w:val="auto"/>
              </w:rPr>
            </w:pPr>
            <w:r>
              <w:rPr>
                <w:rFonts w:ascii="Arial" w:cs="Arial" w:eastAsia="Arial" w:hAnsi="Arial"/>
                <w:sz w:val="16"/>
                <w:szCs w:val="16"/>
                <w:color w:val="auto"/>
                <w:w w:val="96"/>
              </w:rPr>
              <w:t>PRPA</w:t>
            </w:r>
          </w:p>
        </w:tc>
        <w:tc>
          <w:tcPr>
            <w:tcW w:w="1320" w:type="dxa"/>
            <w:vAlign w:val="bottom"/>
          </w:tcPr>
          <w:p>
            <w:pPr>
              <w:jc w:val="center"/>
              <w:spacing w:after="0"/>
              <w:rPr>
                <w:sz w:val="20"/>
                <w:szCs w:val="20"/>
                <w:color w:val="auto"/>
              </w:rPr>
            </w:pPr>
            <w:r>
              <w:rPr>
                <w:rFonts w:ascii="Arial" w:cs="Arial" w:eastAsia="Arial" w:hAnsi="Arial"/>
                <w:sz w:val="16"/>
                <w:szCs w:val="16"/>
                <w:color w:val="auto"/>
              </w:rPr>
              <w:t>Coal</w:t>
            </w:r>
          </w:p>
        </w:tc>
        <w:tc>
          <w:tcPr>
            <w:tcW w:w="1300" w:type="dxa"/>
            <w:vAlign w:val="bottom"/>
          </w:tcPr>
          <w:p>
            <w:pPr>
              <w:jc w:val="center"/>
              <w:ind w:right="39"/>
              <w:spacing w:after="0"/>
              <w:rPr>
                <w:sz w:val="20"/>
                <w:szCs w:val="20"/>
                <w:color w:val="auto"/>
              </w:rPr>
            </w:pPr>
            <w:r>
              <w:rPr>
                <w:rFonts w:ascii="Arial" w:cs="Arial" w:eastAsia="Arial" w:hAnsi="Arial"/>
                <w:sz w:val="16"/>
                <w:szCs w:val="16"/>
                <w:color w:val="auto"/>
              </w:rPr>
              <w:t>25</w:t>
            </w:r>
          </w:p>
        </w:tc>
        <w:tc>
          <w:tcPr>
            <w:tcW w:w="2560" w:type="dxa"/>
            <w:vAlign w:val="bottom"/>
          </w:tcPr>
          <w:p>
            <w:pPr>
              <w:jc w:val="center"/>
              <w:ind w:right="79"/>
              <w:spacing w:after="0"/>
              <w:rPr>
                <w:sz w:val="20"/>
                <w:szCs w:val="20"/>
                <w:color w:val="auto"/>
              </w:rPr>
            </w:pPr>
            <w:r>
              <w:rPr>
                <w:rFonts w:ascii="Arial" w:cs="Arial" w:eastAsia="Arial" w:hAnsi="Arial"/>
                <w:sz w:val="16"/>
                <w:szCs w:val="16"/>
                <w:color w:val="auto"/>
              </w:rPr>
              <w:t>June 30, 2024</w:t>
            </w:r>
          </w:p>
        </w:tc>
        <w:tc>
          <w:tcPr>
            <w:tcW w:w="0" w:type="dxa"/>
            <w:vAlign w:val="bottom"/>
          </w:tcPr>
          <w:p>
            <w:pPr>
              <w:spacing w:after="0"/>
              <w:rPr>
                <w:sz w:val="1"/>
                <w:szCs w:val="1"/>
                <w:color w:val="auto"/>
              </w:rPr>
            </w:pPr>
          </w:p>
        </w:tc>
      </w:tr>
      <w:tr>
        <w:trPr>
          <w:trHeight w:val="219"/>
        </w:trPr>
        <w:tc>
          <w:tcPr>
            <w:tcW w:w="2180" w:type="dxa"/>
            <w:vAlign w:val="bottom"/>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178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3"/>
              </w:rPr>
              <w:t>PPA</w:t>
            </w:r>
          </w:p>
        </w:tc>
        <w:tc>
          <w:tcPr>
            <w:tcW w:w="21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PacifiCorp</w:t>
            </w:r>
          </w:p>
        </w:tc>
        <w:tc>
          <w:tcPr>
            <w:tcW w:w="13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Coal</w:t>
            </w:r>
          </w:p>
        </w:tc>
        <w:tc>
          <w:tcPr>
            <w:tcW w:w="13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50</w:t>
            </w:r>
          </w:p>
        </w:tc>
        <w:tc>
          <w:tcPr>
            <w:tcW w:w="2560" w:type="dxa"/>
            <w:vAlign w:val="bottom"/>
            <w:shd w:val="clear" w:color="auto" w:fill="CEFFE7"/>
          </w:tcPr>
          <w:p>
            <w:pPr>
              <w:jc w:val="center"/>
              <w:ind w:right="59"/>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(b)</w:t>
            </w:r>
          </w:p>
        </w:tc>
        <w:tc>
          <w:tcPr>
            <w:tcW w:w="1780" w:type="dxa"/>
            <w:vAlign w:val="bottom"/>
          </w:tcPr>
          <w:p>
            <w:pPr>
              <w:jc w:val="center"/>
              <w:ind w:left="59"/>
              <w:spacing w:after="0"/>
              <w:rPr>
                <w:sz w:val="20"/>
                <w:szCs w:val="20"/>
                <w:color w:val="auto"/>
              </w:rPr>
            </w:pPr>
            <w:r>
              <w:rPr>
                <w:rFonts w:ascii="Arial" w:cs="Arial" w:eastAsia="Arial" w:hAnsi="Arial"/>
                <w:sz w:val="16"/>
                <w:szCs w:val="16"/>
                <w:color w:val="auto"/>
              </w:rPr>
              <w:t>TSA</w:t>
            </w:r>
          </w:p>
        </w:tc>
        <w:tc>
          <w:tcPr>
            <w:tcW w:w="2100" w:type="dxa"/>
            <w:vAlign w:val="bottom"/>
          </w:tcPr>
          <w:p>
            <w:pPr>
              <w:jc w:val="center"/>
              <w:spacing w:after="0"/>
              <w:rPr>
                <w:sz w:val="20"/>
                <w:szCs w:val="20"/>
                <w:color w:val="auto"/>
              </w:rPr>
            </w:pPr>
            <w:r>
              <w:rPr>
                <w:rFonts w:ascii="Arial" w:cs="Arial" w:eastAsia="Arial" w:hAnsi="Arial"/>
                <w:sz w:val="16"/>
                <w:szCs w:val="16"/>
                <w:color w:val="auto"/>
              </w:rPr>
              <w:t>PacifiCorp</w:t>
            </w:r>
          </w:p>
        </w:tc>
        <w:tc>
          <w:tcPr>
            <w:tcW w:w="1320" w:type="dxa"/>
            <w:vAlign w:val="bottom"/>
          </w:tcPr>
          <w:p>
            <w:pPr>
              <w:jc w:val="center"/>
              <w:spacing w:after="0"/>
              <w:rPr>
                <w:sz w:val="20"/>
                <w:szCs w:val="20"/>
                <w:color w:val="auto"/>
              </w:rPr>
            </w:pPr>
            <w:r>
              <w:rPr>
                <w:rFonts w:ascii="Arial" w:cs="Arial" w:eastAsia="Arial" w:hAnsi="Arial"/>
                <w:sz w:val="16"/>
                <w:szCs w:val="16"/>
                <w:color w:val="auto"/>
              </w:rPr>
              <w:t>N/A</w:t>
            </w:r>
          </w:p>
        </w:tc>
        <w:tc>
          <w:tcPr>
            <w:tcW w:w="1300" w:type="dxa"/>
            <w:vAlign w:val="bottom"/>
          </w:tcPr>
          <w:p>
            <w:pPr>
              <w:jc w:val="center"/>
              <w:ind w:right="39"/>
              <w:spacing w:after="0"/>
              <w:rPr>
                <w:sz w:val="20"/>
                <w:szCs w:val="20"/>
                <w:color w:val="auto"/>
              </w:rPr>
            </w:pPr>
            <w:r>
              <w:rPr>
                <w:rFonts w:ascii="Arial" w:cs="Arial" w:eastAsia="Arial" w:hAnsi="Arial"/>
                <w:sz w:val="16"/>
                <w:szCs w:val="16"/>
                <w:color w:val="auto"/>
              </w:rPr>
              <w:t>50</w:t>
            </w:r>
          </w:p>
        </w:tc>
        <w:tc>
          <w:tcPr>
            <w:tcW w:w="2560" w:type="dxa"/>
            <w:vAlign w:val="bottom"/>
          </w:tcPr>
          <w:p>
            <w:pPr>
              <w:jc w:val="center"/>
              <w:ind w:right="59"/>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180" w:type="dxa"/>
            <w:vAlign w:val="bottom"/>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178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3"/>
              </w:rPr>
              <w:t>PPA</w:t>
            </w:r>
          </w:p>
        </w:tc>
        <w:tc>
          <w:tcPr>
            <w:tcW w:w="21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6"/>
              </w:rPr>
              <w:t>PRPA</w:t>
            </w:r>
          </w:p>
        </w:tc>
        <w:tc>
          <w:tcPr>
            <w:tcW w:w="13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8"/>
              </w:rPr>
              <w:t>Wind</w:t>
            </w:r>
          </w:p>
        </w:tc>
        <w:tc>
          <w:tcPr>
            <w:tcW w:w="13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12</w:t>
            </w:r>
          </w:p>
        </w:tc>
        <w:tc>
          <w:tcPr>
            <w:tcW w:w="256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rPr>
              <w:t>September 30, 2029</w:t>
            </w: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6"/>
                <w:szCs w:val="16"/>
                <w:color w:val="auto"/>
              </w:rPr>
              <w:t>South Dakota Electric</w:t>
            </w:r>
          </w:p>
        </w:tc>
        <w:tc>
          <w:tcPr>
            <w:tcW w:w="1780" w:type="dxa"/>
            <w:vAlign w:val="bottom"/>
          </w:tcPr>
          <w:p>
            <w:pPr>
              <w:jc w:val="center"/>
              <w:ind w:left="39"/>
              <w:spacing w:after="0"/>
              <w:rPr>
                <w:sz w:val="20"/>
                <w:szCs w:val="20"/>
                <w:color w:val="auto"/>
              </w:rPr>
            </w:pPr>
            <w:r>
              <w:rPr>
                <w:rFonts w:ascii="Arial" w:cs="Arial" w:eastAsia="Arial" w:hAnsi="Arial"/>
                <w:sz w:val="16"/>
                <w:szCs w:val="16"/>
                <w:color w:val="auto"/>
                <w:w w:val="93"/>
              </w:rPr>
              <w:t>PPA</w:t>
            </w:r>
          </w:p>
        </w:tc>
        <w:tc>
          <w:tcPr>
            <w:tcW w:w="2100" w:type="dxa"/>
            <w:vAlign w:val="bottom"/>
          </w:tcPr>
          <w:p>
            <w:pPr>
              <w:jc w:val="center"/>
              <w:spacing w:after="0"/>
              <w:rPr>
                <w:sz w:val="20"/>
                <w:szCs w:val="20"/>
                <w:color w:val="auto"/>
              </w:rPr>
            </w:pPr>
            <w:r>
              <w:rPr>
                <w:rFonts w:ascii="Arial" w:cs="Arial" w:eastAsia="Arial" w:hAnsi="Arial"/>
                <w:sz w:val="16"/>
                <w:szCs w:val="16"/>
                <w:color w:val="auto"/>
              </w:rPr>
              <w:t>Fall River Solar, LLC</w:t>
            </w:r>
          </w:p>
        </w:tc>
        <w:tc>
          <w:tcPr>
            <w:tcW w:w="1320" w:type="dxa"/>
            <w:vAlign w:val="bottom"/>
          </w:tcPr>
          <w:p>
            <w:pPr>
              <w:jc w:val="center"/>
              <w:spacing w:after="0"/>
              <w:rPr>
                <w:sz w:val="20"/>
                <w:szCs w:val="20"/>
                <w:color w:val="auto"/>
              </w:rPr>
            </w:pPr>
            <w:r>
              <w:rPr>
                <w:rFonts w:ascii="Arial" w:cs="Arial" w:eastAsia="Arial" w:hAnsi="Arial"/>
                <w:sz w:val="16"/>
                <w:szCs w:val="16"/>
                <w:color w:val="auto"/>
              </w:rPr>
              <w:t>Solar</w:t>
            </w:r>
          </w:p>
        </w:tc>
        <w:tc>
          <w:tcPr>
            <w:tcW w:w="1300" w:type="dxa"/>
            <w:vAlign w:val="bottom"/>
          </w:tcPr>
          <w:p>
            <w:pPr>
              <w:jc w:val="center"/>
              <w:ind w:right="39"/>
              <w:spacing w:after="0"/>
              <w:rPr>
                <w:sz w:val="20"/>
                <w:szCs w:val="20"/>
                <w:color w:val="auto"/>
              </w:rPr>
            </w:pPr>
            <w:r>
              <w:rPr>
                <w:rFonts w:ascii="Arial" w:cs="Arial" w:eastAsia="Arial" w:hAnsi="Arial"/>
                <w:sz w:val="16"/>
                <w:szCs w:val="16"/>
                <w:color w:val="auto"/>
              </w:rPr>
              <w:t>80</w:t>
            </w:r>
          </w:p>
        </w:tc>
        <w:tc>
          <w:tcPr>
            <w:tcW w:w="2560" w:type="dxa"/>
            <w:vAlign w:val="bottom"/>
          </w:tcPr>
          <w:p>
            <w:pPr>
              <w:jc w:val="center"/>
              <w:ind w:right="59"/>
              <w:spacing w:after="0" w:line="216" w:lineRule="exact"/>
              <w:rPr>
                <w:sz w:val="20"/>
                <w:szCs w:val="20"/>
                <w:color w:val="auto"/>
              </w:rPr>
            </w:pPr>
            <w:r>
              <w:rPr>
                <w:rFonts w:ascii="Arial" w:cs="Arial" w:eastAsia="Arial" w:hAnsi="Arial"/>
                <w:sz w:val="16"/>
                <w:szCs w:val="16"/>
                <w:color w:val="auto"/>
                <w:w w:val="98"/>
              </w:rPr>
              <w:t xml:space="preserve">Pending Completion </w:t>
            </w:r>
            <w:r>
              <w:rPr>
                <w:rFonts w:ascii="Arial" w:cs="Arial" w:eastAsia="Arial" w:hAnsi="Arial"/>
                <w:sz w:val="21"/>
                <w:szCs w:val="21"/>
                <w:color w:val="auto"/>
                <w:w w:val="98"/>
                <w:vertAlign w:val="superscript"/>
              </w:rPr>
              <w:t>(c)</w:t>
            </w:r>
          </w:p>
        </w:tc>
        <w:tc>
          <w:tcPr>
            <w:tcW w:w="0" w:type="dxa"/>
            <w:vAlign w:val="bottom"/>
          </w:tcPr>
          <w:p>
            <w:pPr>
              <w:spacing w:after="0"/>
              <w:rPr>
                <w:sz w:val="1"/>
                <w:szCs w:val="1"/>
                <w:color w:val="auto"/>
              </w:rPr>
            </w:pPr>
          </w:p>
        </w:tc>
      </w:tr>
      <w:tr>
        <w:trPr>
          <w:trHeight w:val="216"/>
        </w:trPr>
        <w:tc>
          <w:tcPr>
            <w:tcW w:w="218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(d)</w:t>
            </w:r>
          </w:p>
        </w:tc>
        <w:tc>
          <w:tcPr>
            <w:tcW w:w="178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3"/>
              </w:rPr>
              <w:t>PPA</w:t>
            </w:r>
          </w:p>
        </w:tc>
        <w:tc>
          <w:tcPr>
            <w:tcW w:w="21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Happy Jack</w:t>
            </w:r>
          </w:p>
        </w:tc>
        <w:tc>
          <w:tcPr>
            <w:tcW w:w="13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8"/>
              </w:rPr>
              <w:t>Wind</w:t>
            </w:r>
          </w:p>
        </w:tc>
        <w:tc>
          <w:tcPr>
            <w:tcW w:w="13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30</w:t>
            </w:r>
          </w:p>
        </w:tc>
        <w:tc>
          <w:tcPr>
            <w:tcW w:w="2560" w:type="dxa"/>
            <w:vAlign w:val="bottom"/>
            <w:shd w:val="clear" w:color="auto" w:fill="CEFFE7"/>
          </w:tcPr>
          <w:p>
            <w:pPr>
              <w:jc w:val="center"/>
              <w:ind w:right="59"/>
              <w:spacing w:after="0"/>
              <w:rPr>
                <w:sz w:val="20"/>
                <w:szCs w:val="20"/>
                <w:color w:val="auto"/>
              </w:rPr>
            </w:pPr>
            <w:r>
              <w:rPr>
                <w:rFonts w:ascii="Arial" w:cs="Arial" w:eastAsia="Arial" w:hAnsi="Arial"/>
                <w:sz w:val="16"/>
                <w:szCs w:val="16"/>
                <w:color w:val="auto"/>
              </w:rPr>
              <w:t>September 3, 2028</w:t>
            </w:r>
          </w:p>
        </w:tc>
        <w:tc>
          <w:tcPr>
            <w:tcW w:w="0" w:type="dxa"/>
            <w:vAlign w:val="bottom"/>
          </w:tcPr>
          <w:p>
            <w:pPr>
              <w:spacing w:after="0"/>
              <w:rPr>
                <w:sz w:val="1"/>
                <w:szCs w:val="1"/>
                <w:color w:val="auto"/>
              </w:rPr>
            </w:pPr>
          </w:p>
        </w:tc>
      </w:tr>
      <w:tr>
        <w:trPr>
          <w:trHeight w:val="221"/>
        </w:trPr>
        <w:tc>
          <w:tcPr>
            <w:tcW w:w="2180" w:type="dxa"/>
            <w:vAlign w:val="bottom"/>
          </w:tcPr>
          <w:p>
            <w:pPr>
              <w:ind w:left="20"/>
              <w:spacing w:after="0" w:line="221" w:lineRule="exact"/>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(e)</w:t>
            </w:r>
          </w:p>
        </w:tc>
        <w:tc>
          <w:tcPr>
            <w:tcW w:w="1780" w:type="dxa"/>
            <w:vAlign w:val="bottom"/>
          </w:tcPr>
          <w:p>
            <w:pPr>
              <w:jc w:val="center"/>
              <w:ind w:left="39"/>
              <w:spacing w:after="0"/>
              <w:rPr>
                <w:sz w:val="20"/>
                <w:szCs w:val="20"/>
                <w:color w:val="auto"/>
              </w:rPr>
            </w:pPr>
            <w:r>
              <w:rPr>
                <w:rFonts w:ascii="Arial" w:cs="Arial" w:eastAsia="Arial" w:hAnsi="Arial"/>
                <w:sz w:val="16"/>
                <w:szCs w:val="16"/>
                <w:color w:val="auto"/>
                <w:w w:val="93"/>
              </w:rPr>
              <w:t>PPA</w:t>
            </w:r>
          </w:p>
        </w:tc>
        <w:tc>
          <w:tcPr>
            <w:tcW w:w="2100" w:type="dxa"/>
            <w:vAlign w:val="bottom"/>
          </w:tcPr>
          <w:p>
            <w:pPr>
              <w:jc w:val="center"/>
              <w:spacing w:after="0"/>
              <w:rPr>
                <w:sz w:val="20"/>
                <w:szCs w:val="20"/>
                <w:color w:val="auto"/>
              </w:rPr>
            </w:pPr>
            <w:r>
              <w:rPr>
                <w:rFonts w:ascii="Arial" w:cs="Arial" w:eastAsia="Arial" w:hAnsi="Arial"/>
                <w:sz w:val="16"/>
                <w:szCs w:val="16"/>
                <w:color w:val="auto"/>
              </w:rPr>
              <w:t>Silver Sage</w:t>
            </w: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Wind</w:t>
            </w:r>
          </w:p>
        </w:tc>
        <w:tc>
          <w:tcPr>
            <w:tcW w:w="1300" w:type="dxa"/>
            <w:vAlign w:val="bottom"/>
          </w:tcPr>
          <w:p>
            <w:pPr>
              <w:jc w:val="center"/>
              <w:ind w:right="39"/>
              <w:spacing w:after="0"/>
              <w:rPr>
                <w:sz w:val="20"/>
                <w:szCs w:val="20"/>
                <w:color w:val="auto"/>
              </w:rPr>
            </w:pPr>
            <w:r>
              <w:rPr>
                <w:rFonts w:ascii="Arial" w:cs="Arial" w:eastAsia="Arial" w:hAnsi="Arial"/>
                <w:sz w:val="16"/>
                <w:szCs w:val="16"/>
                <w:color w:val="auto"/>
              </w:rPr>
              <w:t>30</w:t>
            </w:r>
          </w:p>
        </w:tc>
        <w:tc>
          <w:tcPr>
            <w:tcW w:w="2560" w:type="dxa"/>
            <w:vAlign w:val="bottom"/>
          </w:tcPr>
          <w:p>
            <w:pPr>
              <w:jc w:val="center"/>
              <w:ind w:right="79"/>
              <w:spacing w:after="0"/>
              <w:rPr>
                <w:sz w:val="20"/>
                <w:szCs w:val="20"/>
                <w:color w:val="auto"/>
              </w:rPr>
            </w:pPr>
            <w:r>
              <w:rPr>
                <w:rFonts w:ascii="Arial" w:cs="Arial" w:eastAsia="Arial" w:hAnsi="Arial"/>
                <w:sz w:val="16"/>
                <w:szCs w:val="16"/>
                <w:color w:val="auto"/>
              </w:rPr>
              <w:t>September 30, 2029</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20"/>
                <w:szCs w:val="20"/>
                <w:color w:val="auto"/>
              </w:rPr>
            </w:pPr>
            <w:r>
              <w:rPr>
                <w:rFonts w:ascii="Arial" w:cs="Arial" w:eastAsia="Arial" w:hAnsi="Arial"/>
                <w:sz w:val="14"/>
                <w:szCs w:val="14"/>
                <w:color w:val="auto"/>
              </w:rPr>
              <w:t>_____________</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Colorado Electric sells the wind energy purchased under this PPA to City of Colorado Springs as discussed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is a firm point-to-point transmission service agreement that provides 50 MW of capacity and energy to be transmitted annually.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agreement relates to a new solar facility currently being constructed and will expire 20 years after construction completion, which is expected by the end of 2022.</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Under a separate intercompany PSA, Wyoming Electric sells 50% of the facility output to South Dakota Electric.</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Under a separate intercompany PSA, Wyoming Electric sells 67% of the facility output to South Dakota Electric.</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Costs under these agreements for the years ended December 31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Subsidiary</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Contract Type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Counterparty</w:t>
            </w:r>
          </w:p>
        </w:tc>
        <w:tc>
          <w:tcPr>
            <w:tcW w:w="14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9"/>
              </w:rPr>
              <w:t>Fuel Type</w:t>
            </w:r>
          </w:p>
        </w:tc>
        <w:tc>
          <w:tcPr>
            <w:tcW w:w="24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r>
      <w:tr>
        <w:trPr>
          <w:trHeight w:val="213"/>
        </w:trPr>
        <w:tc>
          <w:tcPr>
            <w:tcW w:w="206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Colorado Electric</w:t>
            </w:r>
          </w:p>
        </w:tc>
        <w:tc>
          <w:tcPr>
            <w:tcW w:w="19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PPA</w:t>
            </w:r>
          </w:p>
        </w:tc>
        <w:tc>
          <w:tcPr>
            <w:tcW w:w="18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PRPA</w:t>
            </w:r>
          </w:p>
        </w:tc>
        <w:tc>
          <w:tcPr>
            <w:tcW w:w="1700" w:type="dxa"/>
            <w:vAlign w:val="bottom"/>
            <w:gridSpan w:val="2"/>
            <w:shd w:val="clear" w:color="auto" w:fill="CEFFE7"/>
          </w:tcPr>
          <w:p>
            <w:pPr>
              <w:jc w:val="center"/>
              <w:ind w:right="100"/>
              <w:spacing w:after="0"/>
              <w:rPr>
                <w:sz w:val="20"/>
                <w:szCs w:val="20"/>
                <w:color w:val="auto"/>
              </w:rPr>
            </w:pPr>
            <w:r>
              <w:rPr>
                <w:rFonts w:ascii="Arial" w:cs="Arial" w:eastAsia="Arial" w:hAnsi="Arial"/>
                <w:sz w:val="16"/>
                <w:szCs w:val="16"/>
                <w:color w:val="auto"/>
                <w:w w:val="98"/>
              </w:rPr>
              <w:t>Wind</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2,791</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 $</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6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PPA</w:t>
            </w:r>
          </w:p>
        </w:tc>
        <w:tc>
          <w:tcPr>
            <w:tcW w:w="1860" w:type="dxa"/>
            <w:vAlign w:val="bottom"/>
          </w:tcPr>
          <w:p>
            <w:pPr>
              <w:jc w:val="center"/>
              <w:spacing w:after="0"/>
              <w:rPr>
                <w:sz w:val="20"/>
                <w:szCs w:val="20"/>
                <w:color w:val="auto"/>
              </w:rPr>
            </w:pPr>
            <w:r>
              <w:rPr>
                <w:rFonts w:ascii="Arial" w:cs="Arial" w:eastAsia="Arial" w:hAnsi="Arial"/>
                <w:sz w:val="16"/>
                <w:szCs w:val="16"/>
                <w:color w:val="auto"/>
              </w:rPr>
              <w:t>PRPA</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Coal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4,524</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1,802</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60" w:type="dxa"/>
            <w:vAlign w:val="bottom"/>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19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PPA</w:t>
            </w:r>
          </w:p>
        </w:tc>
        <w:tc>
          <w:tcPr>
            <w:tcW w:w="18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PacifiCorp</w:t>
            </w:r>
          </w:p>
        </w:tc>
        <w:tc>
          <w:tcPr>
            <w:tcW w:w="1700" w:type="dxa"/>
            <w:vAlign w:val="bottom"/>
            <w:gridSpan w:val="2"/>
            <w:shd w:val="clear" w:color="auto" w:fill="CEFFE7"/>
          </w:tcPr>
          <w:p>
            <w:pPr>
              <w:jc w:val="center"/>
              <w:ind w:right="100"/>
              <w:spacing w:after="0"/>
              <w:rPr>
                <w:sz w:val="20"/>
                <w:szCs w:val="20"/>
                <w:color w:val="auto"/>
              </w:rPr>
            </w:pPr>
            <w:r>
              <w:rPr>
                <w:rFonts w:ascii="Arial" w:cs="Arial" w:eastAsia="Arial" w:hAnsi="Arial"/>
                <w:sz w:val="16"/>
                <w:szCs w:val="16"/>
                <w:color w:val="auto"/>
                <w:w w:val="97"/>
              </w:rPr>
              <w:t>Coal</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5,897</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7,477</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13,681</w:t>
            </w:r>
          </w:p>
        </w:tc>
      </w:tr>
      <w:tr>
        <w:trPr>
          <w:trHeight w:val="213"/>
        </w:trPr>
        <w:tc>
          <w:tcPr>
            <w:tcW w:w="2060" w:type="dxa"/>
            <w:vAlign w:val="bottom"/>
          </w:tcPr>
          <w:p>
            <w:pPr>
              <w:ind w:left="40"/>
              <w:spacing w:after="0"/>
              <w:rPr>
                <w:sz w:val="20"/>
                <w:szCs w:val="20"/>
                <w:color w:val="auto"/>
              </w:rPr>
            </w:pPr>
            <w:r>
              <w:rPr>
                <w:rFonts w:ascii="Arial" w:cs="Arial" w:eastAsia="Arial" w:hAnsi="Arial"/>
                <w:sz w:val="16"/>
                <w:szCs w:val="16"/>
                <w:color w:val="auto"/>
              </w:rPr>
              <w:t>South Dakota Electric</w:t>
            </w:r>
          </w:p>
        </w:tc>
        <w:tc>
          <w:tcPr>
            <w:tcW w:w="1980" w:type="dxa"/>
            <w:vAlign w:val="bottom"/>
          </w:tcPr>
          <w:p>
            <w:pPr>
              <w:jc w:val="center"/>
              <w:spacing w:after="0"/>
              <w:rPr>
                <w:sz w:val="20"/>
                <w:szCs w:val="20"/>
                <w:color w:val="auto"/>
              </w:rPr>
            </w:pPr>
            <w:r>
              <w:rPr>
                <w:rFonts w:ascii="Arial" w:cs="Arial" w:eastAsia="Arial" w:hAnsi="Arial"/>
                <w:sz w:val="16"/>
                <w:szCs w:val="16"/>
                <w:color w:val="auto"/>
              </w:rPr>
              <w:t>TSA</w:t>
            </w:r>
          </w:p>
        </w:tc>
        <w:tc>
          <w:tcPr>
            <w:tcW w:w="1860" w:type="dxa"/>
            <w:vAlign w:val="bottom"/>
          </w:tcPr>
          <w:p>
            <w:pPr>
              <w:jc w:val="center"/>
              <w:spacing w:after="0"/>
              <w:rPr>
                <w:sz w:val="20"/>
                <w:szCs w:val="20"/>
                <w:color w:val="auto"/>
              </w:rPr>
            </w:pPr>
            <w:r>
              <w:rPr>
                <w:rFonts w:ascii="Arial" w:cs="Arial" w:eastAsia="Arial" w:hAnsi="Arial"/>
                <w:sz w:val="16"/>
                <w:szCs w:val="16"/>
                <w:color w:val="auto"/>
              </w:rPr>
              <w:t>PacifiCorp</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1,776</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1,741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1,742</w:t>
            </w:r>
          </w:p>
        </w:tc>
      </w:tr>
      <w:tr>
        <w:trPr>
          <w:trHeight w:val="219"/>
        </w:trPr>
        <w:tc>
          <w:tcPr>
            <w:tcW w:w="2060" w:type="dxa"/>
            <w:vAlign w:val="bottom"/>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19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PPA</w:t>
            </w:r>
          </w:p>
        </w:tc>
        <w:tc>
          <w:tcPr>
            <w:tcW w:w="18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PRPA</w:t>
            </w:r>
          </w:p>
        </w:tc>
        <w:tc>
          <w:tcPr>
            <w:tcW w:w="1700" w:type="dxa"/>
            <w:vAlign w:val="bottom"/>
            <w:gridSpan w:val="2"/>
            <w:shd w:val="clear" w:color="auto" w:fill="CEFFE7"/>
          </w:tcPr>
          <w:p>
            <w:pPr>
              <w:jc w:val="center"/>
              <w:ind w:right="100"/>
              <w:spacing w:after="0"/>
              <w:rPr>
                <w:sz w:val="20"/>
                <w:szCs w:val="20"/>
                <w:color w:val="auto"/>
              </w:rPr>
            </w:pPr>
            <w:r>
              <w:rPr>
                <w:rFonts w:ascii="Arial" w:cs="Arial" w:eastAsia="Arial" w:hAnsi="Arial"/>
                <w:sz w:val="16"/>
                <w:szCs w:val="16"/>
                <w:color w:val="auto"/>
                <w:w w:val="98"/>
              </w:rPr>
              <w:t>Wind</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715</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688</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2060" w:type="dxa"/>
            <w:vAlign w:val="bottom"/>
          </w:tcPr>
          <w:p>
            <w:pPr>
              <w:ind w:left="20"/>
              <w:spacing w:after="0"/>
              <w:rPr>
                <w:sz w:val="20"/>
                <w:szCs w:val="20"/>
                <w:color w:val="auto"/>
              </w:rPr>
            </w:pPr>
            <w:r>
              <w:rPr>
                <w:rFonts w:ascii="Arial" w:cs="Arial" w:eastAsia="Arial" w:hAnsi="Arial"/>
                <w:sz w:val="16"/>
                <w:szCs w:val="16"/>
                <w:color w:val="auto"/>
              </w:rPr>
              <w:t>Wyoming Electric</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PPA</w:t>
            </w:r>
          </w:p>
        </w:tc>
        <w:tc>
          <w:tcPr>
            <w:tcW w:w="1860" w:type="dxa"/>
            <w:vAlign w:val="bottom"/>
          </w:tcPr>
          <w:p>
            <w:pPr>
              <w:jc w:val="center"/>
              <w:spacing w:after="0"/>
              <w:rPr>
                <w:sz w:val="20"/>
                <w:szCs w:val="20"/>
                <w:color w:val="auto"/>
              </w:rPr>
            </w:pPr>
            <w:r>
              <w:rPr>
                <w:rFonts w:ascii="Arial" w:cs="Arial" w:eastAsia="Arial" w:hAnsi="Arial"/>
                <w:sz w:val="16"/>
                <w:szCs w:val="16"/>
                <w:color w:val="auto"/>
              </w:rPr>
              <w:t>Happy Jack</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Wind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4,531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3,936</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3,884</w:t>
            </w:r>
          </w:p>
        </w:tc>
      </w:tr>
      <w:tr>
        <w:trPr>
          <w:trHeight w:val="219"/>
        </w:trPr>
        <w:tc>
          <w:tcPr>
            <w:tcW w:w="20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19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PPA</w:t>
            </w:r>
          </w:p>
        </w:tc>
        <w:tc>
          <w:tcPr>
            <w:tcW w:w="18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Silver Sage</w:t>
            </w:r>
          </w:p>
        </w:tc>
        <w:tc>
          <w:tcPr>
            <w:tcW w:w="1700" w:type="dxa"/>
            <w:vAlign w:val="bottom"/>
            <w:gridSpan w:val="2"/>
            <w:shd w:val="clear" w:color="auto" w:fill="CEFFE7"/>
          </w:tcPr>
          <w:p>
            <w:pPr>
              <w:jc w:val="center"/>
              <w:ind w:right="100"/>
              <w:spacing w:after="0"/>
              <w:rPr>
                <w:sz w:val="20"/>
                <w:szCs w:val="20"/>
                <w:color w:val="auto"/>
              </w:rPr>
            </w:pPr>
            <w:r>
              <w:rPr>
                <w:rFonts w:ascii="Arial" w:cs="Arial" w:eastAsia="Arial" w:hAnsi="Arial"/>
                <w:sz w:val="16"/>
                <w:szCs w:val="16"/>
                <w:color w:val="auto"/>
                <w:w w:val="98"/>
              </w:rPr>
              <w:t>Wind</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6,203</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5,366</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5,376</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Purchase Agreements - Related Parties</w:t>
      </w:r>
    </w:p>
    <w:p>
      <w:pPr>
        <w:spacing w:after="0" w:line="268"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Wyoming Electric currently has a PPA with Black Hills Wyoming expiring on December 31, 2022, which provides 60 MW of unit-contingent capacity and energy from Black Hills Wyoming’s Wygen I facility. On October 15, 2020, the FERC approved a settlement agreement in the joint application filed by Wyoming Electric and Black Hills Wyoming on August 2, 2019 for approval of a new 60 MW PPA. Under the terms of the settlement, Wyoming Electric will continue to receive 60 MW of capacity and energy from the Wygen I facility. The new agreement will commence on January 1, 2022, replace the existing PPA and continue for 11 years.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Black Hills Electric Generation provides the wind energy generated from Busch Ranch II to Colorado Electric through a PPA, which expires in November 2044.</w:t>
      </w:r>
    </w:p>
    <w:p>
      <w:pPr>
        <w:spacing w:after="0" w:line="22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Black Hills Electric Generation provides its 14.5 MW share of energy generated from Busch Ranch I to Colorado Electric through a PPA, which expires in October 2037.</w:t>
      </w:r>
    </w:p>
    <w:p>
      <w:pPr>
        <w:spacing w:after="0" w:line="222" w:lineRule="exact"/>
        <w:rPr>
          <w:sz w:val="20"/>
          <w:szCs w:val="20"/>
          <w:color w:val="auto"/>
        </w:rPr>
      </w:pPr>
    </w:p>
    <w:p>
      <w:pPr>
        <w:ind w:right="14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Colorado Electric’s PPA with Black Hills Colorado IPP expiring on December 31, 2031, provides 200 MW of power to Colorado Electric from Black Hills Colorado IPP’s combined-cycle turbines. At the segment level, we recognize the associated revenues, costs and assets on an accrual basis, rather than as a finance lease. See </w:t>
      </w:r>
      <w:hyperlink w:anchor="page120">
        <w:r>
          <w:rPr>
            <w:rFonts w:ascii="Arial" w:cs="Arial" w:eastAsia="Arial" w:hAnsi="Arial"/>
            <w:sz w:val="16"/>
            <w:szCs w:val="16"/>
            <w:u w:val="single" w:color="auto"/>
            <w:color w:val="0000FF"/>
          </w:rPr>
          <w:t>Note 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Commitments</w:t>
      </w:r>
    </w:p>
    <w:p>
      <w:pPr>
        <w:spacing w:after="0" w:line="26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maintain natural gas supply contracts with several vendors that generally cover a period of up to one year. Commitments for estimated baseload gas volumes are established prior to the beginning of the month under these contracts on a monthly basis at contractually negotiated prices. Commitments for incremental daily purchases are made as necessary during the month based on requirements in accordance with the terms of the individual contract.</w:t>
      </w:r>
    </w:p>
    <w:p>
      <w:pPr>
        <w:spacing w:after="0" w:line="22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Our Gas Utilities segment has commitments to purchase physical quantities of natural gas under contracts indexed to various forward natural gas price curves. A portion of our gas purchases are purchased under evergreen contracts and are therefore, for purposes of this disclosure, carried out for 60 days. At December 31, 2020, the long-term commitments to purchase quantities of natural gas under contracts indexed to the following forward indices were as follows (in MMBtus):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2460" w:type="dxa"/>
            <w:vAlign w:val="bottom"/>
          </w:tcPr>
          <w:p>
            <w:pPr>
              <w:jc w:val="right"/>
              <w:ind w:right="39"/>
              <w:spacing w:after="0"/>
              <w:rPr>
                <w:sz w:val="20"/>
                <w:szCs w:val="20"/>
                <w:color w:val="auto"/>
              </w:rPr>
            </w:pPr>
            <w:r>
              <w:rPr>
                <w:rFonts w:ascii="Arial" w:cs="Arial" w:eastAsia="Arial" w:hAnsi="Arial"/>
                <w:sz w:val="16"/>
                <w:szCs w:val="16"/>
                <w:color w:val="auto"/>
              </w:rPr>
              <w:t>Northern Natural Gas -</w:t>
            </w:r>
          </w:p>
        </w:tc>
        <w:tc>
          <w:tcPr>
            <w:tcW w:w="1820" w:type="dxa"/>
            <w:vAlign w:val="bottom"/>
          </w:tcPr>
          <w:p>
            <w:pPr>
              <w:jc w:val="right"/>
              <w:ind w:right="179"/>
              <w:spacing w:after="0"/>
              <w:rPr>
                <w:sz w:val="20"/>
                <w:szCs w:val="20"/>
                <w:color w:val="auto"/>
              </w:rPr>
            </w:pPr>
            <w:r>
              <w:rPr>
                <w:rFonts w:ascii="Arial" w:cs="Arial" w:eastAsia="Arial" w:hAnsi="Arial"/>
                <w:sz w:val="16"/>
                <w:szCs w:val="16"/>
                <w:color w:val="auto"/>
              </w:rPr>
              <w:t>Northwest Pipeline -</w:t>
            </w:r>
          </w:p>
        </w:tc>
        <w:tc>
          <w:tcPr>
            <w:tcW w:w="178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Southern Star Central</w:t>
            </w:r>
          </w:p>
        </w:tc>
        <w:tc>
          <w:tcPr>
            <w:tcW w:w="1840" w:type="dxa"/>
            <w:vAlign w:val="bottom"/>
          </w:tcPr>
          <w:p>
            <w:pPr>
              <w:jc w:val="right"/>
              <w:spacing w:after="0"/>
              <w:rPr>
                <w:sz w:val="20"/>
                <w:szCs w:val="20"/>
                <w:color w:val="auto"/>
              </w:rPr>
            </w:pPr>
            <w:r>
              <w:rPr>
                <w:rFonts w:ascii="Arial" w:cs="Arial" w:eastAsia="Arial" w:hAnsi="Arial"/>
                <w:sz w:val="16"/>
                <w:szCs w:val="16"/>
                <w:color w:val="auto"/>
              </w:rPr>
              <w:t>Panhandle Eastern Pipe</w:t>
            </w:r>
          </w:p>
        </w:tc>
      </w:tr>
      <w:tr>
        <w:trPr>
          <w:trHeight w:val="198"/>
        </w:trPr>
        <w:tc>
          <w:tcPr>
            <w:tcW w:w="14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Ventura</w:t>
            </w:r>
          </w:p>
        </w:tc>
        <w:tc>
          <w:tcPr>
            <w:tcW w:w="18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Wyoming</w:t>
            </w:r>
          </w:p>
        </w:tc>
        <w:tc>
          <w:tcPr>
            <w:tcW w:w="1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ONEOK - Oklahoma</w:t>
            </w:r>
          </w:p>
        </w:tc>
        <w:tc>
          <w:tcPr>
            <w:tcW w:w="1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Gas Pipeline</w:t>
            </w:r>
          </w:p>
        </w:tc>
        <w:tc>
          <w:tcPr>
            <w:tcW w:w="18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Line</w:t>
            </w:r>
          </w:p>
        </w:tc>
      </w:tr>
      <w:tr>
        <w:trPr>
          <w:trHeight w:val="212"/>
        </w:trPr>
        <w:tc>
          <w:tcPr>
            <w:tcW w:w="1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2021</w:t>
            </w:r>
          </w:p>
        </w:tc>
        <w:tc>
          <w:tcPr>
            <w:tcW w:w="24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3,650,000</w:t>
            </w:r>
          </w:p>
        </w:tc>
        <w:tc>
          <w:tcPr>
            <w:tcW w:w="1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1,510,000</w:t>
            </w:r>
          </w:p>
        </w:tc>
        <w:tc>
          <w:tcPr>
            <w:tcW w:w="17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5,475,000</w:t>
            </w: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113,130</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4,680</w:t>
            </w:r>
          </w:p>
        </w:tc>
      </w:tr>
      <w:tr>
        <w:trPr>
          <w:trHeight w:val="213"/>
        </w:trPr>
        <w:tc>
          <w:tcPr>
            <w:tcW w:w="1480" w:type="dxa"/>
            <w:vAlign w:val="bottom"/>
          </w:tcPr>
          <w:p>
            <w:pPr>
              <w:ind w:left="20"/>
              <w:spacing w:after="0"/>
              <w:rPr>
                <w:sz w:val="20"/>
                <w:szCs w:val="20"/>
                <w:color w:val="auto"/>
              </w:rPr>
            </w:pPr>
            <w:r>
              <w:rPr>
                <w:rFonts w:ascii="Arial" w:cs="Arial" w:eastAsia="Arial" w:hAnsi="Arial"/>
                <w:sz w:val="16"/>
                <w:szCs w:val="16"/>
                <w:color w:val="auto"/>
              </w:rPr>
              <w:t>2022</w:t>
            </w:r>
          </w:p>
        </w:tc>
        <w:tc>
          <w:tcPr>
            <w:tcW w:w="2460" w:type="dxa"/>
            <w:vAlign w:val="bottom"/>
          </w:tcPr>
          <w:p>
            <w:pPr>
              <w:jc w:val="right"/>
              <w:ind w:right="19"/>
              <w:spacing w:after="0"/>
              <w:rPr>
                <w:sz w:val="20"/>
                <w:szCs w:val="20"/>
                <w:color w:val="auto"/>
              </w:rPr>
            </w:pPr>
            <w:r>
              <w:rPr>
                <w:rFonts w:ascii="Arial" w:cs="Arial" w:eastAsia="Arial" w:hAnsi="Arial"/>
                <w:sz w:val="16"/>
                <w:szCs w:val="16"/>
                <w:color w:val="auto"/>
              </w:rPr>
              <w:t>1,810,000</w:t>
            </w:r>
          </w:p>
        </w:tc>
        <w:tc>
          <w:tcPr>
            <w:tcW w:w="1820" w:type="dxa"/>
            <w:vAlign w:val="bottom"/>
          </w:tcPr>
          <w:p>
            <w:pPr>
              <w:jc w:val="right"/>
              <w:spacing w:after="0"/>
              <w:rPr>
                <w:sz w:val="20"/>
                <w:szCs w:val="20"/>
                <w:color w:val="auto"/>
              </w:rPr>
            </w:pPr>
            <w:r>
              <w:rPr>
                <w:rFonts w:ascii="Arial" w:cs="Arial" w:eastAsia="Arial" w:hAnsi="Arial"/>
                <w:sz w:val="16"/>
                <w:szCs w:val="16"/>
                <w:color w:val="auto"/>
              </w:rPr>
              <w:t>1,510,000</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5,475,000</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2023</w:t>
            </w:r>
          </w:p>
        </w:tc>
        <w:tc>
          <w:tcPr>
            <w:tcW w:w="24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1,840,000</w:t>
            </w:r>
          </w:p>
        </w:tc>
        <w:tc>
          <w:tcPr>
            <w:tcW w:w="1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1,510,000</w:t>
            </w:r>
          </w:p>
        </w:tc>
        <w:tc>
          <w:tcPr>
            <w:tcW w:w="17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5,475,000</w:t>
            </w: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480" w:type="dxa"/>
            <w:vAlign w:val="bottom"/>
          </w:tcPr>
          <w:p>
            <w:pPr>
              <w:ind w:left="20"/>
              <w:spacing w:after="0"/>
              <w:rPr>
                <w:sz w:val="20"/>
                <w:szCs w:val="20"/>
                <w:color w:val="auto"/>
              </w:rPr>
            </w:pPr>
            <w:r>
              <w:rPr>
                <w:rFonts w:ascii="Arial" w:cs="Arial" w:eastAsia="Arial" w:hAnsi="Arial"/>
                <w:sz w:val="16"/>
                <w:szCs w:val="16"/>
                <w:color w:val="auto"/>
              </w:rPr>
              <w:t>2024</w:t>
            </w:r>
          </w:p>
        </w:tc>
        <w:tc>
          <w:tcPr>
            <w:tcW w:w="2460" w:type="dxa"/>
            <w:vAlign w:val="bottom"/>
          </w:tcPr>
          <w:p>
            <w:pPr>
              <w:jc w:val="right"/>
              <w:ind w:right="19"/>
              <w:spacing w:after="0"/>
              <w:rPr>
                <w:sz w:val="20"/>
                <w:szCs w:val="20"/>
                <w:color w:val="auto"/>
              </w:rPr>
            </w:pPr>
            <w:r>
              <w:rPr>
                <w:rFonts w:ascii="Arial" w:cs="Arial" w:eastAsia="Arial" w:hAnsi="Arial"/>
                <w:sz w:val="16"/>
                <w:szCs w:val="16"/>
                <w:color w:val="auto"/>
              </w:rPr>
              <w:t>1,820,000</w:t>
            </w:r>
          </w:p>
        </w:tc>
        <w:tc>
          <w:tcPr>
            <w:tcW w:w="1820" w:type="dxa"/>
            <w:vAlign w:val="bottom"/>
          </w:tcPr>
          <w:p>
            <w:pPr>
              <w:jc w:val="right"/>
              <w:spacing w:after="0"/>
              <w:rPr>
                <w:sz w:val="20"/>
                <w:szCs w:val="20"/>
                <w:color w:val="auto"/>
              </w:rPr>
            </w:pPr>
            <w:r>
              <w:rPr>
                <w:rFonts w:ascii="Arial" w:cs="Arial" w:eastAsia="Arial" w:hAnsi="Arial"/>
                <w:sz w:val="16"/>
                <w:szCs w:val="16"/>
                <w:color w:val="auto"/>
              </w:rPr>
              <w:t>910,000</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5,490,000</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2025</w:t>
            </w:r>
          </w:p>
        </w:tc>
        <w:tc>
          <w:tcPr>
            <w:tcW w:w="24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4,560,000</w:t>
            </w: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14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Purchases under these contracts totaled $25 million, $6.7 million and $27 million for 2020, 2019 and 2018,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Gas Supply Agreements</w:t>
      </w:r>
    </w:p>
    <w:p>
      <w:pPr>
        <w:spacing w:after="0" w:line="2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Our Utilities also purchase natural gas, including transportation and storage capacity to meet customers’ needs, under short-term and long-term purchase contracts. These contracts extend to 2044.</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is a schedule of unconditional purchase obligations required under the power purchase, transmission services and natural gas transportation and storage agreements (in thousands):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160" w:type="dxa"/>
            <w:vAlign w:val="bottom"/>
          </w:tcPr>
          <w:p>
            <w:pPr>
              <w:jc w:val="right"/>
              <w:spacing w:after="0"/>
              <w:rPr>
                <w:sz w:val="20"/>
                <w:szCs w:val="20"/>
                <w:color w:val="auto"/>
              </w:rPr>
            </w:pPr>
            <w:r>
              <w:rPr>
                <w:rFonts w:ascii="Arial" w:cs="Arial" w:eastAsia="Arial" w:hAnsi="Arial"/>
                <w:sz w:val="16"/>
                <w:szCs w:val="16"/>
                <w:color w:val="auto"/>
              </w:rPr>
              <w:t>Power purchase and transmission services</w:t>
            </w:r>
          </w:p>
        </w:tc>
        <w:tc>
          <w:tcPr>
            <w:tcW w:w="220" w:type="dxa"/>
            <w:vAlign w:val="bottom"/>
          </w:tcPr>
          <w:p>
            <w:pPr>
              <w:spacing w:after="0"/>
              <w:rPr>
                <w:sz w:val="16"/>
                <w:szCs w:val="16"/>
                <w:color w:val="auto"/>
              </w:rPr>
            </w:pPr>
          </w:p>
        </w:tc>
        <w:tc>
          <w:tcPr>
            <w:tcW w:w="3100" w:type="dxa"/>
            <w:vAlign w:val="bottom"/>
          </w:tcPr>
          <w:p>
            <w:pPr>
              <w:jc w:val="right"/>
              <w:ind w:right="179"/>
              <w:spacing w:after="0"/>
              <w:rPr>
                <w:sz w:val="20"/>
                <w:szCs w:val="20"/>
                <w:color w:val="auto"/>
              </w:rPr>
            </w:pPr>
            <w:r>
              <w:rPr>
                <w:rFonts w:ascii="Arial" w:cs="Arial" w:eastAsia="Arial" w:hAnsi="Arial"/>
                <w:sz w:val="16"/>
                <w:szCs w:val="16"/>
                <w:color w:val="auto"/>
              </w:rPr>
              <w:t>Natural gas transportation and storage</w:t>
            </w:r>
          </w:p>
        </w:tc>
      </w:tr>
      <w:tr>
        <w:trPr>
          <w:trHeight w:val="203"/>
        </w:trPr>
        <w:tc>
          <w:tcPr>
            <w:tcW w:w="27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right"/>
              <w:ind w:right="1019"/>
              <w:spacing w:after="0" w:line="204" w:lineRule="exact"/>
              <w:rPr>
                <w:sz w:val="20"/>
                <w:szCs w:val="20"/>
                <w:color w:val="auto"/>
              </w:rPr>
            </w:pPr>
            <w:r>
              <w:rPr>
                <w:rFonts w:ascii="Arial" w:cs="Arial" w:eastAsia="Arial" w:hAnsi="Arial"/>
                <w:sz w:val="16"/>
                <w:szCs w:val="16"/>
                <w:color w:val="auto"/>
              </w:rPr>
              <w:t xml:space="preserve">agreements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rPr>
              <w:t>agreements</w:t>
            </w:r>
          </w:p>
        </w:tc>
      </w:tr>
      <w:tr>
        <w:trPr>
          <w:trHeight w:val="210"/>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2021</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24,452</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116,563</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2022</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3160" w:type="dxa"/>
            <w:vAlign w:val="bottom"/>
          </w:tcPr>
          <w:p>
            <w:pPr>
              <w:jc w:val="right"/>
              <w:spacing w:after="0"/>
              <w:rPr>
                <w:sz w:val="20"/>
                <w:szCs w:val="20"/>
                <w:color w:val="auto"/>
              </w:rPr>
            </w:pPr>
            <w:r>
              <w:rPr>
                <w:rFonts w:ascii="Arial" w:cs="Arial" w:eastAsia="Arial" w:hAnsi="Arial"/>
                <w:sz w:val="16"/>
                <w:szCs w:val="16"/>
                <w:color w:val="auto"/>
              </w:rPr>
              <w:t>11,678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jc w:val="right"/>
              <w:spacing w:after="0"/>
              <w:rPr>
                <w:sz w:val="20"/>
                <w:szCs w:val="20"/>
                <w:color w:val="auto"/>
              </w:rPr>
            </w:pPr>
            <w:r>
              <w:rPr>
                <w:rFonts w:ascii="Arial" w:cs="Arial" w:eastAsia="Arial" w:hAnsi="Arial"/>
                <w:sz w:val="16"/>
                <w:szCs w:val="16"/>
                <w:color w:val="auto"/>
              </w:rPr>
              <w:t>121,819</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2023</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11,678</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100,282</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2024</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3160" w:type="dxa"/>
            <w:vAlign w:val="bottom"/>
          </w:tcPr>
          <w:p>
            <w:pPr>
              <w:jc w:val="right"/>
              <w:spacing w:after="0"/>
              <w:rPr>
                <w:sz w:val="20"/>
                <w:szCs w:val="20"/>
                <w:color w:val="auto"/>
              </w:rPr>
            </w:pPr>
            <w:r>
              <w:rPr>
                <w:rFonts w:ascii="Arial" w:cs="Arial" w:eastAsia="Arial" w:hAnsi="Arial"/>
                <w:sz w:val="16"/>
                <w:szCs w:val="16"/>
                <w:color w:val="auto"/>
              </w:rPr>
              <w:t>2,738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jc w:val="right"/>
              <w:spacing w:after="0"/>
              <w:rPr>
                <w:sz w:val="20"/>
                <w:szCs w:val="20"/>
                <w:color w:val="auto"/>
              </w:rPr>
            </w:pPr>
            <w:r>
              <w:rPr>
                <w:rFonts w:ascii="Arial" w:cs="Arial" w:eastAsia="Arial" w:hAnsi="Arial"/>
                <w:sz w:val="16"/>
                <w:szCs w:val="16"/>
                <w:color w:val="auto"/>
              </w:rPr>
              <w:t>67,089</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2025</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3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3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50,709</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3100" w:type="dxa"/>
            <w:vAlign w:val="bottom"/>
          </w:tcPr>
          <w:p>
            <w:pPr>
              <w:jc w:val="right"/>
              <w:spacing w:after="0"/>
              <w:rPr>
                <w:sz w:val="20"/>
                <w:szCs w:val="20"/>
                <w:color w:val="auto"/>
              </w:rPr>
            </w:pPr>
            <w:r>
              <w:rPr>
                <w:rFonts w:ascii="Arial" w:cs="Arial" w:eastAsia="Arial" w:hAnsi="Arial"/>
                <w:sz w:val="16"/>
                <w:szCs w:val="16"/>
                <w:color w:val="auto"/>
              </w:rPr>
              <w:t>167,100</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schedule does not reflect renewable energy PPA obligations since these agreements vary based on weather conditions.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Sales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Through our subsidiaries, we have the following significant long-term power sales contracts with non-affiliated third-parties:</w:t>
      </w:r>
    </w:p>
    <w:p>
      <w:pPr>
        <w:spacing w:after="0" w:line="248" w:lineRule="exact"/>
        <w:rPr>
          <w:sz w:val="20"/>
          <w:szCs w:val="20"/>
          <w:color w:val="auto"/>
        </w:rPr>
      </w:pPr>
    </w:p>
    <w:p>
      <w:pPr>
        <w:ind w:left="660" w:right="120" w:hanging="328"/>
        <w:spacing w:after="0" w:line="260"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 July 1, 2020, Colorado Electric entered into a PSA with the City of Colorado Springs to sell up to 60 MW of wind energy purchased from PRPA under a separate 60 MW PPA discussed above. This PSA with the City of Colorado Springs expires June 30, 2025.</w:t>
      </w:r>
    </w:p>
    <w:p>
      <w:pPr>
        <w:spacing w:after="0" w:line="222" w:lineRule="exact"/>
        <w:rPr>
          <w:rFonts w:ascii="Arial" w:cs="Arial" w:eastAsia="Arial" w:hAnsi="Arial"/>
          <w:sz w:val="16"/>
          <w:szCs w:val="16"/>
          <w:color w:val="auto"/>
        </w:rPr>
      </w:pPr>
    </w:p>
    <w:p>
      <w:pPr>
        <w:ind w:left="660" w:right="100" w:hanging="328"/>
        <w:spacing w:after="0" w:line="253"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During periods of reduced production at Wygen III in which MDU owns a portion of the capacity, or during periods when Wygen III is off-line, South Dakota Electric will provide MDU with 25 MW from our other generation facilities or from system purchases with reimbursement of costs by MDU. This agreement expires January 31, 2023.</w:t>
      </w:r>
    </w:p>
    <w:p>
      <w:pPr>
        <w:spacing w:after="0" w:line="228" w:lineRule="exact"/>
        <w:rPr>
          <w:rFonts w:ascii="Arial" w:cs="Arial" w:eastAsia="Arial" w:hAnsi="Arial"/>
          <w:sz w:val="16"/>
          <w:szCs w:val="16"/>
          <w:color w:val="auto"/>
        </w:rPr>
      </w:pPr>
    </w:p>
    <w:p>
      <w:pPr>
        <w:ind w:left="660" w:right="140" w:hanging="328"/>
        <w:spacing w:after="0" w:line="260"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South Dakota Electric has an agreement to provide MDU capacity and energy up to a maximum of 50 MW in excess of Wygen III ownership. This agreement expires December 31, 2023.</w:t>
      </w:r>
    </w:p>
    <w:p>
      <w:pPr>
        <w:spacing w:after="0" w:line="222" w:lineRule="exact"/>
        <w:rPr>
          <w:rFonts w:ascii="Arial" w:cs="Arial" w:eastAsia="Arial" w:hAnsi="Arial"/>
          <w:sz w:val="16"/>
          <w:szCs w:val="16"/>
          <w:color w:val="auto"/>
        </w:rPr>
      </w:pPr>
    </w:p>
    <w:p>
      <w:pPr>
        <w:jc w:val="both"/>
        <w:ind w:left="660" w:right="160" w:hanging="328"/>
        <w:spacing w:after="0" w:line="251"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During periods of reduced production at Wygen III in which the City of Gillette owns a portion of the capacity, or during periods when Wygen III is off-line, South Dakota Electric will provide the City of Gillette with its first 23 MW from its other generating facilities or from system purchases with reimbursement of costs by the City of Gillette. Under this agreement, which has an initial term through September 3, 2034 and would be renewed annually on September 3 thereafter, South Dakota Electric will also provide the City of Gillette their operating component of spinning reserves.</w:t>
      </w:r>
    </w:p>
    <w:p>
      <w:pPr>
        <w:spacing w:after="0" w:line="229" w:lineRule="exact"/>
        <w:rPr>
          <w:rFonts w:ascii="Arial" w:cs="Arial" w:eastAsia="Arial" w:hAnsi="Arial"/>
          <w:sz w:val="16"/>
          <w:szCs w:val="16"/>
          <w:color w:val="auto"/>
        </w:rPr>
      </w:pPr>
    </w:p>
    <w:p>
      <w:pPr>
        <w:ind w:left="660" w:right="580" w:hanging="328"/>
        <w:spacing w:after="0" w:line="251"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South Dakota Electric has an amended agreement, effective January 1, 2019, to supply up to 20 MW of energy and capacity to MEAN under a contract that expires May 31, 2028. The contract terms are from June 1 through May 31 for each interval listed below. This contract is unit-contingent based on the availability of our Neil Simpson II and Wygen III plants, with decreasing capacity purchased over the term of the agreement. The unit-contingent capacity amounts from Wygen III and Neil Simpson II are as follows:</w:t>
      </w:r>
    </w:p>
    <w:p>
      <w:pPr>
        <w:spacing w:after="0" w:line="99"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80" w:type="dxa"/>
            <w:vAlign w:val="bottom"/>
            <w:gridSpan w:val="2"/>
          </w:tcPr>
          <w:p>
            <w:pPr>
              <w:jc w:val="center"/>
              <w:spacing w:after="0"/>
              <w:rPr>
                <w:sz w:val="20"/>
                <w:szCs w:val="20"/>
                <w:color w:val="auto"/>
              </w:rPr>
            </w:pPr>
            <w:r>
              <w:rPr>
                <w:rFonts w:ascii="Arial" w:cs="Arial" w:eastAsia="Arial" w:hAnsi="Arial"/>
                <w:sz w:val="16"/>
                <w:szCs w:val="16"/>
                <w:color w:val="auto"/>
              </w:rPr>
              <w:t>Contingent Capacity</w:t>
            </w:r>
          </w:p>
        </w:tc>
      </w:tr>
      <w:tr>
        <w:trPr>
          <w:trHeight w:val="162"/>
        </w:trPr>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Contingent Capacity</w:t>
            </w:r>
          </w:p>
        </w:tc>
        <w:tc>
          <w:tcPr>
            <w:tcW w:w="198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Amounts on Neil</w:t>
            </w:r>
          </w:p>
        </w:tc>
      </w:tr>
      <w:tr>
        <w:trPr>
          <w:trHeight w:val="198"/>
        </w:trPr>
        <w:tc>
          <w:tcPr>
            <w:tcW w:w="306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w w:val="99"/>
              </w:rPr>
              <w:t>Contract Years</w:t>
            </w:r>
          </w:p>
        </w:tc>
        <w:tc>
          <w:tcPr>
            <w:tcW w:w="2620" w:type="dxa"/>
            <w:vAlign w:val="bottom"/>
            <w:tcBorders>
              <w:bottom w:val="single" w:sz="8" w:color="auto"/>
            </w:tcBorders>
            <w:gridSpan w:val="2"/>
          </w:tcPr>
          <w:p>
            <w:pPr>
              <w:ind w:left="700"/>
              <w:spacing w:after="0"/>
              <w:rPr>
                <w:sz w:val="20"/>
                <w:szCs w:val="20"/>
                <w:color w:val="auto"/>
              </w:rPr>
            </w:pPr>
            <w:r>
              <w:rPr>
                <w:rFonts w:ascii="Arial" w:cs="Arial" w:eastAsia="Arial" w:hAnsi="Arial"/>
                <w:sz w:val="16"/>
                <w:szCs w:val="16"/>
                <w:color w:val="auto"/>
              </w:rPr>
              <w:t>Total Contract Capacity</w:t>
            </w: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Amounts on Wygen III</w:t>
            </w: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Simpson II</w:t>
            </w:r>
          </w:p>
        </w:tc>
      </w:tr>
      <w:tr>
        <w:trPr>
          <w:trHeight w:val="212"/>
        </w:trPr>
        <w:tc>
          <w:tcPr>
            <w:tcW w:w="3060" w:type="dxa"/>
            <w:vAlign w:val="bottom"/>
            <w:shd w:val="clear" w:color="auto" w:fill="CEFFE7"/>
          </w:tcPr>
          <w:p>
            <w:pPr>
              <w:jc w:val="center"/>
              <w:ind w:left="519"/>
              <w:spacing w:after="0"/>
              <w:rPr>
                <w:sz w:val="20"/>
                <w:szCs w:val="20"/>
                <w:color w:val="auto"/>
              </w:rPr>
            </w:pPr>
            <w:r>
              <w:rPr>
                <w:rFonts w:ascii="Arial" w:cs="Arial" w:eastAsia="Arial" w:hAnsi="Arial"/>
                <w:sz w:val="16"/>
                <w:szCs w:val="16"/>
                <w:color w:val="auto"/>
              </w:rPr>
              <w:t>2020-2022</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w:t>
            </w:r>
          </w:p>
        </w:tc>
        <w:tc>
          <w:tcPr>
            <w:tcW w:w="112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w:t>
            </w:r>
          </w:p>
        </w:tc>
        <w:tc>
          <w:tcPr>
            <w:tcW w:w="112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w:t>
            </w:r>
          </w:p>
        </w:tc>
        <w:tc>
          <w:tcPr>
            <w:tcW w:w="98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r>
      <w:tr>
        <w:trPr>
          <w:trHeight w:val="213"/>
        </w:trPr>
        <w:tc>
          <w:tcPr>
            <w:tcW w:w="3060" w:type="dxa"/>
            <w:vAlign w:val="bottom"/>
          </w:tcPr>
          <w:p>
            <w:pPr>
              <w:jc w:val="center"/>
              <w:ind w:left="519"/>
              <w:spacing w:after="0"/>
              <w:rPr>
                <w:sz w:val="20"/>
                <w:szCs w:val="20"/>
                <w:color w:val="auto"/>
              </w:rPr>
            </w:pPr>
            <w:r>
              <w:rPr>
                <w:rFonts w:ascii="Arial" w:cs="Arial" w:eastAsia="Arial" w:hAnsi="Arial"/>
                <w:sz w:val="16"/>
                <w:szCs w:val="16"/>
                <w:color w:val="auto"/>
              </w:rPr>
              <w:t>2022-2023</w:t>
            </w: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c>
          <w:tcPr>
            <w:tcW w:w="1120" w:type="dxa"/>
            <w:vAlign w:val="bottom"/>
          </w:tcPr>
          <w:p>
            <w:pPr>
              <w:ind w:left="40"/>
              <w:spacing w:after="0"/>
              <w:rPr>
                <w:sz w:val="20"/>
                <w:szCs w:val="20"/>
                <w:color w:val="auto"/>
              </w:rPr>
            </w:pPr>
            <w:r>
              <w:rPr>
                <w:rFonts w:ascii="Arial" w:cs="Arial" w:eastAsia="Arial" w:hAnsi="Arial"/>
                <w:sz w:val="16"/>
                <w:szCs w:val="16"/>
                <w:color w:val="auto"/>
              </w:rPr>
              <w:t>MW</w:t>
            </w: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120" w:type="dxa"/>
            <w:vAlign w:val="bottom"/>
          </w:tcPr>
          <w:p>
            <w:pPr>
              <w:ind w:left="40"/>
              <w:spacing w:after="0"/>
              <w:rPr>
                <w:sz w:val="20"/>
                <w:szCs w:val="20"/>
                <w:color w:val="auto"/>
              </w:rPr>
            </w:pPr>
            <w:r>
              <w:rPr>
                <w:rFonts w:ascii="Arial" w:cs="Arial" w:eastAsia="Arial" w:hAnsi="Arial"/>
                <w:sz w:val="16"/>
                <w:szCs w:val="16"/>
                <w:color w:val="auto"/>
              </w:rPr>
              <w:t>MW</w:t>
            </w: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980" w:type="dxa"/>
            <w:vAlign w:val="bottom"/>
          </w:tcPr>
          <w:p>
            <w:pPr>
              <w:ind w:left="40"/>
              <w:spacing w:after="0"/>
              <w:rPr>
                <w:sz w:val="20"/>
                <w:szCs w:val="20"/>
                <w:color w:val="auto"/>
              </w:rPr>
            </w:pPr>
            <w:r>
              <w:rPr>
                <w:rFonts w:ascii="Arial" w:cs="Arial" w:eastAsia="Arial" w:hAnsi="Arial"/>
                <w:sz w:val="16"/>
                <w:szCs w:val="16"/>
                <w:color w:val="auto"/>
              </w:rPr>
              <w:t>MW</w:t>
            </w:r>
          </w:p>
        </w:tc>
      </w:tr>
      <w:tr>
        <w:trPr>
          <w:trHeight w:val="219"/>
        </w:trPr>
        <w:tc>
          <w:tcPr>
            <w:tcW w:w="3060" w:type="dxa"/>
            <w:vAlign w:val="bottom"/>
            <w:shd w:val="clear" w:color="auto" w:fill="CEFFE7"/>
          </w:tcPr>
          <w:p>
            <w:pPr>
              <w:jc w:val="center"/>
              <w:ind w:left="519"/>
              <w:spacing w:after="0"/>
              <w:rPr>
                <w:sz w:val="20"/>
                <w:szCs w:val="20"/>
                <w:color w:val="auto"/>
              </w:rPr>
            </w:pPr>
            <w:r>
              <w:rPr>
                <w:rFonts w:ascii="Arial" w:cs="Arial" w:eastAsia="Arial" w:hAnsi="Arial"/>
                <w:sz w:val="16"/>
                <w:szCs w:val="16"/>
                <w:color w:val="auto"/>
              </w:rPr>
              <w:t>2023-2028</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w:t>
            </w:r>
          </w:p>
        </w:tc>
        <w:tc>
          <w:tcPr>
            <w:tcW w:w="112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w:t>
            </w:r>
          </w:p>
        </w:tc>
        <w:tc>
          <w:tcPr>
            <w:tcW w:w="112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w:t>
            </w:r>
          </w:p>
        </w:tc>
        <w:tc>
          <w:tcPr>
            <w:tcW w:w="980" w:type="dxa"/>
            <w:vAlign w:val="bottom"/>
            <w:shd w:val="clear" w:color="auto" w:fill="CEFFE7"/>
          </w:tcPr>
          <w:p>
            <w:pPr>
              <w:ind w:left="40"/>
              <w:spacing w:after="0"/>
              <w:rPr>
                <w:sz w:val="20"/>
                <w:szCs w:val="20"/>
                <w:color w:val="auto"/>
              </w:rPr>
            </w:pPr>
            <w:r>
              <w:rPr>
                <w:rFonts w:ascii="Arial" w:cs="Arial" w:eastAsia="Arial" w:hAnsi="Arial"/>
                <w:sz w:val="16"/>
                <w:szCs w:val="16"/>
                <w:color w:val="auto"/>
              </w:rPr>
              <w:t>MW</w:t>
            </w:r>
          </w:p>
        </w:tc>
      </w:tr>
    </w:tbl>
    <w:p>
      <w:pPr>
        <w:spacing w:after="0" w:line="326" w:lineRule="exact"/>
        <w:rPr>
          <w:sz w:val="20"/>
          <w:szCs w:val="20"/>
          <w:color w:val="auto"/>
        </w:rPr>
      </w:pPr>
    </w:p>
    <w:p>
      <w:pPr>
        <w:ind w:left="660" w:right="60" w:hanging="328"/>
        <w:spacing w:after="0" w:line="260" w:lineRule="auto"/>
        <w:tabs>
          <w:tab w:leader="none" w:pos="6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South Dakota Electric has an agreement that expires December 31, 2021 to provide 50 MW of energy to Macquarie Energy, LLC during heavy and light load timing intervals.</w:t>
      </w:r>
    </w:p>
    <w:p>
      <w:pPr>
        <w:spacing w:after="0" w:line="222" w:lineRule="exact"/>
        <w:rPr>
          <w:rFonts w:ascii="Arial" w:cs="Arial" w:eastAsia="Arial" w:hAnsi="Arial"/>
          <w:sz w:val="16"/>
          <w:szCs w:val="16"/>
          <w:color w:val="auto"/>
        </w:rPr>
      </w:pPr>
    </w:p>
    <w:p>
      <w:pPr>
        <w:ind w:left="660" w:hanging="328"/>
        <w:spacing w:after="0" w:line="251" w:lineRule="auto"/>
        <w:tabs>
          <w:tab w:leader="none" w:pos="6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Black Hills Wyoming sold its CTII 40 MW natural gas-fired generating unit to the City of Gillette, Wyoming on September 3, 2014. Under the terms of the sale, Black Hills Wyoming entered into ancillary agreements to operate CTII, provide use of shared facilities including a ground lease and dispatch generation services. In addition, the agreement includes a 20-year economy energy PSA that contains a sharing arrangement in which the parties share the savings of wholesale power purchases made when market power prices are less than the cost of operating the generating unit.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are subject to costs resulting from a number of federal, state and local laws and regulations which affect future planning and existing operations. Laws and regulations can result in increased capital expenditures, operating and other costs as a result of compliance, remediation and monitoring obligations. Due to the environmental issues discussed below, we may be required to modify, curtail, replace or cease operating certain facilities or operations to comply with statutes, regulations and other requirements of regulatory bodies.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Reclamation Liability</w:t>
      </w:r>
    </w:p>
    <w:p>
      <w:pPr>
        <w:spacing w:after="0" w:line="26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For our Pueblo Airport Generation site, we posted a bond of $4.1 million with the State of Colorado to cover the costs of remediation for a waste water containment pond permitted to provide wastewater storage and processing for this zero discharge facility. The reclamation liability is recorded at the present value of the estimated future cost to reclaim the land.</w:t>
      </w:r>
    </w:p>
    <w:p>
      <w:pPr>
        <w:spacing w:after="0" w:line="22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Under our land leases for our wind generation facilities, we are required to reclaim land where we have placed wind turbines. The reclamation liabilities are recorded at the present value of the estimated future cost to reclaim the land.</w:t>
      </w:r>
    </w:p>
    <w:p>
      <w:pPr>
        <w:spacing w:after="0" w:line="22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Under its mining permit, WRDC is required to reclaim all land where it has mined reserves. The reclamation liability is recorded at the present value of the estimated future cost to reclaim the land.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7" w:name="page88"/>
    <w:bookmarkEnd w:id="8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94">
        <w:r>
          <w:rPr>
            <w:rFonts w:ascii="Arial" w:cs="Arial" w:eastAsia="Arial" w:hAnsi="Arial"/>
            <w:sz w:val="16"/>
            <w:szCs w:val="16"/>
            <w:u w:val="single" w:color="auto"/>
            <w:color w:val="0000FF"/>
          </w:rPr>
          <w:t>Note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Processing</w:t>
      </w:r>
    </w:p>
    <w:p>
      <w:pPr>
        <w:spacing w:after="0" w:line="264" w:lineRule="exact"/>
        <w:rPr>
          <w:sz w:val="20"/>
          <w:szCs w:val="20"/>
          <w:color w:val="auto"/>
        </w:rPr>
      </w:pPr>
    </w:p>
    <w:p>
      <w:pPr>
        <w:spacing w:after="0" w:line="251" w:lineRule="auto"/>
        <w:rPr>
          <w:rFonts w:ascii="Arial" w:cs="Arial" w:eastAsia="Arial" w:hAnsi="Arial"/>
          <w:sz w:val="16"/>
          <w:szCs w:val="16"/>
          <w:color w:val="0000FF"/>
        </w:rPr>
      </w:pPr>
      <w:r>
        <w:rPr>
          <w:rFonts w:ascii="Arial" w:cs="Arial" w:eastAsia="Arial" w:hAnsi="Arial"/>
          <w:sz w:val="16"/>
          <w:szCs w:val="16"/>
          <w:color w:val="auto"/>
        </w:rPr>
        <w:t xml:space="preserve">In 2008, we acquired whole and partial liabilities for former manufactured gas processing sites in Nebraska and Iowa which were previously used to convert coal to natural gas. The acquisition provided for an insurance recovery, now valued at $1.2 million recorded in Other assets, non-current on our Consolidated Balance Sheets, which will be used to help offset remediation costs. We also have a $1.4 million regulatory asset for manufactured gas processing sites; see </w:t>
      </w:r>
      <w:hyperlink w:anchor="page81">
        <w:r>
          <w:rPr>
            <w:rFonts w:ascii="Arial" w:cs="Arial" w:eastAsia="Arial" w:hAnsi="Arial"/>
            <w:sz w:val="16"/>
            <w:szCs w:val="16"/>
            <w:u w:val="single" w:color="auto"/>
            <w:color w:val="0000FF"/>
          </w:rPr>
          <w:t>Note 2</w:t>
        </w:r>
        <w:r>
          <w:rPr>
            <w:rFonts w:ascii="Arial" w:cs="Arial" w:eastAsia="Arial" w:hAnsi="Arial"/>
            <w:sz w:val="16"/>
            <w:szCs w:val="16"/>
            <w:color w:val="0000FF"/>
          </w:rPr>
          <w:t xml:space="preserve"> </w:t>
        </w:r>
      </w:hyperlink>
      <w:r>
        <w:rPr>
          <w:rFonts w:ascii="Arial" w:cs="Arial" w:eastAsia="Arial" w:hAnsi="Arial"/>
          <w:sz w:val="16"/>
          <w:szCs w:val="16"/>
          <w:color w:val="000000"/>
        </w:rPr>
        <w:t>for</w:t>
      </w:r>
      <w:r>
        <w:rPr>
          <w:rFonts w:ascii="Arial" w:cs="Arial" w:eastAsia="Arial" w:hAnsi="Arial"/>
          <w:sz w:val="16"/>
          <w:szCs w:val="16"/>
          <w:color w:val="0000FF"/>
        </w:rPr>
        <w:t xml:space="preserve"> </w:t>
      </w:r>
      <w:r>
        <w:rPr>
          <w:rFonts w:ascii="Arial" w:cs="Arial" w:eastAsia="Arial" w:hAnsi="Arial"/>
          <w:sz w:val="16"/>
          <w:szCs w:val="16"/>
          <w:color w:val="000000"/>
        </w:rPr>
        <w:t>additional information.</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of December 31, 2020, we had $2.6 million accrued for remediation of Iowa’s manufactured gas processing site as the landowner. As of December 31, 2020, we had $0.6 million accrued for remediation of Nebraska’s manufactured gas processing site as the land owner. These liabilities are included in Other deferred credits and other liabilities on our Consolidated Balance Sheets. The remediation cost estimate could change materially due to results of further investigations, actions of environmental agencies or the financial viability of other responsible parties.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6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the normal course of business, we are subject to various lawsuits, actions, proceedings, claims and other matters asserted under laws and regulations. We believe the amounts provided in the consolidated financial statements to satisfy alleged liabilities are adequate in light of the probable and estimable contingencies. However, there can be no assurance that the actual amounts required to satisfy alleged liabilities from various legal proceedings, claims and other matters discussed, and to comply with applicable laws and regulations will not exceed the amounts reflected in the consolidated financial statements.</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the normal course of business, we enter into agreements that include indemnification in favor of third parties, such as information technology agreements, purchase and sale agreements and lease contracts. We have also agreed to indemnify our directors, officers and employees in accordance with our articles of incorporation, as amended. Certain agreements do not contain any limits on our liability and therefore, it is not possible to estimate our potential liability under these indemnifications. In certain cases, we have recourse against third parties with respect to these indemnities. Further, we maintain insurance policies that may provide coverage against certain claims under these indemnities.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6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have entered into various agreements providing financial or performance assurance to third parties on behalf of certain of our subsidiaries. The agreements, which are off-balance sheet commitments, include indemnification for reclamation and surety bonds. The guarantees were entered into in the normal course of business. To the extent liabilities are incurred as a result of activities covered by the surety bonds, such liabilities are included in our 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gridSpan w:val="2"/>
          </w:tcPr>
          <w:p>
            <w:pPr>
              <w:spacing w:after="0"/>
              <w:rPr>
                <w:sz w:val="20"/>
                <w:szCs w:val="20"/>
                <w:color w:val="auto"/>
              </w:rPr>
            </w:pPr>
            <w:r>
              <w:rPr>
                <w:rFonts w:ascii="Arial" w:cs="Arial" w:eastAsia="Arial" w:hAnsi="Arial"/>
                <w:sz w:val="16"/>
                <w:szCs w:val="16"/>
                <w:color w:val="auto"/>
              </w:rPr>
              <w:t>We had the following guarantees in place as of (in thousands):</w:t>
            </w:r>
          </w:p>
        </w:tc>
        <w:tc>
          <w:tcPr>
            <w:tcW w:w="16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24"/>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20" w:type="dxa"/>
            <w:vAlign w:val="bottom"/>
          </w:tcPr>
          <w:p>
            <w:pPr>
              <w:jc w:val="center"/>
              <w:ind w:right="319"/>
              <w:spacing w:after="0"/>
              <w:rPr>
                <w:sz w:val="20"/>
                <w:szCs w:val="20"/>
                <w:color w:val="auto"/>
              </w:rPr>
            </w:pPr>
            <w:r>
              <w:rPr>
                <w:rFonts w:ascii="Arial" w:cs="Arial" w:eastAsia="Arial" w:hAnsi="Arial"/>
                <w:sz w:val="16"/>
                <w:szCs w:val="16"/>
                <w:color w:val="auto"/>
              </w:rPr>
              <w:t>Maximum Exposure at</w:t>
            </w:r>
          </w:p>
        </w:tc>
        <w:tc>
          <w:tcPr>
            <w:tcW w:w="146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Nature of Guarantee</w:t>
            </w:r>
          </w:p>
        </w:tc>
        <w:tc>
          <w:tcPr>
            <w:tcW w:w="16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rPr>
              <w:t>December 31, 2020</w:t>
            </w: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Expiration</w:t>
            </w:r>
          </w:p>
        </w:tc>
      </w:tr>
      <w:tr>
        <w:trPr>
          <w:trHeight w:val="213"/>
        </w:trPr>
        <w:tc>
          <w:tcPr>
            <w:tcW w:w="20" w:type="dxa"/>
            <w:vAlign w:val="bottom"/>
          </w:tcPr>
          <w:p>
            <w:pPr>
              <w:spacing w:after="0"/>
              <w:rPr>
                <w:sz w:val="18"/>
                <w:szCs w:val="18"/>
                <w:color w:val="auto"/>
              </w:rPr>
            </w:pPr>
          </w:p>
        </w:tc>
        <w:tc>
          <w:tcPr>
            <w:tcW w:w="590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Indemnification for subsidiary reclamation/surety bonds</w:t>
            </w:r>
          </w:p>
        </w:tc>
        <w:tc>
          <w:tcPr>
            <w:tcW w:w="1620" w:type="dxa"/>
            <w:vAlign w:val="bottom"/>
            <w:shd w:val="clear" w:color="auto" w:fill="CEFEE7"/>
          </w:tcPr>
          <w:p>
            <w:pPr>
              <w:jc w:val="right"/>
              <w:ind w:right="19"/>
              <w:spacing w:after="0"/>
              <w:rPr>
                <w:sz w:val="20"/>
                <w:szCs w:val="20"/>
                <w:color w:val="auto"/>
              </w:rPr>
            </w:pPr>
            <w:r>
              <w:rPr>
                <w:rFonts w:ascii="Arial" w:cs="Arial" w:eastAsia="Arial" w:hAnsi="Arial"/>
                <w:sz w:val="16"/>
                <w:szCs w:val="16"/>
                <w:color w:val="auto"/>
              </w:rPr>
              <w:t>$</w:t>
            </w:r>
          </w:p>
        </w:tc>
        <w:tc>
          <w:tcPr>
            <w:tcW w:w="2220" w:type="dxa"/>
            <w:vAlign w:val="bottom"/>
            <w:shd w:val="clear" w:color="auto" w:fill="CEFEE7"/>
          </w:tcPr>
          <w:p>
            <w:pPr>
              <w:jc w:val="right"/>
              <w:ind w:right="179"/>
              <w:spacing w:after="0"/>
              <w:rPr>
                <w:sz w:val="20"/>
                <w:szCs w:val="20"/>
                <w:color w:val="auto"/>
              </w:rPr>
            </w:pPr>
            <w:r>
              <w:rPr>
                <w:rFonts w:ascii="Arial" w:cs="Arial" w:eastAsia="Arial" w:hAnsi="Arial"/>
                <w:sz w:val="16"/>
                <w:szCs w:val="16"/>
                <w:color w:val="auto"/>
              </w:rPr>
              <w:t>53,769</w:t>
            </w:r>
          </w:p>
        </w:tc>
        <w:tc>
          <w:tcPr>
            <w:tcW w:w="1460" w:type="dxa"/>
            <w:vAlign w:val="bottom"/>
            <w:shd w:val="clear" w:color="auto" w:fill="CEFEE7"/>
          </w:tcPr>
          <w:p>
            <w:pPr>
              <w:jc w:val="center"/>
              <w:ind w:right="99"/>
              <w:spacing w:after="0"/>
              <w:rPr>
                <w:sz w:val="20"/>
                <w:szCs w:val="20"/>
                <w:color w:val="auto"/>
              </w:rPr>
            </w:pPr>
            <w:r>
              <w:rPr>
                <w:rFonts w:ascii="Arial" w:cs="Arial" w:eastAsia="Arial" w:hAnsi="Arial"/>
                <w:sz w:val="16"/>
                <w:szCs w:val="16"/>
                <w:color w:val="auto"/>
                <w:w w:val="99"/>
              </w:rPr>
              <w:t>Ongoing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Our primary types of revenue contracts are:</w:t>
      </w:r>
    </w:p>
    <w:p>
      <w:pPr>
        <w:spacing w:after="0" w:line="213" w:lineRule="exact"/>
        <w:rPr>
          <w:sz w:val="20"/>
          <w:szCs w:val="20"/>
          <w:color w:val="auto"/>
        </w:rPr>
      </w:pPr>
    </w:p>
    <w:p>
      <w:pPr>
        <w:ind w:left="660" w:right="120" w:hanging="328"/>
        <w:spacing w:after="0" w:line="252"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Regulated natural gas and electric utility services tariffs</w:t>
      </w:r>
      <w:r>
        <w:rPr>
          <w:rFonts w:ascii="Arial" w:cs="Arial" w:eastAsia="Arial" w:hAnsi="Arial"/>
          <w:sz w:val="16"/>
          <w:szCs w:val="16"/>
          <w:color w:val="auto"/>
        </w:rPr>
        <w:t xml:space="preserve"> - Our utilities have regulated operations, as defined by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that provide services to regulated customers under tariff rates, charges, terms and conditions of service and prices determined by the jurisdictional regulators designated for our service territories. Our regulated services primarily encompass single performance obligations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state or federal regulatory commissions to establish contractual rates between the utility and its customers. All of our Utilities’ regulated sales are subject to regulatory-approved tariffs.</w:t>
      </w:r>
    </w:p>
    <w:p>
      <w:pPr>
        <w:spacing w:after="0" w:line="229" w:lineRule="exact"/>
        <w:rPr>
          <w:rFonts w:ascii="Arial" w:cs="Arial" w:eastAsia="Arial" w:hAnsi="Arial"/>
          <w:sz w:val="16"/>
          <w:szCs w:val="16"/>
          <w:color w:val="auto"/>
        </w:rPr>
      </w:pPr>
    </w:p>
    <w:p>
      <w:pPr>
        <w:ind w:left="660" w:right="20" w:hanging="328"/>
        <w:spacing w:after="0" w:line="248"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Power sales agreements</w:t>
      </w:r>
      <w:r>
        <w:rPr>
          <w:rFonts w:ascii="Arial" w:cs="Arial" w:eastAsia="Arial" w:hAnsi="Arial"/>
          <w:sz w:val="16"/>
          <w:szCs w:val="16"/>
          <w:color w:val="auto"/>
        </w:rPr>
        <w:t xml:space="preserve"> - Our Electric Utilities and Power Generation segments have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we also sell excess energy to other load-serving entities on a short-term basis. The pricing for all of these arrangements is included in the executed contracts or confirmations, reflecting the standalone selling price and is variable based on energy delivered. Certain energy sale and purchase transactions with the same counterparty and at the same delivery point are netted to reflect the economic substance of the arrangement.</w:t>
      </w:r>
    </w:p>
    <w:p>
      <w:pPr>
        <w:spacing w:after="0" w:line="235" w:lineRule="exact"/>
        <w:rPr>
          <w:rFonts w:ascii="Arial" w:cs="Arial" w:eastAsia="Arial" w:hAnsi="Arial"/>
          <w:sz w:val="16"/>
          <w:szCs w:val="16"/>
          <w:color w:val="auto"/>
        </w:rPr>
      </w:pPr>
    </w:p>
    <w:p>
      <w:pPr>
        <w:ind w:left="660" w:right="280" w:hanging="328"/>
        <w:spacing w:after="0" w:line="251"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Coal supply agreements</w:t>
      </w:r>
      <w:r>
        <w:rPr>
          <w:rFonts w:ascii="Arial" w:cs="Arial" w:eastAsia="Arial" w:hAnsi="Arial"/>
          <w:sz w:val="16"/>
          <w:szCs w:val="16"/>
          <w:color w:val="auto"/>
        </w:rPr>
        <w:t xml:space="preserve"> - Our Mining segment sells coal primarily under long-term contracts to utilities for use at their power generating plants, including affiliate Electric Utilities, and an affiliate non-regulated Power Generation entity. The contracts include a single promise to supply coal necessary to fuel the customers’ facilities during the contract term. The transaction price is established in the supply agreements, including cost-based agreements with the affiliated regulated utilities, and is variable based on tons delivered.</w:t>
      </w:r>
    </w:p>
    <w:p>
      <w:pPr>
        <w:spacing w:after="0" w:line="229" w:lineRule="exact"/>
        <w:rPr>
          <w:rFonts w:ascii="Arial" w:cs="Arial" w:eastAsia="Arial" w:hAnsi="Arial"/>
          <w:sz w:val="16"/>
          <w:szCs w:val="16"/>
          <w:color w:val="auto"/>
        </w:rPr>
      </w:pPr>
    </w:p>
    <w:p>
      <w:pPr>
        <w:ind w:left="660" w:right="20" w:hanging="328"/>
        <w:spacing w:after="0" w:line="250"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Other non-regulated services</w:t>
      </w:r>
      <w:r>
        <w:rPr>
          <w:rFonts w:ascii="Arial" w:cs="Arial" w:eastAsia="Arial" w:hAnsi="Arial"/>
          <w:sz w:val="16"/>
          <w:szCs w:val="16"/>
          <w:color w:val="auto"/>
        </w:rPr>
        <w:t xml:space="preserve"> - Our Electric and Gas Utilities segments also provide non-regulated services primarily comprised of appliance repair service and protection plans, electric and natural gas technical infrastructure construction and maintenance services, and in Nebraska and Wyoming, an unbundled natural gas commodity offering under the regulatory-approved Choice Gas Program. Revenue contracts for these services generally represent a single performance obligation with the price reflecting the standalone selling price stated in the agreement, and the revenue is variable based on the units delivered or services provided.</w:t>
      </w:r>
    </w:p>
    <w:p>
      <w:pPr>
        <w:spacing w:after="0" w:line="23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years ended December 31, 2020, 2019 and 2018. Sales tax and other similar taxes are excluded from revenues.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5"/>
        </w:trPr>
        <w:tc>
          <w:tcPr>
            <w:tcW w:w="3780" w:type="dxa"/>
            <w:vAlign w:val="bottom"/>
            <w:gridSpan w:val="5"/>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872"/>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Power</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19"/>
              <w:spacing w:after="0"/>
              <w:rPr>
                <w:sz w:val="20"/>
                <w:szCs w:val="20"/>
                <w:color w:val="auto"/>
              </w:rPr>
            </w:pPr>
            <w:r>
              <w:rPr>
                <w:rFonts w:ascii="Arial" w:cs="Arial" w:eastAsia="Arial" w:hAnsi="Arial"/>
                <w:sz w:val="16"/>
                <w:szCs w:val="16"/>
                <w:color w:val="auto"/>
              </w:rPr>
              <w:t>Inter-company</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8"/>
        </w:trPr>
        <w:tc>
          <w:tcPr>
            <w:tcW w:w="40" w:type="dxa"/>
            <w:vAlign w:val="bottom"/>
          </w:tcPr>
          <w:p>
            <w:pPr>
              <w:spacing w:after="0"/>
              <w:rPr>
                <w:sz w:val="17"/>
                <w:szCs w:val="17"/>
                <w:color w:val="auto"/>
              </w:rPr>
            </w:pPr>
          </w:p>
        </w:tc>
        <w:tc>
          <w:tcPr>
            <w:tcW w:w="374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Year ended December 31, 2020</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Gas Utilities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Generation</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Mining</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Revenues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Total</w:t>
            </w:r>
          </w:p>
        </w:tc>
      </w:tr>
      <w:tr>
        <w:trPr>
          <w:trHeight w:val="172"/>
        </w:trPr>
        <w:tc>
          <w:tcPr>
            <w:tcW w:w="40" w:type="dxa"/>
            <w:vAlign w:val="bottom"/>
          </w:tcPr>
          <w:p>
            <w:pPr>
              <w:spacing w:after="0"/>
              <w:rPr>
                <w:sz w:val="14"/>
                <w:szCs w:val="14"/>
                <w:color w:val="auto"/>
              </w:rPr>
            </w:pPr>
          </w:p>
        </w:tc>
        <w:tc>
          <w:tcPr>
            <w:tcW w:w="3740" w:type="dxa"/>
            <w:vAlign w:val="bottom"/>
            <w:gridSpan w:val="4"/>
          </w:tcPr>
          <w:p>
            <w:pPr>
              <w:spacing w:after="0" w:line="172" w:lineRule="exact"/>
              <w:rPr>
                <w:sz w:val="20"/>
                <w:szCs w:val="20"/>
                <w:color w:val="auto"/>
              </w:rPr>
            </w:pPr>
            <w:r>
              <w:rPr>
                <w:rFonts w:ascii="Arial" w:cs="Arial" w:eastAsia="Arial" w:hAnsi="Arial"/>
                <w:sz w:val="16"/>
                <w:szCs w:val="16"/>
                <w:color w:val="auto"/>
              </w:rPr>
              <w:t>Customer types: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3"/>
          </w:tcPr>
          <w:p>
            <w:pPr>
              <w:jc w:val="right"/>
              <w:ind w:right="579"/>
              <w:spacing w:after="0" w:line="172" w:lineRule="exact"/>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374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340" w:type="dxa"/>
            <w:vAlign w:val="bottom"/>
            <w:shd w:val="clear" w:color="auto" w:fill="CEFFE7"/>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610,721</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765,922</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 $</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58,567</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(31,478)</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1,403,732</w:t>
            </w:r>
          </w:p>
        </w:tc>
      </w:tr>
      <w:tr>
        <w:trPr>
          <w:trHeight w:val="213"/>
        </w:trPr>
        <w:tc>
          <w:tcPr>
            <w:tcW w:w="40" w:type="dxa"/>
            <w:vAlign w:val="bottom"/>
          </w:tcPr>
          <w:p>
            <w:pPr>
              <w:spacing w:after="0"/>
              <w:rPr>
                <w:sz w:val="18"/>
                <w:szCs w:val="18"/>
                <w:color w:val="auto"/>
              </w:rPr>
            </w:pPr>
          </w:p>
        </w:tc>
        <w:tc>
          <w:tcPr>
            <w:tcW w:w="3740" w:type="dxa"/>
            <w:vAlign w:val="bottom"/>
            <w:gridSpan w:val="4"/>
          </w:tcPr>
          <w:p>
            <w:pPr>
              <w:ind w:left="120"/>
              <w:spacing w:after="0"/>
              <w:rPr>
                <w:sz w:val="20"/>
                <w:szCs w:val="20"/>
                <w:color w:val="auto"/>
              </w:rPr>
            </w:pPr>
            <w:r>
              <w:rPr>
                <w:rFonts w:ascii="Arial" w:cs="Arial" w:eastAsia="Arial" w:hAnsi="Arial"/>
                <w:sz w:val="16"/>
                <w:szCs w:val="16"/>
                <w:color w:val="auto"/>
              </w:rPr>
              <w:t>Transportation</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154,581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154,055</w:t>
            </w:r>
          </w:p>
        </w:tc>
      </w:tr>
      <w:tr>
        <w:trPr>
          <w:trHeight w:val="219"/>
        </w:trPr>
        <w:tc>
          <w:tcPr>
            <w:tcW w:w="40" w:type="dxa"/>
            <w:vAlign w:val="bottom"/>
            <w:tcBorders>
              <w:right w:val="single" w:sz="8" w:color="CEFFE7"/>
            </w:tcBorders>
          </w:tcPr>
          <w:p>
            <w:pPr>
              <w:spacing w:after="0"/>
              <w:rPr>
                <w:sz w:val="19"/>
                <w:szCs w:val="19"/>
                <w:color w:val="auto"/>
              </w:rPr>
            </w:pPr>
          </w:p>
        </w:tc>
        <w:tc>
          <w:tcPr>
            <w:tcW w:w="374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3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17,848</w:t>
            </w:r>
          </w:p>
        </w:tc>
        <w:tc>
          <w:tcPr>
            <w:tcW w:w="16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103,258</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(97,169)</w:t>
            </w:r>
          </w:p>
        </w:tc>
        <w:tc>
          <w:tcPr>
            <w:tcW w:w="30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23,937</w:t>
            </w:r>
          </w:p>
        </w:tc>
      </w:tr>
      <w:tr>
        <w:trPr>
          <w:trHeight w:val="213"/>
        </w:trPr>
        <w:tc>
          <w:tcPr>
            <w:tcW w:w="40" w:type="dxa"/>
            <w:vAlign w:val="bottom"/>
          </w:tcPr>
          <w:p>
            <w:pPr>
              <w:spacing w:after="0"/>
              <w:rPr>
                <w:sz w:val="18"/>
                <w:szCs w:val="18"/>
                <w:color w:val="auto"/>
              </w:rPr>
            </w:pPr>
          </w:p>
        </w:tc>
        <w:tc>
          <w:tcPr>
            <w:tcW w:w="3740" w:type="dxa"/>
            <w:vAlign w:val="bottom"/>
            <w:gridSpan w:val="4"/>
          </w:tcPr>
          <w:p>
            <w:pPr>
              <w:ind w:left="120"/>
              <w:spacing w:after="0"/>
              <w:rPr>
                <w:sz w:val="20"/>
                <w:szCs w:val="20"/>
                <w:color w:val="auto"/>
              </w:rPr>
            </w:pPr>
            <w:r>
              <w:rPr>
                <w:rFonts w:ascii="Arial" w:cs="Arial" w:eastAsia="Arial" w:hAnsi="Arial"/>
                <w:sz w:val="16"/>
                <w:szCs w:val="16"/>
                <w:color w:val="auto"/>
              </w:rPr>
              <w:t>Market - off-system sales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24,309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(8,797)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15,772</w:t>
            </w:r>
          </w:p>
        </w:tc>
      </w:tr>
      <w:tr>
        <w:trPr>
          <w:trHeight w:val="216"/>
        </w:trPr>
        <w:tc>
          <w:tcPr>
            <w:tcW w:w="40" w:type="dxa"/>
            <w:vAlign w:val="bottom"/>
            <w:tcBorders>
              <w:right w:val="single" w:sz="8" w:color="CEFFE7"/>
            </w:tcBorders>
          </w:tcPr>
          <w:p>
            <w:pPr>
              <w:spacing w:after="0"/>
              <w:rPr>
                <w:sz w:val="18"/>
                <w:szCs w:val="18"/>
                <w:color w:val="auto"/>
              </w:rPr>
            </w:pPr>
          </w:p>
        </w:tc>
        <w:tc>
          <w:tcPr>
            <w:tcW w:w="374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3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58,965</w:t>
            </w:r>
          </w:p>
        </w:tc>
        <w:tc>
          <w:tcPr>
            <w:tcW w:w="160" w:type="dxa"/>
            <w:vAlign w:val="bottom"/>
            <w:tcBorders>
              <w:bottom w:val="single" w:sz="8" w:color="auto"/>
            </w:tcBorders>
            <w:shd w:val="clear" w:color="auto" w:fill="CEFFE7"/>
          </w:tcPr>
          <w:p>
            <w:pPr>
              <w:spacing w:after="0"/>
              <w:rPr>
                <w:sz w:val="18"/>
                <w:szCs w:val="18"/>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43,658</w:t>
            </w:r>
          </w:p>
        </w:tc>
        <w:tc>
          <w:tcPr>
            <w:tcW w:w="22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(19,315)</w:t>
            </w:r>
          </w:p>
        </w:tc>
        <w:tc>
          <w:tcPr>
            <w:tcW w:w="3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83,308</w:t>
            </w:r>
          </w:p>
        </w:tc>
      </w:tr>
      <w:tr>
        <w:trPr>
          <w:trHeight w:val="209"/>
        </w:trPr>
        <w:tc>
          <w:tcPr>
            <w:tcW w:w="40" w:type="dxa"/>
            <w:vAlign w:val="bottom"/>
          </w:tcPr>
          <w:p>
            <w:pPr>
              <w:spacing w:after="0"/>
              <w:rPr>
                <w:sz w:val="18"/>
                <w:szCs w:val="18"/>
                <w:color w:val="auto"/>
              </w:rPr>
            </w:pPr>
          </w:p>
        </w:tc>
        <w:tc>
          <w:tcPr>
            <w:tcW w:w="3740" w:type="dxa"/>
            <w:vAlign w:val="bottom"/>
            <w:gridSpan w:val="4"/>
          </w:tcPr>
          <w:p>
            <w:pPr>
              <w:ind w:left="120"/>
              <w:spacing w:after="0"/>
              <w:rPr>
                <w:sz w:val="20"/>
                <w:szCs w:val="20"/>
                <w:color w:val="auto"/>
              </w:rPr>
            </w:pPr>
            <w:r>
              <w:rPr>
                <w:rFonts w:ascii="Arial" w:cs="Arial" w:eastAsia="Arial" w:hAnsi="Arial"/>
                <w:sz w:val="16"/>
                <w:szCs w:val="16"/>
                <w:color w:val="auto"/>
              </w:rPr>
              <w:t>Revenue from contracts with customers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711,843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964,421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103,258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58,567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(157,285)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1,680,804</w:t>
            </w:r>
          </w:p>
        </w:tc>
      </w:tr>
      <w:tr>
        <w:trPr>
          <w:trHeight w:val="216"/>
        </w:trPr>
        <w:tc>
          <w:tcPr>
            <w:tcW w:w="40" w:type="dxa"/>
            <w:vAlign w:val="bottom"/>
            <w:tcBorders>
              <w:right w:val="single" w:sz="8" w:color="CEFFE7"/>
            </w:tcBorders>
          </w:tcPr>
          <w:p>
            <w:pPr>
              <w:spacing w:after="0"/>
              <w:rPr>
                <w:sz w:val="18"/>
                <w:szCs w:val="18"/>
                <w:color w:val="auto"/>
              </w:rPr>
            </w:pPr>
          </w:p>
        </w:tc>
        <w:tc>
          <w:tcPr>
            <w:tcW w:w="374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2,201</w:t>
            </w:r>
          </w:p>
        </w:tc>
        <w:tc>
          <w:tcPr>
            <w:tcW w:w="160" w:type="dxa"/>
            <w:vAlign w:val="bottom"/>
            <w:tcBorders>
              <w:bottom w:val="single" w:sz="8" w:color="auto"/>
            </w:tcBorders>
            <w:shd w:val="clear" w:color="auto" w:fill="CEFFE7"/>
          </w:tcPr>
          <w:p>
            <w:pPr>
              <w:spacing w:after="0"/>
              <w:rPr>
                <w:sz w:val="18"/>
                <w:szCs w:val="18"/>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10,249</w:t>
            </w:r>
          </w:p>
        </w:tc>
        <w:tc>
          <w:tcPr>
            <w:tcW w:w="22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1,789</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2,508</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(610)</w:t>
            </w:r>
          </w:p>
        </w:tc>
        <w:tc>
          <w:tcPr>
            <w:tcW w:w="3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16,137</w:t>
            </w:r>
          </w:p>
        </w:tc>
      </w:tr>
      <w:tr>
        <w:trPr>
          <w:trHeight w:val="213"/>
        </w:trPr>
        <w:tc>
          <w:tcPr>
            <w:tcW w:w="40" w:type="dxa"/>
            <w:vAlign w:val="bottom"/>
          </w:tcPr>
          <w:p>
            <w:pPr>
              <w:spacing w:after="0"/>
              <w:rPr>
                <w:sz w:val="18"/>
                <w:szCs w:val="18"/>
                <w:color w:val="auto"/>
              </w:rPr>
            </w:pPr>
          </w:p>
        </w:tc>
        <w:tc>
          <w:tcPr>
            <w:tcW w:w="3740" w:type="dxa"/>
            <w:vAlign w:val="bottom"/>
            <w:gridSpan w:val="4"/>
          </w:tcPr>
          <w:p>
            <w:pPr>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714,044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974,670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105,047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61,075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(157,895)</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1,696,941</w:t>
            </w:r>
          </w:p>
        </w:tc>
      </w:tr>
      <w:tr>
        <w:trPr>
          <w:trHeight w:val="20"/>
        </w:trPr>
        <w:tc>
          <w:tcPr>
            <w:tcW w:w="40" w:type="dxa"/>
            <w:vAlign w:val="bottom"/>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000" w:type="dxa"/>
            <w:vAlign w:val="bottom"/>
            <w:tcBorders>
              <w:bottom w:val="single" w:sz="8" w:color="CEFFE7"/>
            </w:tcBorders>
          </w:tcPr>
          <w:p>
            <w:pPr>
              <w:spacing w:after="0" w:line="20" w:lineRule="exact"/>
              <w:rPr>
                <w:sz w:val="1"/>
                <w:szCs w:val="1"/>
                <w:color w:val="auto"/>
              </w:rPr>
            </w:pPr>
          </w:p>
        </w:tc>
        <w:tc>
          <w:tcPr>
            <w:tcW w:w="1540" w:type="dxa"/>
            <w:vAlign w:val="bottom"/>
            <w:tcBorders>
              <w:bottom w:val="single" w:sz="8" w:color="CEFFE7"/>
            </w:tcBorders>
          </w:tcPr>
          <w:p>
            <w:pPr>
              <w:spacing w:after="0" w:line="20" w:lineRule="exact"/>
              <w:rPr>
                <w:sz w:val="1"/>
                <w:szCs w:val="1"/>
                <w:color w:val="auto"/>
              </w:rPr>
            </w:pPr>
          </w:p>
        </w:tc>
        <w:tc>
          <w:tcPr>
            <w:tcW w:w="20" w:type="dxa"/>
            <w:vAlign w:val="bottom"/>
            <w:tcBorders>
              <w:bottom w:val="single" w:sz="8" w:color="CEFFE7"/>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Borders>
              <w:right w:val="single" w:sz="8" w:color="CEFFE7"/>
            </w:tcBorders>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1000" w:type="dxa"/>
            <w:vAlign w:val="bottom"/>
            <w:shd w:val="clear" w:color="auto" w:fill="CEFFE7"/>
          </w:tcPr>
          <w:p>
            <w:pPr>
              <w:spacing w:after="0"/>
              <w:rPr>
                <w:sz w:val="20"/>
                <w:szCs w:val="20"/>
                <w:color w:val="auto"/>
              </w:rPr>
            </w:pPr>
          </w:p>
        </w:tc>
        <w:tc>
          <w:tcPr>
            <w:tcW w:w="1540" w:type="dxa"/>
            <w:vAlign w:val="bottom"/>
            <w:shd w:val="clear" w:color="auto" w:fill="CEFFE7"/>
          </w:tcPr>
          <w:p>
            <w:pPr>
              <w:spacing w:after="0"/>
              <w:rPr>
                <w:sz w:val="20"/>
                <w:szCs w:val="20"/>
                <w:color w:val="auto"/>
              </w:rPr>
            </w:pPr>
          </w:p>
        </w:tc>
        <w:tc>
          <w:tcPr>
            <w:tcW w:w="2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88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0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300" w:type="dxa"/>
            <w:vAlign w:val="bottom"/>
            <w:shd w:val="clear" w:color="auto" w:fill="CEFFE7"/>
          </w:tcPr>
          <w:p>
            <w:pPr>
              <w:spacing w:after="0"/>
              <w:rPr>
                <w:sz w:val="20"/>
                <w:szCs w:val="20"/>
                <w:color w:val="auto"/>
              </w:rPr>
            </w:pPr>
          </w:p>
        </w:tc>
        <w:tc>
          <w:tcPr>
            <w:tcW w:w="960" w:type="dxa"/>
            <w:vAlign w:val="bottom"/>
            <w:shd w:val="clear" w:color="auto" w:fill="CEFFE7"/>
          </w:tcPr>
          <w:p>
            <w:pPr>
              <w:spacing w:after="0"/>
              <w:rPr>
                <w:sz w:val="20"/>
                <w:szCs w:val="20"/>
                <w:color w:val="auto"/>
              </w:rPr>
            </w:pPr>
          </w:p>
        </w:tc>
      </w:tr>
      <w:tr>
        <w:trPr>
          <w:trHeight w:val="176"/>
        </w:trPr>
        <w:tc>
          <w:tcPr>
            <w:tcW w:w="40" w:type="dxa"/>
            <w:vAlign w:val="bottom"/>
          </w:tcPr>
          <w:p>
            <w:pPr>
              <w:spacing w:after="0"/>
              <w:rPr>
                <w:sz w:val="15"/>
                <w:szCs w:val="15"/>
                <w:color w:val="auto"/>
              </w:rPr>
            </w:pPr>
          </w:p>
        </w:tc>
        <w:tc>
          <w:tcPr>
            <w:tcW w:w="3740" w:type="dxa"/>
            <w:vAlign w:val="bottom"/>
            <w:gridSpan w:val="4"/>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374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340" w:type="dxa"/>
            <w:vAlign w:val="bottom"/>
            <w:shd w:val="clear" w:color="auto" w:fill="CEFFE7"/>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58,567</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(31,478)</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27,089</w:t>
            </w:r>
          </w:p>
        </w:tc>
      </w:tr>
      <w:tr>
        <w:trPr>
          <w:trHeight w:val="213"/>
        </w:trPr>
        <w:tc>
          <w:tcPr>
            <w:tcW w:w="40" w:type="dxa"/>
            <w:vAlign w:val="bottom"/>
          </w:tcPr>
          <w:p>
            <w:pPr>
              <w:spacing w:after="0"/>
              <w:rPr>
                <w:sz w:val="18"/>
                <w:szCs w:val="18"/>
                <w:color w:val="auto"/>
              </w:rPr>
            </w:pPr>
          </w:p>
        </w:tc>
        <w:tc>
          <w:tcPr>
            <w:tcW w:w="3740" w:type="dxa"/>
            <w:vAlign w:val="bottom"/>
            <w:tcBorders>
              <w:bottom w:val="single" w:sz="8" w:color="CEFFE7"/>
            </w:tcBorders>
            <w:gridSpan w:val="4"/>
          </w:tcPr>
          <w:p>
            <w:pPr>
              <w:ind w:left="120"/>
              <w:spacing w:after="0"/>
              <w:rPr>
                <w:sz w:val="20"/>
                <w:szCs w:val="20"/>
                <w:color w:val="auto"/>
              </w:rPr>
            </w:pPr>
            <w:r>
              <w:rPr>
                <w:rFonts w:ascii="Arial" w:cs="Arial" w:eastAsia="Arial" w:hAnsi="Arial"/>
                <w:sz w:val="16"/>
                <w:szCs w:val="16"/>
                <w:color w:val="auto"/>
              </w:rPr>
              <w:t>Services transferred over time</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711,843</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964,421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103,258</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(125,807)</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1,653,715</w:t>
            </w:r>
          </w:p>
        </w:tc>
      </w:tr>
      <w:tr>
        <w:trPr>
          <w:trHeight w:val="238"/>
        </w:trPr>
        <w:tc>
          <w:tcPr>
            <w:tcW w:w="40" w:type="dxa"/>
            <w:vAlign w:val="bottom"/>
            <w:tcBorders>
              <w:right w:val="single" w:sz="8" w:color="CEFFE7"/>
            </w:tcBorders>
          </w:tcPr>
          <w:p>
            <w:pPr>
              <w:spacing w:after="0"/>
              <w:rPr>
                <w:sz w:val="20"/>
                <w:szCs w:val="20"/>
                <w:color w:val="auto"/>
              </w:rPr>
            </w:pPr>
          </w:p>
        </w:tc>
        <w:tc>
          <w:tcPr>
            <w:tcW w:w="3740" w:type="dxa"/>
            <w:vAlign w:val="bottom"/>
            <w:tcBorders>
              <w:bottom w:val="single" w:sz="8" w:color="CEFFE7"/>
            </w:tcBorders>
            <w:gridSpan w:val="4"/>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340" w:type="dxa"/>
            <w:vAlign w:val="bottom"/>
            <w:tcBorders>
              <w:bottom w:val="single" w:sz="8" w:color="auto"/>
            </w:tcBorders>
            <w:shd w:val="clear" w:color="auto" w:fill="CEFFE7"/>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711,843</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964,421</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103,258</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58,567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(157,285)</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1,680,804</w:t>
            </w:r>
          </w:p>
        </w:tc>
      </w:tr>
      <w:tr>
        <w:trPr>
          <w:trHeight w:val="20"/>
        </w:trPr>
        <w:tc>
          <w:tcPr>
            <w:tcW w:w="40" w:type="dxa"/>
            <w:vAlign w:val="bottom"/>
          </w:tcPr>
          <w:p>
            <w:pPr>
              <w:spacing w:after="0" w:line="20" w:lineRule="exact"/>
              <w:rPr>
                <w:sz w:val="1"/>
                <w:szCs w:val="1"/>
                <w:color w:val="auto"/>
              </w:rPr>
            </w:pPr>
          </w:p>
        </w:tc>
        <w:tc>
          <w:tcPr>
            <w:tcW w:w="118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tcBorders>
          </w:tcPr>
          <w:p>
            <w:pPr>
              <w:spacing w:after="0" w:line="20" w:lineRule="exact"/>
              <w:rPr>
                <w:sz w:val="1"/>
                <w:szCs w:val="1"/>
                <w:color w:val="auto"/>
              </w:rPr>
            </w:pPr>
          </w:p>
        </w:tc>
        <w:tc>
          <w:tcPr>
            <w:tcW w:w="154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r>
      <w:tr>
        <w:trPr>
          <w:trHeight w:val="259"/>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Power</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center"/>
              <w:ind w:right="19"/>
              <w:spacing w:after="0"/>
              <w:rPr>
                <w:sz w:val="20"/>
                <w:szCs w:val="20"/>
                <w:color w:val="auto"/>
              </w:rPr>
            </w:pPr>
            <w:r>
              <w:rPr>
                <w:rFonts w:ascii="Arial" w:cs="Arial" w:eastAsia="Arial" w:hAnsi="Arial"/>
                <w:sz w:val="16"/>
                <w:szCs w:val="16"/>
                <w:color w:val="auto"/>
              </w:rPr>
              <w:t>Inter-company</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98"/>
        </w:trPr>
        <w:tc>
          <w:tcPr>
            <w:tcW w:w="40" w:type="dxa"/>
            <w:vAlign w:val="bottom"/>
          </w:tcPr>
          <w:p>
            <w:pPr>
              <w:spacing w:after="0"/>
              <w:rPr>
                <w:sz w:val="17"/>
                <w:szCs w:val="17"/>
                <w:color w:val="auto"/>
              </w:rPr>
            </w:pPr>
          </w:p>
        </w:tc>
        <w:tc>
          <w:tcPr>
            <w:tcW w:w="374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Year ended December 31, 2019</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Gas Utilities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Generation</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Mining</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Revenues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Total</w:t>
            </w:r>
          </w:p>
        </w:tc>
      </w:tr>
      <w:tr>
        <w:trPr>
          <w:trHeight w:val="172"/>
        </w:trPr>
        <w:tc>
          <w:tcPr>
            <w:tcW w:w="40" w:type="dxa"/>
            <w:vAlign w:val="bottom"/>
          </w:tcPr>
          <w:p>
            <w:pPr>
              <w:spacing w:after="0"/>
              <w:rPr>
                <w:sz w:val="14"/>
                <w:szCs w:val="14"/>
                <w:color w:val="auto"/>
              </w:rPr>
            </w:pPr>
          </w:p>
        </w:tc>
        <w:tc>
          <w:tcPr>
            <w:tcW w:w="3740" w:type="dxa"/>
            <w:vAlign w:val="bottom"/>
            <w:gridSpan w:val="4"/>
          </w:tcPr>
          <w:p>
            <w:pPr>
              <w:spacing w:after="0" w:line="172" w:lineRule="exact"/>
              <w:rPr>
                <w:sz w:val="20"/>
                <w:szCs w:val="20"/>
                <w:color w:val="auto"/>
              </w:rPr>
            </w:pPr>
            <w:r>
              <w:rPr>
                <w:rFonts w:ascii="Arial" w:cs="Arial" w:eastAsia="Arial" w:hAnsi="Arial"/>
                <w:sz w:val="16"/>
                <w:szCs w:val="16"/>
                <w:color w:val="auto"/>
              </w:rPr>
              <w:t>Customer types: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3"/>
          </w:tcPr>
          <w:p>
            <w:pPr>
              <w:jc w:val="right"/>
              <w:ind w:right="599"/>
              <w:spacing w:after="0" w:line="172" w:lineRule="exact"/>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374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340" w:type="dxa"/>
            <w:vAlign w:val="bottom"/>
            <w:shd w:val="clear" w:color="auto" w:fill="CEFFE7"/>
          </w:tcPr>
          <w:p>
            <w:pPr>
              <w:jc w:val="right"/>
              <w:ind w:right="1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605,756</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817,840</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 $</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59,233</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(32,053)</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1,450,776</w:t>
            </w:r>
          </w:p>
        </w:tc>
      </w:tr>
      <w:tr>
        <w:trPr>
          <w:trHeight w:val="213"/>
        </w:trPr>
        <w:tc>
          <w:tcPr>
            <w:tcW w:w="40" w:type="dxa"/>
            <w:vAlign w:val="bottom"/>
          </w:tcPr>
          <w:p>
            <w:pPr>
              <w:spacing w:after="0"/>
              <w:rPr>
                <w:sz w:val="18"/>
                <w:szCs w:val="18"/>
                <w:color w:val="auto"/>
              </w:rPr>
            </w:pPr>
          </w:p>
        </w:tc>
        <w:tc>
          <w:tcPr>
            <w:tcW w:w="3740" w:type="dxa"/>
            <w:vAlign w:val="bottom"/>
            <w:gridSpan w:val="4"/>
          </w:tcPr>
          <w:p>
            <w:pPr>
              <w:ind w:left="120"/>
              <w:spacing w:after="0"/>
              <w:rPr>
                <w:sz w:val="20"/>
                <w:szCs w:val="20"/>
                <w:color w:val="auto"/>
              </w:rPr>
            </w:pPr>
            <w:r>
              <w:rPr>
                <w:rFonts w:ascii="Arial" w:cs="Arial" w:eastAsia="Arial" w:hAnsi="Arial"/>
                <w:sz w:val="16"/>
                <w:szCs w:val="16"/>
                <w:color w:val="auto"/>
              </w:rPr>
              <w:t>Transportation</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143,390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142,348</w:t>
            </w:r>
          </w:p>
        </w:tc>
      </w:tr>
      <w:tr>
        <w:trPr>
          <w:trHeight w:val="219"/>
        </w:trPr>
        <w:tc>
          <w:tcPr>
            <w:tcW w:w="40" w:type="dxa"/>
            <w:vAlign w:val="bottom"/>
            <w:tcBorders>
              <w:right w:val="single" w:sz="8" w:color="CEFFE7"/>
            </w:tcBorders>
          </w:tcPr>
          <w:p>
            <w:pPr>
              <w:spacing w:after="0"/>
              <w:rPr>
                <w:sz w:val="19"/>
                <w:szCs w:val="19"/>
                <w:color w:val="auto"/>
              </w:rPr>
            </w:pPr>
          </w:p>
        </w:tc>
        <w:tc>
          <w:tcPr>
            <w:tcW w:w="3740" w:type="dxa"/>
            <w:vAlign w:val="bottom"/>
            <w:gridSpan w:val="4"/>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3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20,884</w:t>
            </w:r>
          </w:p>
        </w:tc>
        <w:tc>
          <w:tcPr>
            <w:tcW w:w="16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99,157</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(91,577)</w:t>
            </w:r>
          </w:p>
        </w:tc>
        <w:tc>
          <w:tcPr>
            <w:tcW w:w="30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28,464</w:t>
            </w:r>
          </w:p>
        </w:tc>
      </w:tr>
      <w:tr>
        <w:trPr>
          <w:trHeight w:val="213"/>
        </w:trPr>
        <w:tc>
          <w:tcPr>
            <w:tcW w:w="40" w:type="dxa"/>
            <w:vAlign w:val="bottom"/>
          </w:tcPr>
          <w:p>
            <w:pPr>
              <w:spacing w:after="0"/>
              <w:rPr>
                <w:sz w:val="18"/>
                <w:szCs w:val="18"/>
                <w:color w:val="auto"/>
              </w:rPr>
            </w:pPr>
          </w:p>
        </w:tc>
        <w:tc>
          <w:tcPr>
            <w:tcW w:w="3740" w:type="dxa"/>
            <w:vAlign w:val="bottom"/>
            <w:gridSpan w:val="4"/>
          </w:tcPr>
          <w:p>
            <w:pPr>
              <w:ind w:left="120"/>
              <w:spacing w:after="0"/>
              <w:rPr>
                <w:sz w:val="20"/>
                <w:szCs w:val="20"/>
                <w:color w:val="auto"/>
              </w:rPr>
            </w:pPr>
            <w:r>
              <w:rPr>
                <w:rFonts w:ascii="Arial" w:cs="Arial" w:eastAsia="Arial" w:hAnsi="Arial"/>
                <w:sz w:val="16"/>
                <w:szCs w:val="16"/>
                <w:color w:val="auto"/>
              </w:rPr>
              <w:t>Market - off-system sales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(7,736)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16,772</w:t>
            </w:r>
          </w:p>
        </w:tc>
      </w:tr>
      <w:tr>
        <w:trPr>
          <w:trHeight w:val="216"/>
        </w:trPr>
        <w:tc>
          <w:tcPr>
            <w:tcW w:w="40" w:type="dxa"/>
            <w:vAlign w:val="bottom"/>
            <w:tcBorders>
              <w:right w:val="single" w:sz="8" w:color="CEFFE7"/>
            </w:tcBorders>
          </w:tcPr>
          <w:p>
            <w:pPr>
              <w:spacing w:after="0"/>
              <w:rPr>
                <w:sz w:val="18"/>
                <w:szCs w:val="18"/>
                <w:color w:val="auto"/>
              </w:rPr>
            </w:pPr>
          </w:p>
        </w:tc>
        <w:tc>
          <w:tcPr>
            <w:tcW w:w="37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0" w:type="dxa"/>
            <w:vAlign w:val="bottom"/>
            <w:tcBorders>
              <w:bottom w:val="single" w:sz="8" w:color="auto"/>
            </w:tcBorders>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57,104</w:t>
            </w:r>
          </w:p>
        </w:tc>
        <w:tc>
          <w:tcPr>
            <w:tcW w:w="160" w:type="dxa"/>
            <w:vAlign w:val="bottom"/>
            <w:tcBorders>
              <w:bottom w:val="single" w:sz="8" w:color="auto"/>
            </w:tcBorders>
            <w:shd w:val="clear" w:color="auto" w:fill="CEFFE7"/>
          </w:tcPr>
          <w:p>
            <w:pPr>
              <w:spacing w:after="0"/>
              <w:rPr>
                <w:sz w:val="18"/>
                <w:szCs w:val="18"/>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47,725</w:t>
            </w:r>
          </w:p>
        </w:tc>
        <w:tc>
          <w:tcPr>
            <w:tcW w:w="22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(16,797)</w:t>
            </w:r>
          </w:p>
        </w:tc>
        <w:tc>
          <w:tcPr>
            <w:tcW w:w="3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88,032</w:t>
            </w:r>
          </w:p>
        </w:tc>
      </w:tr>
      <w:tr>
        <w:trPr>
          <w:trHeight w:val="210"/>
        </w:trPr>
        <w:tc>
          <w:tcPr>
            <w:tcW w:w="40" w:type="dxa"/>
            <w:vAlign w:val="bottom"/>
          </w:tcPr>
          <w:p>
            <w:pPr>
              <w:spacing w:after="0"/>
              <w:rPr>
                <w:sz w:val="18"/>
                <w:szCs w:val="18"/>
                <w:color w:val="auto"/>
              </w:rPr>
            </w:pPr>
          </w:p>
        </w:tc>
        <w:tc>
          <w:tcPr>
            <w:tcW w:w="3740" w:type="dxa"/>
            <w:vAlign w:val="bottom"/>
            <w:gridSpan w:val="4"/>
          </w:tcPr>
          <w:p>
            <w:pPr>
              <w:ind w:left="120"/>
              <w:spacing w:after="0"/>
              <w:rPr>
                <w:sz w:val="20"/>
                <w:szCs w:val="20"/>
                <w:color w:val="auto"/>
              </w:rPr>
            </w:pPr>
            <w:r>
              <w:rPr>
                <w:rFonts w:ascii="Arial" w:cs="Arial" w:eastAsia="Arial" w:hAnsi="Arial"/>
                <w:sz w:val="16"/>
                <w:szCs w:val="16"/>
                <w:color w:val="auto"/>
              </w:rPr>
              <w:t>Revenue from contracts with customers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707,561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1,009,646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99,157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59,233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(149,205)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1,726,392</w:t>
            </w:r>
          </w:p>
        </w:tc>
      </w:tr>
      <w:tr>
        <w:trPr>
          <w:trHeight w:val="216"/>
        </w:trPr>
        <w:tc>
          <w:tcPr>
            <w:tcW w:w="40" w:type="dxa"/>
            <w:vAlign w:val="bottom"/>
            <w:tcBorders>
              <w:right w:val="single" w:sz="8" w:color="CEFFE7"/>
            </w:tcBorders>
          </w:tcPr>
          <w:p>
            <w:pPr>
              <w:spacing w:after="0"/>
              <w:rPr>
                <w:sz w:val="18"/>
                <w:szCs w:val="18"/>
                <w:color w:val="auto"/>
              </w:rPr>
            </w:pPr>
          </w:p>
        </w:tc>
        <w:tc>
          <w:tcPr>
            <w:tcW w:w="37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0" w:type="dxa"/>
            <w:vAlign w:val="bottom"/>
            <w:tcBorders>
              <w:bottom w:val="single" w:sz="8" w:color="auto"/>
            </w:tcBorders>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5,191</w:t>
            </w:r>
          </w:p>
        </w:tc>
        <w:tc>
          <w:tcPr>
            <w:tcW w:w="160" w:type="dxa"/>
            <w:vAlign w:val="bottom"/>
            <w:tcBorders>
              <w:bottom w:val="single" w:sz="8" w:color="auto"/>
            </w:tcBorders>
            <w:shd w:val="clear" w:color="auto" w:fill="CEFFE7"/>
          </w:tcPr>
          <w:p>
            <w:pPr>
              <w:spacing w:after="0"/>
              <w:rPr>
                <w:sz w:val="18"/>
                <w:szCs w:val="18"/>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384</w:t>
            </w:r>
          </w:p>
        </w:tc>
        <w:tc>
          <w:tcPr>
            <w:tcW w:w="22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2,101</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2,396</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(1,564)</w:t>
            </w:r>
          </w:p>
        </w:tc>
        <w:tc>
          <w:tcPr>
            <w:tcW w:w="3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8,508</w:t>
            </w:r>
          </w:p>
        </w:tc>
      </w:tr>
      <w:tr>
        <w:trPr>
          <w:trHeight w:val="213"/>
        </w:trPr>
        <w:tc>
          <w:tcPr>
            <w:tcW w:w="40" w:type="dxa"/>
            <w:vAlign w:val="bottom"/>
          </w:tcPr>
          <w:p>
            <w:pPr>
              <w:spacing w:after="0"/>
              <w:rPr>
                <w:sz w:val="18"/>
                <w:szCs w:val="18"/>
                <w:color w:val="auto"/>
              </w:rPr>
            </w:pPr>
          </w:p>
        </w:tc>
        <w:tc>
          <w:tcPr>
            <w:tcW w:w="3740" w:type="dxa"/>
            <w:vAlign w:val="bottom"/>
            <w:gridSpan w:val="4"/>
          </w:tcPr>
          <w:p>
            <w:pPr>
              <w:spacing w:after="0"/>
              <w:rPr>
                <w:sz w:val="20"/>
                <w:szCs w:val="20"/>
                <w:color w:val="auto"/>
              </w:rPr>
            </w:pPr>
            <w:r>
              <w:rPr>
                <w:rFonts w:ascii="Arial" w:cs="Arial" w:eastAsia="Arial" w:hAnsi="Arial"/>
                <w:sz w:val="16"/>
                <w:szCs w:val="16"/>
                <w:color w:val="auto"/>
              </w:rPr>
              <w:t>Total revenues</w:t>
            </w: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712,752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1,010,030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101,258</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61,629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(150,769)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1,734,900</w:t>
            </w:r>
          </w:p>
        </w:tc>
      </w:tr>
      <w:tr>
        <w:trPr>
          <w:trHeight w:val="20"/>
        </w:trPr>
        <w:tc>
          <w:tcPr>
            <w:tcW w:w="40" w:type="dxa"/>
            <w:vAlign w:val="bottom"/>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000" w:type="dxa"/>
            <w:vAlign w:val="bottom"/>
            <w:tcBorders>
              <w:bottom w:val="single" w:sz="8" w:color="CEFFE7"/>
            </w:tcBorders>
          </w:tcPr>
          <w:p>
            <w:pPr>
              <w:spacing w:after="0" w:line="20" w:lineRule="exact"/>
              <w:rPr>
                <w:sz w:val="1"/>
                <w:szCs w:val="1"/>
                <w:color w:val="auto"/>
              </w:rPr>
            </w:pPr>
          </w:p>
        </w:tc>
        <w:tc>
          <w:tcPr>
            <w:tcW w:w="1540" w:type="dxa"/>
            <w:vAlign w:val="bottom"/>
            <w:tcBorders>
              <w:bottom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0" w:type="dxa"/>
            <w:vAlign w:val="bottom"/>
            <w:tcBorders>
              <w:right w:val="single" w:sz="8" w:color="CEFFE7"/>
            </w:tcBorders>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1000" w:type="dxa"/>
            <w:vAlign w:val="bottom"/>
            <w:shd w:val="clear" w:color="auto" w:fill="CEFFE7"/>
          </w:tcPr>
          <w:p>
            <w:pPr>
              <w:spacing w:after="0"/>
              <w:rPr>
                <w:sz w:val="20"/>
                <w:szCs w:val="20"/>
                <w:color w:val="auto"/>
              </w:rPr>
            </w:pPr>
          </w:p>
        </w:tc>
        <w:tc>
          <w:tcPr>
            <w:tcW w:w="1540" w:type="dxa"/>
            <w:vAlign w:val="bottom"/>
            <w:shd w:val="clear" w:color="auto" w:fill="CEFFE7"/>
          </w:tcPr>
          <w:p>
            <w:pPr>
              <w:spacing w:after="0"/>
              <w:rPr>
                <w:sz w:val="20"/>
                <w:szCs w:val="20"/>
                <w:color w:val="auto"/>
              </w:rPr>
            </w:pPr>
          </w:p>
        </w:tc>
        <w:tc>
          <w:tcPr>
            <w:tcW w:w="2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88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0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300" w:type="dxa"/>
            <w:vAlign w:val="bottom"/>
            <w:shd w:val="clear" w:color="auto" w:fill="CEFFE7"/>
          </w:tcPr>
          <w:p>
            <w:pPr>
              <w:spacing w:after="0"/>
              <w:rPr>
                <w:sz w:val="20"/>
                <w:szCs w:val="20"/>
                <w:color w:val="auto"/>
              </w:rPr>
            </w:pPr>
          </w:p>
        </w:tc>
        <w:tc>
          <w:tcPr>
            <w:tcW w:w="960" w:type="dxa"/>
            <w:vAlign w:val="bottom"/>
            <w:shd w:val="clear" w:color="auto" w:fill="CEFFE7"/>
          </w:tcPr>
          <w:p>
            <w:pPr>
              <w:spacing w:after="0"/>
              <w:rPr>
                <w:sz w:val="20"/>
                <w:szCs w:val="20"/>
                <w:color w:val="auto"/>
              </w:rPr>
            </w:pPr>
          </w:p>
        </w:tc>
      </w:tr>
    </w:tbl>
    <w:p>
      <w:pPr>
        <w:spacing w:after="0" w:line="15"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1420" w:type="dxa"/>
            <w:vAlign w:val="bottom"/>
            <w:gridSpan w:val="2"/>
          </w:tcPr>
          <w:p>
            <w:pPr>
              <w:jc w:val="right"/>
              <w:ind w:right="279"/>
              <w:spacing w:after="0"/>
              <w:rPr>
                <w:sz w:val="20"/>
                <w:szCs w:val="20"/>
                <w:color w:val="auto"/>
              </w:rPr>
            </w:pPr>
            <w:r>
              <w:rPr>
                <w:rFonts w:ascii="Arial" w:cs="Arial" w:eastAsia="Arial" w:hAnsi="Arial"/>
                <w:sz w:val="16"/>
                <w:szCs w:val="16"/>
                <w:color w:val="auto"/>
              </w:rPr>
              <w:t>— $</w:t>
            </w: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59,233</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(32,053)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27,180</w:t>
            </w:r>
          </w:p>
        </w:tc>
      </w:tr>
      <w:tr>
        <w:trPr>
          <w:trHeight w:val="219"/>
        </w:trPr>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707,561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1,009,646</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99,157</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(117,152)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1,699,212</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707,561</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1,009,646</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99,157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59,233</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(149,205)</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1,726,392</w:t>
            </w:r>
          </w:p>
        </w:tc>
      </w:tr>
      <w:tr>
        <w:trPr>
          <w:trHeight w:val="23"/>
        </w:trPr>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-453390</wp:posOffset>
            </wp:positionV>
            <wp:extent cx="711517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-179705</wp:posOffset>
            </wp:positionV>
            <wp:extent cx="7115175"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15"/>
        </w:trPr>
        <w:tc>
          <w:tcPr>
            <w:tcW w:w="3760" w:type="dxa"/>
            <w:vAlign w:val="bottom"/>
            <w:gridSpan w:val="4"/>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77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Power</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w w:val="99"/>
              </w:rPr>
              <w:t>Inter-company</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Year ended December 31, 2018</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Electric Utilities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Gas Utilities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Generation</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Mining</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Total</w:t>
            </w:r>
          </w:p>
        </w:tc>
      </w:tr>
      <w:tr>
        <w:trPr>
          <w:trHeight w:val="172"/>
        </w:trPr>
        <w:tc>
          <w:tcPr>
            <w:tcW w:w="20" w:type="dxa"/>
            <w:vAlign w:val="bottom"/>
          </w:tcPr>
          <w:p>
            <w:pPr>
              <w:spacing w:after="0"/>
              <w:rPr>
                <w:sz w:val="14"/>
                <w:szCs w:val="14"/>
                <w:color w:val="auto"/>
              </w:rPr>
            </w:pPr>
          </w:p>
        </w:tc>
        <w:tc>
          <w:tcPr>
            <w:tcW w:w="3740" w:type="dxa"/>
            <w:vAlign w:val="bottom"/>
            <w:gridSpan w:val="3"/>
          </w:tcPr>
          <w:p>
            <w:pPr>
              <w:spacing w:after="0" w:line="172" w:lineRule="exact"/>
              <w:rPr>
                <w:sz w:val="20"/>
                <w:szCs w:val="20"/>
                <w:color w:val="auto"/>
              </w:rPr>
            </w:pPr>
            <w:r>
              <w:rPr>
                <w:rFonts w:ascii="Arial" w:cs="Arial" w:eastAsia="Arial" w:hAnsi="Arial"/>
                <w:sz w:val="16"/>
                <w:szCs w:val="16"/>
                <w:color w:val="auto"/>
              </w:rPr>
              <w:t>Customer types: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3"/>
          </w:tcPr>
          <w:p>
            <w:pPr>
              <w:jc w:val="right"/>
              <w:ind w:right="579"/>
              <w:spacing w:after="0" w:line="172" w:lineRule="exact"/>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37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594,329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833,379</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 $</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65,803</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(32,194)</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1,461,317</w:t>
            </w:r>
          </w:p>
        </w:tc>
      </w:tr>
      <w:tr>
        <w:trPr>
          <w:trHeight w:val="213"/>
        </w:trPr>
        <w:tc>
          <w:tcPr>
            <w:tcW w:w="2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140,705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139,357</w:t>
            </w:r>
          </w:p>
        </w:tc>
      </w:tr>
      <w:tr>
        <w:trPr>
          <w:trHeight w:val="219"/>
        </w:trPr>
        <w:tc>
          <w:tcPr>
            <w:tcW w:w="20" w:type="dxa"/>
            <w:vAlign w:val="bottom"/>
            <w:shd w:val="clear" w:color="auto" w:fill="CEFFE7"/>
          </w:tcPr>
          <w:p>
            <w:pPr>
              <w:spacing w:after="0"/>
              <w:rPr>
                <w:sz w:val="19"/>
                <w:szCs w:val="19"/>
                <w:color w:val="auto"/>
              </w:rPr>
            </w:pPr>
          </w:p>
        </w:tc>
        <w:tc>
          <w:tcPr>
            <w:tcW w:w="37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3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33,687</w:t>
            </w:r>
          </w:p>
        </w:tc>
        <w:tc>
          <w:tcPr>
            <w:tcW w:w="18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90,791</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(84,957)</w:t>
            </w:r>
          </w:p>
        </w:tc>
        <w:tc>
          <w:tcPr>
            <w:tcW w:w="3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39,521</w:t>
            </w:r>
          </w:p>
        </w:tc>
      </w:tr>
      <w:tr>
        <w:trPr>
          <w:trHeight w:val="213"/>
        </w:trPr>
        <w:tc>
          <w:tcPr>
            <w:tcW w:w="2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24,799</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(8,102)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17,563</w:t>
            </w:r>
          </w:p>
        </w:tc>
      </w:tr>
      <w:tr>
        <w:trPr>
          <w:trHeight w:val="216"/>
        </w:trPr>
        <w:tc>
          <w:tcPr>
            <w:tcW w:w="20" w:type="dxa"/>
            <w:vAlign w:val="bottom"/>
            <w:shd w:val="clear" w:color="auto" w:fill="CEFFE7"/>
          </w:tcPr>
          <w:p>
            <w:pPr>
              <w:spacing w:after="0"/>
              <w:rPr>
                <w:sz w:val="18"/>
                <w:szCs w:val="18"/>
                <w:color w:val="auto"/>
              </w:rPr>
            </w:pPr>
          </w:p>
        </w:tc>
        <w:tc>
          <w:tcPr>
            <w:tcW w:w="37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3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56,209</w:t>
            </w:r>
          </w:p>
        </w:tc>
        <w:tc>
          <w:tcPr>
            <w:tcW w:w="180" w:type="dxa"/>
            <w:vAlign w:val="bottom"/>
            <w:tcBorders>
              <w:bottom w:val="single" w:sz="8" w:color="auto"/>
            </w:tcBorders>
            <w:shd w:val="clear" w:color="auto" w:fill="CEFFE7"/>
          </w:tcPr>
          <w:p>
            <w:pPr>
              <w:spacing w:after="0"/>
              <w:rPr>
                <w:sz w:val="18"/>
                <w:szCs w:val="18"/>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49,402</w:t>
            </w:r>
          </w:p>
        </w:tc>
        <w:tc>
          <w:tcPr>
            <w:tcW w:w="22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(14,827)</w:t>
            </w:r>
          </w:p>
        </w:tc>
        <w:tc>
          <w:tcPr>
            <w:tcW w:w="30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90,784</w:t>
            </w:r>
          </w:p>
        </w:tc>
      </w:tr>
      <w:tr>
        <w:trPr>
          <w:trHeight w:val="210"/>
        </w:trPr>
        <w:tc>
          <w:tcPr>
            <w:tcW w:w="2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709,024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1,024,352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90,791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65,803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(141,428)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1,748,542</w:t>
            </w:r>
          </w:p>
        </w:tc>
      </w:tr>
      <w:tr>
        <w:trPr>
          <w:trHeight w:val="216"/>
        </w:trPr>
        <w:tc>
          <w:tcPr>
            <w:tcW w:w="20" w:type="dxa"/>
            <w:vAlign w:val="bottom"/>
            <w:shd w:val="clear" w:color="auto" w:fill="CEFFE7"/>
          </w:tcPr>
          <w:p>
            <w:pPr>
              <w:spacing w:after="0"/>
              <w:rPr>
                <w:sz w:val="18"/>
                <w:szCs w:val="18"/>
                <w:color w:val="auto"/>
              </w:rPr>
            </w:pPr>
          </w:p>
        </w:tc>
        <w:tc>
          <w:tcPr>
            <w:tcW w:w="37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2,427</w:t>
            </w:r>
          </w:p>
        </w:tc>
        <w:tc>
          <w:tcPr>
            <w:tcW w:w="180" w:type="dxa"/>
            <w:vAlign w:val="bottom"/>
            <w:tcBorders>
              <w:bottom w:val="single" w:sz="8" w:color="auto"/>
            </w:tcBorders>
            <w:shd w:val="clear" w:color="auto" w:fill="CEFFE7"/>
          </w:tcPr>
          <w:p>
            <w:pPr>
              <w:spacing w:after="0"/>
              <w:rPr>
                <w:sz w:val="18"/>
                <w:szCs w:val="18"/>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955</w:t>
            </w:r>
          </w:p>
        </w:tc>
        <w:tc>
          <w:tcPr>
            <w:tcW w:w="22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1,660</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2,230</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(1,546)</w:t>
            </w:r>
          </w:p>
        </w:tc>
        <w:tc>
          <w:tcPr>
            <w:tcW w:w="30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5,726</w:t>
            </w:r>
          </w:p>
        </w:tc>
      </w:tr>
      <w:tr>
        <w:trPr>
          <w:trHeight w:val="213"/>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711,451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1,025,307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92,451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(142,974)</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1,754,268</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000" w:type="dxa"/>
            <w:vAlign w:val="bottom"/>
            <w:tcBorders>
              <w:bottom w:val="single" w:sz="8" w:color="CEFFE7"/>
            </w:tcBorders>
          </w:tcPr>
          <w:p>
            <w:pPr>
              <w:spacing w:after="0" w:line="20" w:lineRule="exact"/>
              <w:rPr>
                <w:sz w:val="1"/>
                <w:szCs w:val="1"/>
                <w:color w:val="auto"/>
              </w:rPr>
            </w:pPr>
          </w:p>
        </w:tc>
        <w:tc>
          <w:tcPr>
            <w:tcW w:w="1560" w:type="dxa"/>
            <w:vAlign w:val="bottom"/>
            <w:tcBorders>
              <w:bottom w:val="single" w:sz="8" w:color="CEFFE7"/>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EFFE7"/>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1000" w:type="dxa"/>
            <w:vAlign w:val="bottom"/>
            <w:shd w:val="clear" w:color="auto" w:fill="CEFFE7"/>
          </w:tcPr>
          <w:p>
            <w:pPr>
              <w:spacing w:after="0"/>
              <w:rPr>
                <w:sz w:val="20"/>
                <w:szCs w:val="20"/>
                <w:color w:val="auto"/>
              </w:rPr>
            </w:pPr>
          </w:p>
        </w:tc>
        <w:tc>
          <w:tcPr>
            <w:tcW w:w="156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88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10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300" w:type="dxa"/>
            <w:vAlign w:val="bottom"/>
            <w:shd w:val="clear" w:color="auto" w:fill="CEFFE7"/>
          </w:tcPr>
          <w:p>
            <w:pPr>
              <w:spacing w:after="0"/>
              <w:rPr>
                <w:sz w:val="20"/>
                <w:szCs w:val="20"/>
                <w:color w:val="auto"/>
              </w:rPr>
            </w:pPr>
          </w:p>
        </w:tc>
        <w:tc>
          <w:tcPr>
            <w:tcW w:w="980" w:type="dxa"/>
            <w:vAlign w:val="bottom"/>
            <w:shd w:val="clear" w:color="auto" w:fill="CEFFE7"/>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3740" w:type="dxa"/>
            <w:vAlign w:val="bottom"/>
            <w:gridSpan w:val="3"/>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37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65,803</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(32,194)</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33,609</w:t>
            </w:r>
          </w:p>
        </w:tc>
      </w:tr>
      <w:tr>
        <w:trPr>
          <w:trHeight w:val="213"/>
        </w:trPr>
        <w:tc>
          <w:tcPr>
            <w:tcW w:w="20" w:type="dxa"/>
            <w:vAlign w:val="bottom"/>
            <w:tcBorders>
              <w:bottom w:val="single" w:sz="8" w:color="CEFFE7"/>
            </w:tcBorders>
          </w:tcPr>
          <w:p>
            <w:pPr>
              <w:spacing w:after="0"/>
              <w:rPr>
                <w:sz w:val="18"/>
                <w:szCs w:val="18"/>
                <w:color w:val="auto"/>
              </w:rPr>
            </w:pPr>
          </w:p>
        </w:tc>
        <w:tc>
          <w:tcPr>
            <w:tcW w:w="3740" w:type="dxa"/>
            <w:vAlign w:val="bottom"/>
            <w:tcBorders>
              <w:bottom w:val="single" w:sz="8" w:color="CEFFE7"/>
            </w:tcBorders>
            <w:gridSpan w:val="3"/>
          </w:tcPr>
          <w:p>
            <w:pPr>
              <w:ind w:left="120"/>
              <w:spacing w:after="0"/>
              <w:rPr>
                <w:sz w:val="20"/>
                <w:szCs w:val="20"/>
                <w:color w:val="auto"/>
              </w:rPr>
            </w:pPr>
            <w:r>
              <w:rPr>
                <w:rFonts w:ascii="Arial" w:cs="Arial" w:eastAsia="Arial" w:hAnsi="Arial"/>
                <w:sz w:val="16"/>
                <w:szCs w:val="16"/>
                <w:color w:val="auto"/>
              </w:rPr>
              <w:t>Services transferred over time</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709,024</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1,024,352</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(109,234)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1,714,933</w:t>
            </w:r>
          </w:p>
        </w:tc>
      </w:tr>
      <w:tr>
        <w:trPr>
          <w:trHeight w:val="213"/>
        </w:trPr>
        <w:tc>
          <w:tcPr>
            <w:tcW w:w="20" w:type="dxa"/>
            <w:vAlign w:val="bottom"/>
            <w:shd w:val="clear" w:color="auto" w:fill="CEFFE7"/>
          </w:tcPr>
          <w:p>
            <w:pPr>
              <w:spacing w:after="0"/>
              <w:rPr>
                <w:sz w:val="18"/>
                <w:szCs w:val="18"/>
                <w:color w:val="auto"/>
              </w:rPr>
            </w:pPr>
          </w:p>
        </w:tc>
        <w:tc>
          <w:tcPr>
            <w:tcW w:w="37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709,024</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1,024,352</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90,791</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65,803</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(141,428)</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1,748,542</w:t>
            </w:r>
          </w:p>
        </w:tc>
      </w:tr>
    </w:tbl>
    <w:p>
      <w:pPr>
        <w:spacing w:after="0" w:line="35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majority of our revenue contracts are based on variable quantities delivered. Any fixed consideration contracts with an expected duration of one year or more are immaterial to our consolidated revenues. Variable consideration constraints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Not in Scope of ASC 606</w:t>
      </w:r>
    </w:p>
    <w:p>
      <w:pPr>
        <w:spacing w:after="0" w:line="181"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 xml:space="preserve">Other revenues included in the table above include our revenue accounted for under separate accounting guidance, including lease revenue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derivative revenue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alternative revenue programs revenue under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Significant Judgments and Estimates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Unbilled Revenue</w:t>
      </w:r>
    </w:p>
    <w:p>
      <w:pPr>
        <w:spacing w:after="0" w:line="26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To the extent that deliveries have occurred but a bill has not been issued, our utilities accrue an estimate of the revenue since the latest billing. This estimate is calculated based upon several factors including billings through the last billing cycle in a month and prices in effect in our jurisdictions. Each month, the estimated unbilled revenue amounts are trued-up and recorded in Accounts receivable, net on the accompanying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264" w:lineRule="exact"/>
        <w:rPr>
          <w:sz w:val="20"/>
          <w:szCs w:val="20"/>
          <w:color w:val="auto"/>
        </w:rPr>
      </w:pPr>
    </w:p>
    <w:p>
      <w:pPr>
        <w:ind w:right="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w:t>
      </w:r>
      <w:hyperlink w:anchor="page72">
        <w:r>
          <w:rPr>
            <w:rFonts w:ascii="Arial" w:cs="Arial" w:eastAsia="Arial" w:hAnsi="Arial"/>
            <w:sz w:val="16"/>
            <w:szCs w:val="16"/>
            <w:u w:val="single" w:color="auto"/>
            <w:color w:val="0000FF"/>
          </w:rPr>
          <w:t>Note 1</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at December 31 consisted of the following (dollars in thousands):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3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jc w:val="right"/>
              <w:ind w:right="1139"/>
              <w:spacing w:after="0"/>
              <w:rPr>
                <w:sz w:val="20"/>
                <w:szCs w:val="20"/>
                <w:color w:val="auto"/>
              </w:rPr>
            </w:pPr>
            <w:r>
              <w:rPr>
                <w:rFonts w:ascii="Arial" w:cs="Arial" w:eastAsia="Arial" w:hAnsi="Arial"/>
                <w:sz w:val="16"/>
                <w:szCs w:val="16"/>
                <w:b w:val="1"/>
                <w:bCs w:val="1"/>
                <w:color w:val="auto"/>
              </w:rPr>
              <w:t>2019</w:t>
            </w:r>
          </w:p>
        </w:tc>
        <w:tc>
          <w:tcPr>
            <w:tcW w:w="234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color w:val="auto"/>
              </w:rPr>
              <w:t>Lives (in years)</w:t>
            </w:r>
          </w:p>
        </w:tc>
      </w:tr>
      <w:tr>
        <w:trPr>
          <w:trHeight w:val="174"/>
        </w:trPr>
        <w:tc>
          <w:tcPr>
            <w:tcW w:w="3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jc w:val="center"/>
              <w:spacing w:after="0" w:line="174" w:lineRule="exact"/>
              <w:rPr>
                <w:sz w:val="20"/>
                <w:szCs w:val="20"/>
                <w:color w:val="auto"/>
              </w:rPr>
            </w:pPr>
            <w:r>
              <w:rPr>
                <w:rFonts w:ascii="Arial" w:cs="Arial" w:eastAsia="Arial" w:hAnsi="Arial"/>
                <w:sz w:val="16"/>
                <w:szCs w:val="16"/>
                <w:color w:val="auto"/>
              </w:rPr>
              <w:t>Weighted</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jc w:val="center"/>
              <w:ind w:right="19"/>
              <w:spacing w:after="0" w:line="174" w:lineRule="exact"/>
              <w:rPr>
                <w:sz w:val="20"/>
                <w:szCs w:val="20"/>
                <w:color w:val="auto"/>
              </w:rPr>
            </w:pPr>
            <w:r>
              <w:rPr>
                <w:rFonts w:ascii="Arial" w:cs="Arial" w:eastAsia="Arial" w:hAnsi="Arial"/>
                <w:sz w:val="16"/>
                <w:szCs w:val="16"/>
                <w:color w:val="auto"/>
              </w:rPr>
              <w:t>Weighted</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2"/>
        </w:trPr>
        <w:tc>
          <w:tcPr>
            <w:tcW w:w="37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Property, Plant</w:t>
            </w:r>
          </w:p>
        </w:tc>
        <w:tc>
          <w:tcPr>
            <w:tcW w:w="1220" w:type="dxa"/>
            <w:vAlign w:val="bottom"/>
          </w:tcPr>
          <w:p>
            <w:pPr>
              <w:jc w:val="center"/>
              <w:spacing w:after="0" w:line="162" w:lineRule="exact"/>
              <w:rPr>
                <w:sz w:val="20"/>
                <w:szCs w:val="20"/>
                <w:color w:val="auto"/>
              </w:rPr>
            </w:pPr>
            <w:r>
              <w:rPr>
                <w:rFonts w:ascii="Arial" w:cs="Arial" w:eastAsia="Arial" w:hAnsi="Arial"/>
                <w:sz w:val="16"/>
                <w:szCs w:val="16"/>
                <w:color w:val="auto"/>
              </w:rPr>
              <w:t>Average Useful</w:t>
            </w:r>
          </w:p>
        </w:tc>
        <w:tc>
          <w:tcPr>
            <w:tcW w:w="100" w:type="dxa"/>
            <w:vAlign w:val="bottom"/>
          </w:tcPr>
          <w:p>
            <w:pPr>
              <w:spacing w:after="0"/>
              <w:rPr>
                <w:sz w:val="14"/>
                <w:szCs w:val="14"/>
                <w:color w:val="auto"/>
              </w:rPr>
            </w:pPr>
          </w:p>
        </w:tc>
        <w:tc>
          <w:tcPr>
            <w:tcW w:w="1240" w:type="dxa"/>
            <w:vAlign w:val="bottom"/>
          </w:tcPr>
          <w:p>
            <w:pPr>
              <w:jc w:val="right"/>
              <w:ind w:right="79"/>
              <w:spacing w:after="0" w:line="162" w:lineRule="exact"/>
              <w:rPr>
                <w:sz w:val="20"/>
                <w:szCs w:val="20"/>
                <w:color w:val="auto"/>
              </w:rPr>
            </w:pPr>
            <w:r>
              <w:rPr>
                <w:rFonts w:ascii="Arial" w:cs="Arial" w:eastAsia="Arial" w:hAnsi="Arial"/>
                <w:sz w:val="16"/>
                <w:szCs w:val="16"/>
                <w:color w:val="auto"/>
              </w:rPr>
              <w:t>Property, Plant</w:t>
            </w:r>
          </w:p>
        </w:tc>
        <w:tc>
          <w:tcPr>
            <w:tcW w:w="134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Average Useful</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8"/>
        </w:trPr>
        <w:tc>
          <w:tcPr>
            <w:tcW w:w="3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Electric Utilities</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and Equipment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Life (in years)</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and Equipment</w:t>
            </w: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Life (in years)</w:t>
            </w:r>
          </w:p>
        </w:tc>
        <w:tc>
          <w:tcPr>
            <w:tcW w:w="11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Minimum</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Maximum</w:t>
            </w:r>
          </w:p>
        </w:tc>
      </w:tr>
      <w:tr>
        <w:trPr>
          <w:trHeight w:val="304"/>
        </w:trPr>
        <w:tc>
          <w:tcPr>
            <w:tcW w:w="3740" w:type="dxa"/>
            <w:vAlign w:val="bottom"/>
          </w:tcPr>
          <w:p>
            <w:pPr>
              <w:spacing w:after="0"/>
              <w:rPr>
                <w:sz w:val="20"/>
                <w:szCs w:val="20"/>
                <w:color w:val="auto"/>
              </w:rPr>
            </w:pPr>
            <w:r>
              <w:rPr>
                <w:rFonts w:ascii="Arial" w:cs="Arial" w:eastAsia="Arial" w:hAnsi="Arial"/>
                <w:sz w:val="16"/>
                <w:szCs w:val="16"/>
                <w:color w:val="auto"/>
              </w:rPr>
              <w:t>Electric plant:</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9"/>
        </w:trPr>
        <w:tc>
          <w:tcPr>
            <w:tcW w:w="3740" w:type="dxa"/>
            <w:vAlign w:val="bottom"/>
            <w:shd w:val="clear" w:color="auto" w:fill="CEFFE7"/>
          </w:tcPr>
          <w:p>
            <w:pPr>
              <w:ind w:left="120"/>
              <w:spacing w:after="0"/>
              <w:rPr>
                <w:sz w:val="20"/>
                <w:szCs w:val="20"/>
                <w:color w:val="auto"/>
              </w:rPr>
            </w:pPr>
            <w:r>
              <w:rPr>
                <w:rFonts w:ascii="Arial" w:cs="Arial" w:eastAsia="Arial" w:hAnsi="Arial"/>
                <w:sz w:val="16"/>
                <w:szCs w:val="16"/>
                <w:color w:val="auto"/>
              </w:rPr>
              <w:t>Production</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1,417,951</w:t>
            </w:r>
          </w:p>
        </w:tc>
        <w:tc>
          <w:tcPr>
            <w:tcW w:w="12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1,348,049</w:t>
            </w:r>
          </w:p>
        </w:tc>
        <w:tc>
          <w:tcPr>
            <w:tcW w:w="134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41</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32</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46</w:t>
            </w:r>
          </w:p>
        </w:tc>
      </w:tr>
      <w:tr>
        <w:trPr>
          <w:trHeight w:val="213"/>
        </w:trPr>
        <w:tc>
          <w:tcPr>
            <w:tcW w:w="3740" w:type="dxa"/>
            <w:vAlign w:val="bottom"/>
          </w:tcPr>
          <w:p>
            <w:pPr>
              <w:ind w:left="120"/>
              <w:spacing w:after="0"/>
              <w:rPr>
                <w:sz w:val="20"/>
                <w:szCs w:val="20"/>
                <w:color w:val="auto"/>
              </w:rPr>
            </w:pPr>
            <w:r>
              <w:rPr>
                <w:rFonts w:ascii="Arial" w:cs="Arial" w:eastAsia="Arial" w:hAnsi="Arial"/>
                <w:sz w:val="16"/>
                <w:szCs w:val="16"/>
                <w:color w:val="auto"/>
              </w:rPr>
              <w:t>Electric transmission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517,794</w:t>
            </w:r>
          </w:p>
        </w:tc>
        <w:tc>
          <w:tcPr>
            <w:tcW w:w="1220" w:type="dxa"/>
            <w:vAlign w:val="bottom"/>
          </w:tcPr>
          <w:p>
            <w:pPr>
              <w:jc w:val="center"/>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483,640</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51</w:t>
            </w:r>
          </w:p>
        </w:tc>
        <w:tc>
          <w:tcPr>
            <w:tcW w:w="1100" w:type="dxa"/>
            <w:vAlign w:val="bottom"/>
          </w:tcPr>
          <w:p>
            <w:pPr>
              <w:jc w:val="center"/>
              <w:ind w:right="39"/>
              <w:spacing w:after="0"/>
              <w:rPr>
                <w:sz w:val="20"/>
                <w:szCs w:val="20"/>
                <w:color w:val="auto"/>
              </w:rPr>
            </w:pPr>
            <w:r>
              <w:rPr>
                <w:rFonts w:ascii="Arial" w:cs="Arial" w:eastAsia="Arial" w:hAnsi="Arial"/>
                <w:sz w:val="16"/>
                <w:szCs w:val="16"/>
                <w:color w:val="auto"/>
              </w:rPr>
              <w:t>44</w:t>
            </w:r>
          </w:p>
        </w:tc>
        <w:tc>
          <w:tcPr>
            <w:tcW w:w="1240" w:type="dxa"/>
            <w:vAlign w:val="bottom"/>
          </w:tcPr>
          <w:p>
            <w:pPr>
              <w:jc w:val="center"/>
              <w:spacing w:after="0"/>
              <w:rPr>
                <w:sz w:val="20"/>
                <w:szCs w:val="20"/>
                <w:color w:val="auto"/>
              </w:rPr>
            </w:pPr>
            <w:r>
              <w:rPr>
                <w:rFonts w:ascii="Arial" w:cs="Arial" w:eastAsia="Arial" w:hAnsi="Arial"/>
                <w:sz w:val="16"/>
                <w:szCs w:val="16"/>
                <w:color w:val="auto"/>
              </w:rPr>
              <w:t>51</w:t>
            </w:r>
          </w:p>
        </w:tc>
      </w:tr>
      <w:tr>
        <w:trPr>
          <w:trHeight w:val="219"/>
        </w:trPr>
        <w:tc>
          <w:tcPr>
            <w:tcW w:w="3740" w:type="dxa"/>
            <w:vAlign w:val="bottom"/>
            <w:shd w:val="clear" w:color="auto" w:fill="CEFFE7"/>
          </w:tcPr>
          <w:p>
            <w:pPr>
              <w:ind w:left="120"/>
              <w:spacing w:after="0"/>
              <w:rPr>
                <w:sz w:val="20"/>
                <w:szCs w:val="20"/>
                <w:color w:val="auto"/>
              </w:rPr>
            </w:pPr>
            <w:r>
              <w:rPr>
                <w:rFonts w:ascii="Arial" w:cs="Arial" w:eastAsia="Arial" w:hAnsi="Arial"/>
                <w:sz w:val="16"/>
                <w:szCs w:val="16"/>
                <w:color w:val="auto"/>
              </w:rPr>
              <w:t>Electric distribution</w:t>
            </w:r>
          </w:p>
        </w:tc>
        <w:tc>
          <w:tcPr>
            <w:tcW w:w="26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959,453</w:t>
            </w:r>
          </w:p>
        </w:tc>
        <w:tc>
          <w:tcPr>
            <w:tcW w:w="12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EFFE7"/>
          </w:tcPr>
          <w:p>
            <w:pPr>
              <w:spacing w:after="0"/>
              <w:rPr>
                <w:sz w:val="19"/>
                <w:szCs w:val="19"/>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861,042</w:t>
            </w:r>
          </w:p>
        </w:tc>
        <w:tc>
          <w:tcPr>
            <w:tcW w:w="134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47</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46</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48</w:t>
            </w:r>
          </w:p>
        </w:tc>
      </w:tr>
      <w:tr>
        <w:trPr>
          <w:trHeight w:val="216"/>
        </w:trPr>
        <w:tc>
          <w:tcPr>
            <w:tcW w:w="37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Plant acquisition adjustment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4,870</w:t>
            </w:r>
          </w:p>
        </w:tc>
        <w:tc>
          <w:tcPr>
            <w:tcW w:w="122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4,870</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32</w:t>
            </w:r>
          </w:p>
        </w:tc>
        <w:tc>
          <w:tcPr>
            <w:tcW w:w="1100" w:type="dxa"/>
            <w:vAlign w:val="bottom"/>
          </w:tcPr>
          <w:p>
            <w:pPr>
              <w:jc w:val="center"/>
              <w:ind w:right="39"/>
              <w:spacing w:after="0"/>
              <w:rPr>
                <w:sz w:val="20"/>
                <w:szCs w:val="20"/>
                <w:color w:val="auto"/>
              </w:rPr>
            </w:pPr>
            <w:r>
              <w:rPr>
                <w:rFonts w:ascii="Arial" w:cs="Arial" w:eastAsia="Arial" w:hAnsi="Arial"/>
                <w:sz w:val="16"/>
                <w:szCs w:val="16"/>
                <w:color w:val="auto"/>
              </w:rPr>
              <w:t>32</w:t>
            </w:r>
          </w:p>
        </w:tc>
        <w:tc>
          <w:tcPr>
            <w:tcW w:w="1240" w:type="dxa"/>
            <w:vAlign w:val="bottom"/>
          </w:tcPr>
          <w:p>
            <w:pPr>
              <w:jc w:val="center"/>
              <w:spacing w:after="0"/>
              <w:rPr>
                <w:sz w:val="20"/>
                <w:szCs w:val="20"/>
                <w:color w:val="auto"/>
              </w:rPr>
            </w:pPr>
            <w:r>
              <w:rPr>
                <w:rFonts w:ascii="Arial" w:cs="Arial" w:eastAsia="Arial" w:hAnsi="Arial"/>
                <w:sz w:val="16"/>
                <w:szCs w:val="16"/>
                <w:color w:val="auto"/>
              </w:rPr>
              <w:t>32</w:t>
            </w:r>
          </w:p>
        </w:tc>
      </w:tr>
      <w:tr>
        <w:trPr>
          <w:trHeight w:val="213"/>
        </w:trPr>
        <w:tc>
          <w:tcPr>
            <w:tcW w:w="3740" w:type="dxa"/>
            <w:vAlign w:val="bottom"/>
            <w:shd w:val="clear" w:color="auto" w:fill="CEFFE7"/>
          </w:tcPr>
          <w:p>
            <w:pPr>
              <w:ind w:left="120"/>
              <w:spacing w:after="0"/>
              <w:rPr>
                <w:sz w:val="20"/>
                <w:szCs w:val="20"/>
                <w:color w:val="auto"/>
              </w:rPr>
            </w:pPr>
            <w:r>
              <w:rPr>
                <w:rFonts w:ascii="Arial" w:cs="Arial" w:eastAsia="Arial" w:hAnsi="Arial"/>
                <w:sz w:val="16"/>
                <w:szCs w:val="16"/>
                <w:color w:val="auto"/>
              </w:rPr>
              <w:t>General</w:t>
            </w:r>
          </w:p>
        </w:tc>
        <w:tc>
          <w:tcPr>
            <w:tcW w:w="26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259,010</w:t>
            </w:r>
          </w:p>
        </w:tc>
        <w:tc>
          <w:tcPr>
            <w:tcW w:w="12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shd w:val="clear" w:color="auto" w:fill="CEFFE7"/>
          </w:tcPr>
          <w:p>
            <w:pPr>
              <w:spacing w:after="0"/>
              <w:rPr>
                <w:sz w:val="18"/>
                <w:szCs w:val="18"/>
                <w:color w:val="auto"/>
              </w:rPr>
            </w:pP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259,266</w:t>
            </w:r>
          </w:p>
        </w:tc>
        <w:tc>
          <w:tcPr>
            <w:tcW w:w="134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28</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26</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29</w:t>
            </w:r>
          </w:p>
        </w:tc>
      </w:tr>
      <w:tr>
        <w:trPr>
          <w:trHeight w:val="210"/>
        </w:trPr>
        <w:tc>
          <w:tcPr>
            <w:tcW w:w="3740" w:type="dxa"/>
            <w:vAlign w:val="bottom"/>
          </w:tcPr>
          <w:p>
            <w:pPr>
              <w:ind w:left="120"/>
              <w:spacing w:after="0"/>
              <w:rPr>
                <w:sz w:val="20"/>
                <w:szCs w:val="20"/>
                <w:color w:val="auto"/>
              </w:rPr>
            </w:pPr>
            <w:r>
              <w:rPr>
                <w:rFonts w:ascii="Arial" w:cs="Arial" w:eastAsia="Arial" w:hAnsi="Arial"/>
                <w:sz w:val="16"/>
                <w:szCs w:val="16"/>
                <w:color w:val="auto"/>
              </w:rPr>
              <w:t>Total electric plant in service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3,159,078</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2,956,867</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740" w:type="dxa"/>
            <w:vAlign w:val="bottom"/>
            <w:shd w:val="clear" w:color="auto" w:fill="CEFFE7"/>
          </w:tcPr>
          <w:p>
            <w:pPr>
              <w:ind w:left="120"/>
              <w:spacing w:after="0"/>
              <w:rPr>
                <w:sz w:val="20"/>
                <w:szCs w:val="20"/>
                <w:color w:val="auto"/>
              </w:rPr>
            </w:pPr>
            <w:r>
              <w:rPr>
                <w:rFonts w:ascii="Arial" w:cs="Arial" w:eastAsia="Arial" w:hAnsi="Arial"/>
                <w:sz w:val="16"/>
                <w:szCs w:val="16"/>
                <w:color w:val="auto"/>
              </w:rPr>
              <w:t>Construction work in progress</w:t>
            </w:r>
          </w:p>
        </w:tc>
        <w:tc>
          <w:tcPr>
            <w:tcW w:w="26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89,402</w:t>
            </w:r>
          </w:p>
        </w:tc>
        <w:tc>
          <w:tcPr>
            <w:tcW w:w="1220" w:type="dxa"/>
            <w:vAlign w:val="bottom"/>
            <w:shd w:val="clear" w:color="auto" w:fill="CEFFE7"/>
          </w:tcPr>
          <w:p>
            <w:pPr>
              <w:spacing w:after="0"/>
              <w:rPr>
                <w:sz w:val="18"/>
                <w:szCs w:val="18"/>
                <w:color w:val="auto"/>
              </w:rPr>
            </w:pPr>
          </w:p>
        </w:tc>
        <w:tc>
          <w:tcPr>
            <w:tcW w:w="100" w:type="dxa"/>
            <w:vAlign w:val="bottom"/>
            <w:tcBorders>
              <w:bottom w:val="single" w:sz="8" w:color="auto"/>
            </w:tcBorders>
            <w:shd w:val="clear" w:color="auto" w:fill="CEFFE7"/>
          </w:tcPr>
          <w:p>
            <w:pPr>
              <w:spacing w:after="0"/>
              <w:rPr>
                <w:sz w:val="18"/>
                <w:szCs w:val="18"/>
                <w:color w:val="auto"/>
              </w:rPr>
            </w:pP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102,268</w:t>
            </w:r>
          </w:p>
        </w:tc>
        <w:tc>
          <w:tcPr>
            <w:tcW w:w="1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r>
      <w:tr>
        <w:trPr>
          <w:trHeight w:val="209"/>
        </w:trPr>
        <w:tc>
          <w:tcPr>
            <w:tcW w:w="3740" w:type="dxa"/>
            <w:vAlign w:val="bottom"/>
          </w:tcPr>
          <w:p>
            <w:pPr>
              <w:ind w:left="200"/>
              <w:spacing w:after="0"/>
              <w:rPr>
                <w:sz w:val="20"/>
                <w:szCs w:val="20"/>
                <w:color w:val="auto"/>
              </w:rPr>
            </w:pPr>
            <w:r>
              <w:rPr>
                <w:rFonts w:ascii="Arial" w:cs="Arial" w:eastAsia="Arial" w:hAnsi="Arial"/>
                <w:sz w:val="16"/>
                <w:szCs w:val="16"/>
                <w:color w:val="auto"/>
              </w:rPr>
              <w:t>Total electric plant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3,248,480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3,059,135</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740" w:type="dxa"/>
            <w:vAlign w:val="bottom"/>
            <w:shd w:val="clear" w:color="auto" w:fill="CEFFE7"/>
          </w:tcPr>
          <w:p>
            <w:pPr>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(666,669)</w:t>
            </w:r>
          </w:p>
        </w:tc>
        <w:tc>
          <w:tcPr>
            <w:tcW w:w="1220" w:type="dxa"/>
            <w:vAlign w:val="bottom"/>
            <w:shd w:val="clear" w:color="auto" w:fill="CEFFE7"/>
          </w:tcPr>
          <w:p>
            <w:pPr>
              <w:spacing w:after="0"/>
              <w:rPr>
                <w:sz w:val="18"/>
                <w:szCs w:val="18"/>
                <w:color w:val="auto"/>
              </w:rPr>
            </w:pPr>
          </w:p>
        </w:tc>
        <w:tc>
          <w:tcPr>
            <w:tcW w:w="100" w:type="dxa"/>
            <w:vAlign w:val="bottom"/>
            <w:tcBorders>
              <w:bottom w:val="single" w:sz="8" w:color="auto"/>
            </w:tcBorders>
            <w:shd w:val="clear" w:color="auto" w:fill="CEFFE7"/>
          </w:tcPr>
          <w:p>
            <w:pPr>
              <w:spacing w:after="0"/>
              <w:rPr>
                <w:sz w:val="18"/>
                <w:szCs w:val="18"/>
                <w:color w:val="auto"/>
              </w:rPr>
            </w:pP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(670,861)</w:t>
            </w:r>
          </w:p>
        </w:tc>
        <w:tc>
          <w:tcPr>
            <w:tcW w:w="1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r>
      <w:tr>
        <w:trPr>
          <w:trHeight w:val="213"/>
        </w:trPr>
        <w:tc>
          <w:tcPr>
            <w:tcW w:w="3740" w:type="dxa"/>
            <w:vAlign w:val="bottom"/>
          </w:tcPr>
          <w:p>
            <w:pPr>
              <w:ind w:left="120"/>
              <w:spacing w:after="0"/>
              <w:rPr>
                <w:sz w:val="20"/>
                <w:szCs w:val="20"/>
                <w:color w:val="auto"/>
              </w:rPr>
            </w:pPr>
            <w:r>
              <w:rPr>
                <w:rFonts w:ascii="Arial" w:cs="Arial" w:eastAsia="Arial" w:hAnsi="Arial"/>
                <w:sz w:val="16"/>
                <w:szCs w:val="16"/>
                <w:color w:val="auto"/>
              </w:rPr>
              <w:t>Electric plant net of accumulated depreciation</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2,581,811</w:t>
            </w:r>
          </w:p>
        </w:tc>
        <w:tc>
          <w:tcPr>
            <w:tcW w:w="1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2,388,274</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plant acquisition adjustment is included in rate base and is being recovered with 10 years remaining.</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1079"/>
              <w:spacing w:after="0"/>
              <w:rPr>
                <w:sz w:val="20"/>
                <w:szCs w:val="20"/>
                <w:color w:val="auto"/>
              </w:rPr>
            </w:pPr>
            <w:r>
              <w:rPr>
                <w:rFonts w:ascii="Arial" w:cs="Arial" w:eastAsia="Arial" w:hAnsi="Arial"/>
                <w:sz w:val="16"/>
                <w:szCs w:val="16"/>
                <w:b w:val="1"/>
                <w:bCs w:val="1"/>
                <w:color w:val="auto"/>
              </w:rPr>
              <w:t>2019</w:t>
            </w:r>
          </w:p>
        </w:tc>
        <w:tc>
          <w:tcPr>
            <w:tcW w:w="234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color w:val="auto"/>
              </w:rPr>
              <w:t>Lives (in years)</w:t>
            </w:r>
          </w:p>
        </w:tc>
      </w:tr>
      <w:tr>
        <w:trPr>
          <w:trHeight w:val="174"/>
        </w:trPr>
        <w:tc>
          <w:tcPr>
            <w:tcW w:w="3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74" w:lineRule="exact"/>
              <w:rPr>
                <w:sz w:val="20"/>
                <w:szCs w:val="20"/>
                <w:color w:val="auto"/>
              </w:rPr>
            </w:pPr>
            <w:r>
              <w:rPr>
                <w:rFonts w:ascii="Arial" w:cs="Arial" w:eastAsia="Arial" w:hAnsi="Arial"/>
                <w:sz w:val="16"/>
                <w:szCs w:val="16"/>
                <w:color w:val="auto"/>
              </w:rPr>
              <w:t>Weighted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jc w:val="center"/>
              <w:ind w:right="19"/>
              <w:spacing w:after="0" w:line="174" w:lineRule="exact"/>
              <w:rPr>
                <w:sz w:val="20"/>
                <w:szCs w:val="20"/>
                <w:color w:val="auto"/>
              </w:rPr>
            </w:pPr>
            <w:r>
              <w:rPr>
                <w:rFonts w:ascii="Arial" w:cs="Arial" w:eastAsia="Arial" w:hAnsi="Arial"/>
                <w:sz w:val="16"/>
                <w:szCs w:val="16"/>
                <w:color w:val="auto"/>
              </w:rPr>
              <w:t>Weighted</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2"/>
        </w:trPr>
        <w:tc>
          <w:tcPr>
            <w:tcW w:w="3860" w:type="dxa"/>
            <w:vAlign w:val="bottom"/>
          </w:tcPr>
          <w:p>
            <w:pPr>
              <w:spacing w:after="0"/>
              <w:rPr>
                <w:sz w:val="14"/>
                <w:szCs w:val="14"/>
                <w:color w:val="auto"/>
              </w:rPr>
            </w:pPr>
          </w:p>
        </w:tc>
        <w:tc>
          <w:tcPr>
            <w:tcW w:w="122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Property, Plant</w:t>
            </w:r>
          </w:p>
        </w:tc>
        <w:tc>
          <w:tcPr>
            <w:tcW w:w="1200" w:type="dxa"/>
            <w:vAlign w:val="bottom"/>
          </w:tcPr>
          <w:p>
            <w:pPr>
              <w:jc w:val="center"/>
              <w:spacing w:after="0" w:line="162" w:lineRule="exact"/>
              <w:rPr>
                <w:sz w:val="20"/>
                <w:szCs w:val="20"/>
                <w:color w:val="auto"/>
              </w:rPr>
            </w:pPr>
            <w:r>
              <w:rPr>
                <w:rFonts w:ascii="Arial" w:cs="Arial" w:eastAsia="Arial" w:hAnsi="Arial"/>
                <w:sz w:val="16"/>
                <w:szCs w:val="16"/>
                <w:color w:val="auto"/>
              </w:rPr>
              <w:t>Average Useful</w:t>
            </w:r>
          </w:p>
        </w:tc>
        <w:tc>
          <w:tcPr>
            <w:tcW w:w="122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Property, Plant</w:t>
            </w:r>
          </w:p>
        </w:tc>
        <w:tc>
          <w:tcPr>
            <w:tcW w:w="134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Average Useful</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8"/>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Gas Utilities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and Equipment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Life (in years)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and Equipment</w:t>
            </w: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Life (in years)</w:t>
            </w:r>
          </w:p>
        </w:tc>
        <w:tc>
          <w:tcPr>
            <w:tcW w:w="11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Minimum</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Maximum</w:t>
            </w:r>
          </w:p>
        </w:tc>
      </w:tr>
      <w:tr>
        <w:trPr>
          <w:trHeight w:val="304"/>
        </w:trPr>
        <w:tc>
          <w:tcPr>
            <w:tcW w:w="3860" w:type="dxa"/>
            <w:vAlign w:val="bottom"/>
          </w:tcPr>
          <w:p>
            <w:pPr>
              <w:spacing w:after="0"/>
              <w:rPr>
                <w:sz w:val="20"/>
                <w:szCs w:val="20"/>
                <w:color w:val="auto"/>
              </w:rPr>
            </w:pPr>
            <w:r>
              <w:rPr>
                <w:rFonts w:ascii="Arial" w:cs="Arial" w:eastAsia="Arial" w:hAnsi="Arial"/>
                <w:sz w:val="16"/>
                <w:szCs w:val="16"/>
                <w:color w:val="auto"/>
              </w:rPr>
              <w:t>Gas plant: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9"/>
        </w:trPr>
        <w:tc>
          <w:tcPr>
            <w:tcW w:w="38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Production</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15,603</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13,000</w:t>
            </w:r>
          </w:p>
        </w:tc>
        <w:tc>
          <w:tcPr>
            <w:tcW w:w="134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35</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24</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46</w:t>
            </w:r>
          </w:p>
        </w:tc>
      </w:tr>
      <w:tr>
        <w:trPr>
          <w:trHeight w:val="213"/>
        </w:trPr>
        <w:tc>
          <w:tcPr>
            <w:tcW w:w="3860" w:type="dxa"/>
            <w:vAlign w:val="bottom"/>
          </w:tcPr>
          <w:p>
            <w:pPr>
              <w:ind w:left="120"/>
              <w:spacing w:after="0"/>
              <w:rPr>
                <w:sz w:val="20"/>
                <w:szCs w:val="20"/>
                <w:color w:val="auto"/>
              </w:rPr>
            </w:pPr>
            <w:r>
              <w:rPr>
                <w:rFonts w:ascii="Arial" w:cs="Arial" w:eastAsia="Arial" w:hAnsi="Arial"/>
                <w:sz w:val="16"/>
                <w:szCs w:val="16"/>
                <w:color w:val="auto"/>
              </w:rPr>
              <w:t>Gas transmission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578,278</w:t>
            </w:r>
          </w:p>
        </w:tc>
        <w:tc>
          <w:tcPr>
            <w:tcW w:w="1200" w:type="dxa"/>
            <w:vAlign w:val="bottom"/>
          </w:tcPr>
          <w:p>
            <w:pPr>
              <w:jc w:val="center"/>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516,172</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50</w:t>
            </w:r>
          </w:p>
        </w:tc>
        <w:tc>
          <w:tcPr>
            <w:tcW w:w="1100" w:type="dxa"/>
            <w:vAlign w:val="bottom"/>
          </w:tcPr>
          <w:p>
            <w:pPr>
              <w:jc w:val="center"/>
              <w:ind w:right="39"/>
              <w:spacing w:after="0"/>
              <w:rPr>
                <w:sz w:val="20"/>
                <w:szCs w:val="20"/>
                <w:color w:val="auto"/>
              </w:rPr>
            </w:pPr>
            <w:r>
              <w:rPr>
                <w:rFonts w:ascii="Arial" w:cs="Arial" w:eastAsia="Arial" w:hAnsi="Arial"/>
                <w:sz w:val="16"/>
                <w:szCs w:val="16"/>
                <w:color w:val="auto"/>
              </w:rPr>
              <w:t>22</w:t>
            </w:r>
          </w:p>
        </w:tc>
        <w:tc>
          <w:tcPr>
            <w:tcW w:w="1240" w:type="dxa"/>
            <w:vAlign w:val="bottom"/>
          </w:tcPr>
          <w:p>
            <w:pPr>
              <w:jc w:val="center"/>
              <w:spacing w:after="0"/>
              <w:rPr>
                <w:sz w:val="20"/>
                <w:szCs w:val="20"/>
                <w:color w:val="auto"/>
              </w:rPr>
            </w:pPr>
            <w:r>
              <w:rPr>
                <w:rFonts w:ascii="Arial" w:cs="Arial" w:eastAsia="Arial" w:hAnsi="Arial"/>
                <w:sz w:val="16"/>
                <w:szCs w:val="16"/>
                <w:color w:val="auto"/>
              </w:rPr>
              <w:t>71</w:t>
            </w:r>
          </w:p>
        </w:tc>
      </w:tr>
      <w:tr>
        <w:trPr>
          <w:trHeight w:val="219"/>
        </w:trPr>
        <w:tc>
          <w:tcPr>
            <w:tcW w:w="38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Gas distribution</w:t>
            </w:r>
          </w:p>
        </w:tc>
        <w:tc>
          <w:tcPr>
            <w:tcW w:w="2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2,115,082</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53</w:t>
            </w:r>
          </w:p>
        </w:tc>
        <w:tc>
          <w:tcPr>
            <w:tcW w:w="2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1,857,233</w:t>
            </w:r>
          </w:p>
        </w:tc>
        <w:tc>
          <w:tcPr>
            <w:tcW w:w="134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43</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45</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59</w:t>
            </w:r>
          </w:p>
        </w:tc>
      </w:tr>
      <w:tr>
        <w:trPr>
          <w:trHeight w:val="216"/>
        </w:trPr>
        <w:tc>
          <w:tcPr>
            <w:tcW w:w="3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Cushion gas - depreciable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3,539</w:t>
            </w:r>
          </w:p>
        </w:tc>
        <w:tc>
          <w:tcPr>
            <w:tcW w:w="1200" w:type="dxa"/>
            <w:vAlign w:val="bottom"/>
          </w:tcPr>
          <w:p>
            <w:pPr>
              <w:jc w:val="center"/>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3,539</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28</w:t>
            </w:r>
          </w:p>
        </w:tc>
        <w:tc>
          <w:tcPr>
            <w:tcW w:w="1100" w:type="dxa"/>
            <w:vAlign w:val="bottom"/>
          </w:tcPr>
          <w:p>
            <w:pPr>
              <w:jc w:val="center"/>
              <w:ind w:right="39"/>
              <w:spacing w:after="0"/>
              <w:rPr>
                <w:sz w:val="20"/>
                <w:szCs w:val="20"/>
                <w:color w:val="auto"/>
              </w:rPr>
            </w:pPr>
            <w:r>
              <w:rPr>
                <w:rFonts w:ascii="Arial" w:cs="Arial" w:eastAsia="Arial" w:hAnsi="Arial"/>
                <w:sz w:val="16"/>
                <w:szCs w:val="16"/>
                <w:color w:val="auto"/>
              </w:rPr>
              <w:t>28</w:t>
            </w:r>
          </w:p>
        </w:tc>
        <w:tc>
          <w:tcPr>
            <w:tcW w:w="1240" w:type="dxa"/>
            <w:vAlign w:val="bottom"/>
          </w:tcPr>
          <w:p>
            <w:pPr>
              <w:jc w:val="center"/>
              <w:spacing w:after="0"/>
              <w:rPr>
                <w:sz w:val="20"/>
                <w:szCs w:val="20"/>
                <w:color w:val="auto"/>
              </w:rPr>
            </w:pPr>
            <w:r>
              <w:rPr>
                <w:rFonts w:ascii="Arial" w:cs="Arial" w:eastAsia="Arial" w:hAnsi="Arial"/>
                <w:sz w:val="16"/>
                <w:szCs w:val="16"/>
                <w:color w:val="auto"/>
              </w:rPr>
              <w:t>28</w:t>
            </w:r>
          </w:p>
        </w:tc>
      </w:tr>
      <w:tr>
        <w:trPr>
          <w:trHeight w:val="216"/>
        </w:trPr>
        <w:tc>
          <w:tcPr>
            <w:tcW w:w="3860" w:type="dxa"/>
            <w:vAlign w:val="bottom"/>
            <w:shd w:val="clear" w:color="auto" w:fill="CEFFE7"/>
          </w:tcPr>
          <w:p>
            <w:pPr>
              <w:ind w:left="120"/>
              <w:spacing w:after="0" w:line="216" w:lineRule="exact"/>
              <w:rPr>
                <w:sz w:val="20"/>
                <w:szCs w:val="20"/>
                <w:color w:val="auto"/>
              </w:rPr>
            </w:pPr>
            <w:r>
              <w:rPr>
                <w:rFonts w:ascii="Arial" w:cs="Arial" w:eastAsia="Arial" w:hAnsi="Arial"/>
                <w:sz w:val="16"/>
                <w:szCs w:val="16"/>
                <w:color w:val="auto"/>
              </w:rPr>
              <w:t xml:space="preserve">Cushion gas - not depreciable </w:t>
            </w:r>
            <w:r>
              <w:rPr>
                <w:rFonts w:ascii="Arial" w:cs="Arial" w:eastAsia="Arial" w:hAnsi="Arial"/>
                <w:sz w:val="21"/>
                <w:szCs w:val="21"/>
                <w:color w:val="auto"/>
                <w:vertAlign w:val="superscript"/>
              </w:rPr>
              <w:t>(a)</w:t>
            </w:r>
          </w:p>
        </w:tc>
        <w:tc>
          <w:tcPr>
            <w:tcW w:w="26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39,184</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44,443</w:t>
            </w:r>
          </w:p>
        </w:tc>
        <w:tc>
          <w:tcPr>
            <w:tcW w:w="134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rPr>
              <w:t>N/A</w:t>
            </w:r>
          </w:p>
        </w:tc>
        <w:tc>
          <w:tcPr>
            <w:tcW w:w="110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N/A</w:t>
            </w:r>
          </w:p>
        </w:tc>
      </w:tr>
      <w:tr>
        <w:trPr>
          <w:trHeight w:val="213"/>
        </w:trPr>
        <w:tc>
          <w:tcPr>
            <w:tcW w:w="3860" w:type="dxa"/>
            <w:vAlign w:val="bottom"/>
          </w:tcPr>
          <w:p>
            <w:pPr>
              <w:ind w:left="120"/>
              <w:spacing w:after="0"/>
              <w:rPr>
                <w:sz w:val="20"/>
                <w:szCs w:val="20"/>
                <w:color w:val="auto"/>
              </w:rPr>
            </w:pPr>
            <w:r>
              <w:rPr>
                <w:rFonts w:ascii="Arial" w:cs="Arial" w:eastAsia="Arial" w:hAnsi="Arial"/>
                <w:sz w:val="16"/>
                <w:szCs w:val="16"/>
                <w:color w:val="auto"/>
              </w:rPr>
              <w:t>Storage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55,481</w:t>
            </w:r>
          </w:p>
        </w:tc>
        <w:tc>
          <w:tcPr>
            <w:tcW w:w="1200" w:type="dxa"/>
            <w:vAlign w:val="bottom"/>
          </w:tcPr>
          <w:p>
            <w:pPr>
              <w:jc w:val="center"/>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46,977</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31</w:t>
            </w:r>
          </w:p>
        </w:tc>
        <w:tc>
          <w:tcPr>
            <w:tcW w:w="1100" w:type="dxa"/>
            <w:vAlign w:val="bottom"/>
          </w:tcPr>
          <w:p>
            <w:pPr>
              <w:jc w:val="center"/>
              <w:ind w:right="39"/>
              <w:spacing w:after="0"/>
              <w:rPr>
                <w:sz w:val="20"/>
                <w:szCs w:val="20"/>
                <w:color w:val="auto"/>
              </w:rPr>
            </w:pPr>
            <w:r>
              <w:rPr>
                <w:rFonts w:ascii="Arial" w:cs="Arial" w:eastAsia="Arial" w:hAnsi="Arial"/>
                <w:sz w:val="16"/>
                <w:szCs w:val="16"/>
                <w:color w:val="auto"/>
              </w:rPr>
              <w:t>24</w:t>
            </w:r>
          </w:p>
        </w:tc>
        <w:tc>
          <w:tcPr>
            <w:tcW w:w="1240" w:type="dxa"/>
            <w:vAlign w:val="bottom"/>
          </w:tcPr>
          <w:p>
            <w:pPr>
              <w:jc w:val="center"/>
              <w:spacing w:after="0"/>
              <w:rPr>
                <w:sz w:val="20"/>
                <w:szCs w:val="20"/>
                <w:color w:val="auto"/>
              </w:rPr>
            </w:pPr>
            <w:r>
              <w:rPr>
                <w:rFonts w:ascii="Arial" w:cs="Arial" w:eastAsia="Arial" w:hAnsi="Arial"/>
                <w:sz w:val="16"/>
                <w:szCs w:val="16"/>
                <w:color w:val="auto"/>
              </w:rPr>
              <w:t>52</w:t>
            </w:r>
          </w:p>
        </w:tc>
      </w:tr>
      <w:tr>
        <w:trPr>
          <w:trHeight w:val="216"/>
        </w:trPr>
        <w:tc>
          <w:tcPr>
            <w:tcW w:w="38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General</w:t>
            </w:r>
          </w:p>
        </w:tc>
        <w:tc>
          <w:tcPr>
            <w:tcW w:w="2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438,217</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437,054</w:t>
            </w:r>
          </w:p>
        </w:tc>
        <w:tc>
          <w:tcPr>
            <w:tcW w:w="134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20</w:t>
            </w:r>
          </w:p>
        </w:tc>
        <w:tc>
          <w:tcPr>
            <w:tcW w:w="110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23</w:t>
            </w:r>
          </w:p>
        </w:tc>
      </w:tr>
      <w:tr>
        <w:trPr>
          <w:trHeight w:val="210"/>
        </w:trPr>
        <w:tc>
          <w:tcPr>
            <w:tcW w:w="3860" w:type="dxa"/>
            <w:vAlign w:val="bottom"/>
          </w:tcPr>
          <w:p>
            <w:pPr>
              <w:ind w:left="200"/>
              <w:spacing w:after="0"/>
              <w:rPr>
                <w:sz w:val="20"/>
                <w:szCs w:val="20"/>
                <w:color w:val="auto"/>
              </w:rPr>
            </w:pPr>
            <w:r>
              <w:rPr>
                <w:rFonts w:ascii="Arial" w:cs="Arial" w:eastAsia="Arial" w:hAnsi="Arial"/>
                <w:sz w:val="16"/>
                <w:szCs w:val="16"/>
                <w:color w:val="auto"/>
              </w:rPr>
              <w:t>Total gas plant in service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3,245,384</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2,918,418</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Construction work in progress</w:t>
            </w:r>
          </w:p>
        </w:tc>
        <w:tc>
          <w:tcPr>
            <w:tcW w:w="2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67,229</w:t>
            </w:r>
          </w:p>
        </w:tc>
        <w:tc>
          <w:tcPr>
            <w:tcW w:w="1200" w:type="dxa"/>
            <w:vAlign w:val="bottom"/>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63,080</w:t>
            </w:r>
          </w:p>
        </w:tc>
        <w:tc>
          <w:tcPr>
            <w:tcW w:w="1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r>
      <w:tr>
        <w:trPr>
          <w:trHeight w:val="210"/>
        </w:trPr>
        <w:tc>
          <w:tcPr>
            <w:tcW w:w="3860" w:type="dxa"/>
            <w:vAlign w:val="bottom"/>
          </w:tcPr>
          <w:p>
            <w:pPr>
              <w:ind w:left="200"/>
              <w:spacing w:after="0"/>
              <w:rPr>
                <w:sz w:val="20"/>
                <w:szCs w:val="20"/>
                <w:color w:val="auto"/>
              </w:rPr>
            </w:pPr>
            <w:r>
              <w:rPr>
                <w:rFonts w:ascii="Arial" w:cs="Arial" w:eastAsia="Arial" w:hAnsi="Arial"/>
                <w:sz w:val="16"/>
                <w:szCs w:val="16"/>
                <w:color w:val="auto"/>
              </w:rPr>
              <w:t>Total gas plant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3,312,613</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2,981,498</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60" w:type="dxa"/>
            <w:vAlign w:val="bottom"/>
            <w:shd w:val="clear" w:color="auto" w:fill="CEFFE7"/>
          </w:tcPr>
          <w:p>
            <w:pPr>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(323,679)</w:t>
            </w:r>
          </w:p>
        </w:tc>
        <w:tc>
          <w:tcPr>
            <w:tcW w:w="1200" w:type="dxa"/>
            <w:vAlign w:val="bottom"/>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(336,721)</w:t>
            </w:r>
          </w:p>
        </w:tc>
        <w:tc>
          <w:tcPr>
            <w:tcW w:w="1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r>
      <w:tr>
        <w:trPr>
          <w:trHeight w:val="212"/>
        </w:trPr>
        <w:tc>
          <w:tcPr>
            <w:tcW w:w="3860" w:type="dxa"/>
            <w:vAlign w:val="bottom"/>
          </w:tcPr>
          <w:p>
            <w:pPr>
              <w:ind w:left="120"/>
              <w:spacing w:after="0"/>
              <w:rPr>
                <w:sz w:val="20"/>
                <w:szCs w:val="20"/>
                <w:color w:val="auto"/>
              </w:rPr>
            </w:pPr>
            <w:r>
              <w:rPr>
                <w:rFonts w:ascii="Arial" w:cs="Arial" w:eastAsia="Arial" w:hAnsi="Arial"/>
                <w:sz w:val="16"/>
                <w:szCs w:val="16"/>
                <w:color w:val="auto"/>
              </w:rPr>
              <w:t>Gas plant net of accumulated depreciation</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2,988,934</w:t>
            </w:r>
          </w:p>
        </w:tc>
        <w:tc>
          <w:tcPr>
            <w:tcW w:w="12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2,644,777</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Depreciation of Cushion Gas is determined by the respective regulatory jurisdiction in which the Cushion Gas resides.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Lives (in years)</w:t>
            </w:r>
          </w:p>
        </w:tc>
        <w:tc>
          <w:tcPr>
            <w:tcW w:w="940" w:type="dxa"/>
            <w:vAlign w:val="bottom"/>
            <w:tcBorders>
              <w:bottom w:val="single" w:sz="8" w:color="auto"/>
            </w:tcBorders>
          </w:tcPr>
          <w:p>
            <w:pPr>
              <w:spacing w:after="0"/>
              <w:rPr>
                <w:sz w:val="18"/>
                <w:szCs w:val="18"/>
                <w:color w:val="auto"/>
              </w:rPr>
            </w:pPr>
          </w:p>
        </w:tc>
      </w:tr>
      <w:tr>
        <w:trPr>
          <w:trHeight w:val="174"/>
        </w:trPr>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79"/>
              <w:spacing w:after="0" w:line="174" w:lineRule="exact"/>
              <w:rPr>
                <w:sz w:val="20"/>
                <w:szCs w:val="20"/>
                <w:color w:val="auto"/>
              </w:rPr>
            </w:pPr>
            <w:r>
              <w:rPr>
                <w:rFonts w:ascii="Arial" w:cs="Arial" w:eastAsia="Arial" w:hAnsi="Arial"/>
                <w:sz w:val="16"/>
                <w:szCs w:val="16"/>
                <w:color w:val="auto"/>
              </w:rPr>
              <w:t>Less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2"/>
        </w:trPr>
        <w:tc>
          <w:tcPr>
            <w:tcW w:w="2040" w:type="dxa"/>
            <w:vAlign w:val="bottom"/>
          </w:tcPr>
          <w:p>
            <w:pPr>
              <w:spacing w:after="0"/>
              <w:rPr>
                <w:sz w:val="14"/>
                <w:szCs w:val="14"/>
                <w:color w:val="auto"/>
              </w:rPr>
            </w:pPr>
          </w:p>
        </w:tc>
        <w:tc>
          <w:tcPr>
            <w:tcW w:w="112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Property, Plant</w:t>
            </w:r>
          </w:p>
        </w:tc>
        <w:tc>
          <w:tcPr>
            <w:tcW w:w="14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Construction</w:t>
            </w:r>
          </w:p>
        </w:tc>
        <w:tc>
          <w:tcPr>
            <w:tcW w:w="11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Total Property</w:t>
            </w:r>
          </w:p>
        </w:tc>
        <w:tc>
          <w:tcPr>
            <w:tcW w:w="18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rPr>
              <w:t>Accumulated</w:t>
            </w:r>
          </w:p>
        </w:tc>
        <w:tc>
          <w:tcPr>
            <w:tcW w:w="116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Net Property,</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rPr>
              <w:t>Weighted</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39"/>
              <w:spacing w:after="0" w:line="162" w:lineRule="exact"/>
              <w:rPr>
                <w:sz w:val="20"/>
                <w:szCs w:val="20"/>
                <w:color w:val="auto"/>
              </w:rPr>
            </w:pPr>
            <w:r>
              <w:rPr>
                <w:rFonts w:ascii="Arial" w:cs="Arial" w:eastAsia="Arial" w:hAnsi="Arial"/>
                <w:sz w:val="16"/>
                <w:szCs w:val="16"/>
                <w:color w:val="auto"/>
              </w:rPr>
              <w:t>and</w:t>
            </w:r>
          </w:p>
        </w:tc>
        <w:tc>
          <w:tcPr>
            <w:tcW w:w="14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9"/>
              </w:rPr>
              <w:t>Work in</w:t>
            </w:r>
          </w:p>
        </w:tc>
        <w:tc>
          <w:tcPr>
            <w:tcW w:w="180" w:type="dxa"/>
            <w:vAlign w:val="bottom"/>
          </w:tcPr>
          <w:p>
            <w:pPr>
              <w:spacing w:after="0"/>
              <w:rPr>
                <w:sz w:val="14"/>
                <w:szCs w:val="14"/>
                <w:color w:val="auto"/>
              </w:rPr>
            </w:pPr>
          </w:p>
        </w:tc>
        <w:tc>
          <w:tcPr>
            <w:tcW w:w="96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Plant and</w:t>
            </w: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Depreciation and</w:t>
            </w:r>
          </w:p>
        </w:tc>
        <w:tc>
          <w:tcPr>
            <w:tcW w:w="140" w:type="dxa"/>
            <w:vAlign w:val="bottom"/>
          </w:tcPr>
          <w:p>
            <w:pPr>
              <w:spacing w:after="0"/>
              <w:rPr>
                <w:sz w:val="14"/>
                <w:szCs w:val="14"/>
                <w:color w:val="auto"/>
              </w:rPr>
            </w:pPr>
          </w:p>
        </w:tc>
        <w:tc>
          <w:tcPr>
            <w:tcW w:w="1020" w:type="dxa"/>
            <w:vAlign w:val="bottom"/>
          </w:tcPr>
          <w:p>
            <w:pPr>
              <w:jc w:val="center"/>
              <w:ind w:right="99"/>
              <w:spacing w:after="0" w:line="162" w:lineRule="exact"/>
              <w:rPr>
                <w:sz w:val="20"/>
                <w:szCs w:val="20"/>
                <w:color w:val="auto"/>
              </w:rPr>
            </w:pPr>
            <w:r>
              <w:rPr>
                <w:rFonts w:ascii="Arial" w:cs="Arial" w:eastAsia="Arial" w:hAnsi="Arial"/>
                <w:sz w:val="16"/>
                <w:szCs w:val="16"/>
                <w:color w:val="auto"/>
              </w:rPr>
              <w:t>Plant and</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rPr>
              <w:t>Average</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8"/>
        </w:trPr>
        <w:tc>
          <w:tcPr>
            <w:tcW w:w="2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Equipment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Progress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Equipment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Depletion</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9"/>
              </w:rPr>
              <w:t>Equipment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Useful Life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Minimum</w:t>
            </w: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Maximum</w:t>
            </w:r>
          </w:p>
        </w:tc>
      </w:tr>
      <w:tr>
        <w:trPr>
          <w:trHeight w:val="253"/>
        </w:trPr>
        <w:tc>
          <w:tcPr>
            <w:tcW w:w="2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2040" w:type="dxa"/>
            <w:vAlign w:val="bottom"/>
            <w:shd w:val="clear" w:color="auto" w:fill="CEFFE7"/>
          </w:tcPr>
          <w:p>
            <w:pPr>
              <w:ind w:left="20"/>
              <w:spacing w:after="0"/>
              <w:rPr>
                <w:sz w:val="20"/>
                <w:szCs w:val="20"/>
                <w:color w:val="auto"/>
              </w:rPr>
            </w:pPr>
            <w:r>
              <w:rPr>
                <w:rFonts w:ascii="Arial" w:cs="Arial" w:eastAsia="Arial" w:hAnsi="Arial"/>
                <w:sz w:val="16"/>
                <w:szCs w:val="16"/>
                <w:color w:val="auto"/>
              </w:rPr>
              <w:t>Power Generation</w:t>
            </w:r>
          </w:p>
        </w:tc>
        <w:tc>
          <w:tcPr>
            <w:tcW w:w="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529,927</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4,876</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534,803</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(167,787)</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367,016</w:t>
            </w:r>
          </w:p>
        </w:tc>
        <w:tc>
          <w:tcPr>
            <w:tcW w:w="9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31</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w:t>
            </w:r>
          </w:p>
        </w:tc>
        <w:tc>
          <w:tcPr>
            <w:tcW w:w="9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40</w:t>
            </w:r>
          </w:p>
        </w:tc>
      </w:tr>
      <w:tr>
        <w:trPr>
          <w:trHeight w:val="210"/>
        </w:trPr>
        <w:tc>
          <w:tcPr>
            <w:tcW w:w="2040" w:type="dxa"/>
            <w:vAlign w:val="bottom"/>
          </w:tcPr>
          <w:p>
            <w:pPr>
              <w:ind w:left="20"/>
              <w:spacing w:after="0"/>
              <w:rPr>
                <w:sz w:val="20"/>
                <w:szCs w:val="20"/>
                <w:color w:val="auto"/>
              </w:rPr>
            </w:pPr>
            <w:r>
              <w:rPr>
                <w:rFonts w:ascii="Arial" w:cs="Arial" w:eastAsia="Arial" w:hAnsi="Arial"/>
                <w:sz w:val="16"/>
                <w:szCs w:val="16"/>
                <w:color w:val="auto"/>
              </w:rPr>
              <w:t>Mining</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186,552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187,540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(126,537)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61,003</w:t>
            </w:r>
          </w:p>
        </w:tc>
        <w:tc>
          <w:tcPr>
            <w:tcW w:w="920" w:type="dxa"/>
            <w:vAlign w:val="bottom"/>
          </w:tcPr>
          <w:p>
            <w:pPr>
              <w:jc w:val="center"/>
              <w:ind w:left="19"/>
              <w:spacing w:after="0"/>
              <w:rPr>
                <w:sz w:val="20"/>
                <w:szCs w:val="20"/>
                <w:color w:val="auto"/>
              </w:rPr>
            </w:pPr>
            <w:r>
              <w:rPr>
                <w:rFonts w:ascii="Arial" w:cs="Arial" w:eastAsia="Arial" w:hAnsi="Arial"/>
                <w:sz w:val="16"/>
                <w:szCs w:val="16"/>
                <w:color w:val="auto"/>
              </w:rPr>
              <w:t>14</w:t>
            </w:r>
          </w:p>
        </w:tc>
        <w:tc>
          <w:tcPr>
            <w:tcW w:w="1280" w:type="dxa"/>
            <w:vAlign w:val="bottom"/>
          </w:tcPr>
          <w:p>
            <w:pPr>
              <w:jc w:val="center"/>
              <w:spacing w:after="0"/>
              <w:rPr>
                <w:sz w:val="20"/>
                <w:szCs w:val="20"/>
                <w:color w:val="auto"/>
              </w:rPr>
            </w:pPr>
            <w:r>
              <w:rPr>
                <w:rFonts w:ascii="Arial" w:cs="Arial" w:eastAsia="Arial" w:hAnsi="Arial"/>
                <w:sz w:val="16"/>
                <w:szCs w:val="16"/>
                <w:color w:val="auto"/>
              </w:rPr>
              <w:t>2</w:t>
            </w:r>
          </w:p>
        </w:tc>
        <w:tc>
          <w:tcPr>
            <w:tcW w:w="940" w:type="dxa"/>
            <w:vAlign w:val="bottom"/>
          </w:tcPr>
          <w:p>
            <w:pPr>
              <w:jc w:val="center"/>
              <w:spacing w:after="0"/>
              <w:rPr>
                <w:sz w:val="20"/>
                <w:szCs w:val="20"/>
                <w:color w:val="auto"/>
              </w:rPr>
            </w:pPr>
            <w:r>
              <w:rPr>
                <w:rFonts w:ascii="Arial" w:cs="Arial" w:eastAsia="Arial" w:hAnsi="Arial"/>
                <w:sz w:val="16"/>
                <w:szCs w:val="16"/>
                <w:color w:val="auto"/>
              </w:rPr>
              <w:t>59</w:t>
            </w:r>
          </w:p>
        </w:tc>
      </w:tr>
    </w:tbl>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Lives (in years)</w:t>
            </w: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79"/>
              <w:spacing w:after="0" w:line="174" w:lineRule="exact"/>
              <w:rPr>
                <w:sz w:val="20"/>
                <w:szCs w:val="20"/>
                <w:color w:val="auto"/>
              </w:rPr>
            </w:pPr>
            <w:r>
              <w:rPr>
                <w:rFonts w:ascii="Arial" w:cs="Arial" w:eastAsia="Arial" w:hAnsi="Arial"/>
                <w:sz w:val="16"/>
                <w:szCs w:val="16"/>
                <w:color w:val="auto"/>
              </w:rPr>
              <w:t>Less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Property, Plant</w:t>
            </w:r>
          </w:p>
        </w:tc>
        <w:tc>
          <w:tcPr>
            <w:tcW w:w="14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Construction</w:t>
            </w:r>
          </w:p>
        </w:tc>
        <w:tc>
          <w:tcPr>
            <w:tcW w:w="1140" w:type="dxa"/>
            <w:vAlign w:val="bottom"/>
            <w:gridSpan w:val="2"/>
          </w:tcPr>
          <w:p>
            <w:pPr>
              <w:jc w:val="center"/>
              <w:spacing w:after="0" w:line="162" w:lineRule="exact"/>
              <w:rPr>
                <w:sz w:val="20"/>
                <w:szCs w:val="20"/>
                <w:color w:val="auto"/>
              </w:rPr>
            </w:pPr>
            <w:r>
              <w:rPr>
                <w:rFonts w:ascii="Arial" w:cs="Arial" w:eastAsia="Arial" w:hAnsi="Arial"/>
                <w:sz w:val="16"/>
                <w:szCs w:val="16"/>
                <w:color w:val="auto"/>
                <w:w w:val="99"/>
              </w:rPr>
              <w:t>Total Property</w:t>
            </w:r>
          </w:p>
        </w:tc>
        <w:tc>
          <w:tcPr>
            <w:tcW w:w="18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rPr>
              <w:t>Accumulated</w:t>
            </w:r>
          </w:p>
        </w:tc>
        <w:tc>
          <w:tcPr>
            <w:tcW w:w="116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Net Property,</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Weighted</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and</w:t>
            </w:r>
          </w:p>
        </w:tc>
        <w:tc>
          <w:tcPr>
            <w:tcW w:w="14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9"/>
              </w:rPr>
              <w:t>Work in</w:t>
            </w:r>
          </w:p>
        </w:tc>
        <w:tc>
          <w:tcPr>
            <w:tcW w:w="18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Plant and</w:t>
            </w: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Depreciation and</w:t>
            </w:r>
          </w:p>
        </w:tc>
        <w:tc>
          <w:tcPr>
            <w:tcW w:w="140" w:type="dxa"/>
            <w:vAlign w:val="bottom"/>
          </w:tcPr>
          <w:p>
            <w:pPr>
              <w:spacing w:after="0"/>
              <w:rPr>
                <w:sz w:val="14"/>
                <w:szCs w:val="14"/>
                <w:color w:val="auto"/>
              </w:rPr>
            </w:pPr>
          </w:p>
        </w:tc>
        <w:tc>
          <w:tcPr>
            <w:tcW w:w="1020" w:type="dxa"/>
            <w:vAlign w:val="bottom"/>
          </w:tcPr>
          <w:p>
            <w:pPr>
              <w:jc w:val="center"/>
              <w:ind w:right="99"/>
              <w:spacing w:after="0" w:line="162" w:lineRule="exact"/>
              <w:rPr>
                <w:sz w:val="20"/>
                <w:szCs w:val="20"/>
                <w:color w:val="auto"/>
              </w:rPr>
            </w:pPr>
            <w:r>
              <w:rPr>
                <w:rFonts w:ascii="Arial" w:cs="Arial" w:eastAsia="Arial" w:hAnsi="Arial"/>
                <w:sz w:val="16"/>
                <w:szCs w:val="16"/>
                <w:color w:val="auto"/>
              </w:rPr>
              <w:t>Plant and</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Average</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9"/>
              </w:rPr>
              <w:t>Equipment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Progress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Equipment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Depletion</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9"/>
              </w:rPr>
              <w:t>Equipment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Useful Life</w:t>
            </w: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Minimum</w:t>
            </w: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Maximum</w:t>
            </w:r>
          </w:p>
        </w:tc>
        <w:tc>
          <w:tcPr>
            <w:tcW w:w="20" w:type="dxa"/>
            <w:vAlign w:val="bottom"/>
          </w:tcPr>
          <w:p>
            <w:pPr>
              <w:spacing w:after="0"/>
              <w:rPr>
                <w:sz w:val="17"/>
                <w:szCs w:val="17"/>
                <w:color w:val="auto"/>
              </w:rPr>
            </w:pPr>
          </w:p>
        </w:tc>
      </w:tr>
      <w:tr>
        <w:trPr>
          <w:trHeight w:val="253"/>
        </w:trPr>
        <w:tc>
          <w:tcPr>
            <w:tcW w:w="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Power Generation</w:t>
            </w:r>
          </w:p>
        </w:tc>
        <w:tc>
          <w:tcPr>
            <w:tcW w:w="1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532,397</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2,121</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534,518</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(154,362)</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380,156</w:t>
            </w:r>
          </w:p>
        </w:tc>
        <w:tc>
          <w:tcPr>
            <w:tcW w:w="9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31</w:t>
            </w:r>
          </w:p>
        </w:tc>
        <w:tc>
          <w:tcPr>
            <w:tcW w:w="12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w:t>
            </w:r>
          </w:p>
        </w:tc>
        <w:tc>
          <w:tcPr>
            <w:tcW w:w="9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auto"/>
              </w:rPr>
              <w:t>Mining</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179,198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1,275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180,473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(118,585)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61,888</w:t>
            </w:r>
          </w:p>
        </w:tc>
        <w:tc>
          <w:tcPr>
            <w:tcW w:w="940" w:type="dxa"/>
            <w:vAlign w:val="bottom"/>
          </w:tcPr>
          <w:p>
            <w:pPr>
              <w:jc w:val="center"/>
              <w:spacing w:after="0"/>
              <w:rPr>
                <w:sz w:val="20"/>
                <w:szCs w:val="20"/>
                <w:color w:val="auto"/>
              </w:rPr>
            </w:pPr>
            <w:r>
              <w:rPr>
                <w:rFonts w:ascii="Arial" w:cs="Arial" w:eastAsia="Arial" w:hAnsi="Arial"/>
                <w:sz w:val="16"/>
                <w:szCs w:val="16"/>
                <w:color w:val="auto"/>
              </w:rPr>
              <w:t>13</w:t>
            </w:r>
          </w:p>
        </w:tc>
        <w:tc>
          <w:tcPr>
            <w:tcW w:w="1260" w:type="dxa"/>
            <w:vAlign w:val="bottom"/>
          </w:tcPr>
          <w:p>
            <w:pPr>
              <w:jc w:val="center"/>
              <w:spacing w:after="0"/>
              <w:rPr>
                <w:sz w:val="20"/>
                <w:szCs w:val="20"/>
                <w:color w:val="auto"/>
              </w:rPr>
            </w:pPr>
            <w:r>
              <w:rPr>
                <w:rFonts w:ascii="Arial" w:cs="Arial" w:eastAsia="Arial" w:hAnsi="Arial"/>
                <w:sz w:val="16"/>
                <w:szCs w:val="16"/>
                <w:color w:val="auto"/>
              </w:rPr>
              <w:t>2</w:t>
            </w:r>
          </w:p>
        </w:tc>
        <w:tc>
          <w:tcPr>
            <w:tcW w:w="940" w:type="dxa"/>
            <w:vAlign w:val="bottom"/>
          </w:tcPr>
          <w:p>
            <w:pPr>
              <w:jc w:val="center"/>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8"/>
                <w:szCs w:val="18"/>
                <w:color w:val="auto"/>
              </w:rPr>
            </w:pPr>
          </w:p>
        </w:tc>
      </w:tr>
      <w:tr>
        <w:trPr>
          <w:trHeight w:val="340"/>
        </w:trPr>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Lives (in years)</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39"/>
              <w:spacing w:after="0" w:line="174" w:lineRule="exact"/>
              <w:rPr>
                <w:sz w:val="20"/>
                <w:szCs w:val="20"/>
                <w:color w:val="auto"/>
              </w:rPr>
            </w:pPr>
            <w:r>
              <w:rPr>
                <w:rFonts w:ascii="Arial" w:cs="Arial" w:eastAsia="Arial" w:hAnsi="Arial"/>
                <w:sz w:val="16"/>
                <w:szCs w:val="16"/>
                <w:color w:val="auto"/>
              </w:rPr>
              <w:t>Construction</w:t>
            </w:r>
          </w:p>
        </w:tc>
        <w:tc>
          <w:tcPr>
            <w:tcW w:w="1140" w:type="dxa"/>
            <w:vAlign w:val="bottom"/>
            <w:gridSpan w:val="2"/>
          </w:tcPr>
          <w:p>
            <w:pPr>
              <w:jc w:val="center"/>
              <w:spacing w:after="0" w:line="174" w:lineRule="exact"/>
              <w:rPr>
                <w:sz w:val="20"/>
                <w:szCs w:val="20"/>
                <w:color w:val="auto"/>
              </w:rPr>
            </w:pPr>
            <w:r>
              <w:rPr>
                <w:rFonts w:ascii="Arial" w:cs="Arial" w:eastAsia="Arial" w:hAnsi="Arial"/>
                <w:sz w:val="16"/>
                <w:szCs w:val="16"/>
                <w:color w:val="auto"/>
                <w:w w:val="99"/>
              </w:rPr>
              <w:t>Total Property</w:t>
            </w:r>
          </w:p>
        </w:tc>
        <w:tc>
          <w:tcPr>
            <w:tcW w:w="180" w:type="dxa"/>
            <w:vAlign w:val="bottom"/>
          </w:tcPr>
          <w:p>
            <w:pPr>
              <w:spacing w:after="0"/>
              <w:rPr>
                <w:sz w:val="15"/>
                <w:szCs w:val="15"/>
                <w:color w:val="auto"/>
              </w:rPr>
            </w:pPr>
          </w:p>
        </w:tc>
        <w:tc>
          <w:tcPr>
            <w:tcW w:w="1180" w:type="dxa"/>
            <w:vAlign w:val="bottom"/>
          </w:tcPr>
          <w:p>
            <w:pPr>
              <w:jc w:val="center"/>
              <w:ind w:right="79"/>
              <w:spacing w:after="0" w:line="174" w:lineRule="exact"/>
              <w:rPr>
                <w:sz w:val="20"/>
                <w:szCs w:val="20"/>
                <w:color w:val="auto"/>
              </w:rPr>
            </w:pPr>
            <w:r>
              <w:rPr>
                <w:rFonts w:ascii="Arial" w:cs="Arial" w:eastAsia="Arial" w:hAnsi="Arial"/>
                <w:sz w:val="16"/>
                <w:szCs w:val="16"/>
                <w:color w:val="auto"/>
              </w:rPr>
              <w:t>Less</w:t>
            </w:r>
          </w:p>
        </w:tc>
        <w:tc>
          <w:tcPr>
            <w:tcW w:w="116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Net Property,</w:t>
            </w:r>
          </w:p>
        </w:tc>
        <w:tc>
          <w:tcPr>
            <w:tcW w:w="940" w:type="dxa"/>
            <w:vAlign w:val="bottom"/>
          </w:tcPr>
          <w:p>
            <w:pPr>
              <w:jc w:val="center"/>
              <w:ind w:left="19"/>
              <w:spacing w:after="0" w:line="174" w:lineRule="exact"/>
              <w:rPr>
                <w:sz w:val="20"/>
                <w:szCs w:val="20"/>
                <w:color w:val="auto"/>
              </w:rPr>
            </w:pPr>
            <w:r>
              <w:rPr>
                <w:rFonts w:ascii="Arial" w:cs="Arial" w:eastAsia="Arial" w:hAnsi="Arial"/>
                <w:sz w:val="16"/>
                <w:szCs w:val="16"/>
                <w:color w:val="auto"/>
              </w:rPr>
              <w:t>Weighted</w:t>
            </w: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Property, Plant</w:t>
            </w:r>
          </w:p>
        </w:tc>
        <w:tc>
          <w:tcPr>
            <w:tcW w:w="14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9"/>
              </w:rPr>
              <w:t>Work in</w:t>
            </w:r>
          </w:p>
        </w:tc>
        <w:tc>
          <w:tcPr>
            <w:tcW w:w="18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Plant and</w:t>
            </w:r>
          </w:p>
        </w:tc>
        <w:tc>
          <w:tcPr>
            <w:tcW w:w="18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rPr>
              <w:t>Accumulated</w:t>
            </w:r>
          </w:p>
        </w:tc>
        <w:tc>
          <w:tcPr>
            <w:tcW w:w="140" w:type="dxa"/>
            <w:vAlign w:val="bottom"/>
          </w:tcPr>
          <w:p>
            <w:pPr>
              <w:spacing w:after="0"/>
              <w:rPr>
                <w:sz w:val="14"/>
                <w:szCs w:val="14"/>
                <w:color w:val="auto"/>
              </w:rPr>
            </w:pPr>
          </w:p>
        </w:tc>
        <w:tc>
          <w:tcPr>
            <w:tcW w:w="1020" w:type="dxa"/>
            <w:vAlign w:val="bottom"/>
          </w:tcPr>
          <w:p>
            <w:pPr>
              <w:jc w:val="center"/>
              <w:ind w:right="99"/>
              <w:spacing w:after="0" w:line="162" w:lineRule="exact"/>
              <w:rPr>
                <w:sz w:val="20"/>
                <w:szCs w:val="20"/>
                <w:color w:val="auto"/>
              </w:rPr>
            </w:pPr>
            <w:r>
              <w:rPr>
                <w:rFonts w:ascii="Arial" w:cs="Arial" w:eastAsia="Arial" w:hAnsi="Arial"/>
                <w:sz w:val="16"/>
                <w:szCs w:val="16"/>
                <w:color w:val="auto"/>
              </w:rPr>
              <w:t>Plant and</w:t>
            </w:r>
          </w:p>
        </w:tc>
        <w:tc>
          <w:tcPr>
            <w:tcW w:w="940" w:type="dxa"/>
            <w:vAlign w:val="bottom"/>
          </w:tcPr>
          <w:p>
            <w:pPr>
              <w:jc w:val="center"/>
              <w:ind w:left="19"/>
              <w:spacing w:after="0" w:line="162" w:lineRule="exact"/>
              <w:rPr>
                <w:sz w:val="20"/>
                <w:szCs w:val="20"/>
                <w:color w:val="auto"/>
              </w:rPr>
            </w:pPr>
            <w:r>
              <w:rPr>
                <w:rFonts w:ascii="Arial" w:cs="Arial" w:eastAsia="Arial" w:hAnsi="Arial"/>
                <w:sz w:val="16"/>
                <w:szCs w:val="16"/>
                <w:color w:val="auto"/>
              </w:rPr>
              <w:t>Average</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Borders>
              <w:bottom w:val="single" w:sz="8" w:color="CEFFE7"/>
            </w:tcBorders>
          </w:tcPr>
          <w:p>
            <w:pPr>
              <w:spacing w:after="0"/>
              <w:rPr>
                <w:sz w:val="17"/>
                <w:szCs w:val="17"/>
                <w:color w:val="auto"/>
              </w:rPr>
            </w:pPr>
          </w:p>
        </w:tc>
        <w:tc>
          <w:tcPr>
            <w:tcW w:w="2020" w:type="dxa"/>
            <w:vAlign w:val="bottom"/>
            <w:tcBorders>
              <w:bottom w:val="single" w:sz="8" w:color="CEFFE7"/>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and Equipment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Progress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Equipment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Depreciation</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9"/>
              </w:rPr>
              <w:t>Equipment</w:t>
            </w:r>
          </w:p>
        </w:tc>
        <w:tc>
          <w:tcPr>
            <w:tcW w:w="9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Useful Life</w:t>
            </w: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Minimum</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Maximum</w:t>
            </w:r>
          </w:p>
        </w:tc>
        <w:tc>
          <w:tcPr>
            <w:tcW w:w="20" w:type="dxa"/>
            <w:vAlign w:val="bottom"/>
            <w:tcBorders>
              <w:bottom w:val="single" w:sz="8" w:color="auto"/>
            </w:tcBorders>
          </w:tcPr>
          <w:p>
            <w:pPr>
              <w:spacing w:after="0"/>
              <w:rPr>
                <w:sz w:val="17"/>
                <w:szCs w:val="17"/>
                <w:color w:val="auto"/>
              </w:rPr>
            </w:pPr>
          </w:p>
        </w:tc>
      </w:tr>
      <w:tr>
        <w:trPr>
          <w:trHeight w:val="213"/>
        </w:trPr>
        <w:tc>
          <w:tcPr>
            <w:tcW w:w="20" w:type="dxa"/>
            <w:vAlign w:val="bottom"/>
            <w:shd w:val="clear" w:color="auto" w:fill="CEFFE7"/>
          </w:tcPr>
          <w:p>
            <w:pPr>
              <w:spacing w:after="0"/>
              <w:rPr>
                <w:sz w:val="18"/>
                <w:szCs w:val="18"/>
                <w:color w:val="auto"/>
              </w:rPr>
            </w:pPr>
          </w:p>
        </w:tc>
        <w:tc>
          <w:tcPr>
            <w:tcW w:w="20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Corporate</w:t>
            </w:r>
          </w:p>
        </w:tc>
        <w:tc>
          <w:tcPr>
            <w:tcW w:w="140" w:type="dxa"/>
            <w:vAlign w:val="bottom"/>
            <w:shd w:val="clear" w:color="auto" w:fill="CEFFE7"/>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5,692</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16,402</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22,094</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(1,144)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20,950</w:t>
            </w:r>
          </w:p>
        </w:tc>
        <w:tc>
          <w:tcPr>
            <w:tcW w:w="9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10</w:t>
            </w:r>
          </w:p>
        </w:tc>
        <w:tc>
          <w:tcPr>
            <w:tcW w:w="9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22</w:t>
            </w:r>
          </w:p>
        </w:tc>
        <w:tc>
          <w:tcPr>
            <w:tcW w:w="20" w:type="dxa"/>
            <w:vAlign w:val="bottom"/>
            <w:shd w:val="clear" w:color="auto" w:fill="CEFFE7"/>
          </w:tcPr>
          <w:p>
            <w:pPr>
              <w:spacing w:after="0"/>
              <w:rPr>
                <w:sz w:val="18"/>
                <w:szCs w:val="18"/>
                <w:color w:val="auto"/>
              </w:rPr>
            </w:pPr>
          </w:p>
        </w:tc>
      </w:tr>
      <w:tr>
        <w:trPr>
          <w:trHeight w:val="658"/>
        </w:trPr>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Lives (in years)</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39"/>
              <w:spacing w:after="0" w:line="174" w:lineRule="exact"/>
              <w:rPr>
                <w:sz w:val="20"/>
                <w:szCs w:val="20"/>
                <w:color w:val="auto"/>
              </w:rPr>
            </w:pPr>
            <w:r>
              <w:rPr>
                <w:rFonts w:ascii="Arial" w:cs="Arial" w:eastAsia="Arial" w:hAnsi="Arial"/>
                <w:sz w:val="16"/>
                <w:szCs w:val="16"/>
                <w:color w:val="auto"/>
              </w:rPr>
              <w:t>Construction</w:t>
            </w:r>
          </w:p>
        </w:tc>
        <w:tc>
          <w:tcPr>
            <w:tcW w:w="1140" w:type="dxa"/>
            <w:vAlign w:val="bottom"/>
            <w:gridSpan w:val="2"/>
          </w:tcPr>
          <w:p>
            <w:pPr>
              <w:jc w:val="center"/>
              <w:spacing w:after="0" w:line="174" w:lineRule="exact"/>
              <w:rPr>
                <w:sz w:val="20"/>
                <w:szCs w:val="20"/>
                <w:color w:val="auto"/>
              </w:rPr>
            </w:pPr>
            <w:r>
              <w:rPr>
                <w:rFonts w:ascii="Arial" w:cs="Arial" w:eastAsia="Arial" w:hAnsi="Arial"/>
                <w:sz w:val="16"/>
                <w:szCs w:val="16"/>
                <w:color w:val="auto"/>
                <w:w w:val="99"/>
              </w:rPr>
              <w:t>Total Property</w:t>
            </w:r>
          </w:p>
        </w:tc>
        <w:tc>
          <w:tcPr>
            <w:tcW w:w="180" w:type="dxa"/>
            <w:vAlign w:val="bottom"/>
          </w:tcPr>
          <w:p>
            <w:pPr>
              <w:spacing w:after="0"/>
              <w:rPr>
                <w:sz w:val="15"/>
                <w:szCs w:val="15"/>
                <w:color w:val="auto"/>
              </w:rPr>
            </w:pPr>
          </w:p>
        </w:tc>
        <w:tc>
          <w:tcPr>
            <w:tcW w:w="1180" w:type="dxa"/>
            <w:vAlign w:val="bottom"/>
          </w:tcPr>
          <w:p>
            <w:pPr>
              <w:jc w:val="center"/>
              <w:ind w:right="79"/>
              <w:spacing w:after="0" w:line="174" w:lineRule="exact"/>
              <w:rPr>
                <w:sz w:val="20"/>
                <w:szCs w:val="20"/>
                <w:color w:val="auto"/>
              </w:rPr>
            </w:pPr>
            <w:r>
              <w:rPr>
                <w:rFonts w:ascii="Arial" w:cs="Arial" w:eastAsia="Arial" w:hAnsi="Arial"/>
                <w:sz w:val="16"/>
                <w:szCs w:val="16"/>
                <w:color w:val="auto"/>
              </w:rPr>
              <w:t>Less</w:t>
            </w:r>
          </w:p>
        </w:tc>
        <w:tc>
          <w:tcPr>
            <w:tcW w:w="116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Net Property,</w:t>
            </w:r>
          </w:p>
        </w:tc>
        <w:tc>
          <w:tcPr>
            <w:tcW w:w="940" w:type="dxa"/>
            <w:vAlign w:val="bottom"/>
          </w:tcPr>
          <w:p>
            <w:pPr>
              <w:jc w:val="center"/>
              <w:ind w:left="19"/>
              <w:spacing w:after="0" w:line="174" w:lineRule="exact"/>
              <w:rPr>
                <w:sz w:val="20"/>
                <w:szCs w:val="20"/>
                <w:color w:val="auto"/>
              </w:rPr>
            </w:pPr>
            <w:r>
              <w:rPr>
                <w:rFonts w:ascii="Arial" w:cs="Arial" w:eastAsia="Arial" w:hAnsi="Arial"/>
                <w:sz w:val="16"/>
                <w:szCs w:val="16"/>
                <w:color w:val="auto"/>
              </w:rPr>
              <w:t>Weighted</w:t>
            </w: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Property, Plant</w:t>
            </w:r>
          </w:p>
        </w:tc>
        <w:tc>
          <w:tcPr>
            <w:tcW w:w="14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9"/>
              </w:rPr>
              <w:t>Work in</w:t>
            </w:r>
          </w:p>
        </w:tc>
        <w:tc>
          <w:tcPr>
            <w:tcW w:w="18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Plant and</w:t>
            </w:r>
          </w:p>
        </w:tc>
        <w:tc>
          <w:tcPr>
            <w:tcW w:w="18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rPr>
              <w:t>Accumulated</w:t>
            </w:r>
          </w:p>
        </w:tc>
        <w:tc>
          <w:tcPr>
            <w:tcW w:w="140" w:type="dxa"/>
            <w:vAlign w:val="bottom"/>
          </w:tcPr>
          <w:p>
            <w:pPr>
              <w:spacing w:after="0"/>
              <w:rPr>
                <w:sz w:val="14"/>
                <w:szCs w:val="14"/>
                <w:color w:val="auto"/>
              </w:rPr>
            </w:pPr>
          </w:p>
        </w:tc>
        <w:tc>
          <w:tcPr>
            <w:tcW w:w="1020" w:type="dxa"/>
            <w:vAlign w:val="bottom"/>
          </w:tcPr>
          <w:p>
            <w:pPr>
              <w:jc w:val="center"/>
              <w:ind w:right="99"/>
              <w:spacing w:after="0" w:line="162" w:lineRule="exact"/>
              <w:rPr>
                <w:sz w:val="20"/>
                <w:szCs w:val="20"/>
                <w:color w:val="auto"/>
              </w:rPr>
            </w:pPr>
            <w:r>
              <w:rPr>
                <w:rFonts w:ascii="Arial" w:cs="Arial" w:eastAsia="Arial" w:hAnsi="Arial"/>
                <w:sz w:val="16"/>
                <w:szCs w:val="16"/>
                <w:color w:val="auto"/>
              </w:rPr>
              <w:t>Plant and</w:t>
            </w:r>
          </w:p>
        </w:tc>
        <w:tc>
          <w:tcPr>
            <w:tcW w:w="940" w:type="dxa"/>
            <w:vAlign w:val="bottom"/>
          </w:tcPr>
          <w:p>
            <w:pPr>
              <w:jc w:val="center"/>
              <w:ind w:left="19"/>
              <w:spacing w:after="0" w:line="162" w:lineRule="exact"/>
              <w:rPr>
                <w:sz w:val="20"/>
                <w:szCs w:val="20"/>
                <w:color w:val="auto"/>
              </w:rPr>
            </w:pPr>
            <w:r>
              <w:rPr>
                <w:rFonts w:ascii="Arial" w:cs="Arial" w:eastAsia="Arial" w:hAnsi="Arial"/>
                <w:sz w:val="16"/>
                <w:szCs w:val="16"/>
                <w:color w:val="auto"/>
              </w:rPr>
              <w:t>Average</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Borders>
              <w:bottom w:val="single" w:sz="8" w:color="CEFFE7"/>
            </w:tcBorders>
          </w:tcPr>
          <w:p>
            <w:pPr>
              <w:spacing w:after="0"/>
              <w:rPr>
                <w:sz w:val="17"/>
                <w:szCs w:val="17"/>
                <w:color w:val="auto"/>
              </w:rPr>
            </w:pPr>
          </w:p>
        </w:tc>
        <w:tc>
          <w:tcPr>
            <w:tcW w:w="2020" w:type="dxa"/>
            <w:vAlign w:val="bottom"/>
            <w:tcBorders>
              <w:bottom w:val="single" w:sz="8" w:color="CEFFE7"/>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and Equipment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Progress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Equipment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Depreciation</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9"/>
              </w:rPr>
              <w:t>Equipment</w:t>
            </w:r>
          </w:p>
        </w:tc>
        <w:tc>
          <w:tcPr>
            <w:tcW w:w="9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Useful Life</w:t>
            </w: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Minimum</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Maximum</w:t>
            </w:r>
          </w:p>
        </w:tc>
        <w:tc>
          <w:tcPr>
            <w:tcW w:w="20" w:type="dxa"/>
            <w:vAlign w:val="bottom"/>
            <w:tcBorders>
              <w:bottom w:val="single" w:sz="8" w:color="auto"/>
            </w:tcBorders>
          </w:tcPr>
          <w:p>
            <w:pPr>
              <w:spacing w:after="0"/>
              <w:rPr>
                <w:sz w:val="17"/>
                <w:szCs w:val="17"/>
                <w:color w:val="auto"/>
              </w:rPr>
            </w:pPr>
          </w:p>
        </w:tc>
      </w:tr>
      <w:tr>
        <w:trPr>
          <w:trHeight w:val="213"/>
        </w:trPr>
        <w:tc>
          <w:tcPr>
            <w:tcW w:w="20" w:type="dxa"/>
            <w:vAlign w:val="bottom"/>
            <w:shd w:val="clear" w:color="auto" w:fill="CEFFE7"/>
          </w:tcPr>
          <w:p>
            <w:pPr>
              <w:spacing w:after="0"/>
              <w:rPr>
                <w:sz w:val="18"/>
                <w:szCs w:val="18"/>
                <w:color w:val="auto"/>
              </w:rPr>
            </w:pPr>
          </w:p>
        </w:tc>
        <w:tc>
          <w:tcPr>
            <w:tcW w:w="20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Corporate</w:t>
            </w:r>
          </w:p>
        </w:tc>
        <w:tc>
          <w:tcPr>
            <w:tcW w:w="140" w:type="dxa"/>
            <w:vAlign w:val="bottom"/>
            <w:shd w:val="clear" w:color="auto" w:fill="CEFFE7"/>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5,721</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23,334</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29,055</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28,091</w:t>
            </w:r>
          </w:p>
        </w:tc>
        <w:tc>
          <w:tcPr>
            <w:tcW w:w="9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EFFE7"/>
          </w:tcPr>
          <w:p>
            <w:pPr>
              <w:jc w:val="right"/>
              <w:ind w:right="479"/>
              <w:spacing w:after="0"/>
              <w:rPr>
                <w:sz w:val="20"/>
                <w:szCs w:val="20"/>
                <w:color w:val="auto"/>
              </w:rPr>
            </w:pPr>
            <w:r>
              <w:rPr>
                <w:rFonts w:ascii="Arial" w:cs="Arial" w:eastAsia="Arial" w:hAnsi="Arial"/>
                <w:sz w:val="16"/>
                <w:szCs w:val="16"/>
                <w:color w:val="auto"/>
              </w:rPr>
              <w:t>3</w:t>
            </w:r>
          </w:p>
        </w:tc>
        <w:tc>
          <w:tcPr>
            <w:tcW w:w="9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30</w:t>
            </w:r>
          </w:p>
        </w:tc>
        <w:tc>
          <w:tcPr>
            <w:tcW w:w="20" w:type="dxa"/>
            <w:vAlign w:val="bottom"/>
            <w:shd w:val="clear" w:color="auto" w:fill="CEFFE7"/>
          </w:tcPr>
          <w:p>
            <w:pPr>
              <w:spacing w:after="0"/>
              <w:rPr>
                <w:sz w:val="18"/>
                <w:szCs w:val="18"/>
                <w:color w:val="auto"/>
              </w:rPr>
            </w:pPr>
          </w:p>
        </w:tc>
      </w:tr>
    </w:tbl>
    <w:p>
      <w:pPr>
        <w:spacing w:after="0" w:line="200" w:lineRule="exact"/>
        <w:rPr>
          <w:sz w:val="20"/>
          <w:szCs w:val="20"/>
          <w:color w:val="auto"/>
        </w:rPr>
      </w:pPr>
    </w:p>
    <w:p>
      <w:pPr>
        <w:spacing w:after="0" w:line="362"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JOINTLY OWNED FACILITIES</w:t>
      </w:r>
    </w:p>
    <w:p>
      <w:pPr>
        <w:spacing w:after="0" w:line="2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consolidated financial statements include our share of several jointly-owned utility and non-regulated facilities as described below. Our share of the facilities’ expenses are reflected in the appropriate categories of operating expenses in the Consolidated Statements of Income. Each owner of the facility is responsible for financing its investment in the jointly-owned facilities.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Wyodak Plant</w:t>
      </w:r>
    </w:p>
    <w:p>
      <w:pPr>
        <w:spacing w:after="0" w:line="26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South Dakota Electric owns a 20% interest in the Wyodak Plant, a coal-fired electric generating station located in Campbell County, Wyoming. PacifiCorp owns the remaining ownership percentage and operates the Wyodak Plant. South Dakota Electric receives its proportionate share of the Wyodak Plant’s capacity and is committed to pay its proportionate share of its additions, replacements and operating and maintenance expenses. In addition to supplying South Dakota Electric with coal for its share of the Wyodak Plant, our Mining subsidiary, WRDC, supplies PacifiCorp’s share of the coal to the Wyodak Plant under a separate long-term agreement. This coal supply agreement is collateralized by a mortgage on and a security interest in some of WRDC’s coal reserves.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Transmission Tie</w:t>
      </w:r>
    </w:p>
    <w:p>
      <w:pPr>
        <w:spacing w:after="0" w:line="26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South Dakota Electric also owns a 35% interest in, and is the operator of, the Converter Station Site and South Rapid City Interconnection (the Transmission Tie), an AC-DC-AC transmission tie. Basin Electric Power Cooperative owns the remaining ownership percentage. South Dakota Electric is committed to pay its proportionate share of the additions and replacements and operating and maintenance expenses of the transmission tie.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Wygen III</w:t>
      </w:r>
    </w:p>
    <w:p>
      <w:pPr>
        <w:spacing w:after="0" w:line="26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South Dakota Electric owns 52% of the Wygen III generation facility. MDU and the City of Gillette each owns an undivided ownership interest in Wygen III and are obligated to make payments for costs associated with administrative services and their proportionate share of the costs of operating the plant for the life of the facility. South Dakota Electric retains responsibility for plant operations. Our Mining subsidiary supplies fuel to Wygen III for the life of the plant.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Wygen I</w:t>
      </w:r>
    </w:p>
    <w:p>
      <w:pPr>
        <w:spacing w:after="0" w:line="26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Black Hills Wyoming owns 76.5% of the Wygen I plant while MEAN owns the remaining ownership percentage. MEAN is obligated to make payments for its share of the costs associated with administrative services, plant operations and coal supply provided by our Mining subsidiary during the life of the facility. Black Hills Wyoming retains responsibility for plant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our interests in jointly-owned generating facilities and transmission systems were (in thousands):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Construction Work in</w:t>
            </w:r>
          </w:p>
        </w:tc>
        <w:tc>
          <w:tcPr>
            <w:tcW w:w="22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color w:val="auto"/>
              </w:rPr>
              <w:t>Less Accumulated</w:t>
            </w:r>
          </w:p>
        </w:tc>
        <w:tc>
          <w:tcPr>
            <w:tcW w:w="1880" w:type="dxa"/>
            <w:vAlign w:val="bottom"/>
            <w:gridSpan w:val="2"/>
          </w:tcPr>
          <w:p>
            <w:pPr>
              <w:ind w:left="40"/>
              <w:spacing w:after="0"/>
              <w:rPr>
                <w:sz w:val="20"/>
                <w:szCs w:val="20"/>
                <w:color w:val="auto"/>
              </w:rPr>
            </w:pPr>
            <w:r>
              <w:rPr>
                <w:rFonts w:ascii="Arial" w:cs="Arial" w:eastAsia="Arial" w:hAnsi="Arial"/>
                <w:sz w:val="16"/>
                <w:szCs w:val="16"/>
                <w:color w:val="auto"/>
              </w:rPr>
              <w:t>Plant Net of Accumulated</w:t>
            </w:r>
          </w:p>
        </w:tc>
      </w:tr>
      <w:tr>
        <w:trPr>
          <w:trHeight w:val="198"/>
        </w:trPr>
        <w:tc>
          <w:tcPr>
            <w:tcW w:w="3820" w:type="dxa"/>
            <w:vAlign w:val="bottom"/>
            <w:tcBorders>
              <w:bottom w:val="single" w:sz="8" w:color="CEFFE7"/>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Plant in Service</w:t>
            </w: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Progress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Depreciation</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Depreciation</w:t>
            </w:r>
          </w:p>
        </w:tc>
      </w:tr>
      <w:tr>
        <w:trPr>
          <w:trHeight w:val="212"/>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Wyodak Plant</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116,074</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2,249</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(67,762)</w:t>
            </w:r>
          </w:p>
        </w:tc>
        <w:tc>
          <w:tcPr>
            <w:tcW w:w="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50,561</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Transmission Tie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26,176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(7,103)</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19,582</w:t>
            </w:r>
          </w:p>
        </w:tc>
      </w:tr>
      <w:tr>
        <w:trPr>
          <w:trHeight w:val="219"/>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Wygen III</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142,739</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582</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(24,783)</w:t>
            </w:r>
          </w:p>
        </w:tc>
        <w:tc>
          <w:tcPr>
            <w:tcW w:w="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118,538</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Wygen I</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114,975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(49,459)</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65,834</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Jointly Owned Facilities - Related Party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Busch Ranch I</w:t>
      </w:r>
    </w:p>
    <w:p>
      <w:pPr>
        <w:spacing w:after="0" w:line="26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Colorado Electric owns 50% of Busch Ranch I while Black Hills Electric Generation owns the remaining 50% ownership interest. Each company is obligated to make payments for costs associated with their proportionate share of the costs of operating the wind farm over the life of the facility. Colorado Electric retains responsibility for operations of the wind farm. Black Hills Electric Generation provides its share of energy from the wind farm to Colorado Electric through a PPA, which expires in October 2037.</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Cheyenne Prairie</w:t>
      </w:r>
    </w:p>
    <w:p>
      <w:pPr>
        <w:spacing w:after="0" w:line="264"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Cheyenne Prairie serves the utility customers of South Dakota Electric and Wyoming Electric. The facility includes one simple-cycle, 37 MW combustion turbine that is wholly-owned by Wyoming Electric and one combined-cycle, 100.4 MW unit that is jointly-owned by South Dakota Electric (58 MW) and Wyoming Electric (42.4 MW). BHSC is responsible for plant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Corriedale</w:t>
      </w:r>
    </w:p>
    <w:p>
      <w:pPr>
        <w:spacing w:after="0" w:line="2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Corriedale serves as the dedicated wind energy supply for Renewable Ready customers in South Dakota and Wyoming. The 52.5 MW wind farm is jointly-owned by South Dakota Electric (32.5 MW) and Wyoming Electric (20 MW). BHSC is responsible for operations of the wind farm.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ind w:left="380" w:hanging="372"/>
        <w:spacing w:after="0"/>
        <w:tabs>
          <w:tab w:leader="none" w:pos="38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ASSET RETIREMENT OBLIGATIONS</w:t>
      </w:r>
    </w:p>
    <w:p>
      <w:pPr>
        <w:spacing w:after="0" w:line="26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identified legal retirement obligations related to reclamation of mining sites in the Mining segment, removal of fuel tanks, transformers containing polychlorinated biphenyls, and an evaporation pond at our Electric Utilities, wind turbines at our Electric Utilities and Power Generation segments, retirement of gas pipelines at our Gas Utilities and removal of asbestos at our Electric and Gas Utilities. We periodically review and update estimated costs related to these AROs. The actual cost may vary from estimates because of regulatory requirements, changes in technology and increased costs of labor, materials and equipment.</w:t>
      </w:r>
    </w:p>
    <w:p>
      <w:pPr>
        <w:spacing w:after="0" w:line="23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tables present the details of AROs which are included on the accompanying Consolidated Balance Sheets in Other deferred credits and other liabilities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color w:val="auto"/>
              </w:rPr>
              <w:t>December 31,</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color w:val="auto"/>
              </w:rPr>
              <w:t>Revisions to Prior</w:t>
            </w:r>
          </w:p>
        </w:tc>
        <w:tc>
          <w:tcPr>
            <w:tcW w:w="16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December 31,</w:t>
            </w:r>
          </w:p>
        </w:tc>
      </w:tr>
      <w:tr>
        <w:trPr>
          <w:trHeight w:val="198"/>
        </w:trPr>
        <w:tc>
          <w:tcPr>
            <w:tcW w:w="2320" w:type="dxa"/>
            <w:vAlign w:val="bottom"/>
            <w:tcBorders>
              <w:bottom w:val="single" w:sz="8" w:color="CEFFE7"/>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2019</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Liabilities Incurred</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Liabilities Settled</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Accretion</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Estimates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2020</w:t>
            </w:r>
          </w:p>
        </w:tc>
      </w:tr>
      <w:tr>
        <w:trPr>
          <w:trHeight w:val="213"/>
        </w:trPr>
        <w:tc>
          <w:tcPr>
            <w:tcW w:w="232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Electric Utilities </w:t>
            </w:r>
            <w:r>
              <w:rPr>
                <w:rFonts w:ascii="Arial" w:cs="Arial" w:eastAsia="Arial" w:hAnsi="Arial"/>
                <w:sz w:val="21"/>
                <w:szCs w:val="21"/>
                <w:color w:val="auto"/>
                <w:vertAlign w:val="superscript"/>
              </w:rPr>
              <w:t>(a)</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9,329</w:t>
            </w:r>
          </w:p>
        </w:tc>
        <w:tc>
          <w:tcPr>
            <w:tcW w:w="560" w:type="dxa"/>
            <w:vAlign w:val="bottom"/>
            <w:shd w:val="clear" w:color="auto" w:fill="CEFFE7"/>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1,217</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407</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10,953</w:t>
            </w:r>
          </w:p>
        </w:tc>
      </w:tr>
      <w:tr>
        <w:trPr>
          <w:trHeight w:val="216"/>
        </w:trPr>
        <w:tc>
          <w:tcPr>
            <w:tcW w:w="23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Gas Utilities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36,085</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4,782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1,539</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42,274</w:t>
            </w:r>
          </w:p>
        </w:tc>
      </w:tr>
      <w:tr>
        <w:trPr>
          <w:trHeight w:val="216"/>
        </w:trPr>
        <w:tc>
          <w:tcPr>
            <w:tcW w:w="2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Power Generation</w:t>
            </w:r>
          </w:p>
        </w:tc>
        <w:tc>
          <w:tcPr>
            <w:tcW w:w="16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4,739</w:t>
            </w:r>
          </w:p>
        </w:tc>
        <w:tc>
          <w:tcPr>
            <w:tcW w:w="560" w:type="dxa"/>
            <w:vAlign w:val="bottom"/>
            <w:shd w:val="clear" w:color="auto" w:fill="CEFFE7"/>
          </w:tcPr>
          <w:p>
            <w:pPr>
              <w:spacing w:after="0"/>
              <w:rPr>
                <w:sz w:val="18"/>
                <w:szCs w:val="18"/>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8"/>
                <w:szCs w:val="18"/>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EFFE7"/>
          </w:tcPr>
          <w:p>
            <w:pPr>
              <w:spacing w:after="0"/>
              <w:rPr>
                <w:sz w:val="18"/>
                <w:szCs w:val="18"/>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4,945</w:t>
            </w:r>
          </w:p>
        </w:tc>
      </w:tr>
      <w:tr>
        <w:trPr>
          <w:trHeight w:val="216"/>
        </w:trPr>
        <w:tc>
          <w:tcPr>
            <w:tcW w:w="232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Mining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14,052</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13,259</w:t>
            </w:r>
          </w:p>
        </w:tc>
      </w:tr>
      <w:tr>
        <w:trPr>
          <w:trHeight w:val="234"/>
        </w:trPr>
        <w:tc>
          <w:tcPr>
            <w:tcW w:w="232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EFFE7"/>
          </w:tcPr>
          <w:p>
            <w:pPr>
              <w:spacing w:after="0"/>
              <w:rPr>
                <w:sz w:val="19"/>
                <w:szCs w:val="19"/>
                <w:color w:val="auto"/>
              </w:rPr>
            </w:pP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64,205</w:t>
            </w:r>
          </w:p>
        </w:tc>
        <w:tc>
          <w:tcPr>
            <w:tcW w:w="560" w:type="dxa"/>
            <w:vAlign w:val="bottom"/>
            <w:tcBorders>
              <w:bottom w:val="single" w:sz="8" w:color="auto"/>
            </w:tcBorders>
            <w:shd w:val="clear" w:color="auto" w:fill="CEFFE7"/>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5,999</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(317)</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2,769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71,431</w:t>
            </w:r>
          </w:p>
        </w:tc>
      </w:tr>
      <w:tr>
        <w:trPr>
          <w:trHeight w:val="20"/>
        </w:trPr>
        <w:tc>
          <w:tcPr>
            <w:tcW w:w="23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r>
      <w:tr>
        <w:trPr>
          <w:trHeight w:val="259"/>
        </w:trPr>
        <w:tc>
          <w:tcPr>
            <w:tcW w:w="2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color w:val="auto"/>
              </w:rPr>
              <w:t>December 31,</w:t>
            </w: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color w:val="auto"/>
              </w:rPr>
              <w:t>Revisions to Prior</w:t>
            </w:r>
          </w:p>
        </w:tc>
        <w:tc>
          <w:tcPr>
            <w:tcW w:w="160" w:type="dxa"/>
            <w:vAlign w:val="bottom"/>
          </w:tcPr>
          <w:p>
            <w:pPr>
              <w:spacing w:after="0"/>
              <w:rPr>
                <w:sz w:val="22"/>
                <w:szCs w:val="22"/>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December 31,</w:t>
            </w:r>
          </w:p>
        </w:tc>
      </w:tr>
      <w:tr>
        <w:trPr>
          <w:trHeight w:val="198"/>
        </w:trPr>
        <w:tc>
          <w:tcPr>
            <w:tcW w:w="2320" w:type="dxa"/>
            <w:vAlign w:val="bottom"/>
            <w:tcBorders>
              <w:bottom w:val="single" w:sz="8" w:color="CEFFE7"/>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2018</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Liabilities Incurred</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Liabilities Settled</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Accretion</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Estimates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2019</w:t>
            </w:r>
          </w:p>
        </w:tc>
      </w:tr>
      <w:tr>
        <w:trPr>
          <w:trHeight w:val="213"/>
        </w:trPr>
        <w:tc>
          <w:tcPr>
            <w:tcW w:w="232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Electric Utilities </w:t>
            </w:r>
            <w:r>
              <w:rPr>
                <w:rFonts w:ascii="Arial" w:cs="Arial" w:eastAsia="Arial" w:hAnsi="Arial"/>
                <w:sz w:val="21"/>
                <w:szCs w:val="21"/>
                <w:color w:val="auto"/>
                <w:vertAlign w:val="superscript"/>
              </w:rPr>
              <w:t>(d)</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6,258</w:t>
            </w:r>
          </w:p>
        </w:tc>
        <w:tc>
          <w:tcPr>
            <w:tcW w:w="560" w:type="dxa"/>
            <w:vAlign w:val="bottom"/>
            <w:shd w:val="clear" w:color="auto" w:fill="CEFFE7"/>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385</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2,686</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9,329</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34,627</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1,458</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36,085</w:t>
            </w:r>
          </w:p>
        </w:tc>
      </w:tr>
      <w:tr>
        <w:trPr>
          <w:trHeight w:val="219"/>
        </w:trPr>
        <w:tc>
          <w:tcPr>
            <w:tcW w:w="232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Power Generation </w:t>
            </w:r>
            <w:r>
              <w:rPr>
                <w:rFonts w:ascii="Arial" w:cs="Arial" w:eastAsia="Arial" w:hAnsi="Arial"/>
                <w:sz w:val="21"/>
                <w:szCs w:val="21"/>
                <w:color w:val="auto"/>
                <w:vertAlign w:val="superscript"/>
              </w:rPr>
              <w:t>(a)</w:t>
            </w:r>
          </w:p>
        </w:tc>
        <w:tc>
          <w:tcPr>
            <w:tcW w:w="160" w:type="dxa"/>
            <w:vAlign w:val="bottom"/>
            <w:shd w:val="clear" w:color="auto" w:fill="CEFFE7"/>
          </w:tcPr>
          <w:p>
            <w:pPr>
              <w:spacing w:after="0"/>
              <w:rPr>
                <w:sz w:val="19"/>
                <w:szCs w:val="19"/>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300</w:t>
            </w:r>
          </w:p>
        </w:tc>
        <w:tc>
          <w:tcPr>
            <w:tcW w:w="5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3,445</w:t>
            </w:r>
          </w:p>
        </w:tc>
        <w:tc>
          <w:tcPr>
            <w:tcW w:w="120" w:type="dxa"/>
            <w:vAlign w:val="bottom"/>
            <w:shd w:val="clear" w:color="auto" w:fill="CEFFE7"/>
          </w:tcPr>
          <w:p>
            <w:pPr>
              <w:spacing w:after="0"/>
              <w:rPr>
                <w:sz w:val="19"/>
                <w:szCs w:val="19"/>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w:t>
            </w:r>
          </w:p>
        </w:tc>
        <w:tc>
          <w:tcPr>
            <w:tcW w:w="200" w:type="dxa"/>
            <w:vAlign w:val="bottom"/>
            <w:shd w:val="clear" w:color="auto" w:fill="CEFFE7"/>
          </w:tcPr>
          <w:p>
            <w:pPr>
              <w:spacing w:after="0"/>
              <w:rPr>
                <w:sz w:val="19"/>
                <w:szCs w:val="19"/>
                <w:color w:val="auto"/>
              </w:rPr>
            </w:pPr>
          </w:p>
        </w:tc>
        <w:tc>
          <w:tcPr>
            <w:tcW w:w="1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836</w:t>
            </w:r>
          </w:p>
        </w:tc>
        <w:tc>
          <w:tcPr>
            <w:tcW w:w="16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4,739</w:t>
            </w:r>
          </w:p>
        </w:tc>
      </w:tr>
      <w:tr>
        <w:trPr>
          <w:trHeight w:val="216"/>
        </w:trPr>
        <w:tc>
          <w:tcPr>
            <w:tcW w:w="232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Mining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15,615</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14,052</w:t>
            </w:r>
          </w:p>
        </w:tc>
      </w:tr>
      <w:tr>
        <w:trPr>
          <w:trHeight w:val="235"/>
        </w:trPr>
        <w:tc>
          <w:tcPr>
            <w:tcW w:w="232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56,800</w:t>
            </w:r>
          </w:p>
        </w:tc>
        <w:tc>
          <w:tcPr>
            <w:tcW w:w="560" w:type="dxa"/>
            <w:vAlign w:val="bottom"/>
            <w:tcBorders>
              <w:bottom w:val="single" w:sz="8" w:color="auto"/>
            </w:tcBorders>
            <w:shd w:val="clear" w:color="auto" w:fill="CEFFE7"/>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3,445</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2,741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1,599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64,205</w:t>
            </w:r>
          </w:p>
        </w:tc>
      </w:tr>
      <w:tr>
        <w:trPr>
          <w:trHeight w:val="20"/>
        </w:trPr>
        <w:tc>
          <w:tcPr>
            <w:tcW w:w="23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Liabilities incurred were related to new wind assets.</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52" w:val="left"/>
        </w:tabs>
        <w:numPr>
          <w:ilvl w:val="0"/>
          <w:numId w:val="67"/>
        </w:numPr>
        <w:rPr>
          <w:rFonts w:ascii="Arial" w:cs="Arial" w:eastAsia="Arial" w:hAnsi="Arial"/>
          <w:sz w:val="14"/>
          <w:szCs w:val="14"/>
          <w:color w:val="auto"/>
        </w:rPr>
      </w:pPr>
      <w:r>
        <w:rPr>
          <w:rFonts w:ascii="Arial" w:cs="Arial" w:eastAsia="Arial" w:hAnsi="Arial"/>
          <w:sz w:val="14"/>
          <w:szCs w:val="14"/>
          <w:color w:val="auto"/>
        </w:rPr>
        <w:t>Liabilities incurred were driven by an increase in gas pipeline miles; which increases our legal liability for retirement of gas pipelines, specifically to purge and cap these lines in accordance with Federal regulations.</w:t>
      </w:r>
    </w:p>
    <w:p>
      <w:pPr>
        <w:ind w:left="340" w:right="40" w:hanging="332"/>
        <w:spacing w:after="0" w:line="241" w:lineRule="auto"/>
        <w:tabs>
          <w:tab w:leader="none" w:pos="3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Mining Revisions to Prior Estimates were primarily driven by changes in estimated costs associated with back-filling the pit with overburden removed during the mining process.</w:t>
      </w: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Electric Utilities Revisions to Prior Estimates was primarily driven by an increase in the estimated cost to decommission certain regulated wind farm assets.</w:t>
      </w:r>
    </w:p>
    <w:p>
      <w:pPr>
        <w:spacing w:after="0" w:line="241"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We also have legally required AROs related to certain assets within our electric transmission and distribution systems. These retirement obligations are pursuant to an easement or franchise agreement and are only required if we discontinue our utility service under such easement or franchise agreement. Accordingly, it is not possible to estimate a time period when these obligations could be settled and therefore, a liability for the cost of these obligations cannot be measured at this time.</w:t>
      </w:r>
    </w:p>
    <w:p>
      <w:pPr>
        <w:spacing w:after="0" w:line="200" w:lineRule="exact"/>
        <w:rPr>
          <w:sz w:val="20"/>
          <w:szCs w:val="20"/>
          <w:color w:val="auto"/>
        </w:rPr>
      </w:pPr>
    </w:p>
    <w:p>
      <w:pPr>
        <w:spacing w:after="0" w:line="252"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Lessee</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lease from third parties certain office and operation center facilities, communication tower sites, equipment, and materials storage. Our leases have remaining terms ranging from less than 1 year to 35 years, including options to extend that are reasonably certain to be exercised. We have one immaterial finance lease for communication equipment at the WRDC mine.</w:t>
      </w:r>
    </w:p>
    <w:p>
      <w:pPr>
        <w:spacing w:after="0" w:line="17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Most of our leases do not contain a readily determinable discount rate. Therefore, the present value of future lease payments is generally calculated using our applicable subsidiaries’ incremental borrowing rate (weighted-average of 4.24% as of December 31, 2020).</w:t>
      </w:r>
    </w:p>
    <w:p>
      <w:pPr>
        <w:spacing w:after="0" w:line="15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Leases with an initial term of 12 months or less are classified as short-term leases and are not recognized on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95"/>
        </w:trPr>
        <w:tc>
          <w:tcPr>
            <w:tcW w:w="7760" w:type="dxa"/>
            <w:vAlign w:val="bottom"/>
            <w:gridSpan w:val="4"/>
          </w:tcPr>
          <w:p>
            <w:pPr>
              <w:spacing w:after="0"/>
              <w:rPr>
                <w:sz w:val="20"/>
                <w:szCs w:val="20"/>
                <w:color w:val="auto"/>
              </w:rPr>
            </w:pPr>
            <w:r>
              <w:rPr>
                <w:rFonts w:ascii="Arial" w:cs="Arial" w:eastAsia="Arial" w:hAnsi="Arial"/>
                <w:sz w:val="16"/>
                <w:szCs w:val="16"/>
                <w:color w:val="auto"/>
              </w:rPr>
              <w:t>Lease expense for the year ended December 31 were as follows (in thousands):</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27"/>
        </w:trPr>
        <w:tc>
          <w:tcPr>
            <w:tcW w:w="3660" w:type="dxa"/>
            <w:vAlign w:val="bottom"/>
            <w:tcBorders>
              <w:bottom w:val="single" w:sz="8" w:color="CEFFE7"/>
            </w:tcBorders>
          </w:tcPr>
          <w:p>
            <w:pPr>
              <w:spacing w:after="0"/>
              <w:rPr>
                <w:sz w:val="24"/>
                <w:szCs w:val="24"/>
                <w:color w:val="auto"/>
              </w:rPr>
            </w:pPr>
          </w:p>
        </w:tc>
        <w:tc>
          <w:tcPr>
            <w:tcW w:w="4100" w:type="dxa"/>
            <w:vAlign w:val="bottom"/>
            <w:tcBorders>
              <w:bottom w:val="single" w:sz="8" w:color="auto"/>
            </w:tcBorders>
            <w:gridSpan w:val="3"/>
          </w:tcPr>
          <w:p>
            <w:pPr>
              <w:ind w:left="1200"/>
              <w:spacing w:after="0"/>
              <w:rPr>
                <w:sz w:val="20"/>
                <w:szCs w:val="20"/>
                <w:color w:val="auto"/>
              </w:rPr>
            </w:pPr>
            <w:r>
              <w:rPr>
                <w:rFonts w:ascii="Arial" w:cs="Arial" w:eastAsia="Arial" w:hAnsi="Arial"/>
                <w:sz w:val="16"/>
                <w:szCs w:val="16"/>
                <w:color w:val="auto"/>
              </w:rPr>
              <w:t>Income Statement Location</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2019</w:t>
            </w:r>
          </w:p>
        </w:tc>
      </w:tr>
      <w:tr>
        <w:trPr>
          <w:trHeight w:val="213"/>
        </w:trPr>
        <w:tc>
          <w:tcPr>
            <w:tcW w:w="3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lease cost</w:t>
            </w:r>
          </w:p>
        </w:tc>
        <w:tc>
          <w:tcPr>
            <w:tcW w:w="410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640" w:type="dxa"/>
            <w:vAlign w:val="bottom"/>
            <w:gridSpan w:val="2"/>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EFFE7"/>
          </w:tcPr>
          <w:p>
            <w:pPr>
              <w:spacing w:after="0"/>
              <w:rPr>
                <w:sz w:val="18"/>
                <w:szCs w:val="18"/>
                <w:color w:val="auto"/>
              </w:rPr>
            </w:pPr>
          </w:p>
        </w:tc>
        <w:tc>
          <w:tcPr>
            <w:tcW w:w="560" w:type="dxa"/>
            <w:vAlign w:val="bottom"/>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978</w:t>
            </w:r>
          </w:p>
        </w:tc>
        <w:tc>
          <w:tcPr>
            <w:tcW w:w="240" w:type="dxa"/>
            <w:vAlign w:val="bottom"/>
            <w:shd w:val="clear" w:color="auto" w:fill="CEFFE7"/>
          </w:tcPr>
          <w:p>
            <w:pPr>
              <w:ind w:lef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1,456</w:t>
            </w:r>
          </w:p>
        </w:tc>
      </w:tr>
      <w:tr>
        <w:trPr>
          <w:trHeight w:val="520"/>
        </w:trPr>
        <w:tc>
          <w:tcPr>
            <w:tcW w:w="7760" w:type="dxa"/>
            <w:vAlign w:val="bottom"/>
            <w:gridSpan w:val="4"/>
          </w:tcPr>
          <w:p>
            <w:pPr>
              <w:spacing w:after="0"/>
              <w:rPr>
                <w:sz w:val="20"/>
                <w:szCs w:val="20"/>
                <w:color w:val="auto"/>
              </w:rPr>
            </w:pPr>
            <w:r>
              <w:rPr>
                <w:rFonts w:ascii="Arial" w:cs="Arial" w:eastAsia="Arial" w:hAnsi="Arial"/>
                <w:sz w:val="16"/>
                <w:szCs w:val="16"/>
                <w:color w:val="auto"/>
              </w:rPr>
              <w:t>Supplemental balance sheet information related to leases as of December 31 was as follows (in thousands):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7"/>
        </w:trPr>
        <w:tc>
          <w:tcPr>
            <w:tcW w:w="3660" w:type="dxa"/>
            <w:vAlign w:val="bottom"/>
            <w:tcBorders>
              <w:bottom w:val="single" w:sz="8" w:color="CEFFE7"/>
            </w:tcBorders>
          </w:tcPr>
          <w:p>
            <w:pPr>
              <w:spacing w:after="0"/>
              <w:rPr>
                <w:sz w:val="24"/>
                <w:szCs w:val="24"/>
                <w:color w:val="auto"/>
              </w:rPr>
            </w:pPr>
          </w:p>
        </w:tc>
        <w:tc>
          <w:tcPr>
            <w:tcW w:w="4100" w:type="dxa"/>
            <w:vAlign w:val="bottom"/>
            <w:tcBorders>
              <w:bottom w:val="single" w:sz="8" w:color="auto"/>
            </w:tcBorders>
            <w:gridSpan w:val="3"/>
          </w:tcPr>
          <w:p>
            <w:pPr>
              <w:ind w:left="1320"/>
              <w:spacing w:after="0"/>
              <w:rPr>
                <w:sz w:val="20"/>
                <w:szCs w:val="20"/>
                <w:color w:val="auto"/>
              </w:rPr>
            </w:pPr>
            <w:r>
              <w:rPr>
                <w:rFonts w:ascii="Arial" w:cs="Arial" w:eastAsia="Arial" w:hAnsi="Arial"/>
                <w:sz w:val="16"/>
                <w:szCs w:val="16"/>
                <w:color w:val="auto"/>
              </w:rPr>
              <w:t>Balance Sheet Location</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2019</w:t>
            </w:r>
          </w:p>
        </w:tc>
      </w:tr>
      <w:tr>
        <w:trPr>
          <w:trHeight w:val="199"/>
        </w:trPr>
        <w:tc>
          <w:tcPr>
            <w:tcW w:w="3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Assets:</w:t>
            </w:r>
          </w:p>
        </w:tc>
        <w:tc>
          <w:tcPr>
            <w:tcW w:w="30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64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1400" w:type="dxa"/>
            <w:vAlign w:val="bottom"/>
            <w:shd w:val="clear" w:color="auto" w:fill="CEFFE7"/>
          </w:tcPr>
          <w:p>
            <w:pPr>
              <w:spacing w:after="0"/>
              <w:rPr>
                <w:sz w:val="17"/>
                <w:szCs w:val="17"/>
                <w:color w:val="auto"/>
              </w:rPr>
            </w:pPr>
          </w:p>
        </w:tc>
      </w:tr>
      <w:tr>
        <w:trPr>
          <w:trHeight w:val="213"/>
        </w:trPr>
        <w:tc>
          <w:tcPr>
            <w:tcW w:w="3660" w:type="dxa"/>
            <w:vAlign w:val="bottom"/>
            <w:tcBorders>
              <w:bottom w:val="single" w:sz="8" w:color="CEFFE7"/>
            </w:tcBorders>
          </w:tcPr>
          <w:p>
            <w:pPr>
              <w:ind w:left="220"/>
              <w:spacing w:after="0"/>
              <w:rPr>
                <w:sz w:val="20"/>
                <w:szCs w:val="20"/>
                <w:color w:val="auto"/>
              </w:rPr>
            </w:pPr>
            <w:r>
              <w:rPr>
                <w:rFonts w:ascii="Arial" w:cs="Arial" w:eastAsia="Arial" w:hAnsi="Arial"/>
                <w:sz w:val="16"/>
                <w:szCs w:val="16"/>
                <w:color w:val="auto"/>
              </w:rPr>
              <w:t>Operating lease assets</w:t>
            </w:r>
          </w:p>
        </w:tc>
        <w:tc>
          <w:tcPr>
            <w:tcW w:w="410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Other assets, non-current</w:t>
            </w:r>
          </w:p>
        </w:tc>
        <w:tc>
          <w:tcPr>
            <w:tcW w:w="260" w:type="dxa"/>
            <w:vAlign w:val="bottom"/>
            <w:tcBorders>
              <w:bottom w:val="single" w:sz="8" w:color="CEFFE7"/>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4,188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4,629</w:t>
            </w:r>
          </w:p>
        </w:tc>
      </w:tr>
      <w:tr>
        <w:trPr>
          <w:trHeight w:val="233"/>
        </w:trPr>
        <w:tc>
          <w:tcPr>
            <w:tcW w:w="3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lease assets</w:t>
            </w:r>
          </w:p>
        </w:tc>
        <w:tc>
          <w:tcPr>
            <w:tcW w:w="302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640" w:type="dxa"/>
            <w:vAlign w:val="bottom"/>
            <w:gridSpan w:val="2"/>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EFFE7"/>
          </w:tcPr>
          <w:p>
            <w:pPr>
              <w:spacing w:after="0"/>
              <w:rPr>
                <w:sz w:val="20"/>
                <w:szCs w:val="20"/>
                <w:color w:val="auto"/>
              </w:rPr>
            </w:pPr>
          </w:p>
        </w:tc>
        <w:tc>
          <w:tcPr>
            <w:tcW w:w="560" w:type="dxa"/>
            <w:vAlign w:val="bottom"/>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4,188</w:t>
            </w:r>
          </w:p>
        </w:tc>
        <w:tc>
          <w:tcPr>
            <w:tcW w:w="240" w:type="dxa"/>
            <w:vAlign w:val="bottom"/>
            <w:shd w:val="clear" w:color="auto" w:fill="CEFFE7"/>
          </w:tcPr>
          <w:p>
            <w:pPr>
              <w:ind w:lef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4,629</w:t>
            </w:r>
          </w:p>
        </w:tc>
      </w:tr>
      <w:tr>
        <w:trPr>
          <w:trHeight w:val="20"/>
        </w:trPr>
        <w:tc>
          <w:tcPr>
            <w:tcW w:w="3660" w:type="dxa"/>
            <w:vAlign w:val="bottom"/>
            <w:tcBorders>
              <w:top w:val="single" w:sz="8" w:color="CEFFE7"/>
            </w:tcBorders>
          </w:tcPr>
          <w:p>
            <w:pPr>
              <w:spacing w:after="0" w:line="20" w:lineRule="exact"/>
              <w:rPr>
                <w:sz w:val="1"/>
                <w:szCs w:val="1"/>
                <w:color w:val="auto"/>
              </w:rPr>
            </w:pPr>
          </w:p>
        </w:tc>
        <w:tc>
          <w:tcPr>
            <w:tcW w:w="30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9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Liabilities:</w:t>
            </w:r>
          </w:p>
        </w:tc>
        <w:tc>
          <w:tcPr>
            <w:tcW w:w="30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64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r>
      <w:tr>
        <w:trPr>
          <w:trHeight w:val="213"/>
        </w:trPr>
        <w:tc>
          <w:tcPr>
            <w:tcW w:w="3660" w:type="dxa"/>
            <w:vAlign w:val="bottom"/>
          </w:tcPr>
          <w:p>
            <w:pPr>
              <w:ind w:left="140"/>
              <w:spacing w:after="0"/>
              <w:rPr>
                <w:sz w:val="20"/>
                <w:szCs w:val="20"/>
                <w:color w:val="auto"/>
              </w:rPr>
            </w:pPr>
            <w:r>
              <w:rPr>
                <w:rFonts w:ascii="Arial" w:cs="Arial" w:eastAsia="Arial" w:hAnsi="Arial"/>
                <w:sz w:val="16"/>
                <w:szCs w:val="16"/>
                <w:color w:val="auto"/>
              </w:rPr>
              <w:t>Current:</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36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Operating leases</w:t>
            </w:r>
          </w:p>
        </w:tc>
        <w:tc>
          <w:tcPr>
            <w:tcW w:w="410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Accrued liabilities</w:t>
            </w:r>
          </w:p>
        </w:tc>
        <w:tc>
          <w:tcPr>
            <w:tcW w:w="640" w:type="dxa"/>
            <w:vAlign w:val="bottom"/>
            <w:gridSpan w:val="2"/>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EFFE7"/>
          </w:tcPr>
          <w:p>
            <w:pPr>
              <w:spacing w:after="0"/>
              <w:rPr>
                <w:sz w:val="19"/>
                <w:szCs w:val="19"/>
                <w:color w:val="auto"/>
              </w:rPr>
            </w:pPr>
          </w:p>
        </w:tc>
        <w:tc>
          <w:tcPr>
            <w:tcW w:w="560" w:type="dxa"/>
            <w:vAlign w:val="bottom"/>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736</w:t>
            </w:r>
          </w:p>
        </w:tc>
        <w:tc>
          <w:tcPr>
            <w:tcW w:w="240" w:type="dxa"/>
            <w:vAlign w:val="bottom"/>
            <w:shd w:val="clear" w:color="auto" w:fill="CEFFE7"/>
          </w:tcPr>
          <w:p>
            <w:pPr>
              <w:ind w:lef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1,179</w:t>
            </w:r>
          </w:p>
        </w:tc>
      </w:tr>
      <w:tr>
        <w:trPr>
          <w:trHeight w:val="270"/>
        </w:trPr>
        <w:tc>
          <w:tcPr>
            <w:tcW w:w="36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16"/>
        </w:trPr>
        <w:tc>
          <w:tcPr>
            <w:tcW w:w="36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Noncurrent:</w:t>
            </w:r>
          </w:p>
        </w:tc>
        <w:tc>
          <w:tcPr>
            <w:tcW w:w="30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64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r>
      <w:tr>
        <w:trPr>
          <w:trHeight w:val="213"/>
        </w:trPr>
        <w:tc>
          <w:tcPr>
            <w:tcW w:w="3660" w:type="dxa"/>
            <w:vAlign w:val="bottom"/>
            <w:tcBorders>
              <w:bottom w:val="single" w:sz="8" w:color="CEFFE7"/>
            </w:tcBorders>
          </w:tcPr>
          <w:p>
            <w:pPr>
              <w:ind w:left="220"/>
              <w:spacing w:after="0"/>
              <w:rPr>
                <w:sz w:val="20"/>
                <w:szCs w:val="20"/>
                <w:color w:val="auto"/>
              </w:rPr>
            </w:pPr>
            <w:r>
              <w:rPr>
                <w:rFonts w:ascii="Arial" w:cs="Arial" w:eastAsia="Arial" w:hAnsi="Arial"/>
                <w:sz w:val="16"/>
                <w:szCs w:val="16"/>
                <w:color w:val="auto"/>
              </w:rPr>
              <w:t>Operating leases</w:t>
            </w:r>
          </w:p>
        </w:tc>
        <w:tc>
          <w:tcPr>
            <w:tcW w:w="410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60" w:type="dxa"/>
            <w:vAlign w:val="bottom"/>
            <w:tcBorders>
              <w:bottom w:val="single" w:sz="8" w:color="CEFFE7"/>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3,807</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3,821</w:t>
            </w:r>
          </w:p>
        </w:tc>
      </w:tr>
      <w:tr>
        <w:trPr>
          <w:trHeight w:val="232"/>
        </w:trPr>
        <w:tc>
          <w:tcPr>
            <w:tcW w:w="36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lease liabilities</w:t>
            </w:r>
          </w:p>
        </w:tc>
        <w:tc>
          <w:tcPr>
            <w:tcW w:w="302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EFFE7"/>
          </w:tcPr>
          <w:p>
            <w:pPr>
              <w:spacing w:after="0"/>
              <w:rPr>
                <w:sz w:val="20"/>
                <w:szCs w:val="20"/>
                <w:color w:val="auto"/>
              </w:rPr>
            </w:pPr>
          </w:p>
        </w:tc>
        <w:tc>
          <w:tcPr>
            <w:tcW w:w="56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4,543</w:t>
            </w:r>
          </w:p>
        </w:tc>
        <w:tc>
          <w:tcPr>
            <w:tcW w:w="24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5,000</w:t>
            </w:r>
          </w:p>
        </w:tc>
      </w:tr>
      <w:tr>
        <w:trPr>
          <w:trHeight w:val="20"/>
        </w:trPr>
        <w:tc>
          <w:tcPr>
            <w:tcW w:w="6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08"/>
        </w:trPr>
        <w:tc>
          <w:tcPr>
            <w:tcW w:w="8400" w:type="dxa"/>
            <w:vAlign w:val="bottom"/>
            <w:gridSpan w:val="6"/>
          </w:tcPr>
          <w:p>
            <w:pPr>
              <w:spacing w:after="0"/>
              <w:rPr>
                <w:sz w:val="20"/>
                <w:szCs w:val="20"/>
                <w:color w:val="auto"/>
              </w:rPr>
            </w:pPr>
            <w:r>
              <w:rPr>
                <w:rFonts w:ascii="Arial" w:cs="Arial" w:eastAsia="Arial" w:hAnsi="Arial"/>
                <w:sz w:val="16"/>
                <w:szCs w:val="16"/>
                <w:color w:val="auto"/>
              </w:rPr>
              <w:t>Supplemental cash flow information related to leases for the year ended December 31 was as follows (in thousands):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13"/>
        </w:trPr>
        <w:tc>
          <w:tcPr>
            <w:tcW w:w="3660" w:type="dxa"/>
            <w:vAlign w:val="bottom"/>
            <w:tcBorders>
              <w:bottom w:val="single" w:sz="8" w:color="CEFFE7"/>
            </w:tcBorders>
          </w:tcPr>
          <w:p>
            <w:pPr>
              <w:spacing w:after="0"/>
              <w:rPr>
                <w:sz w:val="24"/>
                <w:szCs w:val="24"/>
                <w:color w:val="auto"/>
              </w:rPr>
            </w:pPr>
          </w:p>
        </w:tc>
        <w:tc>
          <w:tcPr>
            <w:tcW w:w="3020" w:type="dxa"/>
            <w:vAlign w:val="bottom"/>
            <w:tcBorders>
              <w:bottom w:val="single" w:sz="8" w:color="CEFFE7"/>
            </w:tcBorders>
          </w:tcPr>
          <w:p>
            <w:pPr>
              <w:spacing w:after="0"/>
              <w:rPr>
                <w:sz w:val="24"/>
                <w:szCs w:val="24"/>
                <w:color w:val="auto"/>
              </w:rPr>
            </w:pPr>
          </w:p>
        </w:tc>
        <w:tc>
          <w:tcPr>
            <w:tcW w:w="160" w:type="dxa"/>
            <w:vAlign w:val="bottom"/>
            <w:tcBorders>
              <w:bottom w:val="single" w:sz="8" w:color="CEFFE7"/>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w w:val="95"/>
              </w:rPr>
              <w:t>2020</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2019</w:t>
            </w:r>
          </w:p>
        </w:tc>
      </w:tr>
      <w:tr>
        <w:trPr>
          <w:trHeight w:val="199"/>
        </w:trPr>
        <w:tc>
          <w:tcPr>
            <w:tcW w:w="776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Cash paid included in the measurement of lease liabilities:</w:t>
            </w:r>
          </w:p>
        </w:tc>
        <w:tc>
          <w:tcPr>
            <w:tcW w:w="26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64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1400" w:type="dxa"/>
            <w:vAlign w:val="bottom"/>
            <w:shd w:val="clear" w:color="auto" w:fill="CEFFE7"/>
          </w:tcPr>
          <w:p>
            <w:pPr>
              <w:spacing w:after="0"/>
              <w:rPr>
                <w:sz w:val="17"/>
                <w:szCs w:val="17"/>
                <w:color w:val="auto"/>
              </w:rPr>
            </w:pPr>
          </w:p>
        </w:tc>
      </w:tr>
      <w:tr>
        <w:trPr>
          <w:trHeight w:val="213"/>
        </w:trPr>
        <w:tc>
          <w:tcPr>
            <w:tcW w:w="366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4100" w:type="dxa"/>
            <w:vAlign w:val="bottom"/>
            <w:gridSpan w:val="3"/>
          </w:tcPr>
          <w:p>
            <w:pPr>
              <w:ind w:left="3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1,263</w:t>
            </w:r>
          </w:p>
        </w:tc>
      </w:tr>
      <w:tr>
        <w:trPr>
          <w:trHeight w:val="219"/>
        </w:trPr>
        <w:tc>
          <w:tcPr>
            <w:tcW w:w="776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6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r>
      <w:tr>
        <w:trPr>
          <w:trHeight w:val="210"/>
        </w:trPr>
        <w:tc>
          <w:tcPr>
            <w:tcW w:w="3660" w:type="dxa"/>
            <w:vAlign w:val="bottom"/>
          </w:tcPr>
          <w:p>
            <w:pPr>
              <w:ind w:left="220"/>
              <w:spacing w:after="0"/>
              <w:rPr>
                <w:sz w:val="20"/>
                <w:szCs w:val="20"/>
                <w:color w:val="auto"/>
              </w:rPr>
            </w:pPr>
            <w:r>
              <w:rPr>
                <w:rFonts w:ascii="Arial" w:cs="Arial" w:eastAsia="Arial" w:hAnsi="Arial"/>
                <w:sz w:val="16"/>
                <w:szCs w:val="16"/>
                <w:color w:val="auto"/>
              </w:rPr>
              <w:t>Operating leases</w:t>
            </w:r>
          </w:p>
        </w:tc>
        <w:tc>
          <w:tcPr>
            <w:tcW w:w="4100" w:type="dxa"/>
            <w:vAlign w:val="bottom"/>
            <w:gridSpan w:val="3"/>
          </w:tcPr>
          <w:p>
            <w:pPr>
              <w:ind w:left="3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center"/>
              <w:ind w:left="139"/>
              <w:spacing w:after="0"/>
              <w:rPr>
                <w:sz w:val="20"/>
                <w:szCs w:val="20"/>
                <w:color w:val="auto"/>
              </w:rPr>
            </w:pPr>
            <w:r>
              <w:rPr>
                <w:rFonts w:ascii="Arial" w:cs="Arial" w:eastAsia="Arial" w:hAnsi="Arial"/>
                <w:sz w:val="16"/>
                <w:szCs w:val="16"/>
                <w:color w:val="auto"/>
                <w:w w:val="97"/>
              </w:rPr>
              <w:t>161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2,801</w:t>
            </w:r>
          </w:p>
        </w:tc>
      </w:tr>
      <w:tr>
        <w:trPr>
          <w:trHeight w:val="540"/>
        </w:trPr>
        <w:tc>
          <w:tcPr>
            <w:tcW w:w="7760" w:type="dxa"/>
            <w:vAlign w:val="bottom"/>
            <w:gridSpan w:val="4"/>
          </w:tcPr>
          <w:p>
            <w:pPr>
              <w:spacing w:after="0"/>
              <w:rPr>
                <w:sz w:val="20"/>
                <w:szCs w:val="20"/>
                <w:color w:val="auto"/>
              </w:rPr>
            </w:pPr>
            <w:r>
              <w:rPr>
                <w:rFonts w:ascii="Arial" w:cs="Arial" w:eastAsia="Arial" w:hAnsi="Arial"/>
                <w:sz w:val="16"/>
                <w:szCs w:val="16"/>
                <w:color w:val="auto"/>
              </w:rPr>
              <w:t>Weighted average remaining terms and discount rates related to leases as of December 31 were as follows: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7"/>
        </w:trPr>
        <w:tc>
          <w:tcPr>
            <w:tcW w:w="3660" w:type="dxa"/>
            <w:vAlign w:val="bottom"/>
          </w:tcPr>
          <w:p>
            <w:pPr>
              <w:spacing w:after="0"/>
              <w:rPr>
                <w:sz w:val="24"/>
                <w:szCs w:val="24"/>
                <w:color w:val="auto"/>
              </w:rPr>
            </w:pPr>
          </w:p>
        </w:tc>
        <w:tc>
          <w:tcPr>
            <w:tcW w:w="4360" w:type="dxa"/>
            <w:vAlign w:val="bottom"/>
            <w:gridSpan w:val="4"/>
          </w:tcPr>
          <w:p>
            <w:pPr>
              <w:ind w:left="3980"/>
              <w:spacing w:after="0"/>
              <w:rPr>
                <w:sz w:val="20"/>
                <w:szCs w:val="20"/>
                <w:color w:val="auto"/>
              </w:rPr>
            </w:pPr>
            <w:r>
              <w:rPr>
                <w:rFonts w:ascii="Arial" w:cs="Arial" w:eastAsia="Arial" w:hAnsi="Arial"/>
                <w:sz w:val="16"/>
                <w:szCs w:val="16"/>
                <w:color w:val="auto"/>
              </w:rPr>
              <w:t>2020</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879"/>
              <w:spacing w:after="0"/>
              <w:rPr>
                <w:sz w:val="20"/>
                <w:szCs w:val="20"/>
                <w:color w:val="auto"/>
              </w:rPr>
            </w:pPr>
            <w:r>
              <w:rPr>
                <w:rFonts w:ascii="Arial" w:cs="Arial" w:eastAsia="Arial" w:hAnsi="Arial"/>
                <w:sz w:val="16"/>
                <w:szCs w:val="16"/>
                <w:color w:val="auto"/>
              </w:rPr>
              <w:t>2019</w:t>
            </w:r>
          </w:p>
        </w:tc>
      </w:tr>
      <w:tr>
        <w:trPr>
          <w:trHeight w:val="199"/>
        </w:trPr>
        <w:tc>
          <w:tcPr>
            <w:tcW w:w="36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Weighted average remaining lease term:</w:t>
            </w:r>
          </w:p>
        </w:tc>
        <w:tc>
          <w:tcPr>
            <w:tcW w:w="3020" w:type="dxa"/>
            <w:vAlign w:val="bottom"/>
            <w:tcBorders>
              <w:top w:val="single" w:sz="8" w:color="CEFFE7"/>
            </w:tcBorders>
            <w:shd w:val="clear" w:color="auto" w:fill="CEFFE7"/>
          </w:tcPr>
          <w:p>
            <w:pPr>
              <w:spacing w:after="0"/>
              <w:rPr>
                <w:sz w:val="17"/>
                <w:szCs w:val="17"/>
                <w:color w:val="auto"/>
              </w:rPr>
            </w:pPr>
          </w:p>
        </w:tc>
        <w:tc>
          <w:tcPr>
            <w:tcW w:w="160" w:type="dxa"/>
            <w:vAlign w:val="bottom"/>
            <w:tcBorders>
              <w:top w:val="single" w:sz="8" w:color="auto"/>
            </w:tcBorders>
            <w:shd w:val="clear" w:color="auto" w:fill="CEFFE7"/>
          </w:tcPr>
          <w:p>
            <w:pPr>
              <w:spacing w:after="0"/>
              <w:rPr>
                <w:sz w:val="17"/>
                <w:szCs w:val="17"/>
                <w:color w:val="auto"/>
              </w:rPr>
            </w:pPr>
          </w:p>
        </w:tc>
        <w:tc>
          <w:tcPr>
            <w:tcW w:w="920" w:type="dxa"/>
            <w:vAlign w:val="bottom"/>
            <w:tcBorders>
              <w:top w:val="single" w:sz="8" w:color="auto"/>
            </w:tcBorders>
            <w:shd w:val="clear" w:color="auto" w:fill="CEFFE7"/>
          </w:tcPr>
          <w:p>
            <w:pPr>
              <w:spacing w:after="0"/>
              <w:rPr>
                <w:sz w:val="17"/>
                <w:szCs w:val="17"/>
                <w:color w:val="auto"/>
              </w:rPr>
            </w:pPr>
          </w:p>
        </w:tc>
        <w:tc>
          <w:tcPr>
            <w:tcW w:w="260" w:type="dxa"/>
            <w:vAlign w:val="bottom"/>
            <w:tcBorders>
              <w:top w:val="single" w:sz="8" w:color="auto"/>
            </w:tcBorders>
            <w:shd w:val="clear" w:color="auto" w:fill="CEFFE7"/>
          </w:tcPr>
          <w:p>
            <w:pPr>
              <w:spacing w:after="0"/>
              <w:rPr>
                <w:sz w:val="17"/>
                <w:szCs w:val="17"/>
                <w:color w:val="auto"/>
              </w:rPr>
            </w:pPr>
          </w:p>
        </w:tc>
        <w:tc>
          <w:tcPr>
            <w:tcW w:w="380" w:type="dxa"/>
            <w:vAlign w:val="bottom"/>
            <w:tcBorders>
              <w:top w:val="single" w:sz="8" w:color="auto"/>
            </w:tcBorders>
            <w:shd w:val="clear" w:color="auto" w:fill="CEFFE7"/>
          </w:tcPr>
          <w:p>
            <w:pPr>
              <w:spacing w:after="0"/>
              <w:rPr>
                <w:sz w:val="17"/>
                <w:szCs w:val="17"/>
                <w:color w:val="auto"/>
              </w:rPr>
            </w:pPr>
          </w:p>
        </w:tc>
        <w:tc>
          <w:tcPr>
            <w:tcW w:w="640" w:type="dxa"/>
            <w:vAlign w:val="bottom"/>
            <w:tcBorders>
              <w:top w:val="single" w:sz="8" w:color="auto"/>
            </w:tcBorders>
            <w:shd w:val="clear" w:color="auto" w:fill="CEFFE7"/>
          </w:tcPr>
          <w:p>
            <w:pPr>
              <w:spacing w:after="0"/>
              <w:rPr>
                <w:sz w:val="17"/>
                <w:szCs w:val="17"/>
                <w:color w:val="auto"/>
              </w:rPr>
            </w:pPr>
          </w:p>
        </w:tc>
        <w:tc>
          <w:tcPr>
            <w:tcW w:w="340" w:type="dxa"/>
            <w:vAlign w:val="bottom"/>
            <w:tcBorders>
              <w:top w:val="single" w:sz="8" w:color="auto"/>
            </w:tcBorders>
            <w:shd w:val="clear" w:color="auto" w:fill="CEFFE7"/>
          </w:tcPr>
          <w:p>
            <w:pPr>
              <w:spacing w:after="0"/>
              <w:rPr>
                <w:sz w:val="17"/>
                <w:szCs w:val="17"/>
                <w:color w:val="auto"/>
              </w:rPr>
            </w:pPr>
          </w:p>
        </w:tc>
        <w:tc>
          <w:tcPr>
            <w:tcW w:w="220" w:type="dxa"/>
            <w:vAlign w:val="bottom"/>
            <w:tcBorders>
              <w:top w:val="single" w:sz="8" w:color="auto"/>
            </w:tcBorders>
            <w:shd w:val="clear" w:color="auto" w:fill="CEFFE7"/>
          </w:tcPr>
          <w:p>
            <w:pPr>
              <w:spacing w:after="0"/>
              <w:rPr>
                <w:sz w:val="17"/>
                <w:szCs w:val="17"/>
                <w:color w:val="auto"/>
              </w:rPr>
            </w:pPr>
          </w:p>
        </w:tc>
        <w:tc>
          <w:tcPr>
            <w:tcW w:w="240" w:type="dxa"/>
            <w:vAlign w:val="bottom"/>
            <w:tcBorders>
              <w:top w:val="single" w:sz="8" w:color="auto"/>
            </w:tcBorders>
            <w:shd w:val="clear" w:color="auto" w:fill="CEFFE7"/>
          </w:tcPr>
          <w:p>
            <w:pPr>
              <w:spacing w:after="0"/>
              <w:rPr>
                <w:sz w:val="17"/>
                <w:szCs w:val="17"/>
                <w:color w:val="auto"/>
              </w:rPr>
            </w:pPr>
          </w:p>
        </w:tc>
        <w:tc>
          <w:tcPr>
            <w:tcW w:w="1400" w:type="dxa"/>
            <w:vAlign w:val="bottom"/>
            <w:tcBorders>
              <w:top w:val="single" w:sz="8" w:color="auto"/>
            </w:tcBorders>
            <w:shd w:val="clear" w:color="auto" w:fill="CEFFE7"/>
          </w:tcPr>
          <w:p>
            <w:pPr>
              <w:spacing w:after="0"/>
              <w:rPr>
                <w:sz w:val="17"/>
                <w:szCs w:val="17"/>
                <w:color w:val="auto"/>
              </w:rPr>
            </w:pPr>
          </w:p>
        </w:tc>
      </w:tr>
      <w:tr>
        <w:trPr>
          <w:trHeight w:val="213"/>
        </w:trPr>
        <w:tc>
          <w:tcPr>
            <w:tcW w:w="366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9"/>
              </w:rPr>
              <w:t>8 years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 years</w:t>
            </w:r>
          </w:p>
        </w:tc>
      </w:tr>
      <w:tr>
        <w:trPr>
          <w:trHeight w:val="273"/>
        </w:trPr>
        <w:tc>
          <w:tcPr>
            <w:tcW w:w="3660" w:type="dxa"/>
            <w:vAlign w:val="bottom"/>
            <w:shd w:val="clear" w:color="auto" w:fill="CEFFE7"/>
          </w:tcPr>
          <w:p>
            <w:pPr>
              <w:spacing w:after="0"/>
              <w:rPr>
                <w:sz w:val="23"/>
                <w:szCs w:val="23"/>
                <w:color w:val="auto"/>
              </w:rPr>
            </w:pPr>
          </w:p>
        </w:tc>
        <w:tc>
          <w:tcPr>
            <w:tcW w:w="30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92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64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36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Operating leases</w:t>
            </w:r>
          </w:p>
        </w:tc>
        <w:tc>
          <w:tcPr>
            <w:tcW w:w="30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4.24 %</w:t>
            </w:r>
          </w:p>
        </w:tc>
        <w:tc>
          <w:tcPr>
            <w:tcW w:w="3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4.27 %</w:t>
            </w:r>
          </w:p>
        </w:tc>
      </w:tr>
      <w:tr>
        <w:trPr>
          <w:trHeight w:val="520"/>
        </w:trPr>
        <w:tc>
          <w:tcPr>
            <w:tcW w:w="8400" w:type="dxa"/>
            <w:vAlign w:val="bottom"/>
            <w:gridSpan w:val="6"/>
          </w:tcPr>
          <w:p>
            <w:pPr>
              <w:spacing w:after="0"/>
              <w:rPr>
                <w:sz w:val="20"/>
                <w:szCs w:val="20"/>
                <w:color w:val="auto"/>
              </w:rPr>
            </w:pPr>
            <w:r>
              <w:rPr>
                <w:rFonts w:ascii="Arial" w:cs="Arial" w:eastAsia="Arial" w:hAnsi="Arial"/>
                <w:sz w:val="16"/>
                <w:szCs w:val="16"/>
                <w:color w:val="auto"/>
              </w:rPr>
              <w:t>As of December 31, 2020, scheduled maturities of lease liabilities for future years were as follows (in thousands):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7"/>
        </w:trPr>
        <w:tc>
          <w:tcPr>
            <w:tcW w:w="3660" w:type="dxa"/>
            <w:vAlign w:val="bottom"/>
            <w:tcBorders>
              <w:bottom w:val="single" w:sz="8" w:color="CEFFE7"/>
            </w:tcBorders>
          </w:tcPr>
          <w:p>
            <w:pPr>
              <w:spacing w:after="0"/>
              <w:rPr>
                <w:sz w:val="24"/>
                <w:szCs w:val="24"/>
                <w:color w:val="auto"/>
              </w:rPr>
            </w:pPr>
          </w:p>
        </w:tc>
        <w:tc>
          <w:tcPr>
            <w:tcW w:w="3020" w:type="dxa"/>
            <w:vAlign w:val="bottom"/>
            <w:tcBorders>
              <w:bottom w:val="single" w:sz="8" w:color="CEFFE7"/>
            </w:tcBorders>
          </w:tcPr>
          <w:p>
            <w:pPr>
              <w:spacing w:after="0"/>
              <w:rPr>
                <w:sz w:val="24"/>
                <w:szCs w:val="24"/>
                <w:color w:val="auto"/>
              </w:rPr>
            </w:pPr>
          </w:p>
        </w:tc>
        <w:tc>
          <w:tcPr>
            <w:tcW w:w="160" w:type="dxa"/>
            <w:vAlign w:val="bottom"/>
            <w:tcBorders>
              <w:bottom w:val="single" w:sz="8" w:color="CEFFE7"/>
            </w:tcBorders>
          </w:tcPr>
          <w:p>
            <w:pPr>
              <w:spacing w:after="0"/>
              <w:rPr>
                <w:sz w:val="24"/>
                <w:szCs w:val="24"/>
                <w:color w:val="auto"/>
              </w:rPr>
            </w:pPr>
          </w:p>
        </w:tc>
        <w:tc>
          <w:tcPr>
            <w:tcW w:w="920" w:type="dxa"/>
            <w:vAlign w:val="bottom"/>
            <w:tcBorders>
              <w:bottom w:val="single" w:sz="8" w:color="CEFFE7"/>
            </w:tcBorders>
          </w:tcPr>
          <w:p>
            <w:pPr>
              <w:spacing w:after="0"/>
              <w:rPr>
                <w:sz w:val="24"/>
                <w:szCs w:val="24"/>
                <w:color w:val="auto"/>
              </w:rPr>
            </w:pPr>
          </w:p>
        </w:tc>
        <w:tc>
          <w:tcPr>
            <w:tcW w:w="260" w:type="dxa"/>
            <w:vAlign w:val="bottom"/>
            <w:tcBorders>
              <w:bottom w:val="single" w:sz="8" w:color="CEFFE7"/>
            </w:tcBorders>
          </w:tcPr>
          <w:p>
            <w:pPr>
              <w:spacing w:after="0"/>
              <w:rPr>
                <w:sz w:val="24"/>
                <w:szCs w:val="24"/>
                <w:color w:val="auto"/>
              </w:rPr>
            </w:pPr>
          </w:p>
        </w:tc>
        <w:tc>
          <w:tcPr>
            <w:tcW w:w="380" w:type="dxa"/>
            <w:vAlign w:val="bottom"/>
            <w:tcBorders>
              <w:bottom w:val="single" w:sz="8" w:color="CEFFE7"/>
            </w:tcBorders>
          </w:tcPr>
          <w:p>
            <w:pPr>
              <w:spacing w:after="0"/>
              <w:rPr>
                <w:sz w:val="24"/>
                <w:szCs w:val="24"/>
                <w:color w:val="auto"/>
              </w:rPr>
            </w:pPr>
          </w:p>
        </w:tc>
        <w:tc>
          <w:tcPr>
            <w:tcW w:w="640" w:type="dxa"/>
            <w:vAlign w:val="bottom"/>
            <w:tcBorders>
              <w:bottom w:val="single" w:sz="8" w:color="CEFFE7"/>
            </w:tcBorders>
          </w:tcPr>
          <w:p>
            <w:pPr>
              <w:spacing w:after="0"/>
              <w:rPr>
                <w:sz w:val="24"/>
                <w:szCs w:val="24"/>
                <w:color w:val="auto"/>
              </w:rPr>
            </w:pPr>
          </w:p>
        </w:tc>
        <w:tc>
          <w:tcPr>
            <w:tcW w:w="340" w:type="dxa"/>
            <w:vAlign w:val="bottom"/>
            <w:tcBorders>
              <w:bottom w:val="single" w:sz="8" w:color="CEFFE7"/>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Operating Leases</w:t>
            </w:r>
          </w:p>
        </w:tc>
      </w:tr>
      <w:tr>
        <w:trPr>
          <w:trHeight w:val="212"/>
        </w:trPr>
        <w:tc>
          <w:tcPr>
            <w:tcW w:w="3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2021</w:t>
            </w:r>
          </w:p>
        </w:tc>
        <w:tc>
          <w:tcPr>
            <w:tcW w:w="30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640" w:type="dxa"/>
            <w:vAlign w:val="bottom"/>
            <w:shd w:val="clear" w:color="auto" w:fill="CEFFE7"/>
          </w:tcPr>
          <w:p>
            <w:pPr>
              <w:spacing w:after="0"/>
              <w:rPr>
                <w:sz w:val="18"/>
                <w:szCs w:val="18"/>
                <w:color w:val="auto"/>
              </w:rPr>
            </w:pPr>
          </w:p>
        </w:tc>
        <w:tc>
          <w:tcPr>
            <w:tcW w:w="560" w:type="dxa"/>
            <w:vAlign w:val="bottom"/>
            <w:gridSpan w:val="2"/>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907</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2022</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219"/>
        </w:trPr>
        <w:tc>
          <w:tcPr>
            <w:tcW w:w="3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2023</w:t>
            </w:r>
          </w:p>
        </w:tc>
        <w:tc>
          <w:tcPr>
            <w:tcW w:w="30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779</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2024</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219"/>
        </w:trPr>
        <w:tc>
          <w:tcPr>
            <w:tcW w:w="3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2025</w:t>
            </w:r>
          </w:p>
        </w:tc>
        <w:tc>
          <w:tcPr>
            <w:tcW w:w="30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529</w:t>
            </w:r>
          </w:p>
        </w:tc>
      </w:tr>
      <w:tr>
        <w:trPr>
          <w:trHeight w:val="213"/>
        </w:trPr>
        <w:tc>
          <w:tcPr>
            <w:tcW w:w="36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Thereafter</w:t>
            </w:r>
          </w:p>
        </w:tc>
        <w:tc>
          <w:tcPr>
            <w:tcW w:w="3020" w:type="dxa"/>
            <w:vAlign w:val="bottom"/>
            <w:tcBorders>
              <w:bottom w:val="single" w:sz="8" w:color="CEFFE7"/>
            </w:tcBorders>
          </w:tcPr>
          <w:p>
            <w:pPr>
              <w:spacing w:after="0"/>
              <w:rPr>
                <w:sz w:val="18"/>
                <w:szCs w:val="18"/>
                <w:color w:val="auto"/>
              </w:rPr>
            </w:pPr>
          </w:p>
        </w:tc>
        <w:tc>
          <w:tcPr>
            <w:tcW w:w="160" w:type="dxa"/>
            <w:vAlign w:val="bottom"/>
            <w:tcBorders>
              <w:bottom w:val="single" w:sz="8" w:color="CEFFE7"/>
            </w:tcBorders>
          </w:tcPr>
          <w:p>
            <w:pPr>
              <w:spacing w:after="0"/>
              <w:rPr>
                <w:sz w:val="18"/>
                <w:szCs w:val="18"/>
                <w:color w:val="auto"/>
              </w:rPr>
            </w:pPr>
          </w:p>
        </w:tc>
        <w:tc>
          <w:tcPr>
            <w:tcW w:w="920" w:type="dxa"/>
            <w:vAlign w:val="bottom"/>
            <w:tcBorders>
              <w:bottom w:val="single" w:sz="8" w:color="CEFFE7"/>
            </w:tcBorders>
          </w:tcPr>
          <w:p>
            <w:pPr>
              <w:spacing w:after="0"/>
              <w:rPr>
                <w:sz w:val="18"/>
                <w:szCs w:val="18"/>
                <w:color w:val="auto"/>
              </w:rPr>
            </w:pPr>
          </w:p>
        </w:tc>
        <w:tc>
          <w:tcPr>
            <w:tcW w:w="260" w:type="dxa"/>
            <w:vAlign w:val="bottom"/>
            <w:tcBorders>
              <w:bottom w:val="single" w:sz="8" w:color="CEFFE7"/>
            </w:tcBorders>
          </w:tcPr>
          <w:p>
            <w:pPr>
              <w:spacing w:after="0"/>
              <w:rPr>
                <w:sz w:val="18"/>
                <w:szCs w:val="18"/>
                <w:color w:val="auto"/>
              </w:rPr>
            </w:pPr>
          </w:p>
        </w:tc>
        <w:tc>
          <w:tcPr>
            <w:tcW w:w="380" w:type="dxa"/>
            <w:vAlign w:val="bottom"/>
            <w:tcBorders>
              <w:bottom w:val="single" w:sz="8" w:color="CEFFE7"/>
            </w:tcBorders>
          </w:tcPr>
          <w:p>
            <w:pPr>
              <w:spacing w:after="0"/>
              <w:rPr>
                <w:sz w:val="18"/>
                <w:szCs w:val="18"/>
                <w:color w:val="auto"/>
              </w:rPr>
            </w:pPr>
          </w:p>
        </w:tc>
        <w:tc>
          <w:tcPr>
            <w:tcW w:w="640" w:type="dxa"/>
            <w:vAlign w:val="bottom"/>
            <w:tcBorders>
              <w:bottom w:val="single" w:sz="8" w:color="CEFFE7"/>
            </w:tcBorders>
          </w:tcPr>
          <w:p>
            <w:pPr>
              <w:spacing w:after="0"/>
              <w:rPr>
                <w:sz w:val="18"/>
                <w:szCs w:val="18"/>
                <w:color w:val="auto"/>
              </w:rPr>
            </w:pPr>
          </w:p>
        </w:tc>
        <w:tc>
          <w:tcPr>
            <w:tcW w:w="340" w:type="dxa"/>
            <w:vAlign w:val="bottom"/>
            <w:tcBorders>
              <w:bottom w:val="single" w:sz="8" w:color="CEFFE7"/>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w:t>
            </w:r>
          </w:p>
        </w:tc>
      </w:tr>
      <w:tr>
        <w:trPr>
          <w:trHeight w:val="213"/>
        </w:trPr>
        <w:tc>
          <w:tcPr>
            <w:tcW w:w="3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lease payments</w:t>
            </w:r>
          </w:p>
        </w:tc>
        <w:tc>
          <w:tcPr>
            <w:tcW w:w="30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640" w:type="dxa"/>
            <w:vAlign w:val="bottom"/>
            <w:shd w:val="clear" w:color="auto" w:fill="CEFFE7"/>
          </w:tcPr>
          <w:p>
            <w:pPr>
              <w:spacing w:after="0"/>
              <w:rPr>
                <w:sz w:val="18"/>
                <w:szCs w:val="18"/>
                <w:color w:val="auto"/>
              </w:rPr>
            </w:pPr>
          </w:p>
        </w:tc>
        <w:tc>
          <w:tcPr>
            <w:tcW w:w="560" w:type="dxa"/>
            <w:vAlign w:val="bottom"/>
            <w:gridSpan w:val="2"/>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5,438</w:t>
            </w:r>
          </w:p>
        </w:tc>
      </w:tr>
      <w:tr>
        <w:trPr>
          <w:trHeight w:val="213"/>
        </w:trPr>
        <w:tc>
          <w:tcPr>
            <w:tcW w:w="36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Less imputed interest</w:t>
            </w:r>
          </w:p>
        </w:tc>
        <w:tc>
          <w:tcPr>
            <w:tcW w:w="3020" w:type="dxa"/>
            <w:vAlign w:val="bottom"/>
            <w:tcBorders>
              <w:bottom w:val="single" w:sz="8" w:color="CEFFE7"/>
            </w:tcBorders>
          </w:tcPr>
          <w:p>
            <w:pPr>
              <w:spacing w:after="0"/>
              <w:rPr>
                <w:sz w:val="18"/>
                <w:szCs w:val="18"/>
                <w:color w:val="auto"/>
              </w:rPr>
            </w:pPr>
          </w:p>
        </w:tc>
        <w:tc>
          <w:tcPr>
            <w:tcW w:w="160" w:type="dxa"/>
            <w:vAlign w:val="bottom"/>
            <w:tcBorders>
              <w:bottom w:val="single" w:sz="8" w:color="CEFFE7"/>
            </w:tcBorders>
          </w:tcPr>
          <w:p>
            <w:pPr>
              <w:spacing w:after="0"/>
              <w:rPr>
                <w:sz w:val="18"/>
                <w:szCs w:val="18"/>
                <w:color w:val="auto"/>
              </w:rPr>
            </w:pPr>
          </w:p>
        </w:tc>
        <w:tc>
          <w:tcPr>
            <w:tcW w:w="920" w:type="dxa"/>
            <w:vAlign w:val="bottom"/>
            <w:tcBorders>
              <w:bottom w:val="single" w:sz="8" w:color="CEFFE7"/>
            </w:tcBorders>
          </w:tcPr>
          <w:p>
            <w:pPr>
              <w:spacing w:after="0"/>
              <w:rPr>
                <w:sz w:val="18"/>
                <w:szCs w:val="18"/>
                <w:color w:val="auto"/>
              </w:rPr>
            </w:pPr>
          </w:p>
        </w:tc>
        <w:tc>
          <w:tcPr>
            <w:tcW w:w="260" w:type="dxa"/>
            <w:vAlign w:val="bottom"/>
            <w:tcBorders>
              <w:bottom w:val="single" w:sz="8" w:color="CEFFE7"/>
            </w:tcBorders>
          </w:tcPr>
          <w:p>
            <w:pPr>
              <w:spacing w:after="0"/>
              <w:rPr>
                <w:sz w:val="18"/>
                <w:szCs w:val="18"/>
                <w:color w:val="auto"/>
              </w:rPr>
            </w:pPr>
          </w:p>
        </w:tc>
        <w:tc>
          <w:tcPr>
            <w:tcW w:w="380" w:type="dxa"/>
            <w:vAlign w:val="bottom"/>
            <w:tcBorders>
              <w:bottom w:val="single" w:sz="8" w:color="CEFFE7"/>
            </w:tcBorders>
          </w:tcPr>
          <w:p>
            <w:pPr>
              <w:spacing w:after="0"/>
              <w:rPr>
                <w:sz w:val="18"/>
                <w:szCs w:val="18"/>
                <w:color w:val="auto"/>
              </w:rPr>
            </w:pPr>
          </w:p>
        </w:tc>
        <w:tc>
          <w:tcPr>
            <w:tcW w:w="640" w:type="dxa"/>
            <w:vAlign w:val="bottom"/>
            <w:tcBorders>
              <w:bottom w:val="single" w:sz="8" w:color="CEFFE7"/>
            </w:tcBorders>
          </w:tcPr>
          <w:p>
            <w:pPr>
              <w:spacing w:after="0"/>
              <w:rPr>
                <w:sz w:val="18"/>
                <w:szCs w:val="18"/>
                <w:color w:val="auto"/>
              </w:rPr>
            </w:pPr>
          </w:p>
        </w:tc>
        <w:tc>
          <w:tcPr>
            <w:tcW w:w="340" w:type="dxa"/>
            <w:vAlign w:val="bottom"/>
            <w:tcBorders>
              <w:bottom w:val="single" w:sz="8" w:color="CEFFE7"/>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r>
      <w:tr>
        <w:trPr>
          <w:trHeight w:val="233"/>
        </w:trPr>
        <w:tc>
          <w:tcPr>
            <w:tcW w:w="3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Present value of lease liabilities</w:t>
            </w:r>
          </w:p>
        </w:tc>
        <w:tc>
          <w:tcPr>
            <w:tcW w:w="302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38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560" w:type="dxa"/>
            <w:vAlign w:val="bottom"/>
            <w:gridSpan w:val="2"/>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20"/>
                <w:szCs w:val="20"/>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4,543</w:t>
            </w:r>
          </w:p>
        </w:tc>
      </w:tr>
      <w:tr>
        <w:trPr>
          <w:trHeight w:val="20"/>
        </w:trPr>
        <w:tc>
          <w:tcPr>
            <w:tcW w:w="3660" w:type="dxa"/>
            <w:vAlign w:val="bottom"/>
            <w:tcBorders>
              <w:top w:val="single" w:sz="8" w:color="CEFFE7"/>
            </w:tcBorders>
          </w:tcPr>
          <w:p>
            <w:pPr>
              <w:spacing w:after="0" w:line="20" w:lineRule="exact"/>
              <w:rPr>
                <w:sz w:val="1"/>
                <w:szCs w:val="1"/>
                <w:color w:val="auto"/>
              </w:rPr>
            </w:pPr>
          </w:p>
        </w:tc>
        <w:tc>
          <w:tcPr>
            <w:tcW w:w="30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9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CEFFE7"/>
            </w:tcBorders>
          </w:tcPr>
          <w:p>
            <w:pPr>
              <w:spacing w:after="0" w:line="20" w:lineRule="exact"/>
              <w:rPr>
                <w:sz w:val="1"/>
                <w:szCs w:val="1"/>
                <w:color w:val="auto"/>
              </w:rPr>
            </w:pPr>
          </w:p>
        </w:tc>
        <w:tc>
          <w:tcPr>
            <w:tcW w:w="64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auto"/>
        </w:rPr>
        <w:t>Lessor</w:t>
      </w:r>
    </w:p>
    <w:p>
      <w:pPr>
        <w:spacing w:after="0" w:line="26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We lease to third parties certain generating station ground leases, communication tower sites, and a natural gas pipeline. These leases have remaining terms ranging from less than one year to 34 years.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Lease revenue for the year ended December 31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00" w:type="dxa"/>
            <w:vAlign w:val="bottom"/>
            <w:tcBorders>
              <w:bottom w:val="single" w:sz="8" w:color="CEFFE7"/>
            </w:tcBorders>
          </w:tcPr>
          <w:p>
            <w:pPr>
              <w:spacing w:after="0"/>
              <w:rPr>
                <w:sz w:val="17"/>
                <w:szCs w:val="17"/>
                <w:color w:val="auto"/>
              </w:rPr>
            </w:pPr>
          </w:p>
        </w:tc>
        <w:tc>
          <w:tcPr>
            <w:tcW w:w="30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Income Statement Location</w:t>
            </w:r>
          </w:p>
        </w:tc>
        <w:tc>
          <w:tcPr>
            <w:tcW w:w="1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2020</w:t>
            </w: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2019</w:t>
            </w:r>
          </w:p>
        </w:tc>
      </w:tr>
      <w:tr>
        <w:trPr>
          <w:trHeight w:val="212"/>
        </w:trPr>
        <w:tc>
          <w:tcPr>
            <w:tcW w:w="3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lease income</w:t>
            </w:r>
          </w:p>
        </w:tc>
        <w:tc>
          <w:tcPr>
            <w:tcW w:w="308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780" w:type="dxa"/>
            <w:vAlign w:val="bottom"/>
            <w:shd w:val="clear" w:color="auto" w:fill="CEFFE7"/>
          </w:tcPr>
          <w:p>
            <w:pPr>
              <w:jc w:val="right"/>
              <w:ind w:right="12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2,534</w:t>
            </w:r>
          </w:p>
        </w:tc>
        <w:tc>
          <w:tcPr>
            <w:tcW w:w="52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2,306</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scheduled maturities of operating lease payments to be received in future years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Borders>
              <w:bottom w:val="single" w:sz="8" w:color="CEFFE7"/>
            </w:tcBorders>
          </w:tcPr>
          <w:p>
            <w:pPr>
              <w:spacing w:after="0"/>
              <w:rPr>
                <w:sz w:val="17"/>
                <w:szCs w:val="17"/>
                <w:color w:val="auto"/>
              </w:rPr>
            </w:pPr>
          </w:p>
        </w:tc>
        <w:tc>
          <w:tcPr>
            <w:tcW w:w="5020" w:type="dxa"/>
            <w:vAlign w:val="bottom"/>
            <w:tcBorders>
              <w:bottom w:val="single" w:sz="8" w:color="CEFFE7"/>
            </w:tcBorders>
          </w:tcPr>
          <w:p>
            <w:pPr>
              <w:spacing w:after="0"/>
              <w:rPr>
                <w:sz w:val="17"/>
                <w:szCs w:val="17"/>
                <w:color w:val="auto"/>
              </w:rPr>
            </w:pPr>
          </w:p>
        </w:tc>
        <w:tc>
          <w:tcPr>
            <w:tcW w:w="220" w:type="dxa"/>
            <w:vAlign w:val="bottom"/>
            <w:tcBorders>
              <w:bottom w:val="single" w:sz="8" w:color="CEFFE7"/>
            </w:tcBorders>
          </w:tcPr>
          <w:p>
            <w:pPr>
              <w:spacing w:after="0"/>
              <w:rPr>
                <w:sz w:val="17"/>
                <w:szCs w:val="17"/>
                <w:color w:val="auto"/>
              </w:rPr>
            </w:pPr>
          </w:p>
        </w:tc>
        <w:tc>
          <w:tcPr>
            <w:tcW w:w="1280" w:type="dxa"/>
            <w:vAlign w:val="bottom"/>
            <w:tcBorders>
              <w:bottom w:val="single" w:sz="8" w:color="CEFFE7"/>
            </w:tcBorders>
          </w:tcPr>
          <w:p>
            <w:pPr>
              <w:spacing w:after="0"/>
              <w:rPr>
                <w:sz w:val="17"/>
                <w:szCs w:val="17"/>
                <w:color w:val="auto"/>
              </w:rPr>
            </w:pPr>
          </w:p>
        </w:tc>
        <w:tc>
          <w:tcPr>
            <w:tcW w:w="140" w:type="dxa"/>
            <w:vAlign w:val="bottom"/>
            <w:tcBorders>
              <w:bottom w:val="single" w:sz="8" w:color="CEFFE7"/>
            </w:tcBorders>
          </w:tcPr>
          <w:p>
            <w:pPr>
              <w:spacing w:after="0"/>
              <w:rPr>
                <w:sz w:val="17"/>
                <w:szCs w:val="17"/>
                <w:color w:val="auto"/>
              </w:rPr>
            </w:pPr>
          </w:p>
        </w:tc>
        <w:tc>
          <w:tcPr>
            <w:tcW w:w="1400" w:type="dxa"/>
            <w:vAlign w:val="bottom"/>
            <w:tcBorders>
              <w:bottom w:val="single" w:sz="8" w:color="CEFFE7"/>
            </w:tcBorders>
          </w:tcPr>
          <w:p>
            <w:pPr>
              <w:spacing w:after="0"/>
              <w:rPr>
                <w:sz w:val="17"/>
                <w:szCs w:val="17"/>
                <w:color w:val="auto"/>
              </w:rPr>
            </w:pPr>
          </w:p>
        </w:tc>
        <w:tc>
          <w:tcPr>
            <w:tcW w:w="260" w:type="dxa"/>
            <w:vAlign w:val="bottom"/>
            <w:tcBorders>
              <w:bottom w:val="single" w:sz="8" w:color="CEFFE7"/>
            </w:tcBorders>
          </w:tcPr>
          <w:p>
            <w:pPr>
              <w:spacing w:after="0"/>
              <w:rPr>
                <w:sz w:val="17"/>
                <w:szCs w:val="17"/>
                <w:color w:val="auto"/>
              </w:rPr>
            </w:pPr>
          </w:p>
        </w:tc>
        <w:tc>
          <w:tcPr>
            <w:tcW w:w="640" w:type="dxa"/>
            <w:vAlign w:val="bottom"/>
            <w:tcBorders>
              <w:bottom w:val="single" w:sz="8" w:color="CEFFE7"/>
            </w:tcBorders>
          </w:tcPr>
          <w:p>
            <w:pPr>
              <w:spacing w:after="0"/>
              <w:rPr>
                <w:sz w:val="17"/>
                <w:szCs w:val="17"/>
                <w:color w:val="auto"/>
              </w:rPr>
            </w:pPr>
          </w:p>
        </w:tc>
        <w:tc>
          <w:tcPr>
            <w:tcW w:w="224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color w:val="auto"/>
              </w:rPr>
              <w:t>Operating Leases</w:t>
            </w:r>
          </w:p>
        </w:tc>
        <w:tc>
          <w:tcPr>
            <w:tcW w:w="0" w:type="dxa"/>
            <w:vAlign w:val="bottom"/>
          </w:tcPr>
          <w:p>
            <w:pPr>
              <w:spacing w:after="0"/>
              <w:rPr>
                <w:sz w:val="1"/>
                <w:szCs w:val="1"/>
                <w:color w:val="auto"/>
              </w:rPr>
            </w:pPr>
          </w:p>
        </w:tc>
      </w:tr>
      <w:tr>
        <w:trPr>
          <w:trHeight w:val="212"/>
        </w:trPr>
        <w:tc>
          <w:tcPr>
            <w:tcW w:w="50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280" w:type="dxa"/>
            <w:vAlign w:val="bottom"/>
            <w:gridSpan w:val="2"/>
            <w:shd w:val="clear" w:color="auto" w:fill="CEFFE7"/>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2,383</w:t>
            </w: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2,130</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2,090</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6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CEFFE7"/>
            </w:tcBorders>
          </w:tcPr>
          <w:p>
            <w:pPr>
              <w:spacing w:after="0"/>
              <w:rPr>
                <w:sz w:val="18"/>
                <w:szCs w:val="18"/>
                <w:color w:val="auto"/>
              </w:rPr>
            </w:pPr>
          </w:p>
        </w:tc>
        <w:tc>
          <w:tcPr>
            <w:tcW w:w="1280" w:type="dxa"/>
            <w:vAlign w:val="bottom"/>
            <w:tcBorders>
              <w:bottom w:val="single" w:sz="8" w:color="CEFFE7"/>
            </w:tcBorders>
          </w:tcPr>
          <w:p>
            <w:pPr>
              <w:spacing w:after="0"/>
              <w:rPr>
                <w:sz w:val="18"/>
                <w:szCs w:val="18"/>
                <w:color w:val="auto"/>
              </w:rPr>
            </w:pPr>
          </w:p>
        </w:tc>
        <w:tc>
          <w:tcPr>
            <w:tcW w:w="140" w:type="dxa"/>
            <w:vAlign w:val="bottom"/>
            <w:tcBorders>
              <w:bottom w:val="single" w:sz="8" w:color="CEFFE7"/>
            </w:tcBorders>
          </w:tcPr>
          <w:p>
            <w:pPr>
              <w:spacing w:after="0"/>
              <w:rPr>
                <w:sz w:val="18"/>
                <w:szCs w:val="18"/>
                <w:color w:val="auto"/>
              </w:rPr>
            </w:pPr>
          </w:p>
        </w:tc>
        <w:tc>
          <w:tcPr>
            <w:tcW w:w="1400" w:type="dxa"/>
            <w:vAlign w:val="bottom"/>
            <w:tcBorders>
              <w:bottom w:val="single" w:sz="8" w:color="CEFFE7"/>
            </w:tcBorders>
          </w:tcPr>
          <w:p>
            <w:pPr>
              <w:spacing w:after="0"/>
              <w:rPr>
                <w:sz w:val="18"/>
                <w:szCs w:val="18"/>
                <w:color w:val="auto"/>
              </w:rPr>
            </w:pPr>
          </w:p>
        </w:tc>
        <w:tc>
          <w:tcPr>
            <w:tcW w:w="260" w:type="dxa"/>
            <w:vAlign w:val="bottom"/>
            <w:tcBorders>
              <w:bottom w:val="single" w:sz="8" w:color="CEFFE7"/>
            </w:tcBorders>
          </w:tcPr>
          <w:p>
            <w:pPr>
              <w:spacing w:after="0"/>
              <w:rPr>
                <w:sz w:val="18"/>
                <w:szCs w:val="18"/>
                <w:color w:val="auto"/>
              </w:rPr>
            </w:pPr>
          </w:p>
        </w:tc>
        <w:tc>
          <w:tcPr>
            <w:tcW w:w="640" w:type="dxa"/>
            <w:vAlign w:val="bottom"/>
            <w:tcBorders>
              <w:bottom w:val="single" w:sz="8" w:color="CEFFE7"/>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58,829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Total lease receivables</w:t>
            </w:r>
          </w:p>
        </w:tc>
        <w:tc>
          <w:tcPr>
            <w:tcW w:w="220" w:type="dxa"/>
            <w:vAlign w:val="bottom"/>
            <w:shd w:val="clear" w:color="auto" w:fill="CEFFE7"/>
          </w:tcPr>
          <w:p>
            <w:pPr>
              <w:spacing w:after="0"/>
              <w:rPr>
                <w:sz w:val="20"/>
                <w:szCs w:val="20"/>
                <w:color w:val="auto"/>
              </w:rPr>
            </w:pPr>
          </w:p>
        </w:tc>
        <w:tc>
          <w:tcPr>
            <w:tcW w:w="128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40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1280" w:type="dxa"/>
            <w:vAlign w:val="bottom"/>
            <w:gridSpan w:val="2"/>
            <w:shd w:val="clear" w:color="auto" w:fill="CEFFE7"/>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20"/>
                <w:szCs w:val="20"/>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69,628</w:t>
            </w:r>
          </w:p>
        </w:tc>
        <w:tc>
          <w:tcPr>
            <w:tcW w:w="2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EFFE7"/>
              <w:bottom w:val="single" w:sz="8" w:color="CEFFE7"/>
            </w:tcBorders>
            <w:gridSpan w:val="2"/>
            <w:vMerge w:val="restart"/>
          </w:tcPr>
          <w:p>
            <w:pPr>
              <w:spacing w:after="0"/>
              <w:rPr>
                <w:sz w:val="20"/>
                <w:szCs w:val="20"/>
                <w:color w:val="auto"/>
              </w:rPr>
            </w:pPr>
            <w:r>
              <w:rPr>
                <w:rFonts w:ascii="Arial" w:cs="Arial" w:eastAsia="Arial" w:hAnsi="Arial"/>
                <w:sz w:val="16"/>
                <w:szCs w:val="16"/>
                <w:b w:val="1"/>
                <w:bCs w:val="1"/>
                <w:color w:val="auto"/>
              </w:rPr>
              <w:t>(9)  DEBT AND CREDIT FACILITIES</w:t>
            </w:r>
          </w:p>
        </w:tc>
        <w:tc>
          <w:tcPr>
            <w:tcW w:w="220" w:type="dxa"/>
            <w:vAlign w:val="bottom"/>
            <w:tcBorders>
              <w:top w:val="single" w:sz="8" w:color="CEFFE7"/>
            </w:tcBorders>
          </w:tcPr>
          <w:p>
            <w:pPr>
              <w:spacing w:after="0" w:line="20" w:lineRule="exact"/>
              <w:rPr>
                <w:sz w:val="1"/>
                <w:szCs w:val="1"/>
                <w:color w:val="auto"/>
              </w:rPr>
            </w:pPr>
          </w:p>
        </w:tc>
        <w:tc>
          <w:tcPr>
            <w:tcW w:w="128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40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tcBorders>
          </w:tcPr>
          <w:p>
            <w:pPr>
              <w:spacing w:after="0" w:line="20" w:lineRule="exact"/>
              <w:rPr>
                <w:sz w:val="1"/>
                <w:szCs w:val="1"/>
                <w:color w:val="auto"/>
              </w:rPr>
            </w:pPr>
          </w:p>
        </w:tc>
        <w:tc>
          <w:tcPr>
            <w:tcW w:w="640" w:type="dxa"/>
            <w:vAlign w:val="bottom"/>
            <w:tcBorders>
              <w:top w:val="single" w:sz="8" w:color="CEFFE7"/>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5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6"/>
                <w:szCs w:val="16"/>
                <w:b w:val="1"/>
                <w:bCs w:val="1"/>
                <w:color w:val="auto"/>
              </w:rPr>
              <w:t>Short-term debt</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6"/>
          </w:tcPr>
          <w:p>
            <w:pPr>
              <w:spacing w:after="0"/>
              <w:rPr>
                <w:sz w:val="20"/>
                <w:szCs w:val="20"/>
                <w:color w:val="auto"/>
              </w:rPr>
            </w:pPr>
            <w:r>
              <w:rPr>
                <w:rFonts w:ascii="Arial" w:cs="Arial" w:eastAsia="Arial" w:hAnsi="Arial"/>
                <w:sz w:val="16"/>
                <w:szCs w:val="16"/>
                <w:color w:val="auto"/>
              </w:rPr>
              <w:t>We had the following Notes payable outstanding at the Consolidated Balance Sheets date (in thousands):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3"/>
          </w:tcPr>
          <w:p>
            <w:pPr>
              <w:jc w:val="right"/>
              <w:ind w:right="719"/>
              <w:spacing w:after="0"/>
              <w:rPr>
                <w:sz w:val="20"/>
                <w:szCs w:val="20"/>
                <w:color w:val="auto"/>
              </w:rPr>
            </w:pPr>
            <w:r>
              <w:rPr>
                <w:rFonts w:ascii="Arial" w:cs="Arial" w:eastAsia="Arial" w:hAnsi="Arial"/>
                <w:sz w:val="16"/>
                <w:szCs w:val="16"/>
                <w:color w:val="auto"/>
              </w:rPr>
              <w:t>December 31, 2020</w:t>
            </w:r>
          </w:p>
        </w:tc>
        <w:tc>
          <w:tcPr>
            <w:tcW w:w="260" w:type="dxa"/>
            <w:vAlign w:val="bottom"/>
          </w:tcPr>
          <w:p>
            <w:pPr>
              <w:spacing w:after="0"/>
              <w:rPr>
                <w:sz w:val="24"/>
                <w:szCs w:val="24"/>
                <w:color w:val="auto"/>
              </w:rPr>
            </w:pPr>
          </w:p>
        </w:tc>
        <w:tc>
          <w:tcPr>
            <w:tcW w:w="2880" w:type="dxa"/>
            <w:vAlign w:val="bottom"/>
            <w:gridSpan w:val="5"/>
          </w:tcPr>
          <w:p>
            <w:pPr>
              <w:ind w:left="600"/>
              <w:spacing w:after="0"/>
              <w:rPr>
                <w:sz w:val="20"/>
                <w:szCs w:val="20"/>
                <w:color w:val="auto"/>
              </w:rPr>
            </w:pPr>
            <w:r>
              <w:rPr>
                <w:rFonts w:ascii="Arial" w:cs="Arial" w:eastAsia="Arial" w:hAnsi="Arial"/>
                <w:sz w:val="16"/>
                <w:szCs w:val="16"/>
                <w:color w:val="auto"/>
              </w:rPr>
              <w:t>December 31, 2019</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Balance</w:t>
            </w: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w w:val="95"/>
              </w:rPr>
              <w:t xml:space="preserve">Letters of Credit </w:t>
            </w:r>
            <w:r>
              <w:rPr>
                <w:rFonts w:ascii="Arial" w:cs="Arial" w:eastAsia="Arial" w:hAnsi="Arial"/>
                <w:sz w:val="21"/>
                <w:szCs w:val="21"/>
                <w:color w:val="auto"/>
                <w:w w:val="95"/>
                <w:vertAlign w:val="superscript"/>
              </w:rPr>
              <w:t>(a)</w:t>
            </w:r>
          </w:p>
        </w:tc>
        <w:tc>
          <w:tcPr>
            <w:tcW w:w="260" w:type="dxa"/>
            <w:vAlign w:val="bottom"/>
          </w:tcPr>
          <w:p>
            <w:pPr>
              <w:spacing w:after="0"/>
              <w:rPr>
                <w:sz w:val="15"/>
                <w:szCs w:val="15"/>
                <w:color w:val="auto"/>
              </w:rPr>
            </w:pPr>
          </w:p>
        </w:tc>
        <w:tc>
          <w:tcPr>
            <w:tcW w:w="1280" w:type="dxa"/>
            <w:vAlign w:val="bottom"/>
            <w:gridSpan w:val="2"/>
          </w:tcPr>
          <w:p>
            <w:pPr>
              <w:jc w:val="center"/>
              <w:ind w:right="99"/>
              <w:spacing w:after="0"/>
              <w:rPr>
                <w:sz w:val="20"/>
                <w:szCs w:val="20"/>
                <w:color w:val="auto"/>
              </w:rPr>
            </w:pPr>
            <w:r>
              <w:rPr>
                <w:rFonts w:ascii="Arial" w:cs="Arial" w:eastAsia="Arial" w:hAnsi="Arial"/>
                <w:sz w:val="16"/>
                <w:szCs w:val="16"/>
                <w:color w:val="auto"/>
              </w:rPr>
              <w:t>Balance</w:t>
            </w:r>
          </w:p>
        </w:tc>
        <w:tc>
          <w:tcPr>
            <w:tcW w:w="140" w:type="dxa"/>
            <w:vAlign w:val="bottom"/>
          </w:tcPr>
          <w:p>
            <w:pPr>
              <w:spacing w:after="0"/>
              <w:rPr>
                <w:sz w:val="15"/>
                <w:szCs w:val="15"/>
                <w:color w:val="auto"/>
              </w:rPr>
            </w:pPr>
          </w:p>
        </w:tc>
        <w:tc>
          <w:tcPr>
            <w:tcW w:w="146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Outstanding</w:t>
            </w:r>
          </w:p>
        </w:tc>
        <w:tc>
          <w:tcPr>
            <w:tcW w:w="1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119"/>
              <w:spacing w:after="0"/>
              <w:rPr>
                <w:sz w:val="20"/>
                <w:szCs w:val="20"/>
                <w:color w:val="auto"/>
              </w:rPr>
            </w:pPr>
            <w:r>
              <w:rPr>
                <w:rFonts w:ascii="Arial" w:cs="Arial" w:eastAsia="Arial" w:hAnsi="Arial"/>
                <w:sz w:val="16"/>
                <w:szCs w:val="16"/>
                <w:color w:val="auto"/>
              </w:rPr>
              <w:t>Outstanding</w:t>
            </w:r>
          </w:p>
        </w:tc>
        <w:tc>
          <w:tcPr>
            <w:tcW w:w="1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02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Revolving Credit Facility</w:t>
            </w:r>
          </w:p>
        </w:tc>
        <w:tc>
          <w:tcPr>
            <w:tcW w:w="220" w:type="dxa"/>
            <w:vAlign w:val="bottom"/>
            <w:tcBorders>
              <w:top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24,730</w:t>
            </w:r>
          </w:p>
        </w:tc>
        <w:tc>
          <w:tcPr>
            <w:tcW w:w="260" w:type="dxa"/>
            <w:vAlign w:val="bottom"/>
            <w:tcBorders>
              <w:top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EFFE7"/>
          </w:tcPr>
          <w:p>
            <w:pPr>
              <w:spacing w:after="0"/>
              <w:rPr>
                <w:sz w:val="18"/>
                <w:szCs w:val="18"/>
                <w:color w:val="auto"/>
              </w:rPr>
            </w:pPr>
          </w:p>
        </w:tc>
        <w:tc>
          <w:tcPr>
            <w:tcW w:w="640" w:type="dxa"/>
            <w:vAlign w:val="bottom"/>
            <w:tcBorders>
              <w:top w:val="single" w:sz="8" w:color="auto"/>
            </w:tcBorders>
            <w:shd w:val="clear" w:color="auto" w:fill="CEFFE7"/>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CP Program</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234,040</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gridSpan w:val="2"/>
          </w:tcPr>
          <w:p>
            <w:pPr>
              <w:ind w:left="660"/>
              <w:spacing w:after="0"/>
              <w:rPr>
                <w:sz w:val="20"/>
                <w:szCs w:val="20"/>
                <w:color w:val="auto"/>
              </w:rPr>
            </w:pPr>
            <w:r>
              <w:rPr>
                <w:rFonts w:ascii="Arial" w:cs="Arial" w:eastAsia="Arial" w:hAnsi="Arial"/>
                <w:sz w:val="16"/>
                <w:szCs w:val="16"/>
                <w:color w:val="auto"/>
              </w:rPr>
              <w:t>349,500</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020" w:type="dxa"/>
            <w:vAlign w:val="bottom"/>
            <w:tcBorders>
              <w:top w:val="single" w:sz="8" w:color="CEFFE7"/>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234,040</w:t>
            </w:r>
          </w:p>
        </w:tc>
        <w:tc>
          <w:tcPr>
            <w:tcW w:w="1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24,730</w:t>
            </w:r>
          </w:p>
        </w:tc>
        <w:tc>
          <w:tcPr>
            <w:tcW w:w="260" w:type="dxa"/>
            <w:vAlign w:val="bottom"/>
            <w:tcBorders>
              <w:top w:val="single" w:sz="8" w:color="auto"/>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gridSpan w:val="2"/>
            <w:shd w:val="clear" w:color="auto" w:fill="CEFFE7"/>
          </w:tcPr>
          <w:p>
            <w:pPr>
              <w:ind w:left="660"/>
              <w:spacing w:after="0"/>
              <w:rPr>
                <w:sz w:val="20"/>
                <w:szCs w:val="20"/>
                <w:color w:val="auto"/>
              </w:rPr>
            </w:pPr>
            <w:r>
              <w:rPr>
                <w:rFonts w:ascii="Arial" w:cs="Arial" w:eastAsia="Arial" w:hAnsi="Arial"/>
                <w:sz w:val="16"/>
                <w:szCs w:val="16"/>
                <w:color w:val="auto"/>
              </w:rPr>
              <w:t>349,500</w:t>
            </w:r>
          </w:p>
        </w:tc>
        <w:tc>
          <w:tcPr>
            <w:tcW w:w="1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30,274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right="900" w:firstLine="8"/>
        <w:spacing w:after="0" w:line="563" w:lineRule="auto"/>
        <w:tabs>
          <w:tab w:leader="none" w:pos="37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Letters of credit are off-balance sheet commitments that reduce the borrowing capacity available on our corporate Revolving Credit Facility. </w:t>
      </w:r>
      <w:r>
        <w:rPr>
          <w:rFonts w:ascii="Arial" w:cs="Arial" w:eastAsia="Arial" w:hAnsi="Arial"/>
          <w:sz w:val="16"/>
          <w:szCs w:val="16"/>
          <w:u w:val="single" w:color="auto"/>
          <w:color w:val="auto"/>
        </w:rPr>
        <w:t>Revolving Credit Facility and CP Program</w:t>
      </w:r>
    </w:p>
    <w:p>
      <w:pPr>
        <w:spacing w:after="0" w:line="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On July 30, 2018, we amended and restated our corporate Revolving Credit Facility, maintaining total commitments of $750 million and extending the term through July 30, 2023 with two one year extension options (subject to consent from lenders). This facility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credit ratings, the margins for base rate borrowings, Eurodollar borrowings and letters of credit were 0.125%, 1.125% and 1.125%, respectively, at December 31, 2020. Based on our credit ratings, a 0.175% commitment fee was charged on the unused amount at December 31, 2020.</w:t>
      </w:r>
    </w:p>
    <w:p>
      <w:pPr>
        <w:spacing w:after="0" w:line="23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7" w:name="page98"/>
    <w:bookmarkEnd w:id="97"/>
    <w:p>
      <w:pPr>
        <w:ind w:right="420"/>
        <w:spacing w:after="0" w:line="260" w:lineRule="auto"/>
        <w:rPr>
          <w:sz w:val="20"/>
          <w:szCs w:val="20"/>
          <w:color w:val="auto"/>
        </w:rPr>
      </w:pPr>
      <w:r>
        <w:rPr>
          <w:rFonts w:ascii="Arial" w:cs="Arial" w:eastAsia="Arial" w:hAnsi="Arial"/>
          <w:sz w:val="16"/>
          <w:szCs w:val="16"/>
          <w:color w:val="auto"/>
        </w:rPr>
        <w:t>Our net short-term borrowings (payments) during 2020 were $(115) million. As of December 31, 2020, the weighted average interest rate on short-term borrowings was 0.27%.</w:t>
      </w:r>
    </w:p>
    <w:p>
      <w:pPr>
        <w:spacing w:after="0" w:line="222"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Total accumulated deferred financing costs on the Revolving Credit Facility of $6.7 million are being amortized over its estimated useful life and were included in Interest expense on the accompanying Consolidated Statements of Income. See below for additional details.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outstanding was as follows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Interest Rate at</w:t>
            </w:r>
          </w:p>
        </w:tc>
        <w:tc>
          <w:tcPr>
            <w:tcW w:w="4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Balance Outstanding</w:t>
            </w:r>
          </w:p>
        </w:tc>
        <w:tc>
          <w:tcPr>
            <w:tcW w:w="740" w:type="dxa"/>
            <w:vAlign w:val="bottom"/>
          </w:tcPr>
          <w:p>
            <w:pPr>
              <w:spacing w:after="0"/>
              <w:rPr>
                <w:sz w:val="14"/>
                <w:szCs w:val="14"/>
                <w:color w:val="auto"/>
              </w:rPr>
            </w:pPr>
          </w:p>
        </w:tc>
      </w:tr>
      <w:tr>
        <w:trPr>
          <w:trHeight w:val="188"/>
        </w:trPr>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Due Date</w:t>
            </w:r>
          </w:p>
        </w:tc>
        <w:tc>
          <w:tcPr>
            <w:tcW w:w="15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December 31, 2020</w:t>
            </w:r>
          </w:p>
        </w:tc>
        <w:tc>
          <w:tcPr>
            <w:tcW w:w="14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December 31, 2020</w:t>
            </w:r>
          </w:p>
        </w:tc>
        <w:tc>
          <w:tcPr>
            <w:tcW w:w="14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December 31, 2019</w:t>
            </w:r>
          </w:p>
        </w:tc>
      </w:tr>
      <w:tr>
        <w:trPr>
          <w:trHeight w:val="142"/>
        </w:trPr>
        <w:tc>
          <w:tcPr>
            <w:tcW w:w="140" w:type="dxa"/>
            <w:vAlign w:val="bottom"/>
          </w:tcPr>
          <w:p>
            <w:pPr>
              <w:spacing w:after="0"/>
              <w:rPr>
                <w:sz w:val="12"/>
                <w:szCs w:val="12"/>
                <w:color w:val="auto"/>
              </w:rPr>
            </w:pPr>
          </w:p>
        </w:tc>
        <w:tc>
          <w:tcPr>
            <w:tcW w:w="4800" w:type="dxa"/>
            <w:vAlign w:val="bottom"/>
            <w:gridSpan w:val="4"/>
          </w:tcPr>
          <w:p>
            <w:pPr>
              <w:spacing w:after="0" w:line="142" w:lineRule="exact"/>
              <w:rPr>
                <w:sz w:val="20"/>
                <w:szCs w:val="20"/>
                <w:color w:val="auto"/>
              </w:rPr>
            </w:pPr>
            <w:r>
              <w:rPr>
                <w:rFonts w:ascii="Arial" w:cs="Arial" w:eastAsia="Arial" w:hAnsi="Arial"/>
                <w:sz w:val="14"/>
                <w:szCs w:val="14"/>
                <w:color w:val="auto"/>
              </w:rPr>
              <w:t>Corporate</w:t>
            </w:r>
          </w:p>
        </w:tc>
        <w:tc>
          <w:tcPr>
            <w:tcW w:w="1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7"/>
        </w:trPr>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Senior unsecured notes due 2023</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November 30, 2023</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4.25%</w:t>
            </w:r>
          </w:p>
        </w:tc>
        <w:tc>
          <w:tcPr>
            <w:tcW w:w="400" w:type="dxa"/>
            <w:vAlign w:val="bottom"/>
            <w:shd w:val="clear" w:color="auto" w:fill="CEFEE7"/>
          </w:tcPr>
          <w:p>
            <w:pPr>
              <w:jc w:val="right"/>
              <w:ind w:right="2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525,000</w:t>
            </w:r>
          </w:p>
        </w:tc>
        <w:tc>
          <w:tcPr>
            <w:tcW w:w="700" w:type="dxa"/>
            <w:vAlign w:val="bottom"/>
            <w:shd w:val="clear" w:color="auto" w:fill="CEFEE7"/>
          </w:tcPr>
          <w:p>
            <w:pPr>
              <w:jc w:val="right"/>
              <w:ind w:right="5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525,000</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rPr>
              <w:t>Senior unsecured notes due 2026</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January 15, 2026</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3.95%</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300,000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Senior unsecured notes due 2027</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January 15, 2027</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3.15%</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400,000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400,000</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rPr>
              <w:t>Senior unsecured notes, due 2029</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October 15, 2029</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3.05%</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400,000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Senior unsecured notes, due 2030</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June 15, 2030</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2.50%</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400,000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rPr>
              <w:t>Senior unsecured notes due 2033</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May 1, 2033</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4.35%</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400,000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Senior unsecured notes, due 2046</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September 15, 2046</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4.20%</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300,000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300,000</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rPr>
              <w:t>Senior unsecured notes, due 2049</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October 15, 2049</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3.88%</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300,000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Corporate term loan due 2021</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June 7, 2021</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2.32%</w:t>
            </w:r>
          </w:p>
        </w:tc>
        <w:tc>
          <w:tcPr>
            <w:tcW w:w="400" w:type="dxa"/>
            <w:vAlign w:val="bottom"/>
            <w:tcBorders>
              <w:bottom w:val="single" w:sz="8" w:color="auto"/>
            </w:tcBorders>
            <w:shd w:val="clear" w:color="auto" w:fill="CEFEE7"/>
          </w:tcPr>
          <w:p>
            <w:pPr>
              <w:spacing w:after="0"/>
              <w:rPr>
                <w:sz w:val="16"/>
                <w:szCs w:val="16"/>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1,436</w:t>
            </w:r>
          </w:p>
        </w:tc>
        <w:tc>
          <w:tcPr>
            <w:tcW w:w="700" w:type="dxa"/>
            <w:vAlign w:val="bottom"/>
            <w:tcBorders>
              <w:bottom w:val="single" w:sz="8" w:color="auto"/>
            </w:tcBorders>
            <w:shd w:val="clear" w:color="auto" w:fill="CEFEE7"/>
          </w:tcPr>
          <w:p>
            <w:pPr>
              <w:spacing w:after="0"/>
              <w:rPr>
                <w:sz w:val="16"/>
                <w:szCs w:val="16"/>
                <w:color w:val="auto"/>
              </w:rPr>
            </w:pP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7,178</w:t>
            </w:r>
          </w:p>
        </w:tc>
      </w:tr>
      <w:tr>
        <w:trPr>
          <w:trHeight w:val="183"/>
        </w:trPr>
        <w:tc>
          <w:tcPr>
            <w:tcW w:w="140" w:type="dxa"/>
            <w:vAlign w:val="bottom"/>
          </w:tcPr>
          <w:p>
            <w:pPr>
              <w:spacing w:after="0"/>
              <w:rPr>
                <w:sz w:val="15"/>
                <w:szCs w:val="15"/>
                <w:color w:val="auto"/>
              </w:rPr>
            </w:pPr>
          </w:p>
        </w:tc>
        <w:tc>
          <w:tcPr>
            <w:tcW w:w="4800" w:type="dxa"/>
            <w:vAlign w:val="bottom"/>
            <w:gridSpan w:val="4"/>
          </w:tcPr>
          <w:p>
            <w:pPr>
              <w:ind w:left="420"/>
              <w:spacing w:after="0"/>
              <w:rPr>
                <w:sz w:val="20"/>
                <w:szCs w:val="20"/>
                <w:color w:val="auto"/>
              </w:rPr>
            </w:pPr>
            <w:r>
              <w:rPr>
                <w:rFonts w:ascii="Arial" w:cs="Arial" w:eastAsia="Arial" w:hAnsi="Arial"/>
                <w:sz w:val="14"/>
                <w:szCs w:val="14"/>
                <w:color w:val="auto"/>
              </w:rPr>
              <w:t>Total Corporate debt</w:t>
            </w:r>
          </w:p>
        </w:tc>
        <w:tc>
          <w:tcPr>
            <w:tcW w:w="1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3,026,436</w:t>
            </w:r>
          </w:p>
        </w:tc>
        <w:tc>
          <w:tcPr>
            <w:tcW w:w="7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2,632,178</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Less unamortized debt discount</w:t>
            </w:r>
          </w:p>
        </w:tc>
        <w:tc>
          <w:tcPr>
            <w:tcW w:w="1840" w:type="dxa"/>
            <w:vAlign w:val="bottom"/>
            <w:shd w:val="clear" w:color="auto" w:fill="CEFEE7"/>
          </w:tcPr>
          <w:p>
            <w:pPr>
              <w:spacing w:after="0"/>
              <w:rPr>
                <w:sz w:val="16"/>
                <w:szCs w:val="16"/>
                <w:color w:val="auto"/>
              </w:rPr>
            </w:pPr>
          </w:p>
        </w:tc>
        <w:tc>
          <w:tcPr>
            <w:tcW w:w="1580" w:type="dxa"/>
            <w:vAlign w:val="bottom"/>
            <w:shd w:val="clear" w:color="auto" w:fill="CEFEE7"/>
          </w:tcPr>
          <w:p>
            <w:pPr>
              <w:spacing w:after="0"/>
              <w:rPr>
                <w:sz w:val="16"/>
                <w:szCs w:val="16"/>
                <w:color w:val="auto"/>
              </w:rPr>
            </w:pPr>
          </w:p>
        </w:tc>
        <w:tc>
          <w:tcPr>
            <w:tcW w:w="400" w:type="dxa"/>
            <w:vAlign w:val="bottom"/>
            <w:tcBorders>
              <w:bottom w:val="single" w:sz="8" w:color="auto"/>
            </w:tcBorders>
            <w:shd w:val="clear" w:color="auto" w:fill="CEFEE7"/>
          </w:tcPr>
          <w:p>
            <w:pPr>
              <w:spacing w:after="0"/>
              <w:rPr>
                <w:sz w:val="16"/>
                <w:szCs w:val="16"/>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(7,013)</w:t>
            </w:r>
          </w:p>
        </w:tc>
        <w:tc>
          <w:tcPr>
            <w:tcW w:w="700" w:type="dxa"/>
            <w:vAlign w:val="bottom"/>
            <w:tcBorders>
              <w:bottom w:val="single" w:sz="8" w:color="auto"/>
            </w:tcBorders>
            <w:shd w:val="clear" w:color="auto" w:fill="CEFEE7"/>
          </w:tcPr>
          <w:p>
            <w:pPr>
              <w:spacing w:after="0"/>
              <w:rPr>
                <w:sz w:val="16"/>
                <w:szCs w:val="16"/>
                <w:color w:val="auto"/>
              </w:rPr>
            </w:pPr>
          </w:p>
        </w:tc>
        <w:tc>
          <w:tcPr>
            <w:tcW w:w="7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(6,462)</w:t>
            </w:r>
          </w:p>
        </w:tc>
      </w:tr>
      <w:tr>
        <w:trPr>
          <w:trHeight w:val="183"/>
        </w:trPr>
        <w:tc>
          <w:tcPr>
            <w:tcW w:w="140" w:type="dxa"/>
            <w:vAlign w:val="bottom"/>
            <w:tcBorders>
              <w:bottom w:val="single" w:sz="8" w:color="CEFEE7"/>
            </w:tcBorders>
          </w:tcPr>
          <w:p>
            <w:pPr>
              <w:spacing w:after="0"/>
              <w:rPr>
                <w:sz w:val="15"/>
                <w:szCs w:val="15"/>
                <w:color w:val="auto"/>
              </w:rPr>
            </w:pPr>
          </w:p>
        </w:tc>
        <w:tc>
          <w:tcPr>
            <w:tcW w:w="4800" w:type="dxa"/>
            <w:vAlign w:val="bottom"/>
            <w:tcBorders>
              <w:bottom w:val="single" w:sz="8" w:color="CEFEE7"/>
            </w:tcBorders>
            <w:gridSpan w:val="4"/>
          </w:tcPr>
          <w:p>
            <w:pPr>
              <w:ind w:left="420"/>
              <w:spacing w:after="0"/>
              <w:rPr>
                <w:sz w:val="20"/>
                <w:szCs w:val="20"/>
                <w:color w:val="auto"/>
              </w:rPr>
            </w:pPr>
            <w:r>
              <w:rPr>
                <w:rFonts w:ascii="Arial" w:cs="Arial" w:eastAsia="Arial" w:hAnsi="Arial"/>
                <w:sz w:val="14"/>
                <w:szCs w:val="14"/>
                <w:color w:val="auto"/>
              </w:rPr>
              <w:t>Total Corporate debt, net</w:t>
            </w:r>
          </w:p>
        </w:tc>
        <w:tc>
          <w:tcPr>
            <w:tcW w:w="1840" w:type="dxa"/>
            <w:vAlign w:val="bottom"/>
            <w:tcBorders>
              <w:bottom w:val="single" w:sz="8" w:color="CEFEE7"/>
            </w:tcBorders>
          </w:tcPr>
          <w:p>
            <w:pPr>
              <w:spacing w:after="0"/>
              <w:rPr>
                <w:sz w:val="15"/>
                <w:szCs w:val="15"/>
                <w:color w:val="auto"/>
              </w:rPr>
            </w:pPr>
          </w:p>
        </w:tc>
        <w:tc>
          <w:tcPr>
            <w:tcW w:w="1580" w:type="dxa"/>
            <w:vAlign w:val="bottom"/>
            <w:tcBorders>
              <w:bottom w:val="single" w:sz="8" w:color="CEFEE7"/>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3,019,423</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2,625,716</w:t>
            </w:r>
          </w:p>
        </w:tc>
      </w:tr>
      <w:tr>
        <w:trPr>
          <w:trHeight w:val="74"/>
        </w:trPr>
        <w:tc>
          <w:tcPr>
            <w:tcW w:w="140" w:type="dxa"/>
            <w:vAlign w:val="bottom"/>
            <w:shd w:val="clear" w:color="auto" w:fill="CEFEE7"/>
          </w:tcPr>
          <w:p>
            <w:pPr>
              <w:spacing w:after="0"/>
              <w:rPr>
                <w:sz w:val="6"/>
                <w:szCs w:val="6"/>
                <w:color w:val="auto"/>
              </w:rPr>
            </w:pPr>
          </w:p>
        </w:tc>
        <w:tc>
          <w:tcPr>
            <w:tcW w:w="640" w:type="dxa"/>
            <w:vAlign w:val="bottom"/>
            <w:shd w:val="clear" w:color="auto" w:fill="CEFEE7"/>
          </w:tcPr>
          <w:p>
            <w:pPr>
              <w:spacing w:after="0"/>
              <w:rPr>
                <w:sz w:val="6"/>
                <w:szCs w:val="6"/>
                <w:color w:val="auto"/>
              </w:rPr>
            </w:pPr>
          </w:p>
        </w:tc>
        <w:tc>
          <w:tcPr>
            <w:tcW w:w="480" w:type="dxa"/>
            <w:vAlign w:val="bottom"/>
            <w:shd w:val="clear" w:color="auto" w:fill="CEFEE7"/>
          </w:tcPr>
          <w:p>
            <w:pPr>
              <w:spacing w:after="0"/>
              <w:rPr>
                <w:sz w:val="6"/>
                <w:szCs w:val="6"/>
                <w:color w:val="auto"/>
              </w:rPr>
            </w:pPr>
          </w:p>
        </w:tc>
        <w:tc>
          <w:tcPr>
            <w:tcW w:w="280" w:type="dxa"/>
            <w:vAlign w:val="bottom"/>
            <w:shd w:val="clear" w:color="auto" w:fill="CEFEE7"/>
          </w:tcPr>
          <w:p>
            <w:pPr>
              <w:spacing w:after="0"/>
              <w:rPr>
                <w:sz w:val="6"/>
                <w:szCs w:val="6"/>
                <w:color w:val="auto"/>
              </w:rPr>
            </w:pPr>
          </w:p>
        </w:tc>
        <w:tc>
          <w:tcPr>
            <w:tcW w:w="3400" w:type="dxa"/>
            <w:vAlign w:val="bottom"/>
            <w:shd w:val="clear" w:color="auto" w:fill="CEFEE7"/>
          </w:tcPr>
          <w:p>
            <w:pPr>
              <w:spacing w:after="0"/>
              <w:rPr>
                <w:sz w:val="6"/>
                <w:szCs w:val="6"/>
                <w:color w:val="auto"/>
              </w:rPr>
            </w:pPr>
          </w:p>
        </w:tc>
        <w:tc>
          <w:tcPr>
            <w:tcW w:w="1840" w:type="dxa"/>
            <w:vAlign w:val="bottom"/>
            <w:shd w:val="clear" w:color="auto" w:fill="CEFEE7"/>
          </w:tcPr>
          <w:p>
            <w:pPr>
              <w:spacing w:after="0"/>
              <w:rPr>
                <w:sz w:val="6"/>
                <w:szCs w:val="6"/>
                <w:color w:val="auto"/>
              </w:rPr>
            </w:pPr>
          </w:p>
        </w:tc>
        <w:tc>
          <w:tcPr>
            <w:tcW w:w="1580" w:type="dxa"/>
            <w:vAlign w:val="bottom"/>
            <w:shd w:val="clear" w:color="auto" w:fill="CEFEE7"/>
          </w:tcPr>
          <w:p>
            <w:pPr>
              <w:spacing w:after="0"/>
              <w:rPr>
                <w:sz w:val="6"/>
                <w:szCs w:val="6"/>
                <w:color w:val="auto"/>
              </w:rPr>
            </w:pPr>
          </w:p>
        </w:tc>
        <w:tc>
          <w:tcPr>
            <w:tcW w:w="400" w:type="dxa"/>
            <w:vAlign w:val="bottom"/>
            <w:shd w:val="clear" w:color="auto" w:fill="CEFEE7"/>
          </w:tcPr>
          <w:p>
            <w:pPr>
              <w:spacing w:after="0"/>
              <w:rPr>
                <w:sz w:val="6"/>
                <w:szCs w:val="6"/>
                <w:color w:val="auto"/>
              </w:rPr>
            </w:pPr>
          </w:p>
        </w:tc>
        <w:tc>
          <w:tcPr>
            <w:tcW w:w="1020" w:type="dxa"/>
            <w:vAlign w:val="bottom"/>
            <w:shd w:val="clear" w:color="auto" w:fill="CEFEE7"/>
          </w:tcPr>
          <w:p>
            <w:pPr>
              <w:spacing w:after="0"/>
              <w:rPr>
                <w:sz w:val="6"/>
                <w:szCs w:val="6"/>
                <w:color w:val="auto"/>
              </w:rPr>
            </w:pPr>
          </w:p>
        </w:tc>
        <w:tc>
          <w:tcPr>
            <w:tcW w:w="700" w:type="dxa"/>
            <w:vAlign w:val="bottom"/>
            <w:shd w:val="clear" w:color="auto" w:fill="CEFEE7"/>
          </w:tcPr>
          <w:p>
            <w:pPr>
              <w:spacing w:after="0"/>
              <w:rPr>
                <w:sz w:val="6"/>
                <w:szCs w:val="6"/>
                <w:color w:val="auto"/>
              </w:rPr>
            </w:pPr>
          </w:p>
        </w:tc>
        <w:tc>
          <w:tcPr>
            <w:tcW w:w="740" w:type="dxa"/>
            <w:vAlign w:val="bottom"/>
            <w:shd w:val="clear" w:color="auto" w:fill="CEFEE7"/>
          </w:tcPr>
          <w:p>
            <w:pPr>
              <w:spacing w:after="0"/>
              <w:rPr>
                <w:sz w:val="6"/>
                <w:szCs w:val="6"/>
                <w:color w:val="auto"/>
              </w:rPr>
            </w:pPr>
          </w:p>
        </w:tc>
      </w:tr>
      <w:tr>
        <w:trPr>
          <w:trHeight w:val="169"/>
        </w:trPr>
        <w:tc>
          <w:tcPr>
            <w:tcW w:w="140" w:type="dxa"/>
            <w:vAlign w:val="bottom"/>
          </w:tcPr>
          <w:p>
            <w:pPr>
              <w:spacing w:after="0"/>
              <w:rPr>
                <w:sz w:val="14"/>
                <w:szCs w:val="1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South Dakota Electric</w:t>
            </w:r>
          </w:p>
        </w:tc>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220"/>
              <w:spacing w:after="0" w:line="189" w:lineRule="exact"/>
              <w:rPr>
                <w:sz w:val="20"/>
                <w:szCs w:val="20"/>
                <w:color w:val="auto"/>
              </w:rPr>
            </w:pPr>
            <w:r>
              <w:rPr>
                <w:rFonts w:ascii="Arial" w:cs="Arial" w:eastAsia="Arial" w:hAnsi="Arial"/>
                <w:sz w:val="14"/>
                <w:szCs w:val="14"/>
                <w:color w:val="auto"/>
              </w:rPr>
              <w:t xml:space="preserve">Series 94A Debt, variable rate </w:t>
            </w:r>
            <w:r>
              <w:rPr>
                <w:rFonts w:ascii="Arial" w:cs="Arial" w:eastAsia="Arial" w:hAnsi="Arial"/>
                <w:sz w:val="18"/>
                <w:szCs w:val="18"/>
                <w:color w:val="auto"/>
                <w:vertAlign w:val="superscript"/>
              </w:rPr>
              <w:t>(a)</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June 1, 2024</w:t>
            </w:r>
          </w:p>
        </w:tc>
        <w:tc>
          <w:tcPr>
            <w:tcW w:w="1580" w:type="dxa"/>
            <w:vAlign w:val="bottom"/>
            <w:shd w:val="clear" w:color="auto" w:fill="CEFEE7"/>
          </w:tcPr>
          <w:p>
            <w:pPr>
              <w:jc w:val="center"/>
              <w:ind w:left="28"/>
              <w:spacing w:after="0"/>
              <w:rPr>
                <w:sz w:val="20"/>
                <w:szCs w:val="20"/>
                <w:color w:val="auto"/>
              </w:rPr>
            </w:pPr>
            <w:r>
              <w:rPr>
                <w:rFonts w:ascii="Arial" w:cs="Arial" w:eastAsia="Arial" w:hAnsi="Arial"/>
                <w:sz w:val="14"/>
                <w:szCs w:val="14"/>
                <w:color w:val="auto"/>
              </w:rPr>
              <w:t>N/A</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2,855</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220"/>
              <w:spacing w:after="0"/>
              <w:rPr>
                <w:sz w:val="20"/>
                <w:szCs w:val="20"/>
                <w:color w:val="auto"/>
              </w:rPr>
            </w:pPr>
            <w:r>
              <w:rPr>
                <w:rFonts w:ascii="Arial" w:cs="Arial" w:eastAsia="Arial" w:hAnsi="Arial"/>
                <w:sz w:val="14"/>
                <w:szCs w:val="14"/>
                <w:color w:val="auto"/>
              </w:rPr>
              <w:t>First Mortgage Bonds due 2032</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August 15, 2032</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7.23%</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75,000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220"/>
              <w:spacing w:after="0"/>
              <w:rPr>
                <w:sz w:val="20"/>
                <w:szCs w:val="20"/>
                <w:color w:val="auto"/>
              </w:rPr>
            </w:pPr>
            <w:r>
              <w:rPr>
                <w:rFonts w:ascii="Arial" w:cs="Arial" w:eastAsia="Arial" w:hAnsi="Arial"/>
                <w:sz w:val="14"/>
                <w:szCs w:val="14"/>
                <w:color w:val="auto"/>
              </w:rPr>
              <w:t>First Mortgage Bonds due 2039</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November 1, 2039</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6.13%</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180,000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180,000</w:t>
            </w:r>
          </w:p>
        </w:tc>
      </w:tr>
      <w:tr>
        <w:trPr>
          <w:trHeight w:val="189"/>
        </w:trPr>
        <w:tc>
          <w:tcPr>
            <w:tcW w:w="140" w:type="dxa"/>
            <w:vAlign w:val="bottom"/>
            <w:tcBorders>
              <w:bottom w:val="single" w:sz="8" w:color="CEFEE7"/>
            </w:tcBorders>
          </w:tcPr>
          <w:p>
            <w:pPr>
              <w:spacing w:after="0"/>
              <w:rPr>
                <w:sz w:val="16"/>
                <w:szCs w:val="16"/>
                <w:color w:val="auto"/>
              </w:rPr>
            </w:pPr>
          </w:p>
        </w:tc>
        <w:tc>
          <w:tcPr>
            <w:tcW w:w="4800" w:type="dxa"/>
            <w:vAlign w:val="bottom"/>
            <w:tcBorders>
              <w:bottom w:val="single" w:sz="8" w:color="CEFEE7"/>
            </w:tcBorders>
            <w:gridSpan w:val="4"/>
          </w:tcPr>
          <w:p>
            <w:pPr>
              <w:ind w:left="220"/>
              <w:spacing w:after="0"/>
              <w:rPr>
                <w:sz w:val="20"/>
                <w:szCs w:val="20"/>
                <w:color w:val="auto"/>
              </w:rPr>
            </w:pPr>
            <w:r>
              <w:rPr>
                <w:rFonts w:ascii="Arial" w:cs="Arial" w:eastAsia="Arial" w:hAnsi="Arial"/>
                <w:sz w:val="14"/>
                <w:szCs w:val="14"/>
                <w:color w:val="auto"/>
              </w:rPr>
              <w:t>First Mortgage Bonds due 2044</w:t>
            </w:r>
          </w:p>
        </w:tc>
        <w:tc>
          <w:tcPr>
            <w:tcW w:w="1840" w:type="dxa"/>
            <w:vAlign w:val="bottom"/>
            <w:tcBorders>
              <w:bottom w:val="single" w:sz="8" w:color="CEFEE7"/>
            </w:tcBorders>
          </w:tcPr>
          <w:p>
            <w:pPr>
              <w:jc w:val="center"/>
              <w:ind w:left="48"/>
              <w:spacing w:after="0"/>
              <w:rPr>
                <w:sz w:val="20"/>
                <w:szCs w:val="20"/>
                <w:color w:val="auto"/>
              </w:rPr>
            </w:pPr>
            <w:r>
              <w:rPr>
                <w:rFonts w:ascii="Arial" w:cs="Arial" w:eastAsia="Arial" w:hAnsi="Arial"/>
                <w:sz w:val="14"/>
                <w:szCs w:val="14"/>
                <w:color w:val="auto"/>
              </w:rPr>
              <w:t>October 20, 2044</w:t>
            </w:r>
          </w:p>
        </w:tc>
        <w:tc>
          <w:tcPr>
            <w:tcW w:w="1580" w:type="dxa"/>
            <w:vAlign w:val="bottom"/>
            <w:tcBorders>
              <w:bottom w:val="single" w:sz="8" w:color="CEFEE7"/>
            </w:tcBorders>
          </w:tcPr>
          <w:p>
            <w:pPr>
              <w:jc w:val="center"/>
              <w:ind w:left="48"/>
              <w:spacing w:after="0"/>
              <w:rPr>
                <w:sz w:val="20"/>
                <w:szCs w:val="20"/>
                <w:color w:val="auto"/>
              </w:rPr>
            </w:pPr>
            <w:r>
              <w:rPr>
                <w:rFonts w:ascii="Arial" w:cs="Arial" w:eastAsia="Arial" w:hAnsi="Arial"/>
                <w:sz w:val="14"/>
                <w:szCs w:val="14"/>
                <w:color w:val="auto"/>
              </w:rPr>
              <w:t>4.43%</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85,000</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85,000</w:t>
            </w:r>
          </w:p>
        </w:tc>
      </w:tr>
      <w:tr>
        <w:trPr>
          <w:trHeight w:val="183"/>
        </w:trPr>
        <w:tc>
          <w:tcPr>
            <w:tcW w:w="140" w:type="dxa"/>
            <w:vAlign w:val="bottom"/>
            <w:shd w:val="clear" w:color="auto" w:fill="CEFEE7"/>
          </w:tcPr>
          <w:p>
            <w:pPr>
              <w:spacing w:after="0"/>
              <w:rPr>
                <w:sz w:val="15"/>
                <w:szCs w:val="15"/>
                <w:color w:val="auto"/>
              </w:rPr>
            </w:pPr>
          </w:p>
        </w:tc>
        <w:tc>
          <w:tcPr>
            <w:tcW w:w="4800" w:type="dxa"/>
            <w:vAlign w:val="bottom"/>
            <w:gridSpan w:val="4"/>
            <w:shd w:val="clear" w:color="auto" w:fill="CEFEE7"/>
          </w:tcPr>
          <w:p>
            <w:pPr>
              <w:ind w:left="420"/>
              <w:spacing w:after="0"/>
              <w:rPr>
                <w:sz w:val="20"/>
                <w:szCs w:val="20"/>
                <w:color w:val="auto"/>
              </w:rPr>
            </w:pPr>
            <w:r>
              <w:rPr>
                <w:rFonts w:ascii="Arial" w:cs="Arial" w:eastAsia="Arial" w:hAnsi="Arial"/>
                <w:sz w:val="14"/>
                <w:szCs w:val="14"/>
                <w:color w:val="auto"/>
              </w:rPr>
              <w:t>Total South Dakota Electric debt</w:t>
            </w:r>
          </w:p>
        </w:tc>
        <w:tc>
          <w:tcPr>
            <w:tcW w:w="1840" w:type="dxa"/>
            <w:vAlign w:val="bottom"/>
            <w:shd w:val="clear" w:color="auto" w:fill="CEFEE7"/>
          </w:tcPr>
          <w:p>
            <w:pPr>
              <w:spacing w:after="0"/>
              <w:rPr>
                <w:sz w:val="15"/>
                <w:szCs w:val="15"/>
                <w:color w:val="auto"/>
              </w:rPr>
            </w:pPr>
          </w:p>
        </w:tc>
        <w:tc>
          <w:tcPr>
            <w:tcW w:w="1580" w:type="dxa"/>
            <w:vAlign w:val="bottom"/>
            <w:shd w:val="clear" w:color="auto" w:fill="CEFEE7"/>
          </w:tcPr>
          <w:p>
            <w:pPr>
              <w:spacing w:after="0"/>
              <w:rPr>
                <w:sz w:val="15"/>
                <w:szCs w:val="15"/>
                <w:color w:val="auto"/>
              </w:rPr>
            </w:pPr>
          </w:p>
        </w:tc>
        <w:tc>
          <w:tcPr>
            <w:tcW w:w="400" w:type="dxa"/>
            <w:vAlign w:val="bottom"/>
            <w:shd w:val="clear" w:color="auto" w:fill="CEFEE7"/>
          </w:tcPr>
          <w:p>
            <w:pPr>
              <w:spacing w:after="0"/>
              <w:rPr>
                <w:sz w:val="15"/>
                <w:szCs w:val="15"/>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340,000</w:t>
            </w:r>
          </w:p>
        </w:tc>
        <w:tc>
          <w:tcPr>
            <w:tcW w:w="700" w:type="dxa"/>
            <w:vAlign w:val="bottom"/>
            <w:shd w:val="clear" w:color="auto" w:fill="CEFEE7"/>
          </w:tcPr>
          <w:p>
            <w:pPr>
              <w:spacing w:after="0"/>
              <w:rPr>
                <w:sz w:val="15"/>
                <w:szCs w:val="15"/>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342,855</w:t>
            </w:r>
          </w:p>
        </w:tc>
      </w:tr>
      <w:tr>
        <w:trPr>
          <w:trHeight w:val="189"/>
        </w:trPr>
        <w:tc>
          <w:tcPr>
            <w:tcW w:w="140" w:type="dxa"/>
            <w:vAlign w:val="bottom"/>
            <w:tcBorders>
              <w:bottom w:val="single" w:sz="8" w:color="CEFEE7"/>
            </w:tcBorders>
          </w:tcPr>
          <w:p>
            <w:pPr>
              <w:spacing w:after="0"/>
              <w:rPr>
                <w:sz w:val="16"/>
                <w:szCs w:val="16"/>
                <w:color w:val="auto"/>
              </w:rPr>
            </w:pPr>
          </w:p>
        </w:tc>
        <w:tc>
          <w:tcPr>
            <w:tcW w:w="4800" w:type="dxa"/>
            <w:vAlign w:val="bottom"/>
            <w:tcBorders>
              <w:bottom w:val="single" w:sz="8" w:color="CEFEE7"/>
            </w:tcBorders>
            <w:gridSpan w:val="4"/>
          </w:tcPr>
          <w:p>
            <w:pPr>
              <w:ind w:left="80"/>
              <w:spacing w:after="0"/>
              <w:rPr>
                <w:sz w:val="20"/>
                <w:szCs w:val="20"/>
                <w:color w:val="auto"/>
              </w:rPr>
            </w:pPr>
            <w:r>
              <w:rPr>
                <w:rFonts w:ascii="Arial" w:cs="Arial" w:eastAsia="Arial" w:hAnsi="Arial"/>
                <w:sz w:val="14"/>
                <w:szCs w:val="14"/>
                <w:color w:val="auto"/>
              </w:rPr>
              <w:t>Less unamortized debt discount</w:t>
            </w:r>
          </w:p>
        </w:tc>
        <w:tc>
          <w:tcPr>
            <w:tcW w:w="1840" w:type="dxa"/>
            <w:vAlign w:val="bottom"/>
            <w:tcBorders>
              <w:bottom w:val="single" w:sz="8" w:color="CEFEE7"/>
            </w:tcBorders>
          </w:tcPr>
          <w:p>
            <w:pPr>
              <w:spacing w:after="0"/>
              <w:rPr>
                <w:sz w:val="16"/>
                <w:szCs w:val="16"/>
                <w:color w:val="auto"/>
              </w:rPr>
            </w:pPr>
          </w:p>
        </w:tc>
        <w:tc>
          <w:tcPr>
            <w:tcW w:w="1580" w:type="dxa"/>
            <w:vAlign w:val="bottom"/>
            <w:tcBorders>
              <w:bottom w:val="single" w:sz="8" w:color="CEFEE7"/>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183"/>
        </w:trPr>
        <w:tc>
          <w:tcPr>
            <w:tcW w:w="140" w:type="dxa"/>
            <w:vAlign w:val="bottom"/>
            <w:shd w:val="clear" w:color="auto" w:fill="CEFEE7"/>
          </w:tcPr>
          <w:p>
            <w:pPr>
              <w:spacing w:after="0"/>
              <w:rPr>
                <w:sz w:val="15"/>
                <w:szCs w:val="15"/>
                <w:color w:val="auto"/>
              </w:rPr>
            </w:pPr>
          </w:p>
        </w:tc>
        <w:tc>
          <w:tcPr>
            <w:tcW w:w="4800" w:type="dxa"/>
            <w:vAlign w:val="bottom"/>
            <w:gridSpan w:val="4"/>
            <w:shd w:val="clear" w:color="auto" w:fill="CEFEE7"/>
          </w:tcPr>
          <w:p>
            <w:pPr>
              <w:ind w:left="420"/>
              <w:spacing w:after="0"/>
              <w:rPr>
                <w:sz w:val="20"/>
                <w:szCs w:val="20"/>
                <w:color w:val="auto"/>
              </w:rPr>
            </w:pPr>
            <w:r>
              <w:rPr>
                <w:rFonts w:ascii="Arial" w:cs="Arial" w:eastAsia="Arial" w:hAnsi="Arial"/>
                <w:sz w:val="14"/>
                <w:szCs w:val="14"/>
                <w:color w:val="auto"/>
              </w:rPr>
              <w:t>Total South Dakota Electric debt, net</w:t>
            </w:r>
          </w:p>
        </w:tc>
        <w:tc>
          <w:tcPr>
            <w:tcW w:w="1840" w:type="dxa"/>
            <w:vAlign w:val="bottom"/>
            <w:shd w:val="clear" w:color="auto" w:fill="CEFEE7"/>
          </w:tcPr>
          <w:p>
            <w:pPr>
              <w:spacing w:after="0"/>
              <w:rPr>
                <w:sz w:val="15"/>
                <w:szCs w:val="15"/>
                <w:color w:val="auto"/>
              </w:rPr>
            </w:pPr>
          </w:p>
        </w:tc>
        <w:tc>
          <w:tcPr>
            <w:tcW w:w="1580" w:type="dxa"/>
            <w:vAlign w:val="bottom"/>
            <w:shd w:val="clear" w:color="auto" w:fill="CEFEE7"/>
          </w:tcPr>
          <w:p>
            <w:pPr>
              <w:spacing w:after="0"/>
              <w:rPr>
                <w:sz w:val="15"/>
                <w:szCs w:val="15"/>
                <w:color w:val="auto"/>
              </w:rPr>
            </w:pPr>
          </w:p>
        </w:tc>
        <w:tc>
          <w:tcPr>
            <w:tcW w:w="400" w:type="dxa"/>
            <w:vAlign w:val="bottom"/>
            <w:tcBorders>
              <w:bottom w:val="single" w:sz="8" w:color="auto"/>
            </w:tcBorders>
            <w:shd w:val="clear" w:color="auto" w:fill="CEFEE7"/>
          </w:tcPr>
          <w:p>
            <w:pPr>
              <w:spacing w:after="0"/>
              <w:rPr>
                <w:sz w:val="15"/>
                <w:szCs w:val="15"/>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339,922</w:t>
            </w:r>
          </w:p>
        </w:tc>
        <w:tc>
          <w:tcPr>
            <w:tcW w:w="700" w:type="dxa"/>
            <w:vAlign w:val="bottom"/>
            <w:tcBorders>
              <w:bottom w:val="single" w:sz="8" w:color="auto"/>
            </w:tcBorders>
            <w:shd w:val="clear" w:color="auto" w:fill="CEFEE7"/>
          </w:tcPr>
          <w:p>
            <w:pPr>
              <w:spacing w:after="0"/>
              <w:rPr>
                <w:sz w:val="15"/>
                <w:szCs w:val="15"/>
                <w:color w:val="auto"/>
              </w:rPr>
            </w:pP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342,773</w:t>
            </w:r>
          </w:p>
        </w:tc>
      </w:tr>
      <w:tr>
        <w:trPr>
          <w:trHeight w:val="74"/>
        </w:trPr>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169"/>
        </w:trPr>
        <w:tc>
          <w:tcPr>
            <w:tcW w:w="140" w:type="dxa"/>
            <w:vAlign w:val="bottom"/>
            <w:tcBorders>
              <w:bottom w:val="single" w:sz="8" w:color="CEFEE7"/>
            </w:tcBorders>
            <w:shd w:val="clear" w:color="auto" w:fill="CEFEE7"/>
          </w:tcPr>
          <w:p>
            <w:pPr>
              <w:spacing w:after="0"/>
              <w:rPr>
                <w:sz w:val="14"/>
                <w:szCs w:val="14"/>
                <w:color w:val="auto"/>
              </w:rPr>
            </w:pPr>
          </w:p>
        </w:tc>
        <w:tc>
          <w:tcPr>
            <w:tcW w:w="1120" w:type="dxa"/>
            <w:vAlign w:val="bottom"/>
            <w:tcBorders>
              <w:bottom w:val="single" w:sz="8" w:color="auto"/>
            </w:tcBorders>
            <w:gridSpan w:val="2"/>
            <w:shd w:val="clear" w:color="auto" w:fill="CEFEE7"/>
          </w:tcPr>
          <w:p>
            <w:pPr>
              <w:spacing w:after="0"/>
              <w:rPr>
                <w:sz w:val="20"/>
                <w:szCs w:val="20"/>
                <w:color w:val="auto"/>
              </w:rPr>
            </w:pPr>
            <w:r>
              <w:rPr>
                <w:rFonts w:ascii="Arial" w:cs="Arial" w:eastAsia="Arial" w:hAnsi="Arial"/>
                <w:sz w:val="14"/>
                <w:szCs w:val="14"/>
                <w:color w:val="auto"/>
              </w:rPr>
              <w:t>Wyoming Electric</w:t>
            </w:r>
          </w:p>
        </w:tc>
        <w:tc>
          <w:tcPr>
            <w:tcW w:w="3680" w:type="dxa"/>
            <w:vAlign w:val="bottom"/>
            <w:tcBorders>
              <w:bottom w:val="single" w:sz="8" w:color="CEFEE7"/>
            </w:tcBorders>
            <w:gridSpan w:val="2"/>
            <w:shd w:val="clear" w:color="auto" w:fill="CEFEE7"/>
          </w:tcPr>
          <w:p>
            <w:pPr>
              <w:spacing w:after="0"/>
              <w:rPr>
                <w:sz w:val="14"/>
                <w:szCs w:val="14"/>
                <w:color w:val="auto"/>
              </w:rPr>
            </w:pPr>
          </w:p>
        </w:tc>
        <w:tc>
          <w:tcPr>
            <w:tcW w:w="1840" w:type="dxa"/>
            <w:vAlign w:val="bottom"/>
            <w:tcBorders>
              <w:bottom w:val="single" w:sz="8" w:color="CEFEE7"/>
            </w:tcBorders>
            <w:shd w:val="clear" w:color="auto" w:fill="CEFEE7"/>
          </w:tcPr>
          <w:p>
            <w:pPr>
              <w:spacing w:after="0"/>
              <w:rPr>
                <w:sz w:val="14"/>
                <w:szCs w:val="14"/>
                <w:color w:val="auto"/>
              </w:rPr>
            </w:pPr>
          </w:p>
        </w:tc>
        <w:tc>
          <w:tcPr>
            <w:tcW w:w="1580" w:type="dxa"/>
            <w:vAlign w:val="bottom"/>
            <w:tcBorders>
              <w:bottom w:val="single" w:sz="8" w:color="CEFEE7"/>
            </w:tcBorders>
            <w:shd w:val="clear" w:color="auto" w:fill="CEFEE7"/>
          </w:tcPr>
          <w:p>
            <w:pPr>
              <w:spacing w:after="0"/>
              <w:rPr>
                <w:sz w:val="14"/>
                <w:szCs w:val="14"/>
                <w:color w:val="auto"/>
              </w:rPr>
            </w:pPr>
          </w:p>
        </w:tc>
        <w:tc>
          <w:tcPr>
            <w:tcW w:w="400" w:type="dxa"/>
            <w:vAlign w:val="bottom"/>
            <w:tcBorders>
              <w:bottom w:val="single" w:sz="8" w:color="CEFEE7"/>
            </w:tcBorders>
            <w:shd w:val="clear" w:color="auto" w:fill="CEFEE7"/>
          </w:tcPr>
          <w:p>
            <w:pPr>
              <w:spacing w:after="0"/>
              <w:rPr>
                <w:sz w:val="14"/>
                <w:szCs w:val="14"/>
                <w:color w:val="auto"/>
              </w:rPr>
            </w:pPr>
          </w:p>
        </w:tc>
        <w:tc>
          <w:tcPr>
            <w:tcW w:w="1020" w:type="dxa"/>
            <w:vAlign w:val="bottom"/>
            <w:tcBorders>
              <w:bottom w:val="single" w:sz="8" w:color="CEFEE7"/>
            </w:tcBorders>
            <w:shd w:val="clear" w:color="auto" w:fill="CEFEE7"/>
          </w:tcPr>
          <w:p>
            <w:pPr>
              <w:spacing w:after="0"/>
              <w:rPr>
                <w:sz w:val="14"/>
                <w:szCs w:val="14"/>
                <w:color w:val="auto"/>
              </w:rPr>
            </w:pPr>
          </w:p>
        </w:tc>
        <w:tc>
          <w:tcPr>
            <w:tcW w:w="700" w:type="dxa"/>
            <w:vAlign w:val="bottom"/>
            <w:tcBorders>
              <w:bottom w:val="single" w:sz="8" w:color="CEFEE7"/>
            </w:tcBorders>
            <w:shd w:val="clear" w:color="auto" w:fill="CEFEE7"/>
          </w:tcPr>
          <w:p>
            <w:pPr>
              <w:spacing w:after="0"/>
              <w:rPr>
                <w:sz w:val="14"/>
                <w:szCs w:val="14"/>
                <w:color w:val="auto"/>
              </w:rPr>
            </w:pPr>
          </w:p>
        </w:tc>
        <w:tc>
          <w:tcPr>
            <w:tcW w:w="740" w:type="dxa"/>
            <w:vAlign w:val="bottom"/>
            <w:tcBorders>
              <w:bottom w:val="single" w:sz="8" w:color="CEFEE7"/>
            </w:tcBorders>
            <w:shd w:val="clear" w:color="auto" w:fill="CEFEE7"/>
          </w:tcPr>
          <w:p>
            <w:pPr>
              <w:spacing w:after="0"/>
              <w:rPr>
                <w:sz w:val="14"/>
                <w:szCs w:val="14"/>
                <w:color w:val="auto"/>
              </w:rPr>
            </w:pPr>
          </w:p>
        </w:tc>
      </w:tr>
      <w:tr>
        <w:trPr>
          <w:trHeight w:val="189"/>
        </w:trPr>
        <w:tc>
          <w:tcPr>
            <w:tcW w:w="140" w:type="dxa"/>
            <w:vAlign w:val="bottom"/>
          </w:tcPr>
          <w:p>
            <w:pPr>
              <w:spacing w:after="0"/>
              <w:rPr>
                <w:sz w:val="16"/>
                <w:szCs w:val="16"/>
                <w:color w:val="auto"/>
              </w:rPr>
            </w:pPr>
          </w:p>
        </w:tc>
        <w:tc>
          <w:tcPr>
            <w:tcW w:w="4800" w:type="dxa"/>
            <w:vAlign w:val="bottom"/>
            <w:gridSpan w:val="4"/>
          </w:tcPr>
          <w:p>
            <w:pPr>
              <w:ind w:left="220"/>
              <w:spacing w:after="0" w:line="189" w:lineRule="exact"/>
              <w:rPr>
                <w:sz w:val="20"/>
                <w:szCs w:val="20"/>
                <w:color w:val="auto"/>
              </w:rPr>
            </w:pPr>
            <w:r>
              <w:rPr>
                <w:rFonts w:ascii="Arial" w:cs="Arial" w:eastAsia="Arial" w:hAnsi="Arial"/>
                <w:sz w:val="14"/>
                <w:szCs w:val="14"/>
                <w:color w:val="auto"/>
              </w:rPr>
              <w:t>Industrial development revenue bonds due 2021</w:t>
            </w:r>
            <w:r>
              <w:rPr>
                <w:rFonts w:ascii="Arial" w:cs="Arial" w:eastAsia="Arial" w:hAnsi="Arial"/>
                <w:sz w:val="18"/>
                <w:szCs w:val="18"/>
                <w:color w:val="auto"/>
                <w:vertAlign w:val="superscript"/>
              </w:rPr>
              <w:t>(a) (b)</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September 1, 2021</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0.12%</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220"/>
              <w:spacing w:after="0" w:line="189" w:lineRule="exact"/>
              <w:rPr>
                <w:sz w:val="20"/>
                <w:szCs w:val="20"/>
                <w:color w:val="auto"/>
              </w:rPr>
            </w:pPr>
            <w:r>
              <w:rPr>
                <w:rFonts w:ascii="Arial" w:cs="Arial" w:eastAsia="Arial" w:hAnsi="Arial"/>
                <w:sz w:val="14"/>
                <w:szCs w:val="14"/>
                <w:color w:val="auto"/>
              </w:rPr>
              <w:t>Industrial development revenue bonds due 2027</w:t>
            </w:r>
            <w:r>
              <w:rPr>
                <w:rFonts w:ascii="Arial" w:cs="Arial" w:eastAsia="Arial" w:hAnsi="Arial"/>
                <w:sz w:val="18"/>
                <w:szCs w:val="18"/>
                <w:color w:val="auto"/>
                <w:vertAlign w:val="superscript"/>
              </w:rPr>
              <w:t>(a) (b)</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March 1, 2027</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0.12%</w:t>
            </w: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10,000</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10,000</w:t>
            </w:r>
          </w:p>
        </w:tc>
      </w:tr>
      <w:tr>
        <w:trPr>
          <w:trHeight w:val="189"/>
        </w:trPr>
        <w:tc>
          <w:tcPr>
            <w:tcW w:w="140" w:type="dxa"/>
            <w:vAlign w:val="bottom"/>
          </w:tcPr>
          <w:p>
            <w:pPr>
              <w:spacing w:after="0"/>
              <w:rPr>
                <w:sz w:val="16"/>
                <w:szCs w:val="16"/>
                <w:color w:val="auto"/>
              </w:rPr>
            </w:pPr>
          </w:p>
        </w:tc>
        <w:tc>
          <w:tcPr>
            <w:tcW w:w="4800" w:type="dxa"/>
            <w:vAlign w:val="bottom"/>
            <w:gridSpan w:val="4"/>
          </w:tcPr>
          <w:p>
            <w:pPr>
              <w:ind w:left="220"/>
              <w:spacing w:after="0"/>
              <w:rPr>
                <w:sz w:val="20"/>
                <w:szCs w:val="20"/>
                <w:color w:val="auto"/>
              </w:rPr>
            </w:pPr>
            <w:r>
              <w:rPr>
                <w:rFonts w:ascii="Arial" w:cs="Arial" w:eastAsia="Arial" w:hAnsi="Arial"/>
                <w:sz w:val="14"/>
                <w:szCs w:val="14"/>
                <w:color w:val="auto"/>
              </w:rPr>
              <w:t>First Mortgage Bonds due 2037</w:t>
            </w:r>
          </w:p>
        </w:tc>
        <w:tc>
          <w:tcPr>
            <w:tcW w:w="1840" w:type="dxa"/>
            <w:vAlign w:val="bottom"/>
          </w:tcPr>
          <w:p>
            <w:pPr>
              <w:jc w:val="center"/>
              <w:ind w:left="48"/>
              <w:spacing w:after="0"/>
              <w:rPr>
                <w:sz w:val="20"/>
                <w:szCs w:val="20"/>
                <w:color w:val="auto"/>
              </w:rPr>
            </w:pPr>
            <w:r>
              <w:rPr>
                <w:rFonts w:ascii="Arial" w:cs="Arial" w:eastAsia="Arial" w:hAnsi="Arial"/>
                <w:sz w:val="14"/>
                <w:szCs w:val="14"/>
                <w:color w:val="auto"/>
              </w:rPr>
              <w:t>November 20, 2037</w:t>
            </w:r>
          </w:p>
        </w:tc>
        <w:tc>
          <w:tcPr>
            <w:tcW w:w="1580" w:type="dxa"/>
            <w:vAlign w:val="bottom"/>
          </w:tcPr>
          <w:p>
            <w:pPr>
              <w:jc w:val="center"/>
              <w:ind w:left="48"/>
              <w:spacing w:after="0"/>
              <w:rPr>
                <w:sz w:val="20"/>
                <w:szCs w:val="20"/>
                <w:color w:val="auto"/>
              </w:rPr>
            </w:pPr>
            <w:r>
              <w:rPr>
                <w:rFonts w:ascii="Arial" w:cs="Arial" w:eastAsia="Arial" w:hAnsi="Arial"/>
                <w:sz w:val="14"/>
                <w:szCs w:val="14"/>
                <w:color w:val="auto"/>
              </w:rPr>
              <w:t>6.67%</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110,000</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110,000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220"/>
              <w:spacing w:after="0"/>
              <w:rPr>
                <w:sz w:val="20"/>
                <w:szCs w:val="20"/>
                <w:color w:val="auto"/>
              </w:rPr>
            </w:pPr>
            <w:r>
              <w:rPr>
                <w:rFonts w:ascii="Arial" w:cs="Arial" w:eastAsia="Arial" w:hAnsi="Arial"/>
                <w:sz w:val="14"/>
                <w:szCs w:val="14"/>
                <w:color w:val="auto"/>
              </w:rPr>
              <w:t>First Mortgage Bonds due 2044</w:t>
            </w:r>
          </w:p>
        </w:tc>
        <w:tc>
          <w:tcPr>
            <w:tcW w:w="184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October 20, 2044</w:t>
            </w:r>
          </w:p>
        </w:tc>
        <w:tc>
          <w:tcPr>
            <w:tcW w:w="1580" w:type="dxa"/>
            <w:vAlign w:val="bottom"/>
            <w:shd w:val="clear" w:color="auto" w:fill="CEFEE7"/>
          </w:tcPr>
          <w:p>
            <w:pPr>
              <w:jc w:val="center"/>
              <w:ind w:left="48"/>
              <w:spacing w:after="0"/>
              <w:rPr>
                <w:sz w:val="20"/>
                <w:szCs w:val="20"/>
                <w:color w:val="auto"/>
              </w:rPr>
            </w:pPr>
            <w:r>
              <w:rPr>
                <w:rFonts w:ascii="Arial" w:cs="Arial" w:eastAsia="Arial" w:hAnsi="Arial"/>
                <w:sz w:val="14"/>
                <w:szCs w:val="14"/>
                <w:color w:val="auto"/>
              </w:rPr>
              <w:t>4.53%</w:t>
            </w:r>
          </w:p>
        </w:tc>
        <w:tc>
          <w:tcPr>
            <w:tcW w:w="400" w:type="dxa"/>
            <w:vAlign w:val="bottom"/>
            <w:tcBorders>
              <w:bottom w:val="single" w:sz="8" w:color="auto"/>
            </w:tcBorders>
            <w:shd w:val="clear" w:color="auto" w:fill="CEFEE7"/>
          </w:tcPr>
          <w:p>
            <w:pPr>
              <w:spacing w:after="0"/>
              <w:rPr>
                <w:sz w:val="16"/>
                <w:szCs w:val="16"/>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75,000</w:t>
            </w:r>
          </w:p>
        </w:tc>
        <w:tc>
          <w:tcPr>
            <w:tcW w:w="700" w:type="dxa"/>
            <w:vAlign w:val="bottom"/>
            <w:tcBorders>
              <w:bottom w:val="single" w:sz="8" w:color="auto"/>
            </w:tcBorders>
            <w:shd w:val="clear" w:color="auto" w:fill="CEFEE7"/>
          </w:tcPr>
          <w:p>
            <w:pPr>
              <w:spacing w:after="0"/>
              <w:rPr>
                <w:sz w:val="16"/>
                <w:szCs w:val="16"/>
                <w:color w:val="auto"/>
              </w:rPr>
            </w:pP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75,000</w:t>
            </w:r>
          </w:p>
        </w:tc>
      </w:tr>
      <w:tr>
        <w:trPr>
          <w:trHeight w:val="183"/>
        </w:trPr>
        <w:tc>
          <w:tcPr>
            <w:tcW w:w="140" w:type="dxa"/>
            <w:vAlign w:val="bottom"/>
          </w:tcPr>
          <w:p>
            <w:pPr>
              <w:spacing w:after="0"/>
              <w:rPr>
                <w:sz w:val="15"/>
                <w:szCs w:val="15"/>
                <w:color w:val="auto"/>
              </w:rPr>
            </w:pPr>
          </w:p>
        </w:tc>
        <w:tc>
          <w:tcPr>
            <w:tcW w:w="4800" w:type="dxa"/>
            <w:vAlign w:val="bottom"/>
            <w:gridSpan w:val="4"/>
          </w:tcPr>
          <w:p>
            <w:pPr>
              <w:ind w:left="420"/>
              <w:spacing w:after="0"/>
              <w:rPr>
                <w:sz w:val="20"/>
                <w:szCs w:val="20"/>
                <w:color w:val="auto"/>
              </w:rPr>
            </w:pPr>
            <w:r>
              <w:rPr>
                <w:rFonts w:ascii="Arial" w:cs="Arial" w:eastAsia="Arial" w:hAnsi="Arial"/>
                <w:sz w:val="14"/>
                <w:szCs w:val="14"/>
                <w:color w:val="auto"/>
              </w:rPr>
              <w:t>Total Wyoming Electric debt</w:t>
            </w:r>
          </w:p>
        </w:tc>
        <w:tc>
          <w:tcPr>
            <w:tcW w:w="1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202,000</w:t>
            </w:r>
          </w:p>
        </w:tc>
        <w:tc>
          <w:tcPr>
            <w:tcW w:w="7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202,000</w:t>
            </w:r>
          </w:p>
        </w:tc>
      </w:tr>
      <w:tr>
        <w:trPr>
          <w:trHeight w:val="189"/>
        </w:trPr>
        <w:tc>
          <w:tcPr>
            <w:tcW w:w="140" w:type="dxa"/>
            <w:vAlign w:val="bottom"/>
            <w:shd w:val="clear" w:color="auto" w:fill="CEFEE7"/>
          </w:tcPr>
          <w:p>
            <w:pPr>
              <w:spacing w:after="0"/>
              <w:rPr>
                <w:sz w:val="16"/>
                <w:szCs w:val="16"/>
                <w:color w:val="auto"/>
              </w:rPr>
            </w:pPr>
          </w:p>
        </w:tc>
        <w:tc>
          <w:tcPr>
            <w:tcW w:w="4800" w:type="dxa"/>
            <w:vAlign w:val="bottom"/>
            <w:gridSpan w:val="4"/>
            <w:shd w:val="clear" w:color="auto" w:fill="CEFEE7"/>
          </w:tcPr>
          <w:p>
            <w:pPr>
              <w:ind w:left="80"/>
              <w:spacing w:after="0"/>
              <w:rPr>
                <w:sz w:val="20"/>
                <w:szCs w:val="20"/>
                <w:color w:val="auto"/>
              </w:rPr>
            </w:pPr>
            <w:r>
              <w:rPr>
                <w:rFonts w:ascii="Arial" w:cs="Arial" w:eastAsia="Arial" w:hAnsi="Arial"/>
                <w:sz w:val="14"/>
                <w:szCs w:val="14"/>
                <w:color w:val="auto"/>
              </w:rPr>
              <w:t>Less unamortized debt discount</w:t>
            </w:r>
          </w:p>
        </w:tc>
        <w:tc>
          <w:tcPr>
            <w:tcW w:w="1840" w:type="dxa"/>
            <w:vAlign w:val="bottom"/>
            <w:shd w:val="clear" w:color="auto" w:fill="CEFEE7"/>
          </w:tcPr>
          <w:p>
            <w:pPr>
              <w:spacing w:after="0"/>
              <w:rPr>
                <w:sz w:val="16"/>
                <w:szCs w:val="16"/>
                <w:color w:val="auto"/>
              </w:rPr>
            </w:pPr>
          </w:p>
        </w:tc>
        <w:tc>
          <w:tcPr>
            <w:tcW w:w="1580" w:type="dxa"/>
            <w:vAlign w:val="bottom"/>
            <w:shd w:val="clear" w:color="auto" w:fill="CEFEE7"/>
          </w:tcPr>
          <w:p>
            <w:pPr>
              <w:spacing w:after="0"/>
              <w:rPr>
                <w:sz w:val="16"/>
                <w:szCs w:val="16"/>
                <w:color w:val="auto"/>
              </w:rPr>
            </w:pPr>
          </w:p>
        </w:tc>
        <w:tc>
          <w:tcPr>
            <w:tcW w:w="400" w:type="dxa"/>
            <w:vAlign w:val="bottom"/>
            <w:tcBorders>
              <w:bottom w:val="single" w:sz="8" w:color="auto"/>
            </w:tcBorders>
            <w:shd w:val="clear" w:color="auto" w:fill="CEFEE7"/>
          </w:tcPr>
          <w:p>
            <w:pPr>
              <w:spacing w:after="0"/>
              <w:rPr>
                <w:sz w:val="16"/>
                <w:szCs w:val="16"/>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EFEE7"/>
          </w:tcPr>
          <w:p>
            <w:pPr>
              <w:spacing w:after="0"/>
              <w:rPr>
                <w:sz w:val="16"/>
                <w:szCs w:val="16"/>
                <w:color w:val="auto"/>
              </w:rPr>
            </w:pP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140" w:type="dxa"/>
            <w:vAlign w:val="bottom"/>
            <w:tcBorders>
              <w:bottom w:val="single" w:sz="8" w:color="CEFEE7"/>
            </w:tcBorders>
          </w:tcPr>
          <w:p>
            <w:pPr>
              <w:spacing w:after="0"/>
              <w:rPr>
                <w:sz w:val="15"/>
                <w:szCs w:val="15"/>
                <w:color w:val="auto"/>
              </w:rPr>
            </w:pPr>
          </w:p>
        </w:tc>
        <w:tc>
          <w:tcPr>
            <w:tcW w:w="4800" w:type="dxa"/>
            <w:vAlign w:val="bottom"/>
            <w:tcBorders>
              <w:bottom w:val="single" w:sz="8" w:color="CEFEE7"/>
            </w:tcBorders>
            <w:gridSpan w:val="4"/>
          </w:tcPr>
          <w:p>
            <w:pPr>
              <w:ind w:left="420"/>
              <w:spacing w:after="0"/>
              <w:rPr>
                <w:sz w:val="20"/>
                <w:szCs w:val="20"/>
                <w:color w:val="auto"/>
              </w:rPr>
            </w:pPr>
            <w:r>
              <w:rPr>
                <w:rFonts w:ascii="Arial" w:cs="Arial" w:eastAsia="Arial" w:hAnsi="Arial"/>
                <w:sz w:val="14"/>
                <w:szCs w:val="14"/>
                <w:color w:val="auto"/>
              </w:rPr>
              <w:t>Total Wyoming Electric debt, net</w:t>
            </w:r>
          </w:p>
        </w:tc>
        <w:tc>
          <w:tcPr>
            <w:tcW w:w="1840" w:type="dxa"/>
            <w:vAlign w:val="bottom"/>
            <w:tcBorders>
              <w:bottom w:val="single" w:sz="8" w:color="CEFEE7"/>
            </w:tcBorders>
          </w:tcPr>
          <w:p>
            <w:pPr>
              <w:spacing w:after="0"/>
              <w:rPr>
                <w:sz w:val="15"/>
                <w:szCs w:val="15"/>
                <w:color w:val="auto"/>
              </w:rPr>
            </w:pPr>
          </w:p>
        </w:tc>
        <w:tc>
          <w:tcPr>
            <w:tcW w:w="1580" w:type="dxa"/>
            <w:vAlign w:val="bottom"/>
            <w:tcBorders>
              <w:bottom w:val="single" w:sz="8" w:color="CEFEE7"/>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202,000</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202,000</w:t>
            </w:r>
          </w:p>
        </w:tc>
      </w:tr>
      <w:tr>
        <w:trPr>
          <w:trHeight w:val="75"/>
        </w:trPr>
        <w:tc>
          <w:tcPr>
            <w:tcW w:w="140" w:type="dxa"/>
            <w:vAlign w:val="bottom"/>
            <w:shd w:val="clear" w:color="auto" w:fill="CEFEE7"/>
          </w:tcPr>
          <w:p>
            <w:pPr>
              <w:spacing w:after="0"/>
              <w:rPr>
                <w:sz w:val="6"/>
                <w:szCs w:val="6"/>
                <w:color w:val="auto"/>
              </w:rPr>
            </w:pPr>
          </w:p>
        </w:tc>
        <w:tc>
          <w:tcPr>
            <w:tcW w:w="640" w:type="dxa"/>
            <w:vAlign w:val="bottom"/>
            <w:shd w:val="clear" w:color="auto" w:fill="CEFEE7"/>
          </w:tcPr>
          <w:p>
            <w:pPr>
              <w:spacing w:after="0"/>
              <w:rPr>
                <w:sz w:val="6"/>
                <w:szCs w:val="6"/>
                <w:color w:val="auto"/>
              </w:rPr>
            </w:pPr>
          </w:p>
        </w:tc>
        <w:tc>
          <w:tcPr>
            <w:tcW w:w="480" w:type="dxa"/>
            <w:vAlign w:val="bottom"/>
            <w:shd w:val="clear" w:color="auto" w:fill="CEFEE7"/>
          </w:tcPr>
          <w:p>
            <w:pPr>
              <w:spacing w:after="0"/>
              <w:rPr>
                <w:sz w:val="6"/>
                <w:szCs w:val="6"/>
                <w:color w:val="auto"/>
              </w:rPr>
            </w:pPr>
          </w:p>
        </w:tc>
        <w:tc>
          <w:tcPr>
            <w:tcW w:w="280" w:type="dxa"/>
            <w:vAlign w:val="bottom"/>
            <w:shd w:val="clear" w:color="auto" w:fill="CEFEE7"/>
          </w:tcPr>
          <w:p>
            <w:pPr>
              <w:spacing w:after="0"/>
              <w:rPr>
                <w:sz w:val="6"/>
                <w:szCs w:val="6"/>
                <w:color w:val="auto"/>
              </w:rPr>
            </w:pPr>
          </w:p>
        </w:tc>
        <w:tc>
          <w:tcPr>
            <w:tcW w:w="3400" w:type="dxa"/>
            <w:vAlign w:val="bottom"/>
            <w:shd w:val="clear" w:color="auto" w:fill="CEFEE7"/>
          </w:tcPr>
          <w:p>
            <w:pPr>
              <w:spacing w:after="0"/>
              <w:rPr>
                <w:sz w:val="6"/>
                <w:szCs w:val="6"/>
                <w:color w:val="auto"/>
              </w:rPr>
            </w:pPr>
          </w:p>
        </w:tc>
        <w:tc>
          <w:tcPr>
            <w:tcW w:w="1840" w:type="dxa"/>
            <w:vAlign w:val="bottom"/>
            <w:shd w:val="clear" w:color="auto" w:fill="CEFEE7"/>
          </w:tcPr>
          <w:p>
            <w:pPr>
              <w:spacing w:after="0"/>
              <w:rPr>
                <w:sz w:val="6"/>
                <w:szCs w:val="6"/>
                <w:color w:val="auto"/>
              </w:rPr>
            </w:pPr>
          </w:p>
        </w:tc>
        <w:tc>
          <w:tcPr>
            <w:tcW w:w="1580" w:type="dxa"/>
            <w:vAlign w:val="bottom"/>
            <w:shd w:val="clear" w:color="auto" w:fill="CEFEE7"/>
          </w:tcPr>
          <w:p>
            <w:pPr>
              <w:spacing w:after="0"/>
              <w:rPr>
                <w:sz w:val="6"/>
                <w:szCs w:val="6"/>
                <w:color w:val="auto"/>
              </w:rPr>
            </w:pPr>
          </w:p>
        </w:tc>
        <w:tc>
          <w:tcPr>
            <w:tcW w:w="400" w:type="dxa"/>
            <w:vAlign w:val="bottom"/>
            <w:shd w:val="clear" w:color="auto" w:fill="CEFEE7"/>
          </w:tcPr>
          <w:p>
            <w:pPr>
              <w:spacing w:after="0"/>
              <w:rPr>
                <w:sz w:val="6"/>
                <w:szCs w:val="6"/>
                <w:color w:val="auto"/>
              </w:rPr>
            </w:pPr>
          </w:p>
        </w:tc>
        <w:tc>
          <w:tcPr>
            <w:tcW w:w="1020" w:type="dxa"/>
            <w:vAlign w:val="bottom"/>
            <w:shd w:val="clear" w:color="auto" w:fill="CEFEE7"/>
          </w:tcPr>
          <w:p>
            <w:pPr>
              <w:spacing w:after="0"/>
              <w:rPr>
                <w:sz w:val="6"/>
                <w:szCs w:val="6"/>
                <w:color w:val="auto"/>
              </w:rPr>
            </w:pPr>
          </w:p>
        </w:tc>
        <w:tc>
          <w:tcPr>
            <w:tcW w:w="700" w:type="dxa"/>
            <w:vAlign w:val="bottom"/>
            <w:shd w:val="clear" w:color="auto" w:fill="CEFEE7"/>
          </w:tcPr>
          <w:p>
            <w:pPr>
              <w:spacing w:after="0"/>
              <w:rPr>
                <w:sz w:val="6"/>
                <w:szCs w:val="6"/>
                <w:color w:val="auto"/>
              </w:rPr>
            </w:pPr>
          </w:p>
        </w:tc>
        <w:tc>
          <w:tcPr>
            <w:tcW w:w="740" w:type="dxa"/>
            <w:vAlign w:val="bottom"/>
            <w:shd w:val="clear" w:color="auto" w:fill="CEFEE7"/>
          </w:tcPr>
          <w:p>
            <w:pPr>
              <w:spacing w:after="0"/>
              <w:rPr>
                <w:sz w:val="6"/>
                <w:szCs w:val="6"/>
                <w:color w:val="auto"/>
              </w:rPr>
            </w:pPr>
          </w:p>
        </w:tc>
      </w:tr>
      <w:tr>
        <w:trPr>
          <w:trHeight w:val="189"/>
        </w:trPr>
        <w:tc>
          <w:tcPr>
            <w:tcW w:w="4940" w:type="dxa"/>
            <w:vAlign w:val="bottom"/>
            <w:gridSpan w:val="5"/>
          </w:tcPr>
          <w:p>
            <w:pPr>
              <w:ind w:left="20"/>
              <w:spacing w:after="0"/>
              <w:rPr>
                <w:sz w:val="20"/>
                <w:szCs w:val="20"/>
                <w:color w:val="auto"/>
              </w:rPr>
            </w:pPr>
            <w:r>
              <w:rPr>
                <w:rFonts w:ascii="Arial" w:cs="Arial" w:eastAsia="Arial" w:hAnsi="Arial"/>
                <w:sz w:val="14"/>
                <w:szCs w:val="14"/>
                <w:color w:val="auto"/>
              </w:rPr>
              <w:t>Total long-term debt</w:t>
            </w:r>
          </w:p>
        </w:tc>
        <w:tc>
          <w:tcPr>
            <w:tcW w:w="1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3,561,345</w:t>
            </w:r>
          </w:p>
        </w:tc>
        <w:tc>
          <w:tcPr>
            <w:tcW w:w="7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3,170,489</w:t>
            </w:r>
          </w:p>
        </w:tc>
      </w:tr>
      <w:tr>
        <w:trPr>
          <w:trHeight w:val="189"/>
        </w:trPr>
        <w:tc>
          <w:tcPr>
            <w:tcW w:w="4940" w:type="dxa"/>
            <w:vAlign w:val="bottom"/>
            <w:gridSpan w:val="5"/>
            <w:shd w:val="clear" w:color="auto" w:fill="CEFEE7"/>
          </w:tcPr>
          <w:p>
            <w:pPr>
              <w:ind w:left="140"/>
              <w:spacing w:after="0"/>
              <w:rPr>
                <w:sz w:val="20"/>
                <w:szCs w:val="20"/>
                <w:color w:val="auto"/>
              </w:rPr>
            </w:pPr>
            <w:r>
              <w:rPr>
                <w:rFonts w:ascii="Arial" w:cs="Arial" w:eastAsia="Arial" w:hAnsi="Arial"/>
                <w:sz w:val="14"/>
                <w:szCs w:val="14"/>
                <w:color w:val="auto"/>
              </w:rPr>
              <w:t>Less current maturities</w:t>
            </w:r>
          </w:p>
        </w:tc>
        <w:tc>
          <w:tcPr>
            <w:tcW w:w="1840" w:type="dxa"/>
            <w:vAlign w:val="bottom"/>
            <w:shd w:val="clear" w:color="auto" w:fill="CEFEE7"/>
          </w:tcPr>
          <w:p>
            <w:pPr>
              <w:spacing w:after="0"/>
              <w:rPr>
                <w:sz w:val="16"/>
                <w:szCs w:val="16"/>
                <w:color w:val="auto"/>
              </w:rPr>
            </w:pPr>
          </w:p>
        </w:tc>
        <w:tc>
          <w:tcPr>
            <w:tcW w:w="1580" w:type="dxa"/>
            <w:vAlign w:val="bottom"/>
            <w:shd w:val="clear" w:color="auto" w:fill="CEFEE7"/>
          </w:tcPr>
          <w:p>
            <w:pPr>
              <w:spacing w:after="0"/>
              <w:rPr>
                <w:sz w:val="16"/>
                <w:szCs w:val="16"/>
                <w:color w:val="auto"/>
              </w:rPr>
            </w:pPr>
          </w:p>
        </w:tc>
        <w:tc>
          <w:tcPr>
            <w:tcW w:w="400" w:type="dxa"/>
            <w:vAlign w:val="bottom"/>
            <w:shd w:val="clear" w:color="auto" w:fill="CEFEE7"/>
          </w:tcPr>
          <w:p>
            <w:pPr>
              <w:spacing w:after="0"/>
              <w:rPr>
                <w:sz w:val="16"/>
                <w:szCs w:val="16"/>
                <w:color w:val="auto"/>
              </w:rPr>
            </w:pPr>
          </w:p>
        </w:tc>
        <w:tc>
          <w:tcPr>
            <w:tcW w:w="1020" w:type="dxa"/>
            <w:vAlign w:val="bottom"/>
            <w:shd w:val="clear" w:color="auto" w:fill="CEFEE7"/>
          </w:tcPr>
          <w:p>
            <w:pPr>
              <w:jc w:val="right"/>
              <w:spacing w:after="0"/>
              <w:rPr>
                <w:sz w:val="20"/>
                <w:szCs w:val="20"/>
                <w:color w:val="auto"/>
              </w:rPr>
            </w:pPr>
            <w:r>
              <w:rPr>
                <w:rFonts w:ascii="Arial" w:cs="Arial" w:eastAsia="Arial" w:hAnsi="Arial"/>
                <w:sz w:val="14"/>
                <w:szCs w:val="14"/>
                <w:color w:val="auto"/>
              </w:rPr>
              <w:t>8,436</w:t>
            </w:r>
          </w:p>
        </w:tc>
        <w:tc>
          <w:tcPr>
            <w:tcW w:w="700" w:type="dxa"/>
            <w:vAlign w:val="bottom"/>
            <w:shd w:val="clear" w:color="auto" w:fill="CEFEE7"/>
          </w:tcPr>
          <w:p>
            <w:pPr>
              <w:spacing w:after="0"/>
              <w:rPr>
                <w:sz w:val="16"/>
                <w:szCs w:val="16"/>
                <w:color w:val="auto"/>
              </w:rPr>
            </w:pPr>
          </w:p>
        </w:tc>
        <w:tc>
          <w:tcPr>
            <w:tcW w:w="740" w:type="dxa"/>
            <w:vAlign w:val="bottom"/>
            <w:shd w:val="clear" w:color="auto" w:fill="CEFEE7"/>
          </w:tcPr>
          <w:p>
            <w:pPr>
              <w:jc w:val="right"/>
              <w:ind w:right="8"/>
              <w:spacing w:after="0"/>
              <w:rPr>
                <w:sz w:val="20"/>
                <w:szCs w:val="20"/>
                <w:color w:val="auto"/>
              </w:rPr>
            </w:pPr>
            <w:r>
              <w:rPr>
                <w:rFonts w:ascii="Arial" w:cs="Arial" w:eastAsia="Arial" w:hAnsi="Arial"/>
                <w:sz w:val="14"/>
                <w:szCs w:val="14"/>
                <w:color w:val="auto"/>
              </w:rPr>
              <w:t>5,743</w:t>
            </w:r>
          </w:p>
        </w:tc>
      </w:tr>
      <w:tr>
        <w:trPr>
          <w:trHeight w:val="189"/>
        </w:trPr>
        <w:tc>
          <w:tcPr>
            <w:tcW w:w="4940" w:type="dxa"/>
            <w:vAlign w:val="bottom"/>
            <w:tcBorders>
              <w:bottom w:val="single" w:sz="8" w:color="CEFEE7"/>
            </w:tcBorders>
            <w:gridSpan w:val="5"/>
          </w:tcPr>
          <w:p>
            <w:pPr>
              <w:ind w:left="140"/>
              <w:spacing w:after="0" w:line="189" w:lineRule="exact"/>
              <w:rPr>
                <w:sz w:val="20"/>
                <w:szCs w:val="20"/>
                <w:color w:val="auto"/>
              </w:rPr>
            </w:pPr>
            <w:r>
              <w:rPr>
                <w:rFonts w:ascii="Arial" w:cs="Arial" w:eastAsia="Arial" w:hAnsi="Arial"/>
                <w:sz w:val="14"/>
                <w:szCs w:val="14"/>
                <w:color w:val="auto"/>
              </w:rPr>
              <w:t xml:space="preserve">Less unamortized deferred financing costs </w:t>
            </w:r>
            <w:r>
              <w:rPr>
                <w:rFonts w:ascii="Arial" w:cs="Arial" w:eastAsia="Arial" w:hAnsi="Arial"/>
                <w:sz w:val="18"/>
                <w:szCs w:val="18"/>
                <w:color w:val="auto"/>
                <w:vertAlign w:val="superscript"/>
              </w:rPr>
              <w:t>(c)</w:t>
            </w:r>
          </w:p>
        </w:tc>
        <w:tc>
          <w:tcPr>
            <w:tcW w:w="1840" w:type="dxa"/>
            <w:vAlign w:val="bottom"/>
            <w:tcBorders>
              <w:bottom w:val="single" w:sz="8" w:color="CEFEE7"/>
            </w:tcBorders>
          </w:tcPr>
          <w:p>
            <w:pPr>
              <w:spacing w:after="0"/>
              <w:rPr>
                <w:sz w:val="16"/>
                <w:szCs w:val="16"/>
                <w:color w:val="auto"/>
              </w:rPr>
            </w:pPr>
          </w:p>
        </w:tc>
        <w:tc>
          <w:tcPr>
            <w:tcW w:w="1580" w:type="dxa"/>
            <w:vAlign w:val="bottom"/>
            <w:tcBorders>
              <w:bottom w:val="single" w:sz="8" w:color="CEFEE7"/>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24,809</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24,650</w:t>
            </w:r>
          </w:p>
        </w:tc>
      </w:tr>
      <w:tr>
        <w:trPr>
          <w:trHeight w:val="208"/>
        </w:trPr>
        <w:tc>
          <w:tcPr>
            <w:tcW w:w="140" w:type="dxa"/>
            <w:vAlign w:val="bottom"/>
            <w:tcBorders>
              <w:bottom w:val="single" w:sz="8" w:color="CEFEE7"/>
            </w:tcBorders>
            <w:shd w:val="clear" w:color="auto" w:fill="CEFEE7"/>
          </w:tcPr>
          <w:p>
            <w:pPr>
              <w:spacing w:after="0"/>
              <w:rPr>
                <w:sz w:val="17"/>
                <w:szCs w:val="17"/>
                <w:color w:val="auto"/>
              </w:rPr>
            </w:pPr>
          </w:p>
        </w:tc>
        <w:tc>
          <w:tcPr>
            <w:tcW w:w="4800" w:type="dxa"/>
            <w:vAlign w:val="bottom"/>
            <w:tcBorders>
              <w:bottom w:val="single" w:sz="8" w:color="CEFEE7"/>
            </w:tcBorders>
            <w:gridSpan w:val="4"/>
            <w:shd w:val="clear" w:color="auto" w:fill="CEFEE7"/>
          </w:tcPr>
          <w:p>
            <w:pPr>
              <w:ind w:left="340"/>
              <w:spacing w:after="0"/>
              <w:rPr>
                <w:sz w:val="20"/>
                <w:szCs w:val="20"/>
                <w:color w:val="auto"/>
              </w:rPr>
            </w:pPr>
            <w:r>
              <w:rPr>
                <w:rFonts w:ascii="Arial" w:cs="Arial" w:eastAsia="Arial" w:hAnsi="Arial"/>
                <w:sz w:val="14"/>
                <w:szCs w:val="14"/>
                <w:color w:val="auto"/>
              </w:rPr>
              <w:t>Long-term debt, net of current maturities and deferred financing costs</w:t>
            </w:r>
          </w:p>
        </w:tc>
        <w:tc>
          <w:tcPr>
            <w:tcW w:w="1840" w:type="dxa"/>
            <w:vAlign w:val="bottom"/>
            <w:tcBorders>
              <w:bottom w:val="single" w:sz="8" w:color="CEFEE7"/>
            </w:tcBorders>
            <w:shd w:val="clear" w:color="auto" w:fill="CEFEE7"/>
          </w:tcPr>
          <w:p>
            <w:pPr>
              <w:spacing w:after="0"/>
              <w:rPr>
                <w:sz w:val="17"/>
                <w:szCs w:val="17"/>
                <w:color w:val="auto"/>
              </w:rPr>
            </w:pPr>
          </w:p>
        </w:tc>
        <w:tc>
          <w:tcPr>
            <w:tcW w:w="1580" w:type="dxa"/>
            <w:vAlign w:val="bottom"/>
            <w:tcBorders>
              <w:bottom w:val="single" w:sz="8" w:color="CEFEE7"/>
            </w:tcBorders>
            <w:shd w:val="clear" w:color="auto" w:fill="CEFEE7"/>
          </w:tcPr>
          <w:p>
            <w:pPr>
              <w:spacing w:after="0"/>
              <w:rPr>
                <w:sz w:val="17"/>
                <w:szCs w:val="17"/>
                <w:color w:val="auto"/>
              </w:rPr>
            </w:pPr>
          </w:p>
        </w:tc>
        <w:tc>
          <w:tcPr>
            <w:tcW w:w="400" w:type="dxa"/>
            <w:vAlign w:val="bottom"/>
            <w:tcBorders>
              <w:bottom w:val="single" w:sz="8" w:color="auto"/>
            </w:tcBorders>
            <w:shd w:val="clear" w:color="auto" w:fill="CEFEE7"/>
          </w:tcPr>
          <w:p>
            <w:pPr>
              <w:jc w:val="right"/>
              <w:ind w:right="2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4"/>
                <w:szCs w:val="14"/>
                <w:color w:val="auto"/>
              </w:rPr>
              <w:t>3,528,100</w:t>
            </w:r>
          </w:p>
        </w:tc>
        <w:tc>
          <w:tcPr>
            <w:tcW w:w="700" w:type="dxa"/>
            <w:vAlign w:val="bottom"/>
            <w:tcBorders>
              <w:bottom w:val="single" w:sz="8" w:color="auto"/>
            </w:tcBorders>
            <w:shd w:val="clear" w:color="auto" w:fill="CEFEE7"/>
          </w:tcPr>
          <w:p>
            <w:pPr>
              <w:jc w:val="right"/>
              <w:ind w:right="5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EE7"/>
          </w:tcPr>
          <w:p>
            <w:pPr>
              <w:jc w:val="right"/>
              <w:ind w:right="8"/>
              <w:spacing w:after="0"/>
              <w:rPr>
                <w:sz w:val="20"/>
                <w:szCs w:val="20"/>
                <w:color w:val="auto"/>
              </w:rPr>
            </w:pPr>
            <w:r>
              <w:rPr>
                <w:rFonts w:ascii="Arial" w:cs="Arial" w:eastAsia="Arial" w:hAnsi="Arial"/>
                <w:sz w:val="14"/>
                <w:szCs w:val="14"/>
                <w:color w:val="auto"/>
              </w:rPr>
              <w:t>3,140,096</w:t>
            </w:r>
          </w:p>
        </w:tc>
      </w:tr>
      <w:tr>
        <w:trPr>
          <w:trHeight w:val="20"/>
        </w:trPr>
        <w:tc>
          <w:tcPr>
            <w:tcW w:w="140" w:type="dxa"/>
            <w:vAlign w:val="bottom"/>
            <w:tcBorders>
              <w:top w:val="single" w:sz="8" w:color="CEFEE7"/>
            </w:tcBorders>
          </w:tcPr>
          <w:p>
            <w:pPr>
              <w:spacing w:after="0" w:line="20" w:lineRule="exact"/>
              <w:rPr>
                <w:sz w:val="1"/>
                <w:szCs w:val="1"/>
                <w:color w:val="auto"/>
              </w:rPr>
            </w:pPr>
          </w:p>
        </w:tc>
        <w:tc>
          <w:tcPr>
            <w:tcW w:w="640" w:type="dxa"/>
            <w:vAlign w:val="bottom"/>
            <w:tcBorders>
              <w:top w:val="single" w:sz="8" w:color="CEFEE7"/>
            </w:tcBorders>
          </w:tcPr>
          <w:p>
            <w:pPr>
              <w:spacing w:after="0" w:line="20" w:lineRule="exact"/>
              <w:rPr>
                <w:sz w:val="1"/>
                <w:szCs w:val="1"/>
                <w:color w:val="auto"/>
              </w:rPr>
            </w:pPr>
          </w:p>
        </w:tc>
        <w:tc>
          <w:tcPr>
            <w:tcW w:w="480" w:type="dxa"/>
            <w:vAlign w:val="bottom"/>
            <w:tcBorders>
              <w:top w:val="single" w:sz="8" w:color="CEFEE7"/>
            </w:tcBorders>
          </w:tcPr>
          <w:p>
            <w:pPr>
              <w:spacing w:after="0" w:line="20" w:lineRule="exact"/>
              <w:rPr>
                <w:sz w:val="1"/>
                <w:szCs w:val="1"/>
                <w:color w:val="auto"/>
              </w:rPr>
            </w:pPr>
          </w:p>
        </w:tc>
        <w:tc>
          <w:tcPr>
            <w:tcW w:w="280" w:type="dxa"/>
            <w:vAlign w:val="bottom"/>
            <w:tcBorders>
              <w:top w:val="single" w:sz="8" w:color="CEFEE7"/>
            </w:tcBorders>
          </w:tcPr>
          <w:p>
            <w:pPr>
              <w:spacing w:after="0" w:line="20" w:lineRule="exact"/>
              <w:rPr>
                <w:sz w:val="1"/>
                <w:szCs w:val="1"/>
                <w:color w:val="auto"/>
              </w:rPr>
            </w:pPr>
          </w:p>
        </w:tc>
        <w:tc>
          <w:tcPr>
            <w:tcW w:w="3400" w:type="dxa"/>
            <w:vAlign w:val="bottom"/>
            <w:tcBorders>
              <w:top w:val="single" w:sz="8" w:color="CEFEE7"/>
            </w:tcBorders>
          </w:tcPr>
          <w:p>
            <w:pPr>
              <w:spacing w:after="0" w:line="20" w:lineRule="exact"/>
              <w:rPr>
                <w:sz w:val="1"/>
                <w:szCs w:val="1"/>
                <w:color w:val="auto"/>
              </w:rPr>
            </w:pPr>
          </w:p>
        </w:tc>
        <w:tc>
          <w:tcPr>
            <w:tcW w:w="1840" w:type="dxa"/>
            <w:vAlign w:val="bottom"/>
            <w:tcBorders>
              <w:top w:val="single" w:sz="8" w:color="CEFEE7"/>
            </w:tcBorders>
          </w:tcPr>
          <w:p>
            <w:pPr>
              <w:spacing w:after="0" w:line="20" w:lineRule="exact"/>
              <w:rPr>
                <w:sz w:val="1"/>
                <w:szCs w:val="1"/>
                <w:color w:val="auto"/>
              </w:rPr>
            </w:pPr>
          </w:p>
        </w:tc>
        <w:tc>
          <w:tcPr>
            <w:tcW w:w="1580" w:type="dxa"/>
            <w:vAlign w:val="bottom"/>
            <w:tcBorders>
              <w:top w:val="single" w:sz="8" w:color="CEFEE7"/>
            </w:tcBorders>
          </w:tcPr>
          <w:p>
            <w:pPr>
              <w:spacing w:after="0" w:line="20" w:lineRule="exact"/>
              <w:rPr>
                <w:sz w:val="1"/>
                <w:szCs w:val="1"/>
                <w:color w:val="auto"/>
              </w:rPr>
            </w:pPr>
          </w:p>
        </w:tc>
        <w:tc>
          <w:tcPr>
            <w:tcW w:w="400" w:type="dxa"/>
            <w:vAlign w:val="bottom"/>
            <w:tcBorders>
              <w:top w:val="single" w:sz="8" w:color="CEFEE7"/>
              <w:bottom w:val="single" w:sz="8" w:color="auto"/>
            </w:tcBorders>
          </w:tcPr>
          <w:p>
            <w:pPr>
              <w:spacing w:after="0" w:line="20" w:lineRule="exact"/>
              <w:rPr>
                <w:sz w:val="1"/>
                <w:szCs w:val="1"/>
                <w:color w:val="auto"/>
              </w:rPr>
            </w:pPr>
          </w:p>
        </w:tc>
        <w:tc>
          <w:tcPr>
            <w:tcW w:w="1020" w:type="dxa"/>
            <w:vAlign w:val="bottom"/>
            <w:tcBorders>
              <w:top w:val="single" w:sz="8" w:color="CEFEE7"/>
              <w:bottom w:val="single" w:sz="8" w:color="auto"/>
            </w:tcBorders>
          </w:tcPr>
          <w:p>
            <w:pPr>
              <w:spacing w:after="0" w:line="20" w:lineRule="exact"/>
              <w:rPr>
                <w:sz w:val="1"/>
                <w:szCs w:val="1"/>
                <w:color w:val="auto"/>
              </w:rPr>
            </w:pPr>
          </w:p>
        </w:tc>
        <w:tc>
          <w:tcPr>
            <w:tcW w:w="700" w:type="dxa"/>
            <w:vAlign w:val="bottom"/>
            <w:tcBorders>
              <w:top w:val="single" w:sz="8" w:color="CEFEE7"/>
              <w:bottom w:val="single" w:sz="8" w:color="auto"/>
            </w:tcBorders>
          </w:tcPr>
          <w:p>
            <w:pPr>
              <w:spacing w:after="0" w:line="20" w:lineRule="exact"/>
              <w:rPr>
                <w:sz w:val="1"/>
                <w:szCs w:val="1"/>
                <w:color w:val="auto"/>
              </w:rPr>
            </w:pPr>
          </w:p>
        </w:tc>
        <w:tc>
          <w:tcPr>
            <w:tcW w:w="740" w:type="dxa"/>
            <w:vAlign w:val="bottom"/>
            <w:tcBorders>
              <w:top w:val="single" w:sz="8" w:color="CEFEE7"/>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Variable interest rate.</w:t>
      </w:r>
    </w:p>
    <w:p>
      <w:pPr>
        <w:spacing w:after="0" w:line="1" w:lineRule="exact"/>
        <w:rPr>
          <w:rFonts w:ascii="Arial" w:cs="Arial" w:eastAsia="Arial" w:hAnsi="Arial"/>
          <w:sz w:val="14"/>
          <w:szCs w:val="14"/>
          <w:color w:val="auto"/>
        </w:rPr>
      </w:pPr>
    </w:p>
    <w:p>
      <w:pPr>
        <w:ind w:left="340" w:hanging="332"/>
        <w:spacing w:after="0" w:line="241" w:lineRule="auto"/>
        <w:tabs>
          <w:tab w:leader="none" w:pos="344" w:val="left"/>
        </w:tabs>
        <w:numPr>
          <w:ilvl w:val="0"/>
          <w:numId w:val="70"/>
        </w:numPr>
        <w:rPr>
          <w:rFonts w:ascii="Arial" w:cs="Arial" w:eastAsia="Arial" w:hAnsi="Arial"/>
          <w:sz w:val="14"/>
          <w:szCs w:val="14"/>
          <w:color w:val="auto"/>
        </w:rPr>
      </w:pPr>
      <w:r>
        <w:rPr>
          <w:rFonts w:ascii="Arial" w:cs="Arial" w:eastAsia="Arial" w:hAnsi="Arial"/>
          <w:sz w:val="14"/>
          <w:szCs w:val="14"/>
          <w:color w:val="auto"/>
        </w:rPr>
        <w:t>A reimbursement agreement is in place with Wells Fargo on behalf of Wyoming Electric for the 2009A bonds of $10 million due March 1, 2027 and the 2009B bonds of $7.0 million due September 1, 2021. In the case of default, we hold the assumption of liability for drawings on Wyoming Electric’s Letter of Credit attached to these bonds.</w:t>
      </w:r>
    </w:p>
    <w:p>
      <w:pPr>
        <w:ind w:left="340" w:right="700" w:hanging="332"/>
        <w:spacing w:after="0" w:line="258" w:lineRule="auto"/>
        <w:tabs>
          <w:tab w:leader="none" w:pos="344"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deferred financing costs associated with our Revolving Credit Facility of $1.0 million and $1.7 million as of December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Scheduled maturities of long-term debt, excluding amortization of premiums or discounts, for future years are (in thousands):</w:t>
      </w:r>
    </w:p>
    <w:p>
      <w:pPr>
        <w:spacing w:after="0" w:line="125" w:lineRule="exact"/>
        <w:rPr>
          <w:sz w:val="20"/>
          <w:szCs w:val="20"/>
          <w:color w:val="auto"/>
        </w:rPr>
      </w:pPr>
    </w:p>
    <w:tbl>
      <w:tblPr>
        <w:tblLayout w:type="fixed"/>
        <w:tblInd w:w="3460" w:type="dxa"/>
        <w:tblCellMar>
          <w:top w:w="0" w:type="dxa"/>
          <w:left w:w="0" w:type="dxa"/>
          <w:bottom w:w="0" w:type="dxa"/>
          <w:right w:w="0" w:type="dxa"/>
        </w:tblCellMar>
      </w:tblPr>
      <w:tr>
        <w:trPr>
          <w:trHeight w:val="216"/>
        </w:trPr>
        <w:tc>
          <w:tcPr>
            <w:tcW w:w="1440" w:type="dxa"/>
            <w:vAlign w:val="bottom"/>
            <w:shd w:val="clear" w:color="auto" w:fill="CEFFE7"/>
          </w:tcPr>
          <w:p>
            <w:pPr>
              <w:spacing w:after="0"/>
              <w:rPr>
                <w:sz w:val="20"/>
                <w:szCs w:val="20"/>
                <w:color w:val="auto"/>
              </w:rPr>
            </w:pPr>
            <w:r>
              <w:rPr>
                <w:rFonts w:ascii="Arial" w:cs="Arial" w:eastAsia="Arial" w:hAnsi="Arial"/>
                <w:sz w:val="16"/>
                <w:szCs w:val="16"/>
                <w:color w:val="auto"/>
              </w:rPr>
              <w:t>2021</w:t>
            </w:r>
          </w:p>
        </w:tc>
        <w:tc>
          <w:tcPr>
            <w:tcW w:w="1440" w:type="dxa"/>
            <w:vAlign w:val="bottom"/>
            <w:shd w:val="clear" w:color="auto" w:fill="CEFFE7"/>
          </w:tcPr>
          <w:p>
            <w:pPr>
              <w:jc w:val="right"/>
              <w:ind w:right="5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8,436</w:t>
            </w:r>
          </w:p>
        </w:tc>
      </w:tr>
      <w:tr>
        <w:trPr>
          <w:trHeight w:val="213"/>
        </w:trPr>
        <w:tc>
          <w:tcPr>
            <w:tcW w:w="1440" w:type="dxa"/>
            <w:vAlign w:val="bottom"/>
          </w:tcPr>
          <w:p>
            <w:pPr>
              <w:spacing w:after="0"/>
              <w:rPr>
                <w:sz w:val="20"/>
                <w:szCs w:val="20"/>
                <w:color w:val="auto"/>
              </w:rPr>
            </w:pPr>
            <w:r>
              <w:rPr>
                <w:rFonts w:ascii="Arial" w:cs="Arial" w:eastAsia="Arial" w:hAnsi="Arial"/>
                <w:sz w:val="16"/>
                <w:szCs w:val="16"/>
                <w:color w:val="auto"/>
              </w:rPr>
              <w:t>2022</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440" w:type="dxa"/>
            <w:vAlign w:val="bottom"/>
            <w:shd w:val="clear" w:color="auto" w:fill="CEFFE7"/>
          </w:tcPr>
          <w:p>
            <w:pPr>
              <w:spacing w:after="0"/>
              <w:rPr>
                <w:sz w:val="20"/>
                <w:szCs w:val="20"/>
                <w:color w:val="auto"/>
              </w:rPr>
            </w:pPr>
            <w:r>
              <w:rPr>
                <w:rFonts w:ascii="Arial" w:cs="Arial" w:eastAsia="Arial" w:hAnsi="Arial"/>
                <w:sz w:val="16"/>
                <w:szCs w:val="16"/>
                <w:color w:val="auto"/>
              </w:rPr>
              <w:t>2023</w:t>
            </w:r>
          </w:p>
        </w:tc>
        <w:tc>
          <w:tcPr>
            <w:tcW w:w="1440" w:type="dxa"/>
            <w:vAlign w:val="bottom"/>
            <w:shd w:val="clear" w:color="auto" w:fill="CEFFE7"/>
          </w:tcPr>
          <w:p>
            <w:pPr>
              <w:jc w:val="right"/>
              <w:ind w:right="5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525,000</w:t>
            </w:r>
          </w:p>
        </w:tc>
      </w:tr>
      <w:tr>
        <w:trPr>
          <w:trHeight w:val="213"/>
        </w:trPr>
        <w:tc>
          <w:tcPr>
            <w:tcW w:w="1440" w:type="dxa"/>
            <w:vAlign w:val="bottom"/>
          </w:tcPr>
          <w:p>
            <w:pPr>
              <w:spacing w:after="0"/>
              <w:rPr>
                <w:sz w:val="20"/>
                <w:szCs w:val="20"/>
                <w:color w:val="auto"/>
              </w:rPr>
            </w:pPr>
            <w:r>
              <w:rPr>
                <w:rFonts w:ascii="Arial" w:cs="Arial" w:eastAsia="Arial" w:hAnsi="Arial"/>
                <w:sz w:val="16"/>
                <w:szCs w:val="16"/>
                <w:color w:val="auto"/>
              </w:rPr>
              <w:t>2024</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440" w:type="dxa"/>
            <w:vAlign w:val="bottom"/>
            <w:shd w:val="clear" w:color="auto" w:fill="CEFFE7"/>
          </w:tcPr>
          <w:p>
            <w:pPr>
              <w:spacing w:after="0"/>
              <w:rPr>
                <w:sz w:val="20"/>
                <w:szCs w:val="20"/>
                <w:color w:val="auto"/>
              </w:rPr>
            </w:pPr>
            <w:r>
              <w:rPr>
                <w:rFonts w:ascii="Arial" w:cs="Arial" w:eastAsia="Arial" w:hAnsi="Arial"/>
                <w:sz w:val="16"/>
                <w:szCs w:val="16"/>
                <w:color w:val="auto"/>
              </w:rPr>
              <w:t>2025</w:t>
            </w:r>
          </w:p>
        </w:tc>
        <w:tc>
          <w:tcPr>
            <w:tcW w:w="1440" w:type="dxa"/>
            <w:vAlign w:val="bottom"/>
            <w:shd w:val="clear" w:color="auto" w:fill="CEFFE7"/>
          </w:tcPr>
          <w:p>
            <w:pPr>
              <w:jc w:val="right"/>
              <w:ind w:right="5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1440" w:type="dxa"/>
            <w:vAlign w:val="bottom"/>
          </w:tcPr>
          <w:p>
            <w:pPr>
              <w:spacing w:after="0"/>
              <w:rPr>
                <w:sz w:val="20"/>
                <w:szCs w:val="20"/>
                <w:color w:val="auto"/>
              </w:rPr>
            </w:pPr>
            <w:r>
              <w:rPr>
                <w:rFonts w:ascii="Arial" w:cs="Arial" w:eastAsia="Arial" w:hAnsi="Arial"/>
                <w:sz w:val="16"/>
                <w:szCs w:val="16"/>
                <w:color w:val="auto"/>
              </w:rPr>
              <w:t>Thereafter</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3,035,000</w:t>
            </w:r>
          </w:p>
        </w:tc>
      </w:tr>
    </w:tbl>
    <w:p>
      <w:pPr>
        <w:spacing w:after="0" w:line="33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Our debt securities contain certain restrictive financial covenants, all of which the Company and its subsidiaries were in compliance with at December 31, 2020. See below for additional information.</w:t>
      </w:r>
    </w:p>
    <w:p>
      <w:pPr>
        <w:spacing w:after="0" w:line="222"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Substantially all of the tangible utility property of South Dakota Electric and Wyoming Electric is subject to the lien of indentures securing their first mortgage bonds. First mortgage bonds of South Dakota Electric and Wyoming Electric may be issued in amounts limited by property, earnings and other provisions of the mortgage indentures.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Amortization of Deferred Financing Costs</w:t>
      </w:r>
    </w:p>
    <w:p>
      <w:pPr>
        <w:spacing w:after="0" w:line="24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deferred financing costs and associated amortization expense included in Interest expense on the accompanying Consolidated Statements of Income were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jc w:val="center"/>
              <w:ind w:left="719"/>
              <w:spacing w:after="0"/>
              <w:rPr>
                <w:sz w:val="20"/>
                <w:szCs w:val="20"/>
                <w:color w:val="auto"/>
              </w:rPr>
            </w:pPr>
            <w:r>
              <w:rPr>
                <w:rFonts w:ascii="Arial" w:cs="Arial" w:eastAsia="Arial" w:hAnsi="Arial"/>
                <w:sz w:val="16"/>
                <w:szCs w:val="16"/>
                <w:color w:val="auto"/>
              </w:rPr>
              <w:t>Deferred Financing Costs Remaining at</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500" w:type="dxa"/>
            <w:vAlign w:val="bottom"/>
            <w:gridSpan w:val="5"/>
          </w:tcPr>
          <w:p>
            <w:pPr>
              <w:jc w:val="center"/>
              <w:ind w:right="379"/>
              <w:spacing w:after="0"/>
              <w:rPr>
                <w:sz w:val="20"/>
                <w:szCs w:val="20"/>
                <w:color w:val="auto"/>
              </w:rPr>
            </w:pPr>
            <w:r>
              <w:rPr>
                <w:rFonts w:ascii="Arial" w:cs="Arial" w:eastAsia="Arial" w:hAnsi="Arial"/>
                <w:sz w:val="16"/>
                <w:szCs w:val="16"/>
                <w:color w:val="auto"/>
              </w:rPr>
              <w:t>Amortization Expense for the years ended December 31,</w:t>
            </w:r>
          </w:p>
        </w:tc>
      </w:tr>
      <w:tr>
        <w:trPr>
          <w:trHeight w:val="219"/>
        </w:trPr>
        <w:tc>
          <w:tcPr>
            <w:tcW w:w="404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rPr>
              <w:t>December 31, 2020</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CEFFE7"/>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2020</w:t>
            </w: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2019</w:t>
            </w: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2018</w:t>
            </w:r>
          </w:p>
        </w:tc>
      </w:tr>
      <w:tr>
        <w:trPr>
          <w:trHeight w:val="235"/>
        </w:trPr>
        <w:tc>
          <w:tcPr>
            <w:tcW w:w="4040" w:type="dxa"/>
            <w:vAlign w:val="bottom"/>
            <w:tcBorders>
              <w:bottom w:val="single" w:sz="8" w:color="auto"/>
            </w:tcBorders>
            <w:shd w:val="clear" w:color="auto" w:fill="CEFFE7"/>
          </w:tcPr>
          <w:p>
            <w:pPr>
              <w:jc w:val="right"/>
              <w:ind w:right="38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24,809</w:t>
            </w:r>
          </w:p>
        </w:tc>
        <w:tc>
          <w:tcPr>
            <w:tcW w:w="460" w:type="dxa"/>
            <w:vAlign w:val="bottom"/>
            <w:tcBorders>
              <w:bottom w:val="single" w:sz="8" w:color="CEFFE7"/>
            </w:tcBorders>
            <w:shd w:val="clear" w:color="auto" w:fill="CEFFE7"/>
          </w:tcPr>
          <w:p>
            <w:pPr>
              <w:spacing w:after="0"/>
              <w:rPr>
                <w:sz w:val="19"/>
                <w:szCs w:val="19"/>
                <w:color w:val="auto"/>
              </w:rPr>
            </w:pPr>
          </w:p>
        </w:tc>
        <w:tc>
          <w:tcPr>
            <w:tcW w:w="4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3,272</w:t>
            </w:r>
          </w:p>
        </w:tc>
        <w:tc>
          <w:tcPr>
            <w:tcW w:w="50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3,242</w:t>
            </w:r>
          </w:p>
        </w:tc>
        <w:tc>
          <w:tcPr>
            <w:tcW w:w="50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2,829</w:t>
            </w:r>
          </w:p>
        </w:tc>
      </w:tr>
      <w:tr>
        <w:trPr>
          <w:trHeight w:val="20"/>
        </w:trPr>
        <w:tc>
          <w:tcPr>
            <w:tcW w:w="40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460" w:type="dxa"/>
            <w:vAlign w:val="bottom"/>
            <w:tcBorders>
              <w:top w:val="single" w:sz="8" w:color="CEFFE7"/>
            </w:tcBorders>
          </w:tcPr>
          <w:p>
            <w:pPr>
              <w:spacing w:after="0" w:line="20" w:lineRule="exact"/>
              <w:rPr>
                <w:sz w:val="1"/>
                <w:szCs w:val="1"/>
                <w:color w:val="auto"/>
              </w:rPr>
            </w:pPr>
          </w:p>
        </w:tc>
        <w:tc>
          <w:tcPr>
            <w:tcW w:w="46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50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50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Debt Transactions</w:t>
      </w:r>
    </w:p>
    <w:p>
      <w:pPr>
        <w:spacing w:after="0" w:line="24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On June 17, 2020, we completed a public debt offering which consisted of $400 million of 2.50% 10-year senior unsecured notes due June 15, 2030. The proceeds were used to repay short-term debt and for working capital and general corporate purposes.</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On March 24, 2020, South Dakota Electric paid off its $2.9 million, Series 94A variable rate notes due June 1, 2024. These notes were tendered by the sole investor on March 17, 2020.</w:t>
      </w:r>
    </w:p>
    <w:p>
      <w:pPr>
        <w:spacing w:after="0" w:line="22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On October 3, 2019, we completed a public debt offering of $700 million principal amount in senior unsecured notes. The debt offering consisted of $400 million of 3.05% 10-year senior notes due October 15, 2029 and $300 million of 3.875% 30-year senior notes due October 15, 2049 (together the “Notes”). The proceeds of the Notes were used for the following:</w:t>
      </w:r>
    </w:p>
    <w:p>
      <w:pPr>
        <w:spacing w:after="0" w:line="228" w:lineRule="exact"/>
        <w:rPr>
          <w:sz w:val="20"/>
          <w:szCs w:val="20"/>
          <w:color w:val="auto"/>
        </w:rPr>
      </w:pPr>
    </w:p>
    <w:p>
      <w:pPr>
        <w:ind w:left="280" w:hanging="92"/>
        <w:spacing w:after="0"/>
        <w:tabs>
          <w:tab w:leader="none" w:pos="2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Repay the $400 million Corporate term loan under the Amended and Restated Credit Agreement due June 17, 2021;</w:t>
      </w:r>
    </w:p>
    <w:p>
      <w:pPr>
        <w:spacing w:after="0" w:line="248" w:lineRule="exact"/>
        <w:rPr>
          <w:rFonts w:ascii="Arial" w:cs="Arial" w:eastAsia="Arial" w:hAnsi="Arial"/>
          <w:sz w:val="16"/>
          <w:szCs w:val="16"/>
          <w:color w:val="auto"/>
        </w:rPr>
      </w:pPr>
    </w:p>
    <w:p>
      <w:pPr>
        <w:ind w:left="280" w:hanging="92"/>
        <w:spacing w:after="0"/>
        <w:tabs>
          <w:tab w:leader="none" w:pos="2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Retire the $200 million 5.875% senior notes due July 15, 2020; and</w:t>
      </w:r>
    </w:p>
    <w:p>
      <w:pPr>
        <w:spacing w:after="0" w:line="248" w:lineRule="exact"/>
        <w:rPr>
          <w:rFonts w:ascii="Arial" w:cs="Arial" w:eastAsia="Arial" w:hAnsi="Arial"/>
          <w:sz w:val="16"/>
          <w:szCs w:val="16"/>
          <w:color w:val="auto"/>
        </w:rPr>
      </w:pPr>
    </w:p>
    <w:p>
      <w:pPr>
        <w:ind w:left="280" w:hanging="92"/>
        <w:spacing w:after="0"/>
        <w:tabs>
          <w:tab w:leader="none" w:pos="2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Repay a portion of short-term debt.</w:t>
      </w:r>
    </w:p>
    <w:p>
      <w:pPr>
        <w:spacing w:after="0" w:line="24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On June 17, 2019, we amended our Corporate term loan due July 30, 2020. This amendment increased total commitments to $400 million from $300 million, extended the term through June 17, 2021, and had substantially similar terms and covenants as the amended and restated Revolving Credit Facility. The net proceeds from the increase in total commitments were used to pay down short-term debt. Proceeds from the October 3, 2019 public debt offering were used to repay this term loan.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Under our Revolving Credit Facility and term loan agreements we are required to maintain a Consolidated Indebtedness to Capitalization Ratio not to exceed 0.65 to 1.00. Our Consolidated Indebtedness to Capitalization Ratio is calculated by dividing (i) Consolidated Indebtedness, which includes letters of credit and certain guarantees issued by (ii) Capital, which includes Consolidated Indebtedness plus Net Worth, which excludes noncontrolling interest in subsidiaries. Subject to applicable cure periods, a violation of any of these covenants would constitute an event of default that entitles the lenders to terminate their remaining commitments and accelerate all principal and interest outstanding.</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20"/>
                <w:szCs w:val="20"/>
                <w:color w:val="auto"/>
              </w:rPr>
            </w:pPr>
            <w:r>
              <w:rPr>
                <w:rFonts w:ascii="Arial" w:cs="Arial" w:eastAsia="Arial" w:hAnsi="Arial"/>
                <w:sz w:val="16"/>
                <w:szCs w:val="16"/>
                <w:color w:val="auto"/>
              </w:rPr>
              <w:t>We were in compliance with our covenants at December 31, 2020 as shown below:</w:t>
            </w:r>
          </w:p>
        </w:tc>
        <w:tc>
          <w:tcPr>
            <w:tcW w:w="2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75"/>
        </w:trPr>
        <w:tc>
          <w:tcPr>
            <w:tcW w:w="6160" w:type="dxa"/>
            <w:vAlign w:val="bottom"/>
            <w:tcBorders>
              <w:bottom w:val="single" w:sz="8" w:color="CEFFE7"/>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As of December 31, 2020</w:t>
            </w:r>
          </w:p>
        </w:tc>
        <w:tc>
          <w:tcPr>
            <w:tcW w:w="244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Covenant Requirement</w:t>
            </w:r>
          </w:p>
        </w:tc>
      </w:tr>
      <w:tr>
        <w:trPr>
          <w:trHeight w:val="213"/>
        </w:trPr>
        <w:tc>
          <w:tcPr>
            <w:tcW w:w="6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Consolidated Indebtedness to Capitalization Ratio</w:t>
            </w:r>
          </w:p>
        </w:tc>
        <w:tc>
          <w:tcPr>
            <w:tcW w:w="2620" w:type="dxa"/>
            <w:vAlign w:val="bottom"/>
            <w:shd w:val="clear" w:color="auto" w:fill="CEFFE7"/>
          </w:tcPr>
          <w:p>
            <w:pPr>
              <w:jc w:val="right"/>
              <w:ind w:right="1039"/>
              <w:spacing w:after="0"/>
              <w:rPr>
                <w:sz w:val="20"/>
                <w:szCs w:val="20"/>
                <w:color w:val="auto"/>
              </w:rPr>
            </w:pPr>
            <w:r>
              <w:rPr>
                <w:rFonts w:ascii="Arial" w:cs="Arial" w:eastAsia="Arial" w:hAnsi="Arial"/>
                <w:sz w:val="16"/>
                <w:szCs w:val="16"/>
                <w:color w:val="auto"/>
              </w:rPr>
              <w:t>59.9%</w:t>
            </w:r>
          </w:p>
        </w:tc>
        <w:tc>
          <w:tcPr>
            <w:tcW w:w="1420" w:type="dxa"/>
            <w:vAlign w:val="bottom"/>
            <w:shd w:val="clear" w:color="auto" w:fill="CEFFE7"/>
          </w:tcPr>
          <w:p>
            <w:pPr>
              <w:ind w:left="480"/>
              <w:spacing w:after="0"/>
              <w:rPr>
                <w:sz w:val="20"/>
                <w:szCs w:val="20"/>
                <w:color w:val="auto"/>
              </w:rPr>
            </w:pPr>
            <w:r>
              <w:rPr>
                <w:rFonts w:ascii="Arial" w:cs="Arial" w:eastAsia="Arial" w:hAnsi="Arial"/>
                <w:sz w:val="16"/>
                <w:szCs w:val="16"/>
                <w:color w:val="auto"/>
              </w:rPr>
              <w:t>Less than</w:t>
            </w:r>
          </w:p>
        </w:tc>
        <w:tc>
          <w:tcPr>
            <w:tcW w:w="10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65%</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were in compliance with these covenants.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Restrictions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Our credit facility and other debt obligations contain restrictions on the payment of cash dividends when a default or event of default occurs.</w:t>
      </w:r>
    </w:p>
    <w:p>
      <w:pPr>
        <w:spacing w:after="0" w:line="24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Due to our holding company structure, substantially all of our operating cash flows are provided by dividends paid or distributions made by our subsidiaries. The cash to pay dividends to our shareholders is derived from these cash flows. As a result, certain statutory limitations or regulatory or financing agreements could affect the levels of distributions allowed to be made by our subsidiaries. The following restrictions on distributions from our subsidiaries existed at December 31, 2020:</w:t>
      </w:r>
    </w:p>
    <w:p>
      <w:pPr>
        <w:spacing w:after="0" w:line="229" w:lineRule="exact"/>
        <w:rPr>
          <w:sz w:val="20"/>
          <w:szCs w:val="20"/>
          <w:color w:val="auto"/>
        </w:rPr>
      </w:pPr>
    </w:p>
    <w:p>
      <w:pPr>
        <w:ind w:left="660" w:right="140" w:hanging="328"/>
        <w:spacing w:after="0" w:line="253" w:lineRule="auto"/>
        <w:tabs>
          <w:tab w:leader="none" w:pos="649" w:val="left"/>
        </w:tabs>
        <w:numPr>
          <w:ilvl w:val="1"/>
          <w:numId w:val="72"/>
        </w:numPr>
        <w:rPr>
          <w:rFonts w:ascii="Arial" w:cs="Arial" w:eastAsia="Arial" w:hAnsi="Arial"/>
          <w:sz w:val="16"/>
          <w:szCs w:val="16"/>
          <w:color w:val="auto"/>
        </w:rPr>
      </w:pPr>
      <w:r>
        <w:rPr>
          <w:rFonts w:ascii="Arial" w:cs="Arial" w:eastAsia="Arial" w:hAnsi="Arial"/>
          <w:sz w:val="16"/>
          <w:szCs w:val="16"/>
          <w:color w:val="auto"/>
        </w:rPr>
        <w:t>Our utilities are generally limited to the amount of dividends allowed to be paid to our utility holding company under the Federal Power Act and settlement agreements with state regulatory jurisdictions. As of December 31, 2020, the restricted net assets at our Electric and Gas Utilities were approximately $155 million.</w:t>
      </w:r>
    </w:p>
    <w:p>
      <w:pPr>
        <w:spacing w:after="0" w:line="228" w:lineRule="exact"/>
        <w:rPr>
          <w:rFonts w:ascii="Arial" w:cs="Arial" w:eastAsia="Arial" w:hAnsi="Arial"/>
          <w:sz w:val="16"/>
          <w:szCs w:val="16"/>
          <w:color w:val="auto"/>
        </w:rPr>
      </w:pPr>
    </w:p>
    <w:p>
      <w:pPr>
        <w:ind w:left="660" w:right="20" w:hanging="328"/>
        <w:spacing w:after="0" w:line="260" w:lineRule="auto"/>
        <w:tabs>
          <w:tab w:leader="none" w:pos="649" w:val="left"/>
        </w:tabs>
        <w:numPr>
          <w:ilvl w:val="1"/>
          <w:numId w:val="72"/>
        </w:numPr>
        <w:rPr>
          <w:rFonts w:ascii="Arial" w:cs="Arial" w:eastAsia="Arial" w:hAnsi="Arial"/>
          <w:sz w:val="16"/>
          <w:szCs w:val="16"/>
          <w:color w:val="auto"/>
        </w:rPr>
      </w:pPr>
      <w:r>
        <w:rPr>
          <w:rFonts w:ascii="Arial" w:cs="Arial" w:eastAsia="Arial" w:hAnsi="Arial"/>
          <w:sz w:val="16"/>
          <w:szCs w:val="16"/>
          <w:color w:val="auto"/>
        </w:rPr>
        <w:t>South Dakota Electric and Wyoming Electric are generally limited to the amount of dividends allowed to be paid to our utility holding company under certain financing agreements.</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480" w:hanging="472"/>
        <w:spacing w:after="0"/>
        <w:tabs>
          <w:tab w:leader="none" w:pos="48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February 2020 Equity Issuance</w:t>
      </w:r>
    </w:p>
    <w:p>
      <w:pPr>
        <w:spacing w:after="0" w:line="26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On February 27, 2020, we issued 1.2 million shares of common stock to a single investor through an underwritten registered transaction at a price of $81.77 per share for proceeds of $99 million, net of $1.0 million of issuance costs. The shares of common stock were offered pursuant to our shelf registration statement filed with the SEC.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At-the-Market Equity Offering Program</w:t>
      </w:r>
    </w:p>
    <w:p>
      <w:pPr>
        <w:spacing w:after="0" w:line="26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On August 3, 2020, we filed a shelf registration and DRSPP with the SEC. In conjunction with these shelf filings, we renewed the ATM. The renewed ATM program, which allows us to sell shares of our common stock, is the same as the prior program other than the aggregate value increased from $300 million to $400 million and a forward sales option was incorporated. This forward sales option allows us to sell our shares through the ATM program at the current trading price without actually issuing any shares to satisfy the sale until a future date. Under the ATM, shares may be offered from time to time pursuant to a sales agreement dated August 3, 2020. Shares of common stock are offered pursuant to our shelf registration statement filed with the SEC.</w:t>
      </w:r>
    </w:p>
    <w:p>
      <w:pPr>
        <w:spacing w:after="0" w:line="23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did not issue any common shares under the ATM during the twelve months ended December 31, 2020. During the twelve months ended December 31, 2019, we issued a total of 1,328,332 shares of common stock under the ATM for $99 million, net of $1.2 million in issuance costs. We did not issue any common shares under the ATM during the twelve months ended December 31, 2018.</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Dividend Reinvestment and Stock Purchase Plan</w:t>
      </w:r>
    </w:p>
    <w:p>
      <w:pPr>
        <w:spacing w:after="0" w:line="26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We have a DRSPP under which shareholders may purchase additional shares of common stock through dividend reinvestment and/or optional cash payments at 100% of the recent average market price. We have the option of issuing new shares or purchasing the shares on the open market. We issued new shares until March 1, 2018, after which we began purchasing shares on the open market. At December 31, 2020, there were 163,962 shares of unissued stock available for future offering under the DRSPP.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Our articles of incorporation authorize the issuance of 25 million shares of preferred stock of which we had no shares of preferred stock outstanding.</w:t>
      </w:r>
    </w:p>
    <w:p>
      <w:pPr>
        <w:sectPr>
          <w:pgSz w:w="11900" w:h="16838" w:orient="portrait"/>
          <w:cols w:equalWidth="0" w:num="1">
            <w:col w:w="11220"/>
          </w:cols>
          <w:pgMar w:left="320" w:top="9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1" w:right="359" w:bottom="1440" w:gutter="0" w:footer="0" w:header="0"/>
          <w:type w:val="continuous"/>
        </w:sectPr>
      </w:pPr>
    </w:p>
    <w:bookmarkStart w:id="100" w:name="page101"/>
    <w:bookmarkEnd w:id="10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7660" w:firstLine="8"/>
        <w:spacing w:after="0" w:line="576" w:lineRule="auto"/>
        <w:tabs>
          <w:tab w:leader="none" w:pos="468"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1" w:lineRule="exact"/>
        <w:rPr>
          <w:sz w:val="20"/>
          <w:szCs w:val="20"/>
          <w:color w:val="auto"/>
        </w:rPr>
      </w:pPr>
    </w:p>
    <w:p>
      <w:pPr>
        <w:ind w:right="8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Our activities in the regulated and non-regulated energy sectors expose us to a number of risks in the normal operations of our businesses. Depending on the activity, we are exposed to varying degrees of market risk and credit risk. To manage and mitigate these identified risks, we have adopted the Black Hills Corporation Risk Policies and Procedures. Valuation methodologies for our derivatives are detailed within </w:t>
      </w:r>
      <w:hyperlink w:anchor="page72">
        <w:r>
          <w:rPr>
            <w:rFonts w:ascii="Arial" w:cs="Arial" w:eastAsia="Arial" w:hAnsi="Arial"/>
            <w:sz w:val="16"/>
            <w:szCs w:val="16"/>
            <w:u w:val="single" w:color="auto"/>
            <w:color w:val="0000FF"/>
          </w:rPr>
          <w:t>Note 1</w:t>
        </w:r>
      </w:hyperlink>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24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222" w:lineRule="exact"/>
        <w:rPr>
          <w:sz w:val="20"/>
          <w:szCs w:val="20"/>
          <w:color w:val="auto"/>
        </w:rPr>
      </w:pPr>
    </w:p>
    <w:p>
      <w:pPr>
        <w:ind w:left="500" w:right="180" w:hanging="330"/>
        <w:spacing w:after="0" w:line="253" w:lineRule="auto"/>
        <w:tabs>
          <w:tab w:leader="none" w:pos="4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the COVID-19 pandemic, weather, market speculation, pipeline constraints, and other factors that may impact natural gas and electric supply and demand; and</w:t>
      </w:r>
    </w:p>
    <w:p>
      <w:pPr>
        <w:spacing w:after="0" w:line="228" w:lineRule="exact"/>
        <w:rPr>
          <w:rFonts w:ascii="Arial" w:cs="Arial" w:eastAsia="Arial" w:hAnsi="Arial"/>
          <w:sz w:val="16"/>
          <w:szCs w:val="16"/>
          <w:color w:val="auto"/>
        </w:rPr>
      </w:pPr>
    </w:p>
    <w:p>
      <w:pPr>
        <w:ind w:left="500" w:right="400" w:hanging="330"/>
        <w:spacing w:after="0" w:line="260" w:lineRule="auto"/>
        <w:tabs>
          <w:tab w:leader="none" w:pos="4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248"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 Our credit exposure at December 31, 2020 was concentrated primarily among retail utility customers, investment grade companies, cooperative utilities and federal agencies.</w:t>
      </w:r>
    </w:p>
    <w:p>
      <w:pPr>
        <w:spacing w:after="0" w:line="229" w:lineRule="exact"/>
        <w:rPr>
          <w:sz w:val="20"/>
          <w:szCs w:val="20"/>
          <w:color w:val="auto"/>
        </w:rPr>
      </w:pPr>
    </w:p>
    <w:p>
      <w:pPr>
        <w:jc w:val="both"/>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We continue to monitor COVID-19 impacts and changes to customer load, consistency in customer payments, requests for deferred or discounted payments, and requests for changes to credit limits to quantify estimated future financial impacts to the allowance for credit losses. During the year ended December 31, 2020, the potential economic impact of the COVID-19 pandemic was considered in forward looking projections related to write-off and recovery rates, and resulted in increases to the allowance for credit losses and bad debt expense of $3.3 million. See </w:t>
      </w:r>
      <w:hyperlink w:anchor="page72">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68" w:lineRule="exact"/>
        <w:rPr>
          <w:sz w:val="20"/>
          <w:szCs w:val="20"/>
          <w:color w:val="auto"/>
        </w:rPr>
      </w:pPr>
    </w:p>
    <w:p>
      <w:pPr>
        <w:ind w:right="30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(Loss) are detailed below and within </w:t>
      </w:r>
      <w:hyperlink w:anchor="page104">
        <w:r>
          <w:rPr>
            <w:rFonts w:ascii="Arial" w:cs="Arial" w:eastAsia="Arial" w:hAnsi="Arial"/>
            <w:sz w:val="16"/>
            <w:szCs w:val="16"/>
            <w:u w:val="single" w:color="auto"/>
            <w:color w:val="0000FF"/>
          </w:rPr>
          <w:t>Note 12</w:t>
        </w:r>
      </w:hyperlink>
      <w:r>
        <w:rPr>
          <w:rFonts w:ascii="Arial" w:cs="Arial" w:eastAsia="Arial" w:hAnsi="Arial"/>
          <w:sz w:val="16"/>
          <w:szCs w:val="16"/>
          <w:color w:val="auto"/>
        </w:rPr>
        <w:t>.</w:t>
      </w:r>
    </w:p>
    <w:p>
      <w:pPr>
        <w:spacing w:after="0" w:line="222"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23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state regulatory commission guidelines. When the related costs are recovered through our rates, the hedging activity is recognized in the Consolidated Statements of Income.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periodically have wholesale power purchase and sale contracts used to manage purchased power costs and load requirements associated with serving our electric customers that are considered derivative instruments due to not qualifying for the normal purchase and normal sales exception to derivative accounting. Changes in the fair value of these commodity derivatives are recognized in the Consolidated Statements of Income.</w:t>
      </w:r>
    </w:p>
    <w:p>
      <w:pPr>
        <w:spacing w:after="0" w:line="22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January 2021 through May 2022.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contract or notional amounts and terms of the natural gas derivative commodity instruments held by our utilities are comprised of both short and long positions. We had the following net long positions as of:</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620" w:type="dxa"/>
            <w:vAlign w:val="bottom"/>
          </w:tcPr>
          <w:p>
            <w:pPr>
              <w:spacing w:after="0"/>
              <w:rPr>
                <w:sz w:val="17"/>
                <w:szCs w:val="17"/>
                <w:color w:val="auto"/>
              </w:rPr>
            </w:pPr>
          </w:p>
        </w:tc>
        <w:tc>
          <w:tcPr>
            <w:tcW w:w="3060" w:type="dxa"/>
            <w:vAlign w:val="bottom"/>
            <w:tcBorders>
              <w:bottom w:val="single" w:sz="8" w:color="auto"/>
            </w:tcBorders>
            <w:gridSpan w:val="2"/>
          </w:tcPr>
          <w:p>
            <w:pPr>
              <w:ind w:left="940"/>
              <w:spacing w:after="0"/>
              <w:rPr>
                <w:sz w:val="20"/>
                <w:szCs w:val="20"/>
                <w:color w:val="auto"/>
              </w:rPr>
            </w:pPr>
            <w:r>
              <w:rPr>
                <w:rFonts w:ascii="Arial" w:cs="Arial" w:eastAsia="Arial" w:hAnsi="Arial"/>
                <w:sz w:val="16"/>
                <w:szCs w:val="16"/>
                <w:color w:val="auto"/>
              </w:rPr>
              <w:t>December 31, 2020</w:t>
            </w:r>
          </w:p>
        </w:tc>
        <w:tc>
          <w:tcPr>
            <w:tcW w:w="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color w:val="auto"/>
              </w:rPr>
              <w:t>December 31, 2019</w:t>
            </w:r>
          </w:p>
        </w:tc>
      </w:tr>
      <w:tr>
        <w:trPr>
          <w:trHeight w:val="158"/>
        </w:trPr>
        <w:tc>
          <w:tcPr>
            <w:tcW w:w="4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20" w:type="dxa"/>
            <w:vAlign w:val="bottom"/>
          </w:tcPr>
          <w:p>
            <w:pPr>
              <w:jc w:val="center"/>
              <w:ind w:left="159"/>
              <w:spacing w:after="0" w:line="158" w:lineRule="exact"/>
              <w:rPr>
                <w:sz w:val="20"/>
                <w:szCs w:val="20"/>
                <w:color w:val="auto"/>
              </w:rPr>
            </w:pPr>
            <w:r>
              <w:rPr>
                <w:rFonts w:ascii="Arial" w:cs="Arial" w:eastAsia="Arial" w:hAnsi="Arial"/>
                <w:sz w:val="16"/>
                <w:szCs w:val="16"/>
                <w:color w:val="auto"/>
                <w:w w:val="98"/>
              </w:rPr>
              <w:t>Maximum Term</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40" w:type="dxa"/>
            <w:vAlign w:val="bottom"/>
          </w:tcPr>
          <w:p>
            <w:pPr>
              <w:jc w:val="right"/>
              <w:ind w:right="179"/>
              <w:spacing w:after="0" w:line="158" w:lineRule="exact"/>
              <w:rPr>
                <w:sz w:val="20"/>
                <w:szCs w:val="20"/>
                <w:color w:val="auto"/>
              </w:rPr>
            </w:pPr>
            <w:r>
              <w:rPr>
                <w:rFonts w:ascii="Arial" w:cs="Arial" w:eastAsia="Arial" w:hAnsi="Arial"/>
                <w:sz w:val="16"/>
                <w:szCs w:val="16"/>
                <w:color w:val="auto"/>
              </w:rPr>
              <w:t>Maximum Term</w:t>
            </w:r>
          </w:p>
        </w:tc>
      </w:tr>
      <w:tr>
        <w:trPr>
          <w:trHeight w:val="216"/>
        </w:trPr>
        <w:tc>
          <w:tcPr>
            <w:tcW w:w="4620" w:type="dxa"/>
            <w:vAlign w:val="bottom"/>
            <w:tcBorders>
              <w:bottom w:val="single" w:sz="8" w:color="CEFEE7"/>
            </w:tcBorders>
          </w:tcPr>
          <w:p>
            <w:pPr>
              <w:spacing w:after="0"/>
              <w:rPr>
                <w:sz w:val="18"/>
                <w:szCs w:val="18"/>
                <w:color w:val="auto"/>
              </w:rPr>
            </w:pP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Notional (MMBtus)</w:t>
            </w:r>
          </w:p>
        </w:tc>
        <w:tc>
          <w:tcPr>
            <w:tcW w:w="1420" w:type="dxa"/>
            <w:vAlign w:val="bottom"/>
            <w:tcBorders>
              <w:bottom w:val="single" w:sz="8" w:color="auto"/>
            </w:tcBorders>
          </w:tcPr>
          <w:p>
            <w:pPr>
              <w:jc w:val="center"/>
              <w:ind w:left="159"/>
              <w:spacing w:after="0" w:line="216" w:lineRule="exact"/>
              <w:rPr>
                <w:sz w:val="20"/>
                <w:szCs w:val="20"/>
                <w:color w:val="auto"/>
              </w:rPr>
            </w:pPr>
            <w:r>
              <w:rPr>
                <w:rFonts w:ascii="Arial" w:cs="Arial" w:eastAsia="Arial" w:hAnsi="Arial"/>
                <w:sz w:val="16"/>
                <w:szCs w:val="16"/>
                <w:color w:val="auto"/>
                <w:w w:val="96"/>
              </w:rPr>
              <w:t xml:space="preserve">(months) </w:t>
            </w:r>
            <w:r>
              <w:rPr>
                <w:rFonts w:ascii="Arial" w:cs="Arial" w:eastAsia="Arial" w:hAnsi="Arial"/>
                <w:sz w:val="21"/>
                <w:szCs w:val="21"/>
                <w:color w:val="auto"/>
                <w:w w:val="96"/>
                <w:vertAlign w:val="superscript"/>
              </w:rPr>
              <w:t>(a)</w:t>
            </w: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Notional (MMBtus)</w:t>
            </w:r>
          </w:p>
        </w:tc>
        <w:tc>
          <w:tcPr>
            <w:tcW w:w="1540" w:type="dxa"/>
            <w:vAlign w:val="bottom"/>
            <w:tcBorders>
              <w:bottom w:val="single" w:sz="8" w:color="auto"/>
            </w:tcBorders>
          </w:tcPr>
          <w:p>
            <w:pPr>
              <w:jc w:val="right"/>
              <w:ind w:right="339"/>
              <w:spacing w:after="0" w:line="216" w:lineRule="exact"/>
              <w:rPr>
                <w:sz w:val="20"/>
                <w:szCs w:val="20"/>
                <w:color w:val="auto"/>
              </w:rPr>
            </w:pPr>
            <w:r>
              <w:rPr>
                <w:rFonts w:ascii="Arial" w:cs="Arial" w:eastAsia="Arial" w:hAnsi="Arial"/>
                <w:sz w:val="16"/>
                <w:szCs w:val="16"/>
                <w:color w:val="auto"/>
              </w:rPr>
              <w:t xml:space="preserve">(months) </w:t>
            </w:r>
            <w:r>
              <w:rPr>
                <w:rFonts w:ascii="Arial" w:cs="Arial" w:eastAsia="Arial" w:hAnsi="Arial"/>
                <w:sz w:val="21"/>
                <w:szCs w:val="21"/>
                <w:color w:val="auto"/>
                <w:vertAlign w:val="superscript"/>
              </w:rPr>
              <w:t>(a)</w:t>
            </w:r>
          </w:p>
        </w:tc>
      </w:tr>
      <w:tr>
        <w:trPr>
          <w:trHeight w:val="210"/>
        </w:trPr>
        <w:tc>
          <w:tcPr>
            <w:tcW w:w="4620" w:type="dxa"/>
            <w:vAlign w:val="bottom"/>
            <w:shd w:val="clear" w:color="auto" w:fill="CEFEE7"/>
          </w:tcPr>
          <w:p>
            <w:pPr>
              <w:ind w:left="20"/>
              <w:spacing w:after="0"/>
              <w:rPr>
                <w:sz w:val="20"/>
                <w:szCs w:val="20"/>
                <w:color w:val="auto"/>
              </w:rPr>
            </w:pPr>
            <w:r>
              <w:rPr>
                <w:rFonts w:ascii="Arial" w:cs="Arial" w:eastAsia="Arial" w:hAnsi="Arial"/>
                <w:sz w:val="16"/>
                <w:szCs w:val="16"/>
                <w:color w:val="auto"/>
              </w:rPr>
              <w:t>Natural gas futures purchased</w:t>
            </w:r>
          </w:p>
        </w:tc>
        <w:tc>
          <w:tcPr>
            <w:tcW w:w="16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620,000</w:t>
            </w:r>
          </w:p>
        </w:tc>
        <w:tc>
          <w:tcPr>
            <w:tcW w:w="1420" w:type="dxa"/>
            <w:vAlign w:val="bottom"/>
            <w:shd w:val="clear" w:color="auto" w:fill="CEFFE7"/>
          </w:tcPr>
          <w:p>
            <w:pPr>
              <w:spacing w:after="0"/>
              <w:rPr>
                <w:sz w:val="18"/>
                <w:szCs w:val="18"/>
                <w:color w:val="auto"/>
              </w:rPr>
            </w:pP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w:t>
            </w:r>
          </w:p>
        </w:tc>
        <w:tc>
          <w:tcPr>
            <w:tcW w:w="1740" w:type="dxa"/>
            <w:vAlign w:val="bottom"/>
            <w:shd w:val="clear" w:color="auto" w:fill="CEFEE7"/>
          </w:tcPr>
          <w:p>
            <w:pPr>
              <w:jc w:val="right"/>
              <w:ind w:right="99"/>
              <w:spacing w:after="0"/>
              <w:rPr>
                <w:sz w:val="20"/>
                <w:szCs w:val="20"/>
                <w:color w:val="auto"/>
              </w:rPr>
            </w:pPr>
            <w:r>
              <w:rPr>
                <w:rFonts w:ascii="Arial" w:cs="Arial" w:eastAsia="Arial" w:hAnsi="Arial"/>
                <w:sz w:val="16"/>
                <w:szCs w:val="16"/>
                <w:color w:val="auto"/>
              </w:rPr>
              <w:t>1,450,000</w:t>
            </w:r>
          </w:p>
        </w:tc>
        <w:tc>
          <w:tcPr>
            <w:tcW w:w="15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640" w:type="dxa"/>
            <w:vAlign w:val="bottom"/>
          </w:tcPr>
          <w:p>
            <w:pPr>
              <w:jc w:val="right"/>
              <w:spacing w:after="0"/>
              <w:rPr>
                <w:sz w:val="20"/>
                <w:szCs w:val="20"/>
                <w:color w:val="auto"/>
              </w:rPr>
            </w:pPr>
            <w:r>
              <w:rPr>
                <w:rFonts w:ascii="Arial" w:cs="Arial" w:eastAsia="Arial" w:hAnsi="Arial"/>
                <w:sz w:val="16"/>
                <w:szCs w:val="16"/>
                <w:color w:val="auto"/>
              </w:rPr>
              <w:t>3,160,000</w:t>
            </w:r>
          </w:p>
        </w:tc>
        <w:tc>
          <w:tcPr>
            <w:tcW w:w="1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3,240,000</w:t>
            </w: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4620" w:type="dxa"/>
            <w:vAlign w:val="bottom"/>
            <w:shd w:val="clear" w:color="auto" w:fill="CEFEE7"/>
          </w:tcPr>
          <w:p>
            <w:pPr>
              <w:ind w:left="20"/>
              <w:spacing w:after="0"/>
              <w:rPr>
                <w:sz w:val="20"/>
                <w:szCs w:val="20"/>
                <w:color w:val="auto"/>
              </w:rPr>
            </w:pPr>
            <w:r>
              <w:rPr>
                <w:rFonts w:ascii="Arial" w:cs="Arial" w:eastAsia="Arial" w:hAnsi="Arial"/>
                <w:sz w:val="16"/>
                <w:szCs w:val="16"/>
                <w:color w:val="auto"/>
              </w:rPr>
              <w:t>Natural gas basis swaps purchased</w:t>
            </w:r>
          </w:p>
        </w:tc>
        <w:tc>
          <w:tcPr>
            <w:tcW w:w="16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900,000</w:t>
            </w:r>
          </w:p>
        </w:tc>
        <w:tc>
          <w:tcPr>
            <w:tcW w:w="1420" w:type="dxa"/>
            <w:vAlign w:val="bottom"/>
            <w:shd w:val="clear" w:color="auto" w:fill="CEFFE7"/>
          </w:tcPr>
          <w:p>
            <w:pPr>
              <w:spacing w:after="0"/>
              <w:rPr>
                <w:sz w:val="19"/>
                <w:szCs w:val="19"/>
                <w:color w:val="auto"/>
              </w:rPr>
            </w:pP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w:t>
            </w:r>
          </w:p>
        </w:tc>
        <w:tc>
          <w:tcPr>
            <w:tcW w:w="1740" w:type="dxa"/>
            <w:vAlign w:val="bottom"/>
            <w:shd w:val="clear" w:color="auto" w:fill="CEFEE7"/>
          </w:tcPr>
          <w:p>
            <w:pPr>
              <w:jc w:val="right"/>
              <w:ind w:right="99"/>
              <w:spacing w:after="0"/>
              <w:rPr>
                <w:sz w:val="20"/>
                <w:szCs w:val="20"/>
                <w:color w:val="auto"/>
              </w:rPr>
            </w:pPr>
            <w:r>
              <w:rPr>
                <w:rFonts w:ascii="Arial" w:cs="Arial" w:eastAsia="Arial" w:hAnsi="Arial"/>
                <w:sz w:val="16"/>
                <w:szCs w:val="16"/>
                <w:color w:val="auto"/>
              </w:rPr>
              <w:t>1,290,000</w:t>
            </w:r>
          </w:p>
        </w:tc>
        <w:tc>
          <w:tcPr>
            <w:tcW w:w="15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46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640" w:type="dxa"/>
            <w:vAlign w:val="bottom"/>
          </w:tcPr>
          <w:p>
            <w:pPr>
              <w:jc w:val="right"/>
              <w:spacing w:after="0"/>
              <w:rPr>
                <w:sz w:val="20"/>
                <w:szCs w:val="20"/>
                <w:color w:val="auto"/>
              </w:rPr>
            </w:pPr>
            <w:r>
              <w:rPr>
                <w:rFonts w:ascii="Arial" w:cs="Arial" w:eastAsia="Arial" w:hAnsi="Arial"/>
                <w:sz w:val="16"/>
                <w:szCs w:val="16"/>
                <w:color w:val="auto"/>
              </w:rPr>
              <w:t>3,850,000</w:t>
            </w:r>
          </w:p>
        </w:tc>
        <w:tc>
          <w:tcPr>
            <w:tcW w:w="1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17</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4,600,000</w:t>
            </w:r>
          </w:p>
        </w:tc>
        <w:tc>
          <w:tcPr>
            <w:tcW w:w="15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620" w:type="dxa"/>
            <w:vAlign w:val="bottom"/>
            <w:shd w:val="clear" w:color="auto" w:fill="CEFEE7"/>
          </w:tcPr>
          <w:p>
            <w:pPr>
              <w:ind w:left="20"/>
              <w:spacing w:after="0" w:line="216" w:lineRule="exact"/>
              <w:rPr>
                <w:sz w:val="20"/>
                <w:szCs w:val="20"/>
                <w:color w:val="auto"/>
              </w:rPr>
            </w:pPr>
            <w:r>
              <w:rPr>
                <w:rFonts w:ascii="Arial" w:cs="Arial" w:eastAsia="Arial" w:hAnsi="Arial"/>
                <w:sz w:val="16"/>
                <w:szCs w:val="16"/>
                <w:color w:val="auto"/>
              </w:rPr>
              <w:t xml:space="preserve">Natural gas physical commitments, net </w:t>
            </w:r>
            <w:r>
              <w:rPr>
                <w:rFonts w:ascii="Arial" w:cs="Arial" w:eastAsia="Arial" w:hAnsi="Arial"/>
                <w:sz w:val="21"/>
                <w:szCs w:val="21"/>
                <w:color w:val="auto"/>
                <w:vertAlign w:val="superscript"/>
              </w:rPr>
              <w:t>(c)</w:t>
            </w:r>
          </w:p>
        </w:tc>
        <w:tc>
          <w:tcPr>
            <w:tcW w:w="16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17,513,061</w:t>
            </w:r>
          </w:p>
        </w:tc>
        <w:tc>
          <w:tcPr>
            <w:tcW w:w="1420" w:type="dxa"/>
            <w:vAlign w:val="bottom"/>
            <w:shd w:val="clear" w:color="auto" w:fill="CEFFE7"/>
          </w:tcPr>
          <w:p>
            <w:pPr>
              <w:spacing w:after="0"/>
              <w:rPr>
                <w:sz w:val="18"/>
                <w:szCs w:val="18"/>
                <w:color w:val="auto"/>
              </w:rPr>
            </w:pP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w:t>
            </w:r>
          </w:p>
        </w:tc>
        <w:tc>
          <w:tcPr>
            <w:tcW w:w="1740" w:type="dxa"/>
            <w:vAlign w:val="bottom"/>
            <w:shd w:val="clear" w:color="auto" w:fill="CEFEE7"/>
          </w:tcPr>
          <w:p>
            <w:pPr>
              <w:jc w:val="right"/>
              <w:ind w:right="99"/>
              <w:spacing w:after="0"/>
              <w:rPr>
                <w:sz w:val="20"/>
                <w:szCs w:val="20"/>
                <w:color w:val="auto"/>
              </w:rPr>
            </w:pPr>
            <w:r>
              <w:rPr>
                <w:rFonts w:ascii="Arial" w:cs="Arial" w:eastAsia="Arial" w:hAnsi="Arial"/>
                <w:sz w:val="16"/>
                <w:szCs w:val="16"/>
                <w:color w:val="auto"/>
              </w:rPr>
              <w:t>13,548,235</w:t>
            </w:r>
          </w:p>
        </w:tc>
        <w:tc>
          <w:tcPr>
            <w:tcW w:w="15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12</w:t>
            </w:r>
          </w:p>
        </w:tc>
      </w:tr>
      <w:tr>
        <w:trPr>
          <w:trHeight w:val="268"/>
        </w:trPr>
        <w:tc>
          <w:tcPr>
            <w:tcW w:w="4620" w:type="dxa"/>
            <w:vAlign w:val="bottom"/>
          </w:tcPr>
          <w:p>
            <w:pPr>
              <w:ind w:left="20"/>
              <w:spacing w:after="0"/>
              <w:rPr>
                <w:sz w:val="20"/>
                <w:szCs w:val="20"/>
                <w:color w:val="auto"/>
              </w:rPr>
            </w:pPr>
            <w:r>
              <w:rPr>
                <w:rFonts w:ascii="Arial" w:cs="Arial" w:eastAsia="Arial" w:hAnsi="Arial"/>
                <w:sz w:val="16"/>
                <w:szCs w:val="16"/>
                <w:color w:val="auto"/>
              </w:rPr>
              <w:t xml:space="preserve">Electric wholesale contracts </w:t>
            </w:r>
            <w:r>
              <w:rPr>
                <w:rFonts w:ascii="Arial" w:cs="Arial" w:eastAsia="Arial" w:hAnsi="Arial"/>
                <w:sz w:val="21"/>
                <w:szCs w:val="21"/>
                <w:color w:val="auto"/>
                <w:vertAlign w:val="superscript"/>
              </w:rPr>
              <w:t>(c)</w:t>
            </w:r>
          </w:p>
        </w:tc>
        <w:tc>
          <w:tcPr>
            <w:tcW w:w="1640" w:type="dxa"/>
            <w:vAlign w:val="bottom"/>
          </w:tcPr>
          <w:p>
            <w:pPr>
              <w:jc w:val="right"/>
              <w:spacing w:after="0"/>
              <w:rPr>
                <w:sz w:val="20"/>
                <w:szCs w:val="20"/>
                <w:color w:val="auto"/>
              </w:rPr>
            </w:pPr>
            <w:r>
              <w:rPr>
                <w:rFonts w:ascii="Arial" w:cs="Arial" w:eastAsia="Arial" w:hAnsi="Arial"/>
                <w:sz w:val="16"/>
                <w:szCs w:val="16"/>
                <w:color w:val="auto"/>
              </w:rPr>
              <w:t>219,000</w:t>
            </w:r>
          </w:p>
        </w:tc>
        <w:tc>
          <w:tcPr>
            <w:tcW w:w="14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12</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As of December 31, 2020, 914,600 of natural gas over-the-counter swaps purchased were designated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 normal sales exception permitted by GAAP.</w:t>
      </w:r>
    </w:p>
    <w:p>
      <w:pPr>
        <w:spacing w:after="0" w:line="241"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December 31, 2020, the Company posted $1.5 million related to such provisions, which is included in Other current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248"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and balance sheet classification of our derivative instruments as of December 31,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Balance Sheet Location</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2019</w:t>
            </w: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Derivatives designated as hedges:</w:t>
            </w:r>
          </w:p>
        </w:tc>
        <w:tc>
          <w:tcPr>
            <w:tcW w:w="3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39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Asset derivative instruments:</w:t>
            </w:r>
          </w:p>
        </w:tc>
        <w:tc>
          <w:tcPr>
            <w:tcW w:w="380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3800" w:type="dxa"/>
            <w:vAlign w:val="bottom"/>
          </w:tcPr>
          <w:p>
            <w:pPr>
              <w:ind w:left="20"/>
              <w:spacing w:after="0"/>
              <w:rPr>
                <w:sz w:val="20"/>
                <w:szCs w:val="20"/>
                <w:color w:val="auto"/>
              </w:rPr>
            </w:pPr>
            <w:r>
              <w:rPr>
                <w:rFonts w:ascii="Arial" w:cs="Arial" w:eastAsia="Arial" w:hAnsi="Arial"/>
                <w:sz w:val="16"/>
                <w:szCs w:val="16"/>
                <w:color w:val="auto"/>
              </w:rPr>
              <w:t>Derivative assets - current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39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390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9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Current commodity derivatives</w:t>
            </w:r>
          </w:p>
        </w:tc>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 current</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(108)</w:t>
            </w: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(490)</w:t>
            </w:r>
          </w:p>
        </w:tc>
      </w:tr>
      <w:tr>
        <w:trPr>
          <w:trHeight w:val="213"/>
        </w:trPr>
        <w:tc>
          <w:tcPr>
            <w:tcW w:w="3900" w:type="dxa"/>
            <w:vAlign w:val="bottom"/>
            <w:tcBorders>
              <w:bottom w:val="single" w:sz="8" w:color="CEFFE7"/>
            </w:tcBorders>
          </w:tcPr>
          <w:p>
            <w:pPr>
              <w:ind w:left="2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8"/>
        </w:trPr>
        <w:tc>
          <w:tcPr>
            <w:tcW w:w="39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Total derivatives designated as hedges</w:t>
            </w:r>
          </w:p>
        </w:tc>
        <w:tc>
          <w:tcPr>
            <w:tcW w:w="3800" w:type="dxa"/>
            <w:vAlign w:val="bottom"/>
            <w:tcBorders>
              <w:bottom w:val="single" w:sz="8" w:color="CEFFE7"/>
            </w:tcBorders>
            <w:shd w:val="clear" w:color="auto" w:fill="CEFFE7"/>
          </w:tcPr>
          <w:p>
            <w:pPr>
              <w:spacing w:after="0"/>
              <w:rPr>
                <w:sz w:val="20"/>
                <w:szCs w:val="20"/>
                <w:color w:val="auto"/>
              </w:rPr>
            </w:pPr>
          </w:p>
        </w:tc>
        <w:tc>
          <w:tcPr>
            <w:tcW w:w="40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116</w:t>
            </w:r>
          </w:p>
        </w:tc>
        <w:tc>
          <w:tcPr>
            <w:tcW w:w="40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(515)</w:t>
            </w:r>
          </w:p>
        </w:tc>
      </w:tr>
      <w:tr>
        <w:trPr>
          <w:trHeight w:val="20"/>
        </w:trPr>
        <w:tc>
          <w:tcPr>
            <w:tcW w:w="3900" w:type="dxa"/>
            <w:vAlign w:val="bottom"/>
            <w:tcBorders>
              <w:top w:val="single" w:sz="8" w:color="CEFFE7"/>
            </w:tcBorders>
          </w:tcPr>
          <w:p>
            <w:pPr>
              <w:spacing w:after="0" w:line="20" w:lineRule="exact"/>
              <w:rPr>
                <w:sz w:val="1"/>
                <w:szCs w:val="1"/>
                <w:color w:val="auto"/>
              </w:rPr>
            </w:pPr>
          </w:p>
        </w:tc>
        <w:tc>
          <w:tcPr>
            <w:tcW w:w="3800" w:type="dxa"/>
            <w:vAlign w:val="bottom"/>
            <w:tcBorders>
              <w:top w:val="single" w:sz="8" w:color="CEFFE7"/>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00" w:type="dxa"/>
            <w:vAlign w:val="bottom"/>
            <w:shd w:val="clear" w:color="auto" w:fill="CEFFE7"/>
          </w:tcPr>
          <w:p>
            <w:pPr>
              <w:spacing w:after="0"/>
              <w:rPr>
                <w:sz w:val="20"/>
                <w:szCs w:val="20"/>
                <w:color w:val="auto"/>
              </w:rPr>
            </w:pPr>
            <w:r>
              <w:rPr>
                <w:rFonts w:ascii="Arial" w:cs="Arial" w:eastAsia="Arial" w:hAnsi="Arial"/>
                <w:sz w:val="16"/>
                <w:szCs w:val="16"/>
                <w:color w:val="auto"/>
              </w:rPr>
              <w:t>Derivatives not designated as hedges:</w:t>
            </w:r>
          </w:p>
        </w:tc>
        <w:tc>
          <w:tcPr>
            <w:tcW w:w="380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134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1340" w:type="dxa"/>
            <w:vAlign w:val="bottom"/>
            <w:shd w:val="clear" w:color="auto" w:fill="CEFFE7"/>
          </w:tcPr>
          <w:p>
            <w:pPr>
              <w:spacing w:after="0"/>
              <w:rPr>
                <w:sz w:val="18"/>
                <w:szCs w:val="18"/>
                <w:color w:val="auto"/>
              </w:rPr>
            </w:pPr>
          </w:p>
        </w:tc>
      </w:tr>
      <w:tr>
        <w:trPr>
          <w:trHeight w:val="213"/>
        </w:trPr>
        <w:tc>
          <w:tcPr>
            <w:tcW w:w="3900" w:type="dxa"/>
            <w:vAlign w:val="bottom"/>
          </w:tcPr>
          <w:p>
            <w:pPr>
              <w:ind w:left="120"/>
              <w:spacing w:after="0"/>
              <w:rPr>
                <w:sz w:val="20"/>
                <w:szCs w:val="20"/>
                <w:color w:val="auto"/>
              </w:rPr>
            </w:pPr>
            <w:r>
              <w:rPr>
                <w:rFonts w:ascii="Arial" w:cs="Arial" w:eastAsia="Arial" w:hAnsi="Arial"/>
                <w:sz w:val="16"/>
                <w:szCs w:val="16"/>
                <w:color w:val="auto"/>
              </w:rPr>
              <w:t>Asset derivative instruments:</w:t>
            </w:r>
          </w:p>
        </w:tc>
        <w:tc>
          <w:tcPr>
            <w:tcW w:w="3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9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Current commodity derivatives</w:t>
            </w:r>
          </w:p>
        </w:tc>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assets - current</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1,667</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341</w:t>
            </w: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tcPr>
          <w:p>
            <w:pPr>
              <w:ind w:left="20"/>
              <w:spacing w:after="0"/>
              <w:rPr>
                <w:sz w:val="20"/>
                <w:szCs w:val="20"/>
                <w:color w:val="auto"/>
              </w:rPr>
            </w:pPr>
            <w:r>
              <w:rPr>
                <w:rFonts w:ascii="Arial" w:cs="Arial" w:eastAsia="Arial" w:hAnsi="Arial"/>
                <w:sz w:val="16"/>
                <w:szCs w:val="16"/>
                <w:color w:val="auto"/>
              </w:rPr>
              <w:t>Other assets, non-current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39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Liability derivative instruments:</w:t>
            </w:r>
          </w:p>
        </w:tc>
        <w:tc>
          <w:tcPr>
            <w:tcW w:w="380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3800" w:type="dxa"/>
            <w:vAlign w:val="bottom"/>
          </w:tcPr>
          <w:p>
            <w:pPr>
              <w:ind w:left="20"/>
              <w:spacing w:after="0"/>
              <w:rPr>
                <w:sz w:val="20"/>
                <w:szCs w:val="20"/>
                <w:color w:val="auto"/>
              </w:rPr>
            </w:pPr>
            <w:r>
              <w:rPr>
                <w:rFonts w:ascii="Arial" w:cs="Arial" w:eastAsia="Arial" w:hAnsi="Arial"/>
                <w:sz w:val="16"/>
                <w:szCs w:val="16"/>
                <w:color w:val="auto"/>
              </w:rPr>
              <w:t>Derivative liabilities - current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(1,936)</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(1,764)</w:t>
            </w:r>
          </w:p>
        </w:tc>
      </w:tr>
      <w:tr>
        <w:trPr>
          <w:trHeight w:val="216"/>
        </w:trPr>
        <w:tc>
          <w:tcPr>
            <w:tcW w:w="39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4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w:t>
            </w:r>
          </w:p>
        </w:tc>
      </w:tr>
      <w:tr>
        <w:trPr>
          <w:trHeight w:val="212"/>
        </w:trPr>
        <w:tc>
          <w:tcPr>
            <w:tcW w:w="3900" w:type="dxa"/>
            <w:vAlign w:val="bottom"/>
          </w:tcPr>
          <w:p>
            <w:pPr>
              <w:spacing w:after="0"/>
              <w:rPr>
                <w:sz w:val="20"/>
                <w:szCs w:val="20"/>
                <w:color w:val="auto"/>
              </w:rPr>
            </w:pPr>
            <w:r>
              <w:rPr>
                <w:rFonts w:ascii="Arial" w:cs="Arial" w:eastAsia="Arial" w:hAnsi="Arial"/>
                <w:sz w:val="16"/>
                <w:szCs w:val="16"/>
                <w:color w:val="auto"/>
              </w:rPr>
              <w:t>Total derivatives not designated as hedges</w:t>
            </w:r>
          </w:p>
        </w:tc>
        <w:tc>
          <w:tcPr>
            <w:tcW w:w="38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w:t>
            </w:r>
          </w:p>
        </w:tc>
      </w:tr>
      <w:tr>
        <w:trPr>
          <w:trHeight w:val="21"/>
        </w:trPr>
        <w:tc>
          <w:tcPr>
            <w:tcW w:w="3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impact of cash flow hedges on our Consolidated Statements of Income is presented below for the years ended December 31, 2020, 2019 and 2018.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2018</w:t>
            </w:r>
          </w:p>
        </w:tc>
        <w:tc>
          <w:tcPr>
            <w:tcW w:w="2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2018</w:t>
            </w:r>
          </w:p>
        </w:tc>
      </w:tr>
      <w:tr>
        <w:trPr>
          <w:trHeight w:val="174"/>
        </w:trPr>
        <w:tc>
          <w:tcPr>
            <w:tcW w:w="2620" w:type="dxa"/>
            <w:vAlign w:val="bottom"/>
          </w:tcPr>
          <w:p>
            <w:pPr>
              <w:jc w:val="center"/>
              <w:spacing w:after="0" w:line="174" w:lineRule="exact"/>
              <w:rPr>
                <w:sz w:val="20"/>
                <w:szCs w:val="20"/>
                <w:color w:val="auto"/>
              </w:rPr>
            </w:pPr>
            <w:r>
              <w:rPr>
                <w:rFonts w:ascii="Arial" w:cs="Arial" w:eastAsia="Arial" w:hAnsi="Arial"/>
                <w:sz w:val="16"/>
                <w:szCs w:val="16"/>
                <w:color w:val="auto"/>
              </w:rPr>
              <w:t>Derivatives in Cash Flow Hedging</w:t>
            </w:r>
          </w:p>
        </w:tc>
        <w:tc>
          <w:tcPr>
            <w:tcW w:w="140" w:type="dxa"/>
            <w:vAlign w:val="bottom"/>
          </w:tcPr>
          <w:p>
            <w:pPr>
              <w:spacing w:after="0"/>
              <w:rPr>
                <w:sz w:val="15"/>
                <w:szCs w:val="15"/>
                <w:color w:val="auto"/>
              </w:rPr>
            </w:pPr>
          </w:p>
        </w:tc>
        <w:tc>
          <w:tcPr>
            <w:tcW w:w="2840" w:type="dxa"/>
            <w:vAlign w:val="bottom"/>
            <w:gridSpan w:val="5"/>
          </w:tcPr>
          <w:p>
            <w:pPr>
              <w:jc w:val="center"/>
              <w:ind w:right="59"/>
              <w:spacing w:after="0" w:line="174" w:lineRule="exact"/>
              <w:rPr>
                <w:sz w:val="20"/>
                <w:szCs w:val="20"/>
                <w:color w:val="auto"/>
              </w:rPr>
            </w:pPr>
            <w:r>
              <w:rPr>
                <w:rFonts w:ascii="Arial" w:cs="Arial" w:eastAsia="Arial" w:hAnsi="Arial"/>
                <w:sz w:val="16"/>
                <w:szCs w:val="16"/>
                <w:color w:val="auto"/>
              </w:rPr>
              <w:t>Amount of Gain/(Loss) Recognized in</w:t>
            </w:r>
          </w:p>
        </w:tc>
        <w:tc>
          <w:tcPr>
            <w:tcW w:w="2640" w:type="dxa"/>
            <w:vAlign w:val="bottom"/>
          </w:tcPr>
          <w:p>
            <w:pPr>
              <w:spacing w:after="0"/>
              <w:rPr>
                <w:sz w:val="15"/>
                <w:szCs w:val="15"/>
                <w:color w:val="auto"/>
              </w:rPr>
            </w:pPr>
          </w:p>
        </w:tc>
        <w:tc>
          <w:tcPr>
            <w:tcW w:w="3000" w:type="dxa"/>
            <w:vAlign w:val="bottom"/>
            <w:gridSpan w:val="6"/>
          </w:tcPr>
          <w:p>
            <w:pPr>
              <w:jc w:val="center"/>
              <w:spacing w:after="0" w:line="174" w:lineRule="exact"/>
              <w:rPr>
                <w:sz w:val="20"/>
                <w:szCs w:val="20"/>
                <w:color w:val="auto"/>
              </w:rPr>
            </w:pPr>
            <w:r>
              <w:rPr>
                <w:rFonts w:ascii="Arial" w:cs="Arial" w:eastAsia="Arial" w:hAnsi="Arial"/>
                <w:sz w:val="16"/>
                <w:szCs w:val="16"/>
                <w:color w:val="auto"/>
              </w:rPr>
              <w:t>Amount of Gain/(Loss) Reclassified from</w:t>
            </w:r>
          </w:p>
        </w:tc>
      </w:tr>
      <w:tr>
        <w:trPr>
          <w:trHeight w:val="198"/>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Relationships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OCI</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Statement Location</w:t>
            </w:r>
          </w:p>
        </w:tc>
        <w:tc>
          <w:tcPr>
            <w:tcW w:w="2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center"/>
              <w:ind w:left="459"/>
              <w:spacing w:after="0"/>
              <w:rPr>
                <w:sz w:val="20"/>
                <w:szCs w:val="20"/>
                <w:color w:val="auto"/>
              </w:rPr>
            </w:pPr>
            <w:r>
              <w:rPr>
                <w:rFonts w:ascii="Arial" w:cs="Arial" w:eastAsia="Arial" w:hAnsi="Arial"/>
                <w:sz w:val="16"/>
                <w:szCs w:val="16"/>
                <w:color w:val="auto"/>
              </w:rPr>
              <w:t>AOCI into Income</w:t>
            </w:r>
          </w:p>
        </w:tc>
        <w:tc>
          <w:tcPr>
            <w:tcW w:w="760" w:type="dxa"/>
            <w:vAlign w:val="bottom"/>
            <w:tcBorders>
              <w:bottom w:val="single" w:sz="8" w:color="auto"/>
            </w:tcBorders>
          </w:tcPr>
          <w:p>
            <w:pPr>
              <w:spacing w:after="0"/>
              <w:rPr>
                <w:sz w:val="17"/>
                <w:szCs w:val="17"/>
                <w:color w:val="auto"/>
              </w:rPr>
            </w:pPr>
          </w:p>
        </w:tc>
      </w:tr>
      <w:tr>
        <w:trPr>
          <w:trHeight w:val="209"/>
        </w:trPr>
        <w:tc>
          <w:tcPr>
            <w:tcW w:w="2620" w:type="dxa"/>
            <w:vAlign w:val="bottom"/>
            <w:tcBorders>
              <w:bottom w:val="single" w:sz="8" w:color="CEFE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(in thousands)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40" w:type="dxa"/>
            <w:vAlign w:val="bottom"/>
            <w:tcBorders>
              <w:bottom w:val="single" w:sz="8" w:color="CEFEE7"/>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13"/>
        </w:trPr>
        <w:tc>
          <w:tcPr>
            <w:tcW w:w="262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FFFE7"/>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FFFE7"/>
            </w:tcBorders>
            <w:shd w:val="clear" w:color="auto" w:fill="CFFFE7"/>
          </w:tcPr>
          <w:p>
            <w:pPr>
              <w:jc w:val="right"/>
              <w:spacing w:after="0"/>
              <w:rPr>
                <w:sz w:val="20"/>
                <w:szCs w:val="20"/>
                <w:color w:val="auto"/>
              </w:rPr>
            </w:pPr>
            <w:r>
              <w:rPr>
                <w:rFonts w:ascii="Arial" w:cs="Arial" w:eastAsia="Arial" w:hAnsi="Arial"/>
                <w:sz w:val="16"/>
                <w:szCs w:val="16"/>
                <w:color w:val="auto"/>
              </w:rPr>
              <w:t>2,851</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200" w:type="dxa"/>
            <w:vAlign w:val="bottom"/>
            <w:shd w:val="clear" w:color="auto" w:fill="CEFEE7"/>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2,851</w:t>
            </w:r>
          </w:p>
        </w:tc>
        <w:tc>
          <w:tcPr>
            <w:tcW w:w="2640" w:type="dxa"/>
            <w:vAlign w:val="bottom"/>
            <w:shd w:val="clear" w:color="auto" w:fill="CEFEE7"/>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220" w:type="dxa"/>
            <w:vAlign w:val="bottom"/>
            <w:shd w:val="clear" w:color="auto" w:fill="CEFFE7"/>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r>
      <w:tr>
        <w:trPr>
          <w:trHeight w:val="177"/>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40" w:type="dxa"/>
            <w:vAlign w:val="bottom"/>
          </w:tcPr>
          <w:p>
            <w:pPr>
              <w:ind w:left="20"/>
              <w:spacing w:after="0" w:line="178" w:lineRule="exact"/>
              <w:rPr>
                <w:sz w:val="20"/>
                <w:szCs w:val="20"/>
                <w:color w:val="auto"/>
              </w:rPr>
            </w:pPr>
            <w:r>
              <w:rPr>
                <w:rFonts w:ascii="Arial" w:cs="Arial" w:eastAsia="Arial" w:hAnsi="Arial"/>
                <w:sz w:val="16"/>
                <w:szCs w:val="16"/>
                <w:color w:val="auto"/>
              </w:rPr>
              <w:t>Fuel, purchased power and cost of</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8"/>
        </w:trPr>
        <w:tc>
          <w:tcPr>
            <w:tcW w:w="262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Commodity derivatives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c>
          <w:tcPr>
            <w:tcW w:w="264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natural gas sold</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38"/>
        </w:trPr>
        <w:tc>
          <w:tcPr>
            <w:tcW w:w="262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3,391</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1,886</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3,964</w:t>
            </w:r>
          </w:p>
        </w:tc>
        <w:tc>
          <w:tcPr>
            <w:tcW w:w="2640" w:type="dxa"/>
            <w:vAlign w:val="bottom"/>
            <w:tcBorders>
              <w:bottom w:val="single" w:sz="8" w:color="CEFEE7"/>
            </w:tcBorders>
            <w:shd w:val="clear" w:color="auto" w:fill="CEFEE7"/>
          </w:tcPr>
          <w:p>
            <w:pPr>
              <w:spacing w:after="0"/>
              <w:rPr>
                <w:sz w:val="20"/>
                <w:szCs w:val="20"/>
                <w:color w:val="auto"/>
              </w:rPr>
            </w:pP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(3,452)</w:t>
            </w:r>
          </w:p>
        </w:tc>
        <w:tc>
          <w:tcPr>
            <w:tcW w:w="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(2,434)</w:t>
            </w:r>
          </w:p>
        </w:tc>
        <w:tc>
          <w:tcPr>
            <w:tcW w:w="220" w:type="dxa"/>
            <w:vAlign w:val="bottom"/>
            <w:tcBorders>
              <w:bottom w:val="single" w:sz="8" w:color="auto"/>
            </w:tcBorders>
            <w:shd w:val="clear" w:color="auto" w:fill="CEFFE7"/>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(2,981)</w:t>
            </w:r>
          </w:p>
        </w:tc>
      </w:tr>
      <w:tr>
        <w:trPr>
          <w:trHeight w:val="20"/>
        </w:trPr>
        <w:tc>
          <w:tcPr>
            <w:tcW w:w="2620" w:type="dxa"/>
            <w:vAlign w:val="bottom"/>
            <w:tcBorders>
              <w:top w:val="single" w:sz="8" w:color="CEFEE7"/>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2640" w:type="dxa"/>
            <w:vAlign w:val="bottom"/>
            <w:tcBorders>
              <w:top w:val="single" w:sz="8" w:color="CEFE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As of December 31, 2020, $2.8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24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years ended December 31, 2020, 2019 and 2018.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r>
      <w:tr>
        <w:trPr>
          <w:trHeight w:val="174"/>
        </w:trPr>
        <w:tc>
          <w:tcPr>
            <w:tcW w:w="3320" w:type="dxa"/>
            <w:vAlign w:val="bottom"/>
          </w:tcPr>
          <w:p>
            <w:pPr>
              <w:jc w:val="center"/>
              <w:ind w:left="59"/>
              <w:spacing w:after="0" w:line="174" w:lineRule="exact"/>
              <w:rPr>
                <w:sz w:val="20"/>
                <w:szCs w:val="20"/>
                <w:color w:val="auto"/>
              </w:rPr>
            </w:pPr>
            <w:r>
              <w:rPr>
                <w:rFonts w:ascii="Arial" w:cs="Arial" w:eastAsia="Arial" w:hAnsi="Arial"/>
                <w:sz w:val="16"/>
                <w:szCs w:val="16"/>
                <w:color w:val="auto"/>
              </w:rPr>
              <w:t>Derivatives Not Designated as Hedging</w:t>
            </w:r>
          </w:p>
        </w:tc>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5"/>
          </w:tcPr>
          <w:p>
            <w:pPr>
              <w:jc w:val="center"/>
              <w:ind w:right="139"/>
              <w:spacing w:after="0" w:line="174" w:lineRule="exact"/>
              <w:rPr>
                <w:sz w:val="20"/>
                <w:szCs w:val="20"/>
                <w:color w:val="auto"/>
              </w:rPr>
            </w:pPr>
            <w:r>
              <w:rPr>
                <w:rFonts w:ascii="Arial" w:cs="Arial" w:eastAsia="Arial" w:hAnsi="Arial"/>
                <w:sz w:val="16"/>
                <w:szCs w:val="16"/>
                <w:color w:val="auto"/>
              </w:rPr>
              <w:t>Amount of Gain/(Loss) on Derivatives</w:t>
            </w:r>
          </w:p>
        </w:tc>
      </w:tr>
      <w:tr>
        <w:trPr>
          <w:trHeight w:val="198"/>
        </w:trPr>
        <w:tc>
          <w:tcPr>
            <w:tcW w:w="33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Instruments</w:t>
            </w:r>
          </w:p>
        </w:tc>
        <w:tc>
          <w:tcPr>
            <w:tcW w:w="456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Income Statement Location</w:t>
            </w:r>
          </w:p>
        </w:tc>
        <w:tc>
          <w:tcPr>
            <w:tcW w:w="2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6"/>
                <w:szCs w:val="16"/>
                <w:color w:val="auto"/>
              </w:rPr>
              <w:t>Recognized in Income</w:t>
            </w:r>
          </w:p>
        </w:tc>
        <w:tc>
          <w:tcPr>
            <w:tcW w:w="800" w:type="dxa"/>
            <w:vAlign w:val="bottom"/>
            <w:tcBorders>
              <w:bottom w:val="single" w:sz="8" w:color="auto"/>
            </w:tcBorders>
          </w:tcPr>
          <w:p>
            <w:pPr>
              <w:spacing w:after="0"/>
              <w:rPr>
                <w:sz w:val="17"/>
                <w:szCs w:val="17"/>
                <w:color w:val="auto"/>
              </w:rPr>
            </w:pPr>
          </w:p>
        </w:tc>
      </w:tr>
      <w:tr>
        <w:trPr>
          <w:trHeight w:val="209"/>
        </w:trPr>
        <w:tc>
          <w:tcPr>
            <w:tcW w:w="3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3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Commodity derivatives - Electric</w:t>
            </w:r>
          </w:p>
        </w:tc>
        <w:tc>
          <w:tcPr>
            <w:tcW w:w="4560" w:type="dxa"/>
            <w:vAlign w:val="bottom"/>
            <w:shd w:val="clear" w:color="auto" w:fill="CEFEE7"/>
          </w:tcPr>
          <w:p>
            <w:pPr>
              <w:ind w:left="160"/>
              <w:spacing w:after="0"/>
              <w:rPr>
                <w:sz w:val="20"/>
                <w:szCs w:val="20"/>
                <w:color w:val="auto"/>
              </w:rPr>
            </w:pPr>
            <w:r>
              <w:rPr>
                <w:rFonts w:ascii="Arial" w:cs="Arial" w:eastAsia="Arial" w:hAnsi="Arial"/>
                <w:sz w:val="16"/>
                <w:szCs w:val="16"/>
                <w:color w:val="auto"/>
              </w:rPr>
              <w:t>Fuel, purchased power and cost of natural gas sold</w:t>
            </w:r>
          </w:p>
        </w:tc>
        <w:tc>
          <w:tcPr>
            <w:tcW w:w="220" w:type="dxa"/>
            <w:vAlign w:val="bottom"/>
            <w:shd w:val="clear" w:color="auto" w:fill="CEFEE7"/>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144</w:t>
            </w:r>
          </w:p>
        </w:tc>
        <w:tc>
          <w:tcPr>
            <w:tcW w:w="260" w:type="dxa"/>
            <w:vAlign w:val="bottom"/>
            <w:shd w:val="clear" w:color="auto" w:fill="CEFE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EE7"/>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320" w:type="dxa"/>
            <w:vAlign w:val="bottom"/>
            <w:tcBorders>
              <w:bottom w:val="single" w:sz="8" w:color="CEFEE7"/>
            </w:tcBorders>
          </w:tcPr>
          <w:p>
            <w:pPr>
              <w:ind w:left="20"/>
              <w:spacing w:after="0"/>
              <w:rPr>
                <w:sz w:val="20"/>
                <w:szCs w:val="20"/>
                <w:color w:val="auto"/>
              </w:rPr>
            </w:pPr>
            <w:r>
              <w:rPr>
                <w:rFonts w:ascii="Arial" w:cs="Arial" w:eastAsia="Arial" w:hAnsi="Arial"/>
                <w:sz w:val="16"/>
                <w:szCs w:val="16"/>
                <w:color w:val="auto"/>
              </w:rPr>
              <w:t>Commodity derivatives - Natural Gas</w:t>
            </w:r>
          </w:p>
        </w:tc>
        <w:tc>
          <w:tcPr>
            <w:tcW w:w="4560" w:type="dxa"/>
            <w:vAlign w:val="bottom"/>
            <w:tcBorders>
              <w:bottom w:val="single" w:sz="8" w:color="CEFEE7"/>
            </w:tcBorders>
          </w:tcPr>
          <w:p>
            <w:pPr>
              <w:ind w:left="160"/>
              <w:spacing w:after="0"/>
              <w:rPr>
                <w:sz w:val="20"/>
                <w:szCs w:val="20"/>
                <w:color w:val="auto"/>
              </w:rPr>
            </w:pPr>
            <w:r>
              <w:rPr>
                <w:rFonts w:ascii="Arial" w:cs="Arial" w:eastAsia="Arial" w:hAnsi="Arial"/>
                <w:sz w:val="16"/>
                <w:szCs w:val="16"/>
                <w:color w:val="auto"/>
              </w:rPr>
              <w:t>Fuel, purchased power and cost of natural gas sold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r>
      <w:tr>
        <w:trPr>
          <w:trHeight w:val="234"/>
        </w:trPr>
        <w:tc>
          <w:tcPr>
            <w:tcW w:w="3320" w:type="dxa"/>
            <w:vAlign w:val="bottom"/>
            <w:tcBorders>
              <w:bottom w:val="single" w:sz="8" w:color="CEFEE7"/>
            </w:tcBorders>
            <w:shd w:val="clear" w:color="auto" w:fill="CEFEE7"/>
          </w:tcPr>
          <w:p>
            <w:pPr>
              <w:spacing w:after="0"/>
              <w:rPr>
                <w:sz w:val="19"/>
                <w:szCs w:val="19"/>
                <w:color w:val="auto"/>
              </w:rPr>
            </w:pPr>
          </w:p>
        </w:tc>
        <w:tc>
          <w:tcPr>
            <w:tcW w:w="4560" w:type="dxa"/>
            <w:vAlign w:val="bottom"/>
            <w:tcBorders>
              <w:bottom w:val="single" w:sz="8" w:color="CEFEE7"/>
            </w:tcBorders>
            <w:shd w:val="clear" w:color="auto" w:fill="CEFEE7"/>
          </w:tcPr>
          <w:p>
            <w:pPr>
              <w:spacing w:after="0"/>
              <w:rPr>
                <w:sz w:val="19"/>
                <w:szCs w:val="19"/>
                <w:color w:val="auto"/>
              </w:rPr>
            </w:pPr>
          </w:p>
        </w:tc>
        <w:tc>
          <w:tcPr>
            <w:tcW w:w="220" w:type="dxa"/>
            <w:vAlign w:val="bottom"/>
            <w:tcBorders>
              <w:bottom w:val="single" w:sz="8" w:color="auto"/>
            </w:tcBorders>
            <w:shd w:val="clear" w:color="auto" w:fill="CEFEE7"/>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1,784</w:t>
            </w:r>
          </w:p>
        </w:tc>
        <w:tc>
          <w:tcPr>
            <w:tcW w:w="260" w:type="dxa"/>
            <w:vAlign w:val="bottom"/>
            <w:tcBorders>
              <w:bottom w:val="single" w:sz="8" w:color="auto"/>
            </w:tcBorders>
            <w:shd w:val="clear" w:color="auto" w:fill="CEFE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(1,100)</w:t>
            </w:r>
          </w:p>
        </w:tc>
        <w:tc>
          <w:tcPr>
            <w:tcW w:w="320" w:type="dxa"/>
            <w:vAlign w:val="bottom"/>
            <w:tcBorders>
              <w:bottom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1,101</w:t>
            </w:r>
          </w:p>
        </w:tc>
      </w:tr>
      <w:tr>
        <w:trPr>
          <w:trHeight w:val="20"/>
        </w:trPr>
        <w:tc>
          <w:tcPr>
            <w:tcW w:w="3320" w:type="dxa"/>
            <w:vAlign w:val="bottom"/>
            <w:tcBorders>
              <w:top w:val="single" w:sz="8" w:color="CEFEE7"/>
            </w:tcBorders>
          </w:tcPr>
          <w:p>
            <w:pPr>
              <w:spacing w:after="0" w:line="20" w:lineRule="exact"/>
              <w:rPr>
                <w:sz w:val="1"/>
                <w:szCs w:val="1"/>
                <w:color w:val="auto"/>
              </w:rPr>
            </w:pPr>
          </w:p>
        </w:tc>
        <w:tc>
          <w:tcPr>
            <w:tcW w:w="4560" w:type="dxa"/>
            <w:vAlign w:val="bottom"/>
            <w:tcBorders>
              <w:top w:val="single" w:sz="8" w:color="CEFEE7"/>
            </w:tcBorders>
          </w:tcPr>
          <w:p>
            <w:pPr>
              <w:spacing w:after="0" w:line="20" w:lineRule="exact"/>
              <w:rPr>
                <w:sz w:val="1"/>
                <w:szCs w:val="1"/>
                <w:color w:val="auto"/>
              </w:rPr>
            </w:pPr>
          </w:p>
        </w:tc>
        <w:tc>
          <w:tcPr>
            <w:tcW w:w="220" w:type="dxa"/>
            <w:vAlign w:val="bottom"/>
            <w:tcBorders>
              <w:top w:val="single" w:sz="8" w:color="CEFEE7"/>
              <w:bottom w:val="single" w:sz="8" w:color="auto"/>
            </w:tcBorders>
          </w:tcPr>
          <w:p>
            <w:pPr>
              <w:spacing w:after="0" w:line="20" w:lineRule="exact"/>
              <w:rPr>
                <w:sz w:val="1"/>
                <w:szCs w:val="1"/>
                <w:color w:val="auto"/>
              </w:rPr>
            </w:pPr>
          </w:p>
        </w:tc>
        <w:tc>
          <w:tcPr>
            <w:tcW w:w="880" w:type="dxa"/>
            <w:vAlign w:val="bottom"/>
            <w:tcBorders>
              <w:top w:val="single" w:sz="8" w:color="CEFEE7"/>
              <w:bottom w:val="single" w:sz="8" w:color="auto"/>
            </w:tcBorders>
          </w:tcPr>
          <w:p>
            <w:pPr>
              <w:spacing w:after="0" w:line="20" w:lineRule="exact"/>
              <w:rPr>
                <w:sz w:val="1"/>
                <w:szCs w:val="1"/>
                <w:color w:val="auto"/>
              </w:rPr>
            </w:pPr>
          </w:p>
        </w:tc>
        <w:tc>
          <w:tcPr>
            <w:tcW w:w="260" w:type="dxa"/>
            <w:vAlign w:val="bottom"/>
            <w:tcBorders>
              <w:top w:val="single" w:sz="8" w:color="CEFEE7"/>
              <w:bottom w:val="single" w:sz="8" w:color="auto"/>
            </w:tcBorders>
          </w:tcPr>
          <w:p>
            <w:pPr>
              <w:spacing w:after="0" w:line="20" w:lineRule="exact"/>
              <w:rPr>
                <w:sz w:val="1"/>
                <w:szCs w:val="1"/>
                <w:color w:val="auto"/>
              </w:rPr>
            </w:pPr>
          </w:p>
        </w:tc>
        <w:tc>
          <w:tcPr>
            <w:tcW w:w="880" w:type="dxa"/>
            <w:vAlign w:val="bottom"/>
            <w:tcBorders>
              <w:top w:val="single" w:sz="8" w:color="CEFEE7"/>
              <w:bottom w:val="single" w:sz="8" w:color="auto"/>
            </w:tcBorders>
          </w:tcPr>
          <w:p>
            <w:pPr>
              <w:spacing w:after="0" w:line="20" w:lineRule="exact"/>
              <w:rPr>
                <w:sz w:val="1"/>
                <w:szCs w:val="1"/>
                <w:color w:val="auto"/>
              </w:rPr>
            </w:pPr>
          </w:p>
        </w:tc>
        <w:tc>
          <w:tcPr>
            <w:tcW w:w="320" w:type="dxa"/>
            <w:vAlign w:val="bottom"/>
            <w:tcBorders>
              <w:top w:val="single" w:sz="8" w:color="CEFEE7"/>
              <w:bottom w:val="single" w:sz="8" w:color="auto"/>
            </w:tcBorders>
          </w:tcPr>
          <w:p>
            <w:pPr>
              <w:spacing w:after="0" w:line="20" w:lineRule="exact"/>
              <w:rPr>
                <w:sz w:val="1"/>
                <w:szCs w:val="1"/>
                <w:color w:val="auto"/>
              </w:rPr>
            </w:pPr>
          </w:p>
        </w:tc>
        <w:tc>
          <w:tcPr>
            <w:tcW w:w="800" w:type="dxa"/>
            <w:vAlign w:val="bottom"/>
            <w:tcBorders>
              <w:top w:val="single" w:sz="8" w:color="CEFE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assets or Regulatory liability accounts related to these financial instruments in our Gas Utilities were $2.2 million and $3.3 million at December 31, 2020 and 2019, respectively. For our Electric Utilities, the unrealized gains and losses arising from these derivatives are recognized in the Consolidated Statements of Income.</w:t>
      </w:r>
    </w:p>
    <w:p>
      <w:pPr>
        <w:spacing w:after="0" w:line="200" w:lineRule="exact"/>
        <w:rPr>
          <w:sz w:val="20"/>
          <w:szCs w:val="20"/>
          <w:color w:val="auto"/>
        </w:rPr>
      </w:pPr>
    </w:p>
    <w:p>
      <w:pPr>
        <w:spacing w:after="0" w:line="253" w:lineRule="exact"/>
        <w:rPr>
          <w:sz w:val="20"/>
          <w:szCs w:val="20"/>
          <w:color w:val="auto"/>
        </w:rPr>
      </w:pPr>
    </w:p>
    <w:p>
      <w:pPr>
        <w:ind w:left="480" w:hanging="472"/>
        <w:spacing w:after="0"/>
        <w:tabs>
          <w:tab w:leader="none" w:pos="48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6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2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As of December 31, 2020</w:t>
            </w:r>
          </w:p>
        </w:tc>
        <w:tc>
          <w:tcPr>
            <w:tcW w:w="1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0" w:type="dxa"/>
            <w:vAlign w:val="bottom"/>
            <w:gridSpan w:val="2"/>
          </w:tcPr>
          <w:p>
            <w:pPr>
              <w:jc w:val="center"/>
              <w:ind w:left="99"/>
              <w:spacing w:after="0" w:line="174" w:lineRule="exact"/>
              <w:rPr>
                <w:sz w:val="20"/>
                <w:szCs w:val="20"/>
                <w:color w:val="auto"/>
              </w:rPr>
            </w:pPr>
            <w:r>
              <w:rPr>
                <w:rFonts w:ascii="Arial" w:cs="Arial" w:eastAsia="Arial" w:hAnsi="Arial"/>
                <w:sz w:val="16"/>
                <w:szCs w:val="16"/>
                <w:color w:val="auto"/>
              </w:rPr>
              <w:t>Cash Collateral and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Level 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239"/>
              <w:spacing w:after="0"/>
              <w:rPr>
                <w:sz w:val="20"/>
                <w:szCs w:val="20"/>
                <w:color w:val="auto"/>
              </w:rPr>
            </w:pPr>
            <w:r>
              <w:rPr>
                <w:rFonts w:ascii="Arial" w:cs="Arial" w:eastAsia="Arial" w:hAnsi="Arial"/>
                <w:sz w:val="16"/>
                <w:szCs w:val="16"/>
                <w:color w:val="auto"/>
              </w:rPr>
              <w:t>Level 2</w:t>
            </w:r>
          </w:p>
        </w:tc>
        <w:tc>
          <w:tcPr>
            <w:tcW w:w="200" w:type="dxa"/>
            <w:vAlign w:val="bottom"/>
          </w:tcPr>
          <w:p>
            <w:pPr>
              <w:spacing w:after="0"/>
              <w:rPr>
                <w:sz w:val="12"/>
                <w:szCs w:val="12"/>
                <w:color w:val="auto"/>
              </w:rPr>
            </w:pPr>
          </w:p>
        </w:tc>
        <w:tc>
          <w:tcPr>
            <w:tcW w:w="1240" w:type="dxa"/>
            <w:vAlign w:val="bottom"/>
            <w:vMerge w:val="restart"/>
          </w:tcPr>
          <w:p>
            <w:pPr>
              <w:ind w:left="200"/>
              <w:spacing w:after="0"/>
              <w:rPr>
                <w:sz w:val="20"/>
                <w:szCs w:val="20"/>
                <w:color w:val="auto"/>
              </w:rPr>
            </w:pPr>
            <w:r>
              <w:rPr>
                <w:rFonts w:ascii="Arial" w:cs="Arial" w:eastAsia="Arial" w:hAnsi="Arial"/>
                <w:sz w:val="16"/>
                <w:szCs w:val="16"/>
                <w:color w:val="auto"/>
              </w:rPr>
              <w:t>Level 3</w:t>
            </w:r>
          </w:p>
        </w:tc>
        <w:tc>
          <w:tcPr>
            <w:tcW w:w="1800" w:type="dxa"/>
            <w:vAlign w:val="bottom"/>
            <w:gridSpan w:val="2"/>
          </w:tcPr>
          <w:p>
            <w:pPr>
              <w:jc w:val="center"/>
              <w:ind w:left="99"/>
              <w:spacing w:after="0" w:line="147" w:lineRule="exact"/>
              <w:rPr>
                <w:sz w:val="20"/>
                <w:szCs w:val="20"/>
                <w:color w:val="auto"/>
              </w:rPr>
            </w:pPr>
            <w:r>
              <w:rPr>
                <w:rFonts w:ascii="Arial" w:cs="Arial" w:eastAsia="Arial" w:hAnsi="Arial"/>
                <w:sz w:val="16"/>
                <w:szCs w:val="16"/>
                <w:color w:val="auto"/>
              </w:rPr>
              <w:t>Counterparty Netting</w:t>
            </w:r>
          </w:p>
        </w:tc>
        <w:tc>
          <w:tcPr>
            <w:tcW w:w="320" w:type="dxa"/>
            <w:vAlign w:val="bottom"/>
          </w:tcPr>
          <w:p>
            <w:pPr>
              <w:spacing w:after="0"/>
              <w:rPr>
                <w:sz w:val="12"/>
                <w:szCs w:val="12"/>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ind w:right="543"/>
              <w:spacing w:after="0" w:line="125" w:lineRule="exact"/>
              <w:rPr>
                <w:sz w:val="20"/>
                <w:szCs w:val="20"/>
                <w:color w:val="auto"/>
              </w:rPr>
            </w:pPr>
            <w:r>
              <w:rPr>
                <w:rFonts w:ascii="Arial" w:cs="Arial" w:eastAsia="Arial" w:hAnsi="Arial"/>
                <w:sz w:val="11"/>
                <w:szCs w:val="11"/>
                <w:color w:val="auto"/>
              </w:rPr>
              <w:t>(a)</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EFEE7"/>
          </w:tcPr>
          <w:p>
            <w:pPr>
              <w:spacing w:after="0"/>
              <w:rPr>
                <w:sz w:val="19"/>
                <w:szCs w:val="19"/>
                <w:color w:val="auto"/>
              </w:rPr>
            </w:pPr>
          </w:p>
        </w:tc>
        <w:tc>
          <w:tcPr>
            <w:tcW w:w="840" w:type="dxa"/>
            <w:vAlign w:val="bottom"/>
            <w:shd w:val="clear" w:color="auto" w:fill="CEFEE7"/>
          </w:tcPr>
          <w:p>
            <w:pPr>
              <w:spacing w:after="0"/>
              <w:rPr>
                <w:sz w:val="19"/>
                <w:szCs w:val="19"/>
                <w:color w:val="auto"/>
              </w:rPr>
            </w:pPr>
          </w:p>
        </w:tc>
        <w:tc>
          <w:tcPr>
            <w:tcW w:w="240" w:type="dxa"/>
            <w:vAlign w:val="bottom"/>
            <w:shd w:val="clear" w:color="auto" w:fill="CEFEE7"/>
          </w:tcPr>
          <w:p>
            <w:pPr>
              <w:spacing w:after="0"/>
              <w:rPr>
                <w:sz w:val="19"/>
                <w:szCs w:val="19"/>
                <w:color w:val="auto"/>
              </w:rPr>
            </w:pPr>
          </w:p>
        </w:tc>
        <w:tc>
          <w:tcPr>
            <w:tcW w:w="260" w:type="dxa"/>
            <w:vAlign w:val="bottom"/>
            <w:shd w:val="clear" w:color="auto" w:fill="CEFEE7"/>
          </w:tcPr>
          <w:p>
            <w:pPr>
              <w:spacing w:after="0"/>
              <w:rPr>
                <w:sz w:val="19"/>
                <w:szCs w:val="19"/>
                <w:color w:val="auto"/>
              </w:rPr>
            </w:pPr>
          </w:p>
        </w:tc>
        <w:tc>
          <w:tcPr>
            <w:tcW w:w="940" w:type="dxa"/>
            <w:vAlign w:val="bottom"/>
            <w:shd w:val="clear" w:color="auto" w:fill="CEFEE7"/>
          </w:tcPr>
          <w:p>
            <w:pPr>
              <w:spacing w:after="0"/>
              <w:rPr>
                <w:sz w:val="19"/>
                <w:szCs w:val="19"/>
                <w:color w:val="auto"/>
              </w:rPr>
            </w:pPr>
          </w:p>
        </w:tc>
        <w:tc>
          <w:tcPr>
            <w:tcW w:w="200" w:type="dxa"/>
            <w:vAlign w:val="bottom"/>
            <w:shd w:val="clear" w:color="auto" w:fill="CEFEE7"/>
          </w:tcPr>
          <w:p>
            <w:pPr>
              <w:spacing w:after="0"/>
              <w:rPr>
                <w:sz w:val="19"/>
                <w:szCs w:val="19"/>
                <w:color w:val="auto"/>
              </w:rPr>
            </w:pPr>
          </w:p>
        </w:tc>
        <w:tc>
          <w:tcPr>
            <w:tcW w:w="2040" w:type="dxa"/>
            <w:vAlign w:val="bottom"/>
            <w:gridSpan w:val="2"/>
            <w:shd w:val="clear" w:color="auto" w:fill="CEFEE7"/>
          </w:tcPr>
          <w:p>
            <w:pPr>
              <w:jc w:val="center"/>
              <w:spacing w:after="0"/>
              <w:rPr>
                <w:sz w:val="20"/>
                <w:szCs w:val="20"/>
                <w:color w:val="auto"/>
              </w:rPr>
            </w:pPr>
            <w:r>
              <w:rPr>
                <w:rFonts w:ascii="Arial" w:cs="Arial" w:eastAsia="Arial" w:hAnsi="Arial"/>
                <w:sz w:val="16"/>
                <w:szCs w:val="16"/>
                <w:color w:val="auto"/>
              </w:rPr>
              <w:t>(in thousands)</w:t>
            </w:r>
          </w:p>
        </w:tc>
        <w:tc>
          <w:tcPr>
            <w:tcW w:w="1000" w:type="dxa"/>
            <w:vAlign w:val="bottom"/>
            <w:shd w:val="clear" w:color="auto" w:fill="CEFEE7"/>
          </w:tcPr>
          <w:p>
            <w:pPr>
              <w:spacing w:after="0"/>
              <w:rPr>
                <w:sz w:val="19"/>
                <w:szCs w:val="19"/>
                <w:color w:val="auto"/>
              </w:rPr>
            </w:pPr>
          </w:p>
        </w:tc>
        <w:tc>
          <w:tcPr>
            <w:tcW w:w="320" w:type="dxa"/>
            <w:vAlign w:val="bottom"/>
            <w:shd w:val="clear" w:color="auto" w:fill="CEFEE7"/>
          </w:tcPr>
          <w:p>
            <w:pPr>
              <w:spacing w:after="0"/>
              <w:rPr>
                <w:sz w:val="19"/>
                <w:szCs w:val="19"/>
                <w:color w:val="auto"/>
              </w:rPr>
            </w:pPr>
          </w:p>
        </w:tc>
        <w:tc>
          <w:tcPr>
            <w:tcW w:w="1080" w:type="dxa"/>
            <w:vAlign w:val="bottom"/>
            <w:shd w:val="clear" w:color="auto" w:fill="CEFE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Assets: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EFEE7"/>
          </w:tcPr>
          <w:p>
            <w:pPr>
              <w:ind w:left="120"/>
              <w:spacing w:after="0"/>
              <w:rPr>
                <w:sz w:val="20"/>
                <w:szCs w:val="20"/>
                <w:color w:val="auto"/>
              </w:rPr>
            </w:pPr>
            <w:r>
              <w:rPr>
                <w:rFonts w:ascii="Arial" w:cs="Arial" w:eastAsia="Arial" w:hAnsi="Arial"/>
                <w:sz w:val="16"/>
                <w:szCs w:val="16"/>
                <w:color w:val="auto"/>
              </w:rPr>
              <w:t>Commodity derivatives - Gas Utilities</w:t>
            </w:r>
          </w:p>
        </w:tc>
        <w:tc>
          <w:tcPr>
            <w:tcW w:w="840" w:type="dxa"/>
            <w:vAlign w:val="bottom"/>
            <w:shd w:val="clear" w:color="auto" w:fill="CEFEE7"/>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EFEE7"/>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E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2,504</w:t>
            </w:r>
          </w:p>
        </w:tc>
        <w:tc>
          <w:tcPr>
            <w:tcW w:w="2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EE7"/>
          </w:tcPr>
          <w:p>
            <w:pPr>
              <w:jc w:val="center"/>
              <w:ind w:left="599"/>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EFEE7"/>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EE7"/>
          </w:tcPr>
          <w:p>
            <w:pPr>
              <w:jc w:val="right"/>
              <w:spacing w:after="0"/>
              <w:rPr>
                <w:sz w:val="20"/>
                <w:szCs w:val="20"/>
                <w:color w:val="auto"/>
              </w:rPr>
            </w:pPr>
            <w:r>
              <w:rPr>
                <w:rFonts w:ascii="Arial" w:cs="Arial" w:eastAsia="Arial" w:hAnsi="Arial"/>
                <w:sz w:val="16"/>
                <w:szCs w:val="16"/>
                <w:color w:val="auto"/>
              </w:rPr>
              <w:t>(1,527)</w:t>
            </w:r>
          </w:p>
        </w:tc>
        <w:tc>
          <w:tcPr>
            <w:tcW w:w="320" w:type="dxa"/>
            <w:vAlign w:val="bottom"/>
            <w:shd w:val="clear" w:color="auto" w:fill="CEFEE7"/>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EFEE7"/>
            </w:tcBorders>
          </w:tcPr>
          <w:p>
            <w:pPr>
              <w:ind w:left="120"/>
              <w:spacing w:after="0"/>
              <w:rPr>
                <w:sz w:val="20"/>
                <w:szCs w:val="20"/>
                <w:color w:val="auto"/>
              </w:rPr>
            </w:pPr>
            <w:r>
              <w:rPr>
                <w:rFonts w:ascii="Arial" w:cs="Arial" w:eastAsia="Arial" w:hAnsi="Arial"/>
                <w:sz w:val="16"/>
                <w:szCs w:val="16"/>
                <w:color w:val="auto"/>
              </w:rPr>
              <w:t>Commodity derivatives - Electric Utilities</w:t>
            </w: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99"/>
              </w:rPr>
              <w:t>—</w:t>
            </w: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38"/>
        </w:trPr>
        <w:tc>
          <w:tcPr>
            <w:tcW w:w="4260" w:type="dxa"/>
            <w:vAlign w:val="bottom"/>
            <w:tcBorders>
              <w:bottom w:val="single" w:sz="8" w:color="CEFEE7"/>
            </w:tcBorders>
            <w:shd w:val="clear" w:color="auto" w:fill="CEFEE7"/>
          </w:tcPr>
          <w:p>
            <w:pPr>
              <w:ind w:left="1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shd w:val="clear" w:color="auto" w:fill="CEFEE7"/>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2"/>
            <w:shd w:val="clear" w:color="auto" w:fill="CEFEE7"/>
          </w:tcPr>
          <w:p>
            <w:pPr>
              <w:jc w:val="right"/>
              <w:ind w:right="39"/>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3,569</w:t>
            </w:r>
          </w:p>
        </w:tc>
        <w:tc>
          <w:tcPr>
            <w:tcW w:w="2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EE7"/>
          </w:tcPr>
          <w:p>
            <w:pPr>
              <w:jc w:val="center"/>
              <w:ind w:left="599"/>
              <w:spacing w:after="0"/>
              <w:rPr>
                <w:sz w:val="20"/>
                <w:szCs w:val="20"/>
                <w:color w:val="auto"/>
              </w:rPr>
            </w:pPr>
            <w:r>
              <w:rPr>
                <w:rFonts w:ascii="Arial" w:cs="Arial" w:eastAsia="Arial" w:hAnsi="Arial"/>
                <w:sz w:val="16"/>
                <w:szCs w:val="16"/>
                <w:color w:val="auto"/>
                <w:w w:val="99"/>
              </w:rPr>
              <w:t>—</w:t>
            </w:r>
          </w:p>
        </w:tc>
        <w:tc>
          <w:tcPr>
            <w:tcW w:w="800" w:type="dxa"/>
            <w:vAlign w:val="bottom"/>
            <w:tcBorders>
              <w:bottom w:val="single" w:sz="8" w:color="auto"/>
            </w:tcBorders>
            <w:shd w:val="clear" w:color="auto" w:fill="CEFEE7"/>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(1,527)</w:t>
            </w:r>
          </w:p>
        </w:tc>
        <w:tc>
          <w:tcPr>
            <w:tcW w:w="320" w:type="dxa"/>
            <w:vAlign w:val="bottom"/>
            <w:tcBorders>
              <w:bottom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0"/>
        </w:trPr>
        <w:tc>
          <w:tcPr>
            <w:tcW w:w="4260" w:type="dxa"/>
            <w:vAlign w:val="bottom"/>
            <w:tcBorders>
              <w:top w:val="single" w:sz="8" w:color="CEFEE7"/>
            </w:tcBorders>
          </w:tcPr>
          <w:p>
            <w:pPr>
              <w:spacing w:after="0" w:line="20" w:lineRule="exact"/>
              <w:rPr>
                <w:sz w:val="1"/>
                <w:szCs w:val="1"/>
                <w:color w:val="auto"/>
              </w:rPr>
            </w:pPr>
          </w:p>
        </w:tc>
        <w:tc>
          <w:tcPr>
            <w:tcW w:w="840" w:type="dxa"/>
            <w:vAlign w:val="bottom"/>
            <w:tcBorders>
              <w:top w:val="single" w:sz="8" w:color="CEFEE7"/>
              <w:bottom w:val="single" w:sz="8" w:color="auto"/>
            </w:tcBorders>
          </w:tcPr>
          <w:p>
            <w:pPr>
              <w:spacing w:after="0" w:line="20" w:lineRule="exact"/>
              <w:rPr>
                <w:sz w:val="1"/>
                <w:szCs w:val="1"/>
                <w:color w:val="auto"/>
              </w:rPr>
            </w:pPr>
          </w:p>
        </w:tc>
        <w:tc>
          <w:tcPr>
            <w:tcW w:w="240" w:type="dxa"/>
            <w:vAlign w:val="bottom"/>
            <w:tcBorders>
              <w:top w:val="single" w:sz="8" w:color="CEFEE7"/>
              <w:bottom w:val="single" w:sz="8" w:color="auto"/>
            </w:tcBorders>
          </w:tcPr>
          <w:p>
            <w:pPr>
              <w:spacing w:after="0" w:line="20" w:lineRule="exact"/>
              <w:rPr>
                <w:sz w:val="1"/>
                <w:szCs w:val="1"/>
                <w:color w:val="auto"/>
              </w:rPr>
            </w:pPr>
          </w:p>
        </w:tc>
        <w:tc>
          <w:tcPr>
            <w:tcW w:w="260" w:type="dxa"/>
            <w:vAlign w:val="bottom"/>
            <w:tcBorders>
              <w:top w:val="single" w:sz="8" w:color="CEFEE7"/>
              <w:bottom w:val="single" w:sz="8" w:color="auto"/>
            </w:tcBorders>
          </w:tcPr>
          <w:p>
            <w:pPr>
              <w:spacing w:after="0" w:line="20" w:lineRule="exact"/>
              <w:rPr>
                <w:sz w:val="1"/>
                <w:szCs w:val="1"/>
                <w:color w:val="auto"/>
              </w:rPr>
            </w:pPr>
          </w:p>
        </w:tc>
        <w:tc>
          <w:tcPr>
            <w:tcW w:w="940" w:type="dxa"/>
            <w:vAlign w:val="bottom"/>
            <w:tcBorders>
              <w:top w:val="single" w:sz="8" w:color="CEFEE7"/>
              <w:bottom w:val="single" w:sz="8" w:color="auto"/>
            </w:tcBorders>
          </w:tcPr>
          <w:p>
            <w:pPr>
              <w:spacing w:after="0" w:line="20" w:lineRule="exact"/>
              <w:rPr>
                <w:sz w:val="1"/>
                <w:szCs w:val="1"/>
                <w:color w:val="auto"/>
              </w:rPr>
            </w:pPr>
          </w:p>
        </w:tc>
        <w:tc>
          <w:tcPr>
            <w:tcW w:w="200" w:type="dxa"/>
            <w:vAlign w:val="bottom"/>
            <w:tcBorders>
              <w:top w:val="single" w:sz="8" w:color="CEFEE7"/>
              <w:bottom w:val="single" w:sz="8" w:color="auto"/>
            </w:tcBorders>
          </w:tcPr>
          <w:p>
            <w:pPr>
              <w:spacing w:after="0" w:line="20" w:lineRule="exact"/>
              <w:rPr>
                <w:sz w:val="1"/>
                <w:szCs w:val="1"/>
                <w:color w:val="auto"/>
              </w:rPr>
            </w:pPr>
          </w:p>
        </w:tc>
        <w:tc>
          <w:tcPr>
            <w:tcW w:w="1240" w:type="dxa"/>
            <w:vAlign w:val="bottom"/>
            <w:tcBorders>
              <w:top w:val="single" w:sz="8" w:color="CEFEE7"/>
              <w:bottom w:val="single" w:sz="8" w:color="auto"/>
            </w:tcBorders>
          </w:tcPr>
          <w:p>
            <w:pPr>
              <w:spacing w:after="0" w:line="20" w:lineRule="exact"/>
              <w:rPr>
                <w:sz w:val="1"/>
                <w:szCs w:val="1"/>
                <w:color w:val="auto"/>
              </w:rPr>
            </w:pPr>
          </w:p>
        </w:tc>
        <w:tc>
          <w:tcPr>
            <w:tcW w:w="800" w:type="dxa"/>
            <w:vAlign w:val="bottom"/>
            <w:tcBorders>
              <w:top w:val="single" w:sz="8" w:color="CEFEE7"/>
              <w:bottom w:val="single" w:sz="8" w:color="auto"/>
            </w:tcBorders>
          </w:tcPr>
          <w:p>
            <w:pPr>
              <w:spacing w:after="0" w:line="20" w:lineRule="exact"/>
              <w:rPr>
                <w:sz w:val="1"/>
                <w:szCs w:val="1"/>
                <w:color w:val="auto"/>
              </w:rPr>
            </w:pPr>
          </w:p>
        </w:tc>
        <w:tc>
          <w:tcPr>
            <w:tcW w:w="1000" w:type="dxa"/>
            <w:vAlign w:val="bottom"/>
            <w:tcBorders>
              <w:top w:val="single" w:sz="8" w:color="CEFEE7"/>
              <w:bottom w:val="single" w:sz="8" w:color="auto"/>
            </w:tcBorders>
          </w:tcPr>
          <w:p>
            <w:pPr>
              <w:spacing w:after="0" w:line="20" w:lineRule="exact"/>
              <w:rPr>
                <w:sz w:val="1"/>
                <w:szCs w:val="1"/>
                <w:color w:val="auto"/>
              </w:rPr>
            </w:pPr>
          </w:p>
        </w:tc>
        <w:tc>
          <w:tcPr>
            <w:tcW w:w="320" w:type="dxa"/>
            <w:vAlign w:val="bottom"/>
            <w:tcBorders>
              <w:top w:val="single" w:sz="8" w:color="CEFEE7"/>
              <w:bottom w:val="single" w:sz="8" w:color="auto"/>
            </w:tcBorders>
          </w:tcPr>
          <w:p>
            <w:pPr>
              <w:spacing w:after="0" w:line="20" w:lineRule="exact"/>
              <w:rPr>
                <w:sz w:val="1"/>
                <w:szCs w:val="1"/>
                <w:color w:val="auto"/>
              </w:rPr>
            </w:pPr>
          </w:p>
        </w:tc>
        <w:tc>
          <w:tcPr>
            <w:tcW w:w="1080" w:type="dxa"/>
            <w:vAlign w:val="bottom"/>
            <w:tcBorders>
              <w:top w:val="single" w:sz="8" w:color="CEFE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EFEE7"/>
          </w:tcPr>
          <w:p>
            <w:pPr>
              <w:spacing w:after="0"/>
              <w:rPr>
                <w:sz w:val="20"/>
                <w:szCs w:val="20"/>
                <w:color w:val="auto"/>
              </w:rPr>
            </w:pPr>
            <w:r>
              <w:rPr>
                <w:rFonts w:ascii="Arial" w:cs="Arial" w:eastAsia="Arial" w:hAnsi="Arial"/>
                <w:sz w:val="16"/>
                <w:szCs w:val="16"/>
                <w:color w:val="auto"/>
              </w:rPr>
              <w:t>Liabilities:</w:t>
            </w:r>
          </w:p>
        </w:tc>
        <w:tc>
          <w:tcPr>
            <w:tcW w:w="840" w:type="dxa"/>
            <w:vAlign w:val="bottom"/>
            <w:shd w:val="clear" w:color="auto" w:fill="CEFEE7"/>
          </w:tcPr>
          <w:p>
            <w:pPr>
              <w:spacing w:after="0"/>
              <w:rPr>
                <w:sz w:val="18"/>
                <w:szCs w:val="18"/>
                <w:color w:val="auto"/>
              </w:rPr>
            </w:pPr>
          </w:p>
        </w:tc>
        <w:tc>
          <w:tcPr>
            <w:tcW w:w="240" w:type="dxa"/>
            <w:vAlign w:val="bottom"/>
            <w:shd w:val="clear" w:color="auto" w:fill="CEFEE7"/>
          </w:tcPr>
          <w:p>
            <w:pPr>
              <w:spacing w:after="0"/>
              <w:rPr>
                <w:sz w:val="18"/>
                <w:szCs w:val="18"/>
                <w:color w:val="auto"/>
              </w:rPr>
            </w:pPr>
          </w:p>
        </w:tc>
        <w:tc>
          <w:tcPr>
            <w:tcW w:w="260" w:type="dxa"/>
            <w:vAlign w:val="bottom"/>
            <w:shd w:val="clear" w:color="auto" w:fill="CEFEE7"/>
          </w:tcPr>
          <w:p>
            <w:pPr>
              <w:spacing w:after="0"/>
              <w:rPr>
                <w:sz w:val="18"/>
                <w:szCs w:val="18"/>
                <w:color w:val="auto"/>
              </w:rPr>
            </w:pPr>
          </w:p>
        </w:tc>
        <w:tc>
          <w:tcPr>
            <w:tcW w:w="940" w:type="dxa"/>
            <w:vAlign w:val="bottom"/>
            <w:shd w:val="clear" w:color="auto" w:fill="CEFEE7"/>
          </w:tcPr>
          <w:p>
            <w:pPr>
              <w:spacing w:after="0"/>
              <w:rPr>
                <w:sz w:val="18"/>
                <w:szCs w:val="18"/>
                <w:color w:val="auto"/>
              </w:rPr>
            </w:pPr>
          </w:p>
        </w:tc>
        <w:tc>
          <w:tcPr>
            <w:tcW w:w="200" w:type="dxa"/>
            <w:vAlign w:val="bottom"/>
            <w:shd w:val="clear" w:color="auto" w:fill="CEFEE7"/>
          </w:tcPr>
          <w:p>
            <w:pPr>
              <w:spacing w:after="0"/>
              <w:rPr>
                <w:sz w:val="18"/>
                <w:szCs w:val="18"/>
                <w:color w:val="auto"/>
              </w:rPr>
            </w:pPr>
          </w:p>
        </w:tc>
        <w:tc>
          <w:tcPr>
            <w:tcW w:w="1240" w:type="dxa"/>
            <w:vAlign w:val="bottom"/>
            <w:shd w:val="clear" w:color="auto" w:fill="CEFEE7"/>
          </w:tcPr>
          <w:p>
            <w:pPr>
              <w:spacing w:after="0"/>
              <w:rPr>
                <w:sz w:val="18"/>
                <w:szCs w:val="18"/>
                <w:color w:val="auto"/>
              </w:rPr>
            </w:pPr>
          </w:p>
        </w:tc>
        <w:tc>
          <w:tcPr>
            <w:tcW w:w="800" w:type="dxa"/>
            <w:vAlign w:val="bottom"/>
            <w:shd w:val="clear" w:color="auto" w:fill="CEFEE7"/>
          </w:tcPr>
          <w:p>
            <w:pPr>
              <w:spacing w:after="0"/>
              <w:rPr>
                <w:sz w:val="18"/>
                <w:szCs w:val="18"/>
                <w:color w:val="auto"/>
              </w:rPr>
            </w:pPr>
          </w:p>
        </w:tc>
        <w:tc>
          <w:tcPr>
            <w:tcW w:w="1000" w:type="dxa"/>
            <w:vAlign w:val="bottom"/>
            <w:shd w:val="clear" w:color="auto" w:fill="CEFEE7"/>
          </w:tcPr>
          <w:p>
            <w:pPr>
              <w:spacing w:after="0"/>
              <w:rPr>
                <w:sz w:val="18"/>
                <w:szCs w:val="18"/>
                <w:color w:val="auto"/>
              </w:rPr>
            </w:pPr>
          </w:p>
        </w:tc>
        <w:tc>
          <w:tcPr>
            <w:tcW w:w="320" w:type="dxa"/>
            <w:vAlign w:val="bottom"/>
            <w:shd w:val="clear" w:color="auto" w:fill="CEFEE7"/>
          </w:tcPr>
          <w:p>
            <w:pPr>
              <w:spacing w:after="0"/>
              <w:rPr>
                <w:sz w:val="18"/>
                <w:szCs w:val="18"/>
                <w:color w:val="auto"/>
              </w:rPr>
            </w:pPr>
          </w:p>
        </w:tc>
        <w:tc>
          <w:tcPr>
            <w:tcW w:w="1080" w:type="dxa"/>
            <w:vAlign w:val="bottom"/>
            <w:shd w:val="clear" w:color="auto" w:fill="CEFE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center"/>
              <w:ind w:left="599"/>
              <w:spacing w:after="0"/>
              <w:rPr>
                <w:sz w:val="20"/>
                <w:szCs w:val="20"/>
                <w:color w:val="auto"/>
              </w:rPr>
            </w:pPr>
            <w:r>
              <w:rPr>
                <w:rFonts w:ascii="Arial" w:cs="Arial" w:eastAsia="Arial" w:hAnsi="Arial"/>
                <w:sz w:val="16"/>
                <w:szCs w:val="16"/>
                <w:color w:val="auto"/>
                <w:w w:val="99"/>
              </w:rPr>
              <w:t>—</w:t>
            </w:r>
          </w:p>
        </w:tc>
        <w:tc>
          <w:tcPr>
            <w:tcW w:w="8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(1,552)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16"/>
        </w:trPr>
        <w:tc>
          <w:tcPr>
            <w:tcW w:w="4260" w:type="dxa"/>
            <w:vAlign w:val="bottom"/>
            <w:shd w:val="clear" w:color="auto" w:fill="CEFEE7"/>
          </w:tcPr>
          <w:p>
            <w:pPr>
              <w:ind w:left="120"/>
              <w:spacing w:after="0"/>
              <w:rPr>
                <w:sz w:val="20"/>
                <w:szCs w:val="20"/>
                <w:color w:val="auto"/>
              </w:rPr>
            </w:pPr>
            <w:r>
              <w:rPr>
                <w:rFonts w:ascii="Arial" w:cs="Arial" w:eastAsia="Arial" w:hAnsi="Arial"/>
                <w:sz w:val="16"/>
                <w:szCs w:val="16"/>
                <w:color w:val="auto"/>
              </w:rPr>
              <w:t>Commodity derivatives - Electric Utilities</w:t>
            </w:r>
          </w:p>
        </w:tc>
        <w:tc>
          <w:tcPr>
            <w:tcW w:w="840" w:type="dxa"/>
            <w:vAlign w:val="bottom"/>
            <w:tcBorders>
              <w:bottom w:val="single" w:sz="8" w:color="auto"/>
            </w:tcBorders>
            <w:shd w:val="clear" w:color="auto" w:fill="CEFEE7"/>
          </w:tcPr>
          <w:p>
            <w:pPr>
              <w:spacing w:after="0"/>
              <w:rPr>
                <w:sz w:val="18"/>
                <w:szCs w:val="18"/>
                <w:color w:val="auto"/>
              </w:rPr>
            </w:pPr>
          </w:p>
        </w:tc>
        <w:tc>
          <w:tcPr>
            <w:tcW w:w="240" w:type="dxa"/>
            <w:vAlign w:val="bottom"/>
            <w:tcBorders>
              <w:bottom w:val="single" w:sz="8" w:color="auto"/>
            </w:tcBorders>
            <w:shd w:val="clear" w:color="auto" w:fill="CEFEE7"/>
          </w:tcPr>
          <w:p>
            <w:pPr>
              <w:spacing w:after="0"/>
              <w:rPr>
                <w:sz w:val="18"/>
                <w:szCs w:val="18"/>
                <w:color w:val="auto"/>
              </w:rPr>
            </w:pPr>
          </w:p>
        </w:tc>
        <w:tc>
          <w:tcPr>
            <w:tcW w:w="260" w:type="dxa"/>
            <w:vAlign w:val="bottom"/>
            <w:tcBorders>
              <w:bottom w:val="single" w:sz="8" w:color="auto"/>
            </w:tcBorders>
            <w:shd w:val="clear" w:color="auto" w:fill="CEFE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921</w:t>
            </w:r>
          </w:p>
        </w:tc>
        <w:tc>
          <w:tcPr>
            <w:tcW w:w="200" w:type="dxa"/>
            <w:vAlign w:val="bottom"/>
            <w:tcBorders>
              <w:bottom w:val="single" w:sz="8" w:color="auto"/>
            </w:tcBorders>
            <w:shd w:val="clear" w:color="auto" w:fill="CEFEE7"/>
          </w:tcPr>
          <w:p>
            <w:pPr>
              <w:spacing w:after="0"/>
              <w:rPr>
                <w:sz w:val="18"/>
                <w:szCs w:val="18"/>
                <w:color w:val="auto"/>
              </w:rPr>
            </w:pPr>
          </w:p>
        </w:tc>
        <w:tc>
          <w:tcPr>
            <w:tcW w:w="1240" w:type="dxa"/>
            <w:vAlign w:val="bottom"/>
            <w:tcBorders>
              <w:bottom w:val="single" w:sz="8" w:color="auto"/>
            </w:tcBorders>
            <w:shd w:val="clear" w:color="auto" w:fill="CEFEE7"/>
          </w:tcPr>
          <w:p>
            <w:pPr>
              <w:spacing w:after="0"/>
              <w:rPr>
                <w:sz w:val="18"/>
                <w:szCs w:val="18"/>
                <w:color w:val="auto"/>
              </w:rPr>
            </w:pPr>
          </w:p>
        </w:tc>
        <w:tc>
          <w:tcPr>
            <w:tcW w:w="800" w:type="dxa"/>
            <w:vAlign w:val="bottom"/>
            <w:tcBorders>
              <w:bottom w:val="single" w:sz="8" w:color="auto"/>
            </w:tcBorders>
            <w:shd w:val="clear" w:color="auto" w:fill="CEFEE7"/>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EE7"/>
          </w:tcPr>
          <w:p>
            <w:pPr>
              <w:jc w:val="right"/>
              <w:ind w:right="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13"/>
        </w:trPr>
        <w:tc>
          <w:tcPr>
            <w:tcW w:w="4260" w:type="dxa"/>
            <w:vAlign w:val="bottom"/>
          </w:tcPr>
          <w:p>
            <w:pPr>
              <w:ind w:left="1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99"/>
              </w:rPr>
              <w:t>—</w:t>
            </w: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left="340" w:right="420" w:hanging="332"/>
        <w:spacing w:after="0" w:line="258" w:lineRule="auto"/>
        <w:tabs>
          <w:tab w:leader="none" w:pos="344" w:val="left"/>
        </w:tabs>
        <w:numPr>
          <w:ilvl w:val="0"/>
          <w:numId w:val="77"/>
        </w:numPr>
        <w:rPr>
          <w:rFonts w:ascii="Arial" w:cs="Arial" w:eastAsia="Arial" w:hAnsi="Arial"/>
          <w:sz w:val="14"/>
          <w:szCs w:val="14"/>
          <w:color w:val="auto"/>
        </w:rPr>
      </w:pPr>
      <w:r>
        <w:rPr>
          <w:rFonts w:ascii="Arial" w:cs="Arial" w:eastAsia="Arial" w:hAnsi="Arial"/>
          <w:sz w:val="14"/>
          <w:szCs w:val="14"/>
          <w:color w:val="auto"/>
        </w:rPr>
        <w:t>As of December 31, 2020, $1.5 million of our commodity derivative gross assets and $1.6 million of our commodity derivative gross liabilities, as well as related gross collateral amounts, were subject to master netting agreements.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40" w:type="dxa"/>
        <w:tblCellMar>
          <w:top w:w="0" w:type="dxa"/>
          <w:left w:w="0" w:type="dxa"/>
          <w:bottom w:w="0" w:type="dxa"/>
          <w:right w:w="0" w:type="dxa"/>
        </w:tblCellMar>
      </w:tblPr>
      <w:tr>
        <w:trPr>
          <w:trHeight w:val="198"/>
        </w:trPr>
        <w:tc>
          <w:tcPr>
            <w:tcW w:w="38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As of December 31, 2019</w:t>
            </w:r>
          </w:p>
        </w:tc>
        <w:tc>
          <w:tcPr>
            <w:tcW w:w="1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80" w:type="dxa"/>
            <w:vAlign w:val="bottom"/>
            <w:gridSpan w:val="2"/>
          </w:tcPr>
          <w:p>
            <w:pPr>
              <w:jc w:val="center"/>
              <w:ind w:left="119"/>
              <w:spacing w:after="0" w:line="174" w:lineRule="exact"/>
              <w:rPr>
                <w:sz w:val="20"/>
                <w:szCs w:val="20"/>
                <w:color w:val="auto"/>
              </w:rPr>
            </w:pPr>
            <w:r>
              <w:rPr>
                <w:rFonts w:ascii="Arial" w:cs="Arial" w:eastAsia="Arial" w:hAnsi="Arial"/>
                <w:sz w:val="16"/>
                <w:szCs w:val="16"/>
                <w:color w:val="auto"/>
              </w:rPr>
              <w:t>Cash Collateral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80" w:type="dxa"/>
            <w:vAlign w:val="bottom"/>
            <w:gridSpan w:val="2"/>
          </w:tcPr>
          <w:p>
            <w:pPr>
              <w:jc w:val="center"/>
              <w:ind w:left="119"/>
              <w:spacing w:after="0" w:line="147" w:lineRule="exact"/>
              <w:rPr>
                <w:sz w:val="20"/>
                <w:szCs w:val="20"/>
                <w:color w:val="auto"/>
              </w:rPr>
            </w:pPr>
            <w:r>
              <w:rPr>
                <w:rFonts w:ascii="Arial" w:cs="Arial" w:eastAsia="Arial" w:hAnsi="Arial"/>
                <w:sz w:val="16"/>
                <w:szCs w:val="16"/>
                <w:color w:val="auto"/>
              </w:rPr>
              <w:t>Counterparty Netting</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840" w:type="dxa"/>
            <w:vAlign w:val="bottom"/>
          </w:tcPr>
          <w:p>
            <w:pPr>
              <w:spacing w:after="0"/>
              <w:rPr>
                <w:sz w:val="8"/>
                <w:szCs w:val="8"/>
                <w:color w:val="auto"/>
              </w:rPr>
            </w:pPr>
          </w:p>
        </w:tc>
        <w:tc>
          <w:tcPr>
            <w:tcW w:w="860" w:type="dxa"/>
            <w:vAlign w:val="bottom"/>
            <w:vMerge w:val="restart"/>
          </w:tcPr>
          <w:p>
            <w:pPr>
              <w:jc w:val="right"/>
              <w:spacing w:after="0" w:line="148" w:lineRule="exact"/>
              <w:rPr>
                <w:sz w:val="20"/>
                <w:szCs w:val="20"/>
                <w:color w:val="auto"/>
              </w:rPr>
            </w:pPr>
            <w:r>
              <w:rPr>
                <w:rFonts w:ascii="Arial" w:cs="Arial" w:eastAsia="Arial" w:hAnsi="Arial"/>
                <w:sz w:val="16"/>
                <w:szCs w:val="16"/>
                <w:color w:val="auto"/>
              </w:rPr>
              <w:t>Level 1</w:t>
            </w:r>
          </w:p>
        </w:tc>
        <w:tc>
          <w:tcPr>
            <w:tcW w:w="480" w:type="dxa"/>
            <w:vAlign w:val="bottom"/>
          </w:tcPr>
          <w:p>
            <w:pPr>
              <w:spacing w:after="0"/>
              <w:rPr>
                <w:sz w:val="8"/>
                <w:szCs w:val="8"/>
                <w:color w:val="auto"/>
              </w:rPr>
            </w:pPr>
          </w:p>
        </w:tc>
        <w:tc>
          <w:tcPr>
            <w:tcW w:w="920" w:type="dxa"/>
            <w:vAlign w:val="bottom"/>
            <w:vMerge w:val="restart"/>
          </w:tcPr>
          <w:p>
            <w:pPr>
              <w:jc w:val="right"/>
              <w:ind w:right="219"/>
              <w:spacing w:after="0" w:line="148" w:lineRule="exact"/>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8"/>
                <w:szCs w:val="8"/>
                <w:color w:val="auto"/>
              </w:rPr>
            </w:pPr>
          </w:p>
        </w:tc>
        <w:tc>
          <w:tcPr>
            <w:tcW w:w="1260" w:type="dxa"/>
            <w:vAlign w:val="bottom"/>
            <w:vMerge w:val="restart"/>
          </w:tcPr>
          <w:p>
            <w:pPr>
              <w:ind w:left="200"/>
              <w:spacing w:after="0" w:line="148" w:lineRule="exact"/>
              <w:rPr>
                <w:sz w:val="20"/>
                <w:szCs w:val="20"/>
                <w:color w:val="auto"/>
              </w:rPr>
            </w:pPr>
            <w:r>
              <w:rPr>
                <w:rFonts w:ascii="Arial" w:cs="Arial" w:eastAsia="Arial" w:hAnsi="Arial"/>
                <w:sz w:val="16"/>
                <w:szCs w:val="16"/>
                <w:color w:val="auto"/>
              </w:rPr>
              <w:t>Level 3</w:t>
            </w:r>
          </w:p>
        </w:tc>
        <w:tc>
          <w:tcPr>
            <w:tcW w:w="780" w:type="dxa"/>
            <w:vAlign w:val="bottom"/>
          </w:tcPr>
          <w:p>
            <w:pPr>
              <w:spacing w:after="0"/>
              <w:rPr>
                <w:sz w:val="8"/>
                <w:szCs w:val="8"/>
                <w:color w:val="auto"/>
              </w:rPr>
            </w:pPr>
          </w:p>
        </w:tc>
        <w:tc>
          <w:tcPr>
            <w:tcW w:w="1000" w:type="dxa"/>
            <w:vAlign w:val="bottom"/>
          </w:tcPr>
          <w:p>
            <w:pPr>
              <w:jc w:val="center"/>
              <w:ind w:right="526"/>
              <w:spacing w:after="0" w:line="95" w:lineRule="exact"/>
              <w:rPr>
                <w:sz w:val="20"/>
                <w:szCs w:val="20"/>
                <w:color w:val="auto"/>
              </w:rPr>
            </w:pPr>
            <w:r>
              <w:rPr>
                <w:rFonts w:ascii="Arial" w:cs="Arial" w:eastAsia="Arial" w:hAnsi="Arial"/>
                <w:sz w:val="9"/>
                <w:szCs w:val="9"/>
                <w:color w:val="auto"/>
              </w:rPr>
              <w:t>(a)</w:t>
            </w:r>
          </w:p>
        </w:tc>
        <w:tc>
          <w:tcPr>
            <w:tcW w:w="340" w:type="dxa"/>
            <w:vAlign w:val="bottom"/>
          </w:tcPr>
          <w:p>
            <w:pPr>
              <w:spacing w:after="0"/>
              <w:rPr>
                <w:sz w:val="8"/>
                <w:szCs w:val="8"/>
                <w:color w:val="auto"/>
              </w:rPr>
            </w:pPr>
          </w:p>
        </w:tc>
        <w:tc>
          <w:tcPr>
            <w:tcW w:w="1080" w:type="dxa"/>
            <w:vAlign w:val="bottom"/>
            <w:vMerge w:val="restart"/>
          </w:tcPr>
          <w:p>
            <w:pPr>
              <w:jc w:val="right"/>
              <w:ind w:right="459"/>
              <w:spacing w:after="0" w:line="14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54"/>
        </w:trPr>
        <w:tc>
          <w:tcPr>
            <w:tcW w:w="3840" w:type="dxa"/>
            <w:vAlign w:val="bottom"/>
            <w:tcBorders>
              <w:bottom w:val="single" w:sz="8" w:color="CEFEE7"/>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EFEE7"/>
          </w:tcPr>
          <w:p>
            <w:pPr>
              <w:spacing w:after="0"/>
              <w:rPr>
                <w:sz w:val="20"/>
                <w:szCs w:val="20"/>
                <w:color w:val="auto"/>
              </w:rPr>
            </w:pPr>
            <w:r>
              <w:rPr>
                <w:rFonts w:ascii="Arial" w:cs="Arial" w:eastAsia="Arial" w:hAnsi="Arial"/>
                <w:sz w:val="16"/>
                <w:szCs w:val="16"/>
                <w:color w:val="auto"/>
              </w:rPr>
              <w:t>Assets:</w:t>
            </w:r>
          </w:p>
        </w:tc>
        <w:tc>
          <w:tcPr>
            <w:tcW w:w="860" w:type="dxa"/>
            <w:vAlign w:val="bottom"/>
            <w:shd w:val="clear" w:color="auto" w:fill="CEFEE7"/>
          </w:tcPr>
          <w:p>
            <w:pPr>
              <w:spacing w:after="0"/>
              <w:rPr>
                <w:sz w:val="17"/>
                <w:szCs w:val="17"/>
                <w:color w:val="auto"/>
              </w:rPr>
            </w:pPr>
          </w:p>
        </w:tc>
        <w:tc>
          <w:tcPr>
            <w:tcW w:w="480" w:type="dxa"/>
            <w:vAlign w:val="bottom"/>
            <w:shd w:val="clear" w:color="auto" w:fill="CEFEE7"/>
          </w:tcPr>
          <w:p>
            <w:pPr>
              <w:spacing w:after="0"/>
              <w:rPr>
                <w:sz w:val="17"/>
                <w:szCs w:val="17"/>
                <w:color w:val="auto"/>
              </w:rPr>
            </w:pPr>
          </w:p>
        </w:tc>
        <w:tc>
          <w:tcPr>
            <w:tcW w:w="920" w:type="dxa"/>
            <w:vAlign w:val="bottom"/>
            <w:shd w:val="clear" w:color="auto" w:fill="CEFEE7"/>
          </w:tcPr>
          <w:p>
            <w:pPr>
              <w:spacing w:after="0"/>
              <w:rPr>
                <w:sz w:val="17"/>
                <w:szCs w:val="17"/>
                <w:color w:val="auto"/>
              </w:rPr>
            </w:pPr>
          </w:p>
        </w:tc>
        <w:tc>
          <w:tcPr>
            <w:tcW w:w="220" w:type="dxa"/>
            <w:vAlign w:val="bottom"/>
            <w:shd w:val="clear" w:color="auto" w:fill="CEFEE7"/>
          </w:tcPr>
          <w:p>
            <w:pPr>
              <w:spacing w:after="0"/>
              <w:rPr>
                <w:sz w:val="17"/>
                <w:szCs w:val="17"/>
                <w:color w:val="auto"/>
              </w:rPr>
            </w:pPr>
          </w:p>
        </w:tc>
        <w:tc>
          <w:tcPr>
            <w:tcW w:w="1260" w:type="dxa"/>
            <w:vAlign w:val="bottom"/>
            <w:shd w:val="clear" w:color="auto" w:fill="CEFEE7"/>
          </w:tcPr>
          <w:p>
            <w:pPr>
              <w:spacing w:after="0"/>
              <w:rPr>
                <w:sz w:val="17"/>
                <w:szCs w:val="17"/>
                <w:color w:val="auto"/>
              </w:rPr>
            </w:pPr>
          </w:p>
        </w:tc>
        <w:tc>
          <w:tcPr>
            <w:tcW w:w="780" w:type="dxa"/>
            <w:vAlign w:val="bottom"/>
            <w:shd w:val="clear" w:color="auto" w:fill="CEFEE7"/>
          </w:tcPr>
          <w:p>
            <w:pPr>
              <w:spacing w:after="0"/>
              <w:rPr>
                <w:sz w:val="17"/>
                <w:szCs w:val="17"/>
                <w:color w:val="auto"/>
              </w:rPr>
            </w:pPr>
          </w:p>
        </w:tc>
        <w:tc>
          <w:tcPr>
            <w:tcW w:w="1000" w:type="dxa"/>
            <w:vAlign w:val="bottom"/>
            <w:shd w:val="clear" w:color="auto" w:fill="CEFEE7"/>
          </w:tcPr>
          <w:p>
            <w:pPr>
              <w:spacing w:after="0"/>
              <w:rPr>
                <w:sz w:val="17"/>
                <w:szCs w:val="17"/>
                <w:color w:val="auto"/>
              </w:rPr>
            </w:pPr>
          </w:p>
        </w:tc>
        <w:tc>
          <w:tcPr>
            <w:tcW w:w="340" w:type="dxa"/>
            <w:vAlign w:val="bottom"/>
            <w:shd w:val="clear" w:color="auto" w:fill="CEFEE7"/>
          </w:tcPr>
          <w:p>
            <w:pPr>
              <w:spacing w:after="0"/>
              <w:rPr>
                <w:sz w:val="17"/>
                <w:szCs w:val="17"/>
                <w:color w:val="auto"/>
              </w:rPr>
            </w:pPr>
          </w:p>
        </w:tc>
        <w:tc>
          <w:tcPr>
            <w:tcW w:w="1080" w:type="dxa"/>
            <w:vAlign w:val="bottom"/>
            <w:shd w:val="clear" w:color="auto" w:fill="CEFEE7"/>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Borders>
              <w:bottom w:val="single" w:sz="8" w:color="CEFEE7"/>
            </w:tcBorders>
          </w:tcPr>
          <w:p>
            <w:pPr>
              <w:ind w:left="140"/>
              <w:spacing w:after="0"/>
              <w:rPr>
                <w:sz w:val="20"/>
                <w:szCs w:val="20"/>
                <w:color w:val="auto"/>
              </w:rPr>
            </w:pPr>
            <w:r>
              <w:rPr>
                <w:rFonts w:ascii="Arial" w:cs="Arial" w:eastAsia="Arial" w:hAnsi="Arial"/>
                <w:sz w:val="16"/>
                <w:szCs w:val="16"/>
                <w:color w:val="auto"/>
              </w:rPr>
              <w:t>Commodity derivatives - Gas Utilities</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8"/>
        </w:trPr>
        <w:tc>
          <w:tcPr>
            <w:tcW w:w="3840" w:type="dxa"/>
            <w:vAlign w:val="bottom"/>
            <w:tcBorders>
              <w:bottom w:val="single" w:sz="8" w:color="CEFEE7"/>
            </w:tcBorders>
            <w:shd w:val="clear" w:color="auto" w:fill="CEFEE7"/>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EFEE7"/>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EFEE7"/>
          </w:tcPr>
          <w:p>
            <w:pPr>
              <w:ind w:left="2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1,433</w:t>
            </w:r>
          </w:p>
        </w:tc>
        <w:tc>
          <w:tcPr>
            <w:tcW w:w="2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EFEE7"/>
          </w:tcPr>
          <w:p>
            <w:pPr>
              <w:jc w:val="center"/>
              <w:ind w:left="5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EE7"/>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(1,085)</w:t>
            </w:r>
          </w:p>
        </w:tc>
        <w:tc>
          <w:tcPr>
            <w:tcW w:w="340" w:type="dxa"/>
            <w:vAlign w:val="bottom"/>
            <w:tcBorders>
              <w:bottom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
        </w:trPr>
        <w:tc>
          <w:tcPr>
            <w:tcW w:w="3840" w:type="dxa"/>
            <w:vAlign w:val="bottom"/>
            <w:tcBorders>
              <w:top w:val="single" w:sz="8" w:color="CEFEE7"/>
            </w:tcBorders>
          </w:tcPr>
          <w:p>
            <w:pPr>
              <w:spacing w:after="0" w:line="20" w:lineRule="exact"/>
              <w:rPr>
                <w:sz w:val="1"/>
                <w:szCs w:val="1"/>
                <w:color w:val="auto"/>
              </w:rPr>
            </w:pPr>
          </w:p>
        </w:tc>
        <w:tc>
          <w:tcPr>
            <w:tcW w:w="860" w:type="dxa"/>
            <w:vAlign w:val="bottom"/>
            <w:tcBorders>
              <w:top w:val="single" w:sz="8" w:color="CEFEE7"/>
              <w:bottom w:val="single" w:sz="8" w:color="auto"/>
            </w:tcBorders>
          </w:tcPr>
          <w:p>
            <w:pPr>
              <w:spacing w:after="0" w:line="20" w:lineRule="exact"/>
              <w:rPr>
                <w:sz w:val="1"/>
                <w:szCs w:val="1"/>
                <w:color w:val="auto"/>
              </w:rPr>
            </w:pPr>
          </w:p>
        </w:tc>
        <w:tc>
          <w:tcPr>
            <w:tcW w:w="480" w:type="dxa"/>
            <w:vAlign w:val="bottom"/>
            <w:tcBorders>
              <w:top w:val="single" w:sz="8" w:color="CEFEE7"/>
              <w:bottom w:val="single" w:sz="8" w:color="auto"/>
            </w:tcBorders>
          </w:tcPr>
          <w:p>
            <w:pPr>
              <w:spacing w:after="0" w:line="20" w:lineRule="exact"/>
              <w:rPr>
                <w:sz w:val="1"/>
                <w:szCs w:val="1"/>
                <w:color w:val="auto"/>
              </w:rPr>
            </w:pPr>
          </w:p>
        </w:tc>
        <w:tc>
          <w:tcPr>
            <w:tcW w:w="920" w:type="dxa"/>
            <w:vAlign w:val="bottom"/>
            <w:tcBorders>
              <w:top w:val="single" w:sz="8" w:color="CEFEE7"/>
              <w:bottom w:val="single" w:sz="8" w:color="auto"/>
            </w:tcBorders>
          </w:tcPr>
          <w:p>
            <w:pPr>
              <w:spacing w:after="0" w:line="20" w:lineRule="exact"/>
              <w:rPr>
                <w:sz w:val="1"/>
                <w:szCs w:val="1"/>
                <w:color w:val="auto"/>
              </w:rPr>
            </w:pPr>
          </w:p>
        </w:tc>
        <w:tc>
          <w:tcPr>
            <w:tcW w:w="220" w:type="dxa"/>
            <w:vAlign w:val="bottom"/>
            <w:tcBorders>
              <w:top w:val="single" w:sz="8" w:color="CEFEE7"/>
              <w:bottom w:val="single" w:sz="8" w:color="auto"/>
            </w:tcBorders>
          </w:tcPr>
          <w:p>
            <w:pPr>
              <w:spacing w:after="0" w:line="20" w:lineRule="exact"/>
              <w:rPr>
                <w:sz w:val="1"/>
                <w:szCs w:val="1"/>
                <w:color w:val="auto"/>
              </w:rPr>
            </w:pPr>
          </w:p>
        </w:tc>
        <w:tc>
          <w:tcPr>
            <w:tcW w:w="1260" w:type="dxa"/>
            <w:vAlign w:val="bottom"/>
            <w:tcBorders>
              <w:top w:val="single" w:sz="8" w:color="CEFEE7"/>
              <w:bottom w:val="single" w:sz="8" w:color="auto"/>
            </w:tcBorders>
          </w:tcPr>
          <w:p>
            <w:pPr>
              <w:spacing w:after="0" w:line="20" w:lineRule="exact"/>
              <w:rPr>
                <w:sz w:val="1"/>
                <w:szCs w:val="1"/>
                <w:color w:val="auto"/>
              </w:rPr>
            </w:pPr>
          </w:p>
        </w:tc>
        <w:tc>
          <w:tcPr>
            <w:tcW w:w="780" w:type="dxa"/>
            <w:vAlign w:val="bottom"/>
            <w:tcBorders>
              <w:top w:val="single" w:sz="8" w:color="CEFEE7"/>
              <w:bottom w:val="single" w:sz="8" w:color="auto"/>
            </w:tcBorders>
          </w:tcPr>
          <w:p>
            <w:pPr>
              <w:spacing w:after="0" w:line="20" w:lineRule="exact"/>
              <w:rPr>
                <w:sz w:val="1"/>
                <w:szCs w:val="1"/>
                <w:color w:val="auto"/>
              </w:rPr>
            </w:pPr>
          </w:p>
        </w:tc>
        <w:tc>
          <w:tcPr>
            <w:tcW w:w="1000" w:type="dxa"/>
            <w:vAlign w:val="bottom"/>
            <w:tcBorders>
              <w:top w:val="single" w:sz="8" w:color="CEFEE7"/>
              <w:bottom w:val="single" w:sz="8" w:color="auto"/>
            </w:tcBorders>
          </w:tcPr>
          <w:p>
            <w:pPr>
              <w:spacing w:after="0" w:line="20" w:lineRule="exact"/>
              <w:rPr>
                <w:sz w:val="1"/>
                <w:szCs w:val="1"/>
                <w:color w:val="auto"/>
              </w:rPr>
            </w:pPr>
          </w:p>
        </w:tc>
        <w:tc>
          <w:tcPr>
            <w:tcW w:w="340" w:type="dxa"/>
            <w:vAlign w:val="bottom"/>
            <w:tcBorders>
              <w:top w:val="single" w:sz="8" w:color="CEFEE7"/>
              <w:bottom w:val="single" w:sz="8" w:color="auto"/>
            </w:tcBorders>
          </w:tcPr>
          <w:p>
            <w:pPr>
              <w:spacing w:after="0" w:line="20" w:lineRule="exact"/>
              <w:rPr>
                <w:sz w:val="1"/>
                <w:szCs w:val="1"/>
                <w:color w:val="auto"/>
              </w:rPr>
            </w:pPr>
          </w:p>
        </w:tc>
        <w:tc>
          <w:tcPr>
            <w:tcW w:w="1080" w:type="dxa"/>
            <w:vAlign w:val="bottom"/>
            <w:tcBorders>
              <w:top w:val="single" w:sz="8" w:color="CEFE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EFEE7"/>
          </w:tcPr>
          <w:p>
            <w:pPr>
              <w:spacing w:after="0"/>
              <w:rPr>
                <w:sz w:val="20"/>
                <w:szCs w:val="20"/>
                <w:color w:val="auto"/>
              </w:rPr>
            </w:pPr>
            <w:r>
              <w:rPr>
                <w:rFonts w:ascii="Arial" w:cs="Arial" w:eastAsia="Arial" w:hAnsi="Arial"/>
                <w:sz w:val="16"/>
                <w:szCs w:val="16"/>
                <w:color w:val="auto"/>
              </w:rPr>
              <w:t>Liabilities:</w:t>
            </w:r>
          </w:p>
        </w:tc>
        <w:tc>
          <w:tcPr>
            <w:tcW w:w="860" w:type="dxa"/>
            <w:vAlign w:val="bottom"/>
            <w:shd w:val="clear" w:color="auto" w:fill="CEFEE7"/>
          </w:tcPr>
          <w:p>
            <w:pPr>
              <w:spacing w:after="0"/>
              <w:rPr>
                <w:sz w:val="18"/>
                <w:szCs w:val="18"/>
                <w:color w:val="auto"/>
              </w:rPr>
            </w:pPr>
          </w:p>
        </w:tc>
        <w:tc>
          <w:tcPr>
            <w:tcW w:w="480" w:type="dxa"/>
            <w:vAlign w:val="bottom"/>
            <w:shd w:val="clear" w:color="auto" w:fill="CEFEE7"/>
          </w:tcPr>
          <w:p>
            <w:pPr>
              <w:spacing w:after="0"/>
              <w:rPr>
                <w:sz w:val="18"/>
                <w:szCs w:val="18"/>
                <w:color w:val="auto"/>
              </w:rPr>
            </w:pPr>
          </w:p>
        </w:tc>
        <w:tc>
          <w:tcPr>
            <w:tcW w:w="920" w:type="dxa"/>
            <w:vAlign w:val="bottom"/>
            <w:shd w:val="clear" w:color="auto" w:fill="CEFEE7"/>
          </w:tcPr>
          <w:p>
            <w:pPr>
              <w:spacing w:after="0"/>
              <w:rPr>
                <w:sz w:val="18"/>
                <w:szCs w:val="18"/>
                <w:color w:val="auto"/>
              </w:rPr>
            </w:pPr>
          </w:p>
        </w:tc>
        <w:tc>
          <w:tcPr>
            <w:tcW w:w="220" w:type="dxa"/>
            <w:vAlign w:val="bottom"/>
            <w:shd w:val="clear" w:color="auto" w:fill="CEFEE7"/>
          </w:tcPr>
          <w:p>
            <w:pPr>
              <w:spacing w:after="0"/>
              <w:rPr>
                <w:sz w:val="18"/>
                <w:szCs w:val="18"/>
                <w:color w:val="auto"/>
              </w:rPr>
            </w:pPr>
          </w:p>
        </w:tc>
        <w:tc>
          <w:tcPr>
            <w:tcW w:w="1260" w:type="dxa"/>
            <w:vAlign w:val="bottom"/>
            <w:shd w:val="clear" w:color="auto" w:fill="CEFEE7"/>
          </w:tcPr>
          <w:p>
            <w:pPr>
              <w:spacing w:after="0"/>
              <w:rPr>
                <w:sz w:val="18"/>
                <w:szCs w:val="18"/>
                <w:color w:val="auto"/>
              </w:rPr>
            </w:pPr>
          </w:p>
        </w:tc>
        <w:tc>
          <w:tcPr>
            <w:tcW w:w="780" w:type="dxa"/>
            <w:vAlign w:val="bottom"/>
            <w:shd w:val="clear" w:color="auto" w:fill="CEFEE7"/>
          </w:tcPr>
          <w:p>
            <w:pPr>
              <w:spacing w:after="0"/>
              <w:rPr>
                <w:sz w:val="18"/>
                <w:szCs w:val="18"/>
                <w:color w:val="auto"/>
              </w:rPr>
            </w:pPr>
          </w:p>
        </w:tc>
        <w:tc>
          <w:tcPr>
            <w:tcW w:w="1000" w:type="dxa"/>
            <w:vAlign w:val="bottom"/>
            <w:shd w:val="clear" w:color="auto" w:fill="CEFEE7"/>
          </w:tcPr>
          <w:p>
            <w:pPr>
              <w:spacing w:after="0"/>
              <w:rPr>
                <w:sz w:val="18"/>
                <w:szCs w:val="18"/>
                <w:color w:val="auto"/>
              </w:rPr>
            </w:pPr>
          </w:p>
        </w:tc>
        <w:tc>
          <w:tcPr>
            <w:tcW w:w="340" w:type="dxa"/>
            <w:vAlign w:val="bottom"/>
            <w:shd w:val="clear" w:color="auto" w:fill="CEFEE7"/>
          </w:tcPr>
          <w:p>
            <w:pPr>
              <w:spacing w:after="0"/>
              <w:rPr>
                <w:sz w:val="18"/>
                <w:szCs w:val="18"/>
                <w:color w:val="auto"/>
              </w:rPr>
            </w:pPr>
          </w:p>
        </w:tc>
        <w:tc>
          <w:tcPr>
            <w:tcW w:w="1080" w:type="dxa"/>
            <w:vAlign w:val="bottom"/>
            <w:shd w:val="clear" w:color="auto" w:fill="CEFE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Borders>
              <w:bottom w:val="single" w:sz="8" w:color="CEFEE7"/>
            </w:tcBorders>
          </w:tcPr>
          <w:p>
            <w:pPr>
              <w:ind w:left="140"/>
              <w:spacing w:after="0"/>
              <w:rPr>
                <w:sz w:val="20"/>
                <w:szCs w:val="20"/>
                <w:color w:val="auto"/>
              </w:rPr>
            </w:pPr>
            <w:r>
              <w:rPr>
                <w:rFonts w:ascii="Arial" w:cs="Arial" w:eastAsia="Arial" w:hAnsi="Arial"/>
                <w:sz w:val="16"/>
                <w:szCs w:val="16"/>
                <w:color w:val="auto"/>
              </w:rPr>
              <w:t>Commodity derivatives - Gas Utilities</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38"/>
        </w:trPr>
        <w:tc>
          <w:tcPr>
            <w:tcW w:w="3840" w:type="dxa"/>
            <w:vAlign w:val="bottom"/>
            <w:tcBorders>
              <w:bottom w:val="single" w:sz="8" w:color="CEFEE7"/>
            </w:tcBorders>
            <w:shd w:val="clear" w:color="auto" w:fill="CEFEE7"/>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EFEE7"/>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EFEE7"/>
          </w:tcPr>
          <w:p>
            <w:pPr>
              <w:ind w:left="2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5,254</w:t>
            </w:r>
          </w:p>
        </w:tc>
        <w:tc>
          <w:tcPr>
            <w:tcW w:w="2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EFEE7"/>
          </w:tcPr>
          <w:p>
            <w:pPr>
              <w:jc w:val="center"/>
              <w:ind w:left="5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EE7"/>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(2,909)</w:t>
            </w:r>
          </w:p>
        </w:tc>
        <w:tc>
          <w:tcPr>
            <w:tcW w:w="340" w:type="dxa"/>
            <w:vAlign w:val="bottom"/>
            <w:tcBorders>
              <w:bottom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0"/>
        </w:trPr>
        <w:tc>
          <w:tcPr>
            <w:tcW w:w="3840" w:type="dxa"/>
            <w:vAlign w:val="bottom"/>
            <w:tcBorders>
              <w:top w:val="single" w:sz="8" w:color="CEFEE7"/>
            </w:tcBorders>
          </w:tcPr>
          <w:p>
            <w:pPr>
              <w:spacing w:after="0" w:line="20" w:lineRule="exact"/>
              <w:rPr>
                <w:sz w:val="1"/>
                <w:szCs w:val="1"/>
                <w:color w:val="auto"/>
              </w:rPr>
            </w:pPr>
          </w:p>
        </w:tc>
        <w:tc>
          <w:tcPr>
            <w:tcW w:w="860" w:type="dxa"/>
            <w:vAlign w:val="bottom"/>
            <w:tcBorders>
              <w:top w:val="single" w:sz="8" w:color="CEFEE7"/>
              <w:bottom w:val="single" w:sz="8" w:color="auto"/>
            </w:tcBorders>
          </w:tcPr>
          <w:p>
            <w:pPr>
              <w:spacing w:after="0" w:line="20" w:lineRule="exact"/>
              <w:rPr>
                <w:sz w:val="1"/>
                <w:szCs w:val="1"/>
                <w:color w:val="auto"/>
              </w:rPr>
            </w:pPr>
          </w:p>
        </w:tc>
        <w:tc>
          <w:tcPr>
            <w:tcW w:w="480" w:type="dxa"/>
            <w:vAlign w:val="bottom"/>
            <w:tcBorders>
              <w:top w:val="single" w:sz="8" w:color="CEFEE7"/>
              <w:bottom w:val="single" w:sz="8" w:color="auto"/>
            </w:tcBorders>
          </w:tcPr>
          <w:p>
            <w:pPr>
              <w:spacing w:after="0" w:line="20" w:lineRule="exact"/>
              <w:rPr>
                <w:sz w:val="1"/>
                <w:szCs w:val="1"/>
                <w:color w:val="auto"/>
              </w:rPr>
            </w:pPr>
          </w:p>
        </w:tc>
        <w:tc>
          <w:tcPr>
            <w:tcW w:w="920" w:type="dxa"/>
            <w:vAlign w:val="bottom"/>
            <w:tcBorders>
              <w:top w:val="single" w:sz="8" w:color="CEFEE7"/>
              <w:bottom w:val="single" w:sz="8" w:color="auto"/>
            </w:tcBorders>
          </w:tcPr>
          <w:p>
            <w:pPr>
              <w:spacing w:after="0" w:line="20" w:lineRule="exact"/>
              <w:rPr>
                <w:sz w:val="1"/>
                <w:szCs w:val="1"/>
                <w:color w:val="auto"/>
              </w:rPr>
            </w:pPr>
          </w:p>
        </w:tc>
        <w:tc>
          <w:tcPr>
            <w:tcW w:w="220" w:type="dxa"/>
            <w:vAlign w:val="bottom"/>
            <w:tcBorders>
              <w:top w:val="single" w:sz="8" w:color="CEFEE7"/>
              <w:bottom w:val="single" w:sz="8" w:color="auto"/>
            </w:tcBorders>
          </w:tcPr>
          <w:p>
            <w:pPr>
              <w:spacing w:after="0" w:line="20" w:lineRule="exact"/>
              <w:rPr>
                <w:sz w:val="1"/>
                <w:szCs w:val="1"/>
                <w:color w:val="auto"/>
              </w:rPr>
            </w:pPr>
          </w:p>
        </w:tc>
        <w:tc>
          <w:tcPr>
            <w:tcW w:w="1260" w:type="dxa"/>
            <w:vAlign w:val="bottom"/>
            <w:tcBorders>
              <w:top w:val="single" w:sz="8" w:color="CEFEE7"/>
              <w:bottom w:val="single" w:sz="8" w:color="auto"/>
            </w:tcBorders>
          </w:tcPr>
          <w:p>
            <w:pPr>
              <w:spacing w:after="0" w:line="20" w:lineRule="exact"/>
              <w:rPr>
                <w:sz w:val="1"/>
                <w:szCs w:val="1"/>
                <w:color w:val="auto"/>
              </w:rPr>
            </w:pPr>
          </w:p>
        </w:tc>
        <w:tc>
          <w:tcPr>
            <w:tcW w:w="780" w:type="dxa"/>
            <w:vAlign w:val="bottom"/>
            <w:tcBorders>
              <w:top w:val="single" w:sz="8" w:color="CEFEE7"/>
              <w:bottom w:val="single" w:sz="8" w:color="auto"/>
            </w:tcBorders>
          </w:tcPr>
          <w:p>
            <w:pPr>
              <w:spacing w:after="0" w:line="20" w:lineRule="exact"/>
              <w:rPr>
                <w:sz w:val="1"/>
                <w:szCs w:val="1"/>
                <w:color w:val="auto"/>
              </w:rPr>
            </w:pPr>
          </w:p>
        </w:tc>
        <w:tc>
          <w:tcPr>
            <w:tcW w:w="1000" w:type="dxa"/>
            <w:vAlign w:val="bottom"/>
            <w:tcBorders>
              <w:top w:val="single" w:sz="8" w:color="CEFEE7"/>
              <w:bottom w:val="single" w:sz="8" w:color="auto"/>
            </w:tcBorders>
          </w:tcPr>
          <w:p>
            <w:pPr>
              <w:spacing w:after="0" w:line="20" w:lineRule="exact"/>
              <w:rPr>
                <w:sz w:val="1"/>
                <w:szCs w:val="1"/>
                <w:color w:val="auto"/>
              </w:rPr>
            </w:pPr>
          </w:p>
        </w:tc>
        <w:tc>
          <w:tcPr>
            <w:tcW w:w="340" w:type="dxa"/>
            <w:vAlign w:val="bottom"/>
            <w:tcBorders>
              <w:top w:val="single" w:sz="8" w:color="CEFEE7"/>
              <w:bottom w:val="single" w:sz="8" w:color="auto"/>
            </w:tcBorders>
          </w:tcPr>
          <w:p>
            <w:pPr>
              <w:spacing w:after="0" w:line="20" w:lineRule="exact"/>
              <w:rPr>
                <w:sz w:val="1"/>
                <w:szCs w:val="1"/>
                <w:color w:val="auto"/>
              </w:rPr>
            </w:pPr>
          </w:p>
        </w:tc>
        <w:tc>
          <w:tcPr>
            <w:tcW w:w="1080" w:type="dxa"/>
            <w:vAlign w:val="bottom"/>
            <w:tcBorders>
              <w:top w:val="single" w:sz="8" w:color="CEFE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left="340" w:right="580" w:hanging="332"/>
        <w:spacing w:after="0" w:line="258" w:lineRule="auto"/>
        <w:tabs>
          <w:tab w:leader="none" w:pos="344" w:val="left"/>
        </w:tabs>
        <w:numPr>
          <w:ilvl w:val="0"/>
          <w:numId w:val="78"/>
        </w:numPr>
        <w:rPr>
          <w:rFonts w:ascii="Arial" w:cs="Arial" w:eastAsia="Arial" w:hAnsi="Arial"/>
          <w:sz w:val="14"/>
          <w:szCs w:val="14"/>
          <w:color w:val="auto"/>
        </w:rPr>
      </w:pPr>
      <w:r>
        <w:rPr>
          <w:rFonts w:ascii="Arial" w:cs="Arial" w:eastAsia="Arial" w:hAnsi="Arial"/>
          <w:sz w:val="14"/>
          <w:szCs w:val="14"/>
          <w:color w:val="auto"/>
        </w:rPr>
        <w:t>As of December 31, 2019, $1.1 million of our commodity derivative assets and $2.9 million of our commodity derivative liabilities, as well as related gross collateral amounts, were subject to master netting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264"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 discussion of the fair value of our Pension and Postretirement Plan assets is included in </w:t>
      </w:r>
      <w:hyperlink w:anchor="page108">
        <w:r>
          <w:rPr>
            <w:rFonts w:ascii="Arial" w:cs="Arial" w:eastAsia="Arial" w:hAnsi="Arial"/>
            <w:sz w:val="16"/>
            <w:szCs w:val="16"/>
            <w:u w:val="single" w:color="auto"/>
            <w:color w:val="0000FF"/>
          </w:rPr>
          <w:t>Note 15</w:t>
        </w:r>
      </w:hyperlink>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Nonrecurring Fair Value Measurement</w:t>
      </w:r>
    </w:p>
    <w:p>
      <w:pPr>
        <w:spacing w:after="0" w:line="24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 discussion of the fair value of our investment in equity securities of a privately held oil and gas company, a Level 3 asset, is included in </w:t>
      </w:r>
      <w:hyperlink w:anchor="page72">
        <w:r>
          <w:rPr>
            <w:rFonts w:ascii="Arial" w:cs="Arial" w:eastAsia="Arial" w:hAnsi="Arial"/>
            <w:sz w:val="16"/>
            <w:szCs w:val="16"/>
            <w:u w:val="single" w:color="auto"/>
            <w:color w:val="0000FF"/>
          </w:rPr>
          <w:t>Note 1</w:t>
        </w:r>
      </w:hyperlink>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Measurements</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since these borrowings are not traded on an exchange, they are classified in Level 2 in the fair value hierarchy.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2020</w:t>
            </w:r>
          </w:p>
        </w:tc>
        <w:tc>
          <w:tcPr>
            <w:tcW w:w="1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2019</w:t>
            </w:r>
          </w:p>
        </w:tc>
        <w:tc>
          <w:tcPr>
            <w:tcW w:w="1340" w:type="dxa"/>
            <w:vAlign w:val="bottom"/>
            <w:tcBorders>
              <w:bottom w:val="single" w:sz="8" w:color="auto"/>
            </w:tcBorders>
          </w:tcPr>
          <w:p>
            <w:pPr>
              <w:spacing w:after="0"/>
              <w:rPr>
                <w:sz w:val="17"/>
                <w:szCs w:val="17"/>
                <w:color w:val="auto"/>
              </w:rPr>
            </w:pPr>
          </w:p>
        </w:tc>
      </w:tr>
      <w:tr>
        <w:trPr>
          <w:trHeight w:val="210"/>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Carrying Amount</w:t>
            </w:r>
          </w:p>
        </w:tc>
        <w:tc>
          <w:tcPr>
            <w:tcW w:w="3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color w:val="auto"/>
              </w:rPr>
              <w:t>Fair Value</w:t>
            </w:r>
          </w:p>
        </w:tc>
        <w:tc>
          <w:tcPr>
            <w:tcW w:w="2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Carrying Amount</w:t>
            </w:r>
          </w:p>
        </w:tc>
        <w:tc>
          <w:tcPr>
            <w:tcW w:w="360" w:type="dxa"/>
            <w:vAlign w:val="bottom"/>
          </w:tcPr>
          <w:p>
            <w:pPr>
              <w:spacing w:after="0"/>
              <w:rPr>
                <w:sz w:val="18"/>
                <w:szCs w:val="18"/>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Fair Value</w:t>
            </w:r>
          </w:p>
        </w:tc>
      </w:tr>
      <w:tr>
        <w:trPr>
          <w:trHeight w:val="219"/>
        </w:trPr>
        <w:tc>
          <w:tcPr>
            <w:tcW w:w="458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3,536,536</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4,208,167</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3,145,839</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3,479,367</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left="340" w:right="140" w:hanging="332"/>
        <w:spacing w:after="0" w:line="258" w:lineRule="auto"/>
        <w:tabs>
          <w:tab w:leader="none" w:pos="352" w:val="left"/>
        </w:tabs>
        <w:numPr>
          <w:ilvl w:val="0"/>
          <w:numId w:val="79"/>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480" w:hanging="472"/>
        <w:spacing w:after="0"/>
        <w:tabs>
          <w:tab w:leader="none" w:pos="48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6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3"/>
          </w:tcPr>
          <w:p>
            <w:pPr>
              <w:jc w:val="right"/>
              <w:ind w:right="319"/>
              <w:spacing w:after="0"/>
              <w:rPr>
                <w:sz w:val="20"/>
                <w:szCs w:val="20"/>
                <w:color w:val="auto"/>
              </w:rPr>
            </w:pPr>
            <w:r>
              <w:rPr>
                <w:rFonts w:ascii="Arial" w:cs="Arial" w:eastAsia="Arial" w:hAnsi="Arial"/>
                <w:sz w:val="16"/>
                <w:szCs w:val="16"/>
                <w:color w:val="auto"/>
              </w:rPr>
              <w:t>Amount Reclassified from AOCI</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3320" w:type="dxa"/>
            <w:vAlign w:val="bottom"/>
          </w:tcPr>
          <w:p>
            <w:pPr>
              <w:ind w:left="100"/>
              <w:spacing w:after="0"/>
              <w:rPr>
                <w:sz w:val="20"/>
                <w:szCs w:val="20"/>
                <w:color w:val="auto"/>
              </w:rPr>
            </w:pPr>
            <w:r>
              <w:rPr>
                <w:rFonts w:ascii="Arial" w:cs="Arial" w:eastAsia="Arial" w:hAnsi="Arial"/>
                <w:sz w:val="16"/>
                <w:szCs w:val="16"/>
                <w:color w:val="auto"/>
              </w:rPr>
              <w:t>Location on the Consolidated Statements of</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Income</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2019</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color w:val="auto"/>
              </w:rPr>
              <w:t>Gains and (losses) on cash flow hedges:</w:t>
            </w: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Interest rate swaps</w:t>
            </w:r>
          </w:p>
        </w:tc>
        <w:tc>
          <w:tcPr>
            <w:tcW w:w="3320" w:type="dxa"/>
            <w:vAlign w:val="bottom"/>
            <w:shd w:val="clear" w:color="auto" w:fill="CEFFE7"/>
          </w:tcPr>
          <w:p>
            <w:pPr>
              <w:ind w:left="6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56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177"/>
        </w:trPr>
        <w:tc>
          <w:tcPr>
            <w:tcW w:w="4800" w:type="dxa"/>
            <w:vAlign w:val="bottom"/>
          </w:tcPr>
          <w:p>
            <w:pPr>
              <w:spacing w:after="0"/>
              <w:rPr>
                <w:sz w:val="15"/>
                <w:szCs w:val="15"/>
                <w:color w:val="auto"/>
              </w:rPr>
            </w:pPr>
          </w:p>
        </w:tc>
        <w:tc>
          <w:tcPr>
            <w:tcW w:w="3320" w:type="dxa"/>
            <w:vAlign w:val="bottom"/>
          </w:tcPr>
          <w:p>
            <w:pPr>
              <w:ind w:left="60"/>
              <w:spacing w:after="0" w:line="178" w:lineRule="exact"/>
              <w:rPr>
                <w:sz w:val="20"/>
                <w:szCs w:val="20"/>
                <w:color w:val="auto"/>
              </w:rPr>
            </w:pPr>
            <w:r>
              <w:rPr>
                <w:rFonts w:ascii="Arial" w:cs="Arial" w:eastAsia="Arial" w:hAnsi="Arial"/>
                <w:sz w:val="16"/>
                <w:szCs w:val="16"/>
                <w:color w:val="auto"/>
              </w:rPr>
              <w:t>Fuel, purchased power and cost of natural</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Commodity contracts</w:t>
            </w:r>
          </w:p>
        </w:tc>
        <w:tc>
          <w:tcPr>
            <w:tcW w:w="3320" w:type="dxa"/>
            <w:vAlign w:val="bottom"/>
            <w:tcBorders>
              <w:bottom w:val="single" w:sz="8" w:color="CEFFE7"/>
            </w:tcBorders>
          </w:tcPr>
          <w:p>
            <w:pPr>
              <w:ind w:left="60"/>
              <w:spacing w:after="0"/>
              <w:rPr>
                <w:sz w:val="20"/>
                <w:szCs w:val="20"/>
                <w:color w:val="auto"/>
              </w:rPr>
            </w:pPr>
            <w:r>
              <w:rPr>
                <w:rFonts w:ascii="Arial" w:cs="Arial" w:eastAsia="Arial" w:hAnsi="Arial"/>
                <w:sz w:val="16"/>
                <w:szCs w:val="16"/>
                <w:color w:val="auto"/>
              </w:rPr>
              <w:t>gas sold</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2"/>
        </w:trPr>
        <w:tc>
          <w:tcPr>
            <w:tcW w:w="4800" w:type="dxa"/>
            <w:vAlign w:val="bottom"/>
            <w:shd w:val="clear" w:color="auto" w:fill="CEFFE7"/>
          </w:tcPr>
          <w:p>
            <w:pPr>
              <w:spacing w:after="0"/>
              <w:rPr>
                <w:sz w:val="18"/>
                <w:szCs w:val="18"/>
                <w:color w:val="auto"/>
              </w:rPr>
            </w:pPr>
          </w:p>
        </w:tc>
        <w:tc>
          <w:tcPr>
            <w:tcW w:w="33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(3,452)</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Income tax</w:t>
            </w:r>
          </w:p>
        </w:tc>
        <w:tc>
          <w:tcPr>
            <w:tcW w:w="3320" w:type="dxa"/>
            <w:vAlign w:val="bottom"/>
            <w:tcBorders>
              <w:bottom w:val="single" w:sz="8" w:color="CEFFE7"/>
            </w:tcBorders>
          </w:tcPr>
          <w:p>
            <w:pPr>
              <w:ind w:left="60"/>
              <w:spacing w:after="0"/>
              <w:rPr>
                <w:sz w:val="20"/>
                <w:szCs w:val="20"/>
                <w:color w:val="auto"/>
              </w:rPr>
            </w:pPr>
            <w:r>
              <w:rPr>
                <w:rFonts w:ascii="Arial" w:cs="Arial" w:eastAsia="Arial" w:hAnsi="Arial"/>
                <w:sz w:val="16"/>
                <w:szCs w:val="16"/>
                <w:color w:val="auto"/>
              </w:rPr>
              <w:t>Income tax benefit (expense)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160"/>
        </w:trPr>
        <w:tc>
          <w:tcPr>
            <w:tcW w:w="4800" w:type="dxa"/>
            <w:vAlign w:val="bottom"/>
            <w:shd w:val="clear" w:color="auto" w:fill="CEFFE7"/>
          </w:tcPr>
          <w:p>
            <w:pPr>
              <w:ind w:left="20"/>
              <w:spacing w:after="0" w:line="161" w:lineRule="exact"/>
              <w:rPr>
                <w:sz w:val="20"/>
                <w:szCs w:val="20"/>
                <w:color w:val="auto"/>
              </w:rPr>
            </w:pPr>
            <w:r>
              <w:rPr>
                <w:rFonts w:ascii="Arial" w:cs="Arial" w:eastAsia="Arial" w:hAnsi="Arial"/>
                <w:sz w:val="16"/>
                <w:szCs w:val="16"/>
                <w:color w:val="auto"/>
              </w:rPr>
              <w:t>Total reclassification adjustments related to cash flow hedges, net</w:t>
            </w:r>
          </w:p>
        </w:tc>
        <w:tc>
          <w:tcPr>
            <w:tcW w:w="3320" w:type="dxa"/>
            <w:vAlign w:val="bottom"/>
            <w:shd w:val="clear" w:color="auto" w:fill="CEFFE7"/>
          </w:tcPr>
          <w:p>
            <w:pPr>
              <w:spacing w:after="0"/>
              <w:rPr>
                <w:sz w:val="13"/>
                <w:szCs w:val="13"/>
                <w:color w:val="auto"/>
              </w:rPr>
            </w:pPr>
          </w:p>
        </w:tc>
        <w:tc>
          <w:tcPr>
            <w:tcW w:w="26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(3,069)</w:t>
            </w:r>
          </w:p>
        </w:tc>
        <w:tc>
          <w:tcPr>
            <w:tcW w:w="560" w:type="dxa"/>
            <w:vAlign w:val="bottom"/>
            <w:vMerge w:val="restart"/>
            <w:shd w:val="clear" w:color="auto" w:fill="CEFFE7"/>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194"/>
        </w:trPr>
        <w:tc>
          <w:tcPr>
            <w:tcW w:w="4800" w:type="dxa"/>
            <w:vAlign w:val="bottom"/>
            <w:tcBorders>
              <w:bottom w:val="single" w:sz="8" w:color="CEFFE7"/>
            </w:tcBorders>
            <w:shd w:val="clear" w:color="auto" w:fill="CEFFE7"/>
          </w:tcPr>
          <w:p>
            <w:pPr>
              <w:ind w:left="20"/>
              <w:spacing w:after="0" w:line="174" w:lineRule="exact"/>
              <w:rPr>
                <w:sz w:val="20"/>
                <w:szCs w:val="20"/>
                <w:color w:val="auto"/>
              </w:rPr>
            </w:pPr>
            <w:r>
              <w:rPr>
                <w:rFonts w:ascii="Arial" w:cs="Arial" w:eastAsia="Arial" w:hAnsi="Arial"/>
                <w:sz w:val="16"/>
                <w:szCs w:val="16"/>
                <w:color w:val="auto"/>
              </w:rPr>
              <w:t>of tax</w:t>
            </w:r>
          </w:p>
        </w:tc>
        <w:tc>
          <w:tcPr>
            <w:tcW w:w="3320" w:type="dxa"/>
            <w:vAlign w:val="bottom"/>
            <w:tcBorders>
              <w:bottom w:val="single" w:sz="8" w:color="CEFFE7"/>
            </w:tcBorders>
            <w:shd w:val="clear" w:color="auto" w:fill="CEFFE7"/>
          </w:tcPr>
          <w:p>
            <w:pPr>
              <w:spacing w:after="0"/>
              <w:rPr>
                <w:sz w:val="16"/>
                <w:szCs w:val="16"/>
                <w:color w:val="auto"/>
              </w:rPr>
            </w:pPr>
          </w:p>
        </w:tc>
        <w:tc>
          <w:tcPr>
            <w:tcW w:w="260" w:type="dxa"/>
            <w:vAlign w:val="bottom"/>
            <w:tcBorders>
              <w:bottom w:val="single" w:sz="8" w:color="auto"/>
            </w:tcBorders>
            <w:vMerge w:val="continue"/>
            <w:shd w:val="clear" w:color="auto" w:fill="CEFFE7"/>
          </w:tcPr>
          <w:p>
            <w:pPr>
              <w:spacing w:after="0"/>
              <w:rPr>
                <w:sz w:val="16"/>
                <w:szCs w:val="16"/>
                <w:color w:val="auto"/>
              </w:rPr>
            </w:pPr>
          </w:p>
        </w:tc>
        <w:tc>
          <w:tcPr>
            <w:tcW w:w="1280" w:type="dxa"/>
            <w:vAlign w:val="bottom"/>
            <w:tcBorders>
              <w:bottom w:val="single" w:sz="8" w:color="auto"/>
            </w:tcBorders>
            <w:vMerge w:val="continue"/>
            <w:shd w:val="clear" w:color="auto" w:fill="CEFFE7"/>
          </w:tcPr>
          <w:p>
            <w:pPr>
              <w:spacing w:after="0"/>
              <w:rPr>
                <w:sz w:val="16"/>
                <w:szCs w:val="16"/>
                <w:color w:val="auto"/>
              </w:rPr>
            </w:pPr>
          </w:p>
        </w:tc>
        <w:tc>
          <w:tcPr>
            <w:tcW w:w="560" w:type="dxa"/>
            <w:vAlign w:val="bottom"/>
            <w:tcBorders>
              <w:bottom w:val="single" w:sz="8" w:color="auto"/>
            </w:tcBorders>
            <w:vMerge w:val="continue"/>
            <w:shd w:val="clear" w:color="auto" w:fill="CEFFE7"/>
          </w:tcPr>
          <w:p>
            <w:pPr>
              <w:spacing w:after="0"/>
              <w:rPr>
                <w:sz w:val="16"/>
                <w:szCs w:val="16"/>
                <w:color w:val="auto"/>
              </w:rPr>
            </w:pPr>
          </w:p>
        </w:tc>
        <w:tc>
          <w:tcPr>
            <w:tcW w:w="980" w:type="dxa"/>
            <w:vAlign w:val="bottom"/>
            <w:tcBorders>
              <w:bottom w:val="single" w:sz="8" w:color="auto"/>
            </w:tcBorders>
            <w:vMerge w:val="continue"/>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EFFE7"/>
            </w:tcBorders>
          </w:tcPr>
          <w:p>
            <w:pPr>
              <w:spacing w:after="0" w:line="20" w:lineRule="exact"/>
              <w:rPr>
                <w:sz w:val="1"/>
                <w:szCs w:val="1"/>
                <w:color w:val="auto"/>
              </w:rPr>
            </w:pPr>
          </w:p>
        </w:tc>
        <w:tc>
          <w:tcPr>
            <w:tcW w:w="33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33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Prior service cost</w:t>
            </w:r>
          </w:p>
        </w:tc>
        <w:tc>
          <w:tcPr>
            <w:tcW w:w="3320" w:type="dxa"/>
            <w:vAlign w:val="bottom"/>
          </w:tcPr>
          <w:p>
            <w:pPr>
              <w:ind w:left="60"/>
              <w:spacing w:after="0"/>
              <w:rPr>
                <w:sz w:val="20"/>
                <w:szCs w:val="20"/>
                <w:color w:val="auto"/>
              </w:rPr>
            </w:pPr>
            <w:r>
              <w:rPr>
                <w:rFonts w:ascii="Arial" w:cs="Arial" w:eastAsia="Arial" w:hAnsi="Arial"/>
                <w:sz w:val="16"/>
                <w:szCs w:val="16"/>
                <w:color w:val="auto"/>
              </w:rPr>
              <w:t>Operations and maintenance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103</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73"/>
        </w:trPr>
        <w:tc>
          <w:tcPr>
            <w:tcW w:w="4800" w:type="dxa"/>
            <w:vAlign w:val="bottom"/>
            <w:shd w:val="clear" w:color="auto" w:fill="CEFFE7"/>
          </w:tcPr>
          <w:p>
            <w:pPr>
              <w:spacing w:after="0"/>
              <w:rPr>
                <w:sz w:val="23"/>
                <w:szCs w:val="23"/>
                <w:color w:val="auto"/>
              </w:rPr>
            </w:pPr>
          </w:p>
        </w:tc>
        <w:tc>
          <w:tcPr>
            <w:tcW w:w="332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280" w:type="dxa"/>
            <w:vAlign w:val="bottom"/>
            <w:shd w:val="clear" w:color="auto" w:fill="CEFFE7"/>
          </w:tcPr>
          <w:p>
            <w:pPr>
              <w:spacing w:after="0"/>
              <w:rPr>
                <w:sz w:val="23"/>
                <w:szCs w:val="23"/>
                <w:color w:val="auto"/>
              </w:rPr>
            </w:pPr>
          </w:p>
        </w:tc>
        <w:tc>
          <w:tcPr>
            <w:tcW w:w="56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Actuarial gain (loss)</w:t>
            </w:r>
          </w:p>
        </w:tc>
        <w:tc>
          <w:tcPr>
            <w:tcW w:w="3320" w:type="dxa"/>
            <w:vAlign w:val="bottom"/>
            <w:tcBorders>
              <w:bottom w:val="single" w:sz="8" w:color="CEFFE7"/>
            </w:tcBorders>
          </w:tcPr>
          <w:p>
            <w:pPr>
              <w:ind w:left="60"/>
              <w:spacing w:after="0"/>
              <w:rPr>
                <w:sz w:val="20"/>
                <w:szCs w:val="20"/>
                <w:color w:val="auto"/>
              </w:rPr>
            </w:pPr>
            <w:r>
              <w:rPr>
                <w:rFonts w:ascii="Arial" w:cs="Arial" w:eastAsia="Arial" w:hAnsi="Arial"/>
                <w:sz w:val="16"/>
                <w:szCs w:val="16"/>
                <w:color w:val="auto"/>
              </w:rPr>
              <w:t>Operations and maintenance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09"/>
        </w:trPr>
        <w:tc>
          <w:tcPr>
            <w:tcW w:w="4800" w:type="dxa"/>
            <w:vAlign w:val="bottom"/>
            <w:shd w:val="clear" w:color="auto" w:fill="CEFFE7"/>
          </w:tcPr>
          <w:p>
            <w:pPr>
              <w:spacing w:after="0"/>
              <w:rPr>
                <w:sz w:val="18"/>
                <w:szCs w:val="18"/>
                <w:color w:val="auto"/>
              </w:rPr>
            </w:pPr>
          </w:p>
        </w:tc>
        <w:tc>
          <w:tcPr>
            <w:tcW w:w="3320" w:type="dxa"/>
            <w:vAlign w:val="bottom"/>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(2,284)</w:t>
            </w:r>
          </w:p>
        </w:tc>
        <w:tc>
          <w:tcPr>
            <w:tcW w:w="5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Income tax</w:t>
            </w:r>
          </w:p>
        </w:tc>
        <w:tc>
          <w:tcPr>
            <w:tcW w:w="3320" w:type="dxa"/>
            <w:vAlign w:val="bottom"/>
            <w:tcBorders>
              <w:bottom w:val="single" w:sz="8" w:color="CEFFE7"/>
            </w:tcBorders>
          </w:tcPr>
          <w:p>
            <w:pPr>
              <w:ind w:left="60"/>
              <w:spacing w:after="0"/>
              <w:rPr>
                <w:sz w:val="20"/>
                <w:szCs w:val="20"/>
                <w:color w:val="auto"/>
              </w:rPr>
            </w:pPr>
            <w:r>
              <w:rPr>
                <w:rFonts w:ascii="Arial" w:cs="Arial" w:eastAsia="Arial" w:hAnsi="Arial"/>
                <w:sz w:val="16"/>
                <w:szCs w:val="16"/>
                <w:color w:val="auto"/>
              </w:rPr>
              <w:t>Income tax benefit (expense)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160"/>
        </w:trPr>
        <w:tc>
          <w:tcPr>
            <w:tcW w:w="4800" w:type="dxa"/>
            <w:vAlign w:val="bottom"/>
            <w:shd w:val="clear" w:color="auto" w:fill="CEFFE7"/>
          </w:tcPr>
          <w:p>
            <w:pPr>
              <w:ind w:left="20"/>
              <w:spacing w:after="0" w:line="161" w:lineRule="exact"/>
              <w:rPr>
                <w:sz w:val="20"/>
                <w:szCs w:val="20"/>
                <w:color w:val="auto"/>
              </w:rPr>
            </w:pPr>
            <w:r>
              <w:rPr>
                <w:rFonts w:ascii="Arial" w:cs="Arial" w:eastAsia="Arial" w:hAnsi="Arial"/>
                <w:sz w:val="16"/>
                <w:szCs w:val="16"/>
                <w:color w:val="auto"/>
              </w:rPr>
              <w:t>Total reclassification adjustments related to defined benefit plans,</w:t>
            </w:r>
          </w:p>
        </w:tc>
        <w:tc>
          <w:tcPr>
            <w:tcW w:w="3320" w:type="dxa"/>
            <w:vAlign w:val="bottom"/>
            <w:shd w:val="clear" w:color="auto" w:fill="CEFFE7"/>
          </w:tcPr>
          <w:p>
            <w:pPr>
              <w:spacing w:after="0"/>
              <w:rPr>
                <w:sz w:val="13"/>
                <w:szCs w:val="13"/>
                <w:color w:val="auto"/>
              </w:rPr>
            </w:pPr>
          </w:p>
        </w:tc>
        <w:tc>
          <w:tcPr>
            <w:tcW w:w="26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(1,349)</w:t>
            </w:r>
          </w:p>
        </w:tc>
        <w:tc>
          <w:tcPr>
            <w:tcW w:w="560" w:type="dxa"/>
            <w:vAlign w:val="bottom"/>
            <w:vMerge w:val="restart"/>
            <w:shd w:val="clear" w:color="auto" w:fill="CEFFE7"/>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194"/>
        </w:trPr>
        <w:tc>
          <w:tcPr>
            <w:tcW w:w="4800" w:type="dxa"/>
            <w:vAlign w:val="bottom"/>
            <w:tcBorders>
              <w:bottom w:val="single" w:sz="8" w:color="CEFFE7"/>
            </w:tcBorders>
            <w:shd w:val="clear" w:color="auto" w:fill="CEFFE7"/>
          </w:tcPr>
          <w:p>
            <w:pPr>
              <w:ind w:left="20"/>
              <w:spacing w:after="0" w:line="174" w:lineRule="exact"/>
              <w:rPr>
                <w:sz w:val="20"/>
                <w:szCs w:val="20"/>
                <w:color w:val="auto"/>
              </w:rPr>
            </w:pPr>
            <w:r>
              <w:rPr>
                <w:rFonts w:ascii="Arial" w:cs="Arial" w:eastAsia="Arial" w:hAnsi="Arial"/>
                <w:sz w:val="16"/>
                <w:szCs w:val="16"/>
                <w:color w:val="auto"/>
              </w:rPr>
              <w:t>net of tax</w:t>
            </w:r>
          </w:p>
        </w:tc>
        <w:tc>
          <w:tcPr>
            <w:tcW w:w="3320" w:type="dxa"/>
            <w:vAlign w:val="bottom"/>
            <w:tcBorders>
              <w:bottom w:val="single" w:sz="8" w:color="CEFFE7"/>
            </w:tcBorders>
            <w:shd w:val="clear" w:color="auto" w:fill="CEFFE7"/>
          </w:tcPr>
          <w:p>
            <w:pPr>
              <w:spacing w:after="0"/>
              <w:rPr>
                <w:sz w:val="16"/>
                <w:szCs w:val="16"/>
                <w:color w:val="auto"/>
              </w:rPr>
            </w:pPr>
          </w:p>
        </w:tc>
        <w:tc>
          <w:tcPr>
            <w:tcW w:w="260" w:type="dxa"/>
            <w:vAlign w:val="bottom"/>
            <w:tcBorders>
              <w:bottom w:val="single" w:sz="8" w:color="auto"/>
            </w:tcBorders>
            <w:vMerge w:val="continue"/>
            <w:shd w:val="clear" w:color="auto" w:fill="CEFFE7"/>
          </w:tcPr>
          <w:p>
            <w:pPr>
              <w:spacing w:after="0"/>
              <w:rPr>
                <w:sz w:val="16"/>
                <w:szCs w:val="16"/>
                <w:color w:val="auto"/>
              </w:rPr>
            </w:pPr>
          </w:p>
        </w:tc>
        <w:tc>
          <w:tcPr>
            <w:tcW w:w="1280" w:type="dxa"/>
            <w:vAlign w:val="bottom"/>
            <w:tcBorders>
              <w:bottom w:val="single" w:sz="8" w:color="auto"/>
            </w:tcBorders>
            <w:vMerge w:val="continue"/>
            <w:shd w:val="clear" w:color="auto" w:fill="CEFFE7"/>
          </w:tcPr>
          <w:p>
            <w:pPr>
              <w:spacing w:after="0"/>
              <w:rPr>
                <w:sz w:val="16"/>
                <w:szCs w:val="16"/>
                <w:color w:val="auto"/>
              </w:rPr>
            </w:pPr>
          </w:p>
        </w:tc>
        <w:tc>
          <w:tcPr>
            <w:tcW w:w="560" w:type="dxa"/>
            <w:vAlign w:val="bottom"/>
            <w:tcBorders>
              <w:bottom w:val="single" w:sz="8" w:color="auto"/>
            </w:tcBorders>
            <w:vMerge w:val="continue"/>
            <w:shd w:val="clear" w:color="auto" w:fill="CEFFE7"/>
          </w:tcPr>
          <w:p>
            <w:pPr>
              <w:spacing w:after="0"/>
              <w:rPr>
                <w:sz w:val="16"/>
                <w:szCs w:val="16"/>
                <w:color w:val="auto"/>
              </w:rPr>
            </w:pPr>
          </w:p>
        </w:tc>
        <w:tc>
          <w:tcPr>
            <w:tcW w:w="980" w:type="dxa"/>
            <w:vAlign w:val="bottom"/>
            <w:tcBorders>
              <w:bottom w:val="single" w:sz="8" w:color="auto"/>
            </w:tcBorders>
            <w:vMerge w:val="continue"/>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EFFE7"/>
            </w:tcBorders>
          </w:tcPr>
          <w:p>
            <w:pPr>
              <w:spacing w:after="0" w:line="20" w:lineRule="exact"/>
              <w:rPr>
                <w:sz w:val="1"/>
                <w:szCs w:val="1"/>
                <w:color w:val="auto"/>
              </w:rPr>
            </w:pPr>
          </w:p>
        </w:tc>
        <w:tc>
          <w:tcPr>
            <w:tcW w:w="33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tcBorders>
              <w:bottom w:val="single" w:sz="8" w:color="CEFFE7"/>
            </w:tcBorders>
          </w:tcPr>
          <w:p>
            <w:pPr>
              <w:spacing w:after="0"/>
              <w:rPr>
                <w:sz w:val="18"/>
                <w:szCs w:val="18"/>
                <w:color w:val="auto"/>
              </w:rPr>
            </w:pPr>
          </w:p>
        </w:tc>
        <w:tc>
          <w:tcPr>
            <w:tcW w:w="332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reclassifications</w:t>
            </w:r>
          </w:p>
        </w:tc>
        <w:tc>
          <w:tcPr>
            <w:tcW w:w="3320" w:type="dxa"/>
            <w:vAlign w:val="bottom"/>
            <w:tcBorders>
              <w:bottom w:val="single" w:sz="8" w:color="CEFFE7"/>
            </w:tcBorders>
            <w:shd w:val="clear" w:color="auto" w:fill="CEFFE7"/>
          </w:tcPr>
          <w:p>
            <w:pPr>
              <w:spacing w:after="0"/>
              <w:rPr>
                <w:sz w:val="19"/>
                <w:szCs w:val="19"/>
                <w:color w:val="auto"/>
              </w:rPr>
            </w:pP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(4,418)</w:t>
            </w:r>
          </w:p>
        </w:tc>
        <w:tc>
          <w:tcPr>
            <w:tcW w:w="560" w:type="dxa"/>
            <w:vAlign w:val="bottom"/>
            <w:tcBorders>
              <w:bottom w:val="single" w:sz="8" w:color="auto"/>
            </w:tcBorders>
            <w:shd w:val="clear" w:color="auto" w:fill="CEFFE7"/>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0"/>
        </w:trPr>
        <w:tc>
          <w:tcPr>
            <w:tcW w:w="4800" w:type="dxa"/>
            <w:vAlign w:val="bottom"/>
            <w:tcBorders>
              <w:top w:val="single" w:sz="8" w:color="CEFFE7"/>
            </w:tcBorders>
          </w:tcPr>
          <w:p>
            <w:pPr>
              <w:spacing w:after="0" w:line="20" w:lineRule="exact"/>
              <w:rPr>
                <w:sz w:val="1"/>
                <w:szCs w:val="1"/>
                <w:color w:val="auto"/>
              </w:rPr>
            </w:pPr>
          </w:p>
        </w:tc>
        <w:tc>
          <w:tcPr>
            <w:tcW w:w="33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color w:val="auto"/>
              </w:rPr>
              <w:t>Derivatives Designated as Cash Flow Hedges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3"/>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9"/>
              <w:spacing w:after="0" w:line="164" w:lineRule="exact"/>
              <w:rPr>
                <w:sz w:val="20"/>
                <w:szCs w:val="20"/>
                <w:color w:val="auto"/>
              </w:rPr>
            </w:pPr>
            <w:r>
              <w:rPr>
                <w:rFonts w:ascii="Arial" w:cs="Arial" w:eastAsia="Arial" w:hAnsi="Arial"/>
                <w:sz w:val="16"/>
                <w:szCs w:val="16"/>
                <w:color w:val="auto"/>
              </w:rPr>
              <w:t>Employee Benefit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8"/>
        </w:trPr>
        <w:tc>
          <w:tcPr>
            <w:tcW w:w="4600" w:type="dxa"/>
            <w:vAlign w:val="bottom"/>
            <w:tcBorders>
              <w:bottom w:val="single" w:sz="8" w:color="CEFFE7"/>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Interest Rate Swaps</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Commodity Derivatives</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Plans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Total</w:t>
            </w:r>
          </w:p>
        </w:tc>
      </w:tr>
      <w:tr>
        <w:trPr>
          <w:trHeight w:val="212"/>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2019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(15,122)</w:t>
            </w:r>
          </w:p>
        </w:tc>
        <w:tc>
          <w:tcPr>
            <w:tcW w:w="740" w:type="dxa"/>
            <w:vAlign w:val="bottom"/>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(15,077)</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(30,655)</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6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180" w:type="dxa"/>
            <w:vAlign w:val="bottom"/>
            <w:shd w:val="clear" w:color="auto" w:fill="CEFFE7"/>
          </w:tcPr>
          <w:p>
            <w:pPr>
              <w:spacing w:after="0"/>
              <w:rPr>
                <w:sz w:val="19"/>
                <w:szCs w:val="19"/>
                <w:color w:val="auto"/>
              </w:rPr>
            </w:pP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(1,062)</w:t>
            </w:r>
          </w:p>
        </w:tc>
        <w:tc>
          <w:tcPr>
            <w:tcW w:w="3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(1,109)</w:t>
            </w:r>
          </w:p>
        </w:tc>
      </w:tr>
      <w:tr>
        <w:trPr>
          <w:trHeight w:val="213"/>
        </w:trPr>
        <w:tc>
          <w:tcPr>
            <w:tcW w:w="46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2,564</w:t>
            </w: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4,418</w:t>
            </w:r>
          </w:p>
        </w:tc>
      </w:tr>
      <w:tr>
        <w:trPr>
          <w:trHeight w:val="237"/>
        </w:trPr>
        <w:tc>
          <w:tcPr>
            <w:tcW w:w="4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December 31, 2020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(12,558)</w:t>
            </w:r>
          </w:p>
        </w:tc>
        <w:tc>
          <w:tcPr>
            <w:tcW w:w="740" w:type="dxa"/>
            <w:vAlign w:val="bottom"/>
            <w:tcBorders>
              <w:bottom w:val="single" w:sz="8" w:color="auto"/>
            </w:tcBorders>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(14,790)</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(27,346)</w:t>
            </w:r>
          </w:p>
        </w:tc>
      </w:tr>
      <w:tr>
        <w:trPr>
          <w:trHeight w:val="20"/>
        </w:trPr>
        <w:tc>
          <w:tcPr>
            <w:tcW w:w="46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3640" w:type="dxa"/>
            <w:vAlign w:val="bottom"/>
            <w:tcBorders>
              <w:top w:val="single" w:sz="8" w:color="CEFFE7"/>
              <w:bottom w:val="single" w:sz="8" w:color="auto"/>
            </w:tcBorders>
            <w:gridSpan w:val="3"/>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r>
      <w:tr>
        <w:trPr>
          <w:trHeight w:val="427"/>
        </w:trPr>
        <w:tc>
          <w:tcPr>
            <w:tcW w:w="4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color w:val="auto"/>
              </w:rPr>
              <w:t>Derivatives Designated as Cash Flow Hedges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9"/>
              <w:spacing w:after="0" w:line="164" w:lineRule="exact"/>
              <w:rPr>
                <w:sz w:val="20"/>
                <w:szCs w:val="20"/>
                <w:color w:val="auto"/>
              </w:rPr>
            </w:pPr>
            <w:r>
              <w:rPr>
                <w:rFonts w:ascii="Arial" w:cs="Arial" w:eastAsia="Arial" w:hAnsi="Arial"/>
                <w:sz w:val="16"/>
                <w:szCs w:val="16"/>
                <w:color w:val="auto"/>
              </w:rPr>
              <w:t>Employee Benefit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8"/>
        </w:trPr>
        <w:tc>
          <w:tcPr>
            <w:tcW w:w="4600" w:type="dxa"/>
            <w:vAlign w:val="bottom"/>
            <w:tcBorders>
              <w:bottom w:val="single" w:sz="8" w:color="CEFFE7"/>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Interest Rate Swaps</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Commodity Derivatives</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Plans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Total</w:t>
            </w:r>
          </w:p>
        </w:tc>
      </w:tr>
      <w:tr>
        <w:trPr>
          <w:trHeight w:val="213"/>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2018</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(17,307)</w:t>
            </w:r>
          </w:p>
        </w:tc>
        <w:tc>
          <w:tcPr>
            <w:tcW w:w="740" w:type="dxa"/>
            <w:vAlign w:val="bottom"/>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(9,937)</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(26,916)</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6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180" w:type="dxa"/>
            <w:vAlign w:val="bottom"/>
            <w:shd w:val="clear" w:color="auto" w:fill="CEFFE7"/>
          </w:tcPr>
          <w:p>
            <w:pPr>
              <w:spacing w:after="0"/>
              <w:rPr>
                <w:sz w:val="19"/>
                <w:szCs w:val="19"/>
                <w:color w:val="auto"/>
              </w:rPr>
            </w:pP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(6,261)</w:t>
            </w:r>
          </w:p>
        </w:tc>
        <w:tc>
          <w:tcPr>
            <w:tcW w:w="3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(6,683)</w:t>
            </w:r>
          </w:p>
        </w:tc>
      </w:tr>
      <w:tr>
        <w:trPr>
          <w:trHeight w:val="213"/>
        </w:trPr>
        <w:tc>
          <w:tcPr>
            <w:tcW w:w="46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w:t>
            </w: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r>
      <w:tr>
        <w:trPr>
          <w:trHeight w:val="238"/>
        </w:trPr>
        <w:tc>
          <w:tcPr>
            <w:tcW w:w="4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December 31, 2019</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(15,122)</w:t>
            </w:r>
          </w:p>
        </w:tc>
        <w:tc>
          <w:tcPr>
            <w:tcW w:w="740" w:type="dxa"/>
            <w:vAlign w:val="bottom"/>
            <w:tcBorders>
              <w:bottom w:val="single" w:sz="8" w:color="auto"/>
            </w:tcBorders>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(15,077)</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(30,655)</w:t>
            </w:r>
          </w:p>
        </w:tc>
      </w:tr>
      <w:tr>
        <w:trPr>
          <w:trHeight w:val="20"/>
        </w:trPr>
        <w:tc>
          <w:tcPr>
            <w:tcW w:w="46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86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80" w:hanging="472"/>
        <w:spacing w:after="0"/>
        <w:tabs>
          <w:tab w:leader="none" w:pos="48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VARIABLE INTEREST ENTITY</w:t>
      </w:r>
    </w:p>
    <w:p>
      <w:pPr>
        <w:spacing w:after="0" w:line="26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Black Hills Colorado IPP owns and operates a 200 MW, combined-cycle natural gas generating facility located in Pueblo, Colorado. In 2016, Black Hills Electric Generation sold a 49.9%, noncontrolling interest in Black Hills Colorado IPP to a third-party buyer. Black Hills Electric Generation is the operator of the facility, which is contracted to provide capacity and energy through 2031 to Colorado Electric.</w:t>
      </w:r>
    </w:p>
    <w:p>
      <w:pPr>
        <w:spacing w:after="0" w:line="2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 xml:space="preserve">The accounting for a partial sale of a subsidiary in which control is maintained and the subsidiary continues to be consolidated, is specified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The partial sale is required to be recorded as an equity transaction with no resulting gain or loss on the sale. GAAP requires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noncontrolling interests in subsidiaries and affiliates be reported in the equity section of a company’s balance sheet.</w:t>
      </w:r>
    </w:p>
    <w:p>
      <w:pPr>
        <w:spacing w:after="0" w:line="2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Net income available for common stock for the years ended December 31, 2020, 2019 and 2018 was reduced by $15 million, $14 million, and $14 million, respectively, attributable to this noncontrolling interest. The net income allocable to the noncontrolling interest holder is based on ownership interest with the exception of certain agreed upon adjustments. Distributions of net income attributable to this noncontrolling interest are due within 30 days following the end of a quarter, but may be withheld as necessary by Black Hills Electric Generation.</w:t>
      </w:r>
    </w:p>
    <w:p>
      <w:pPr>
        <w:spacing w:after="0" w:line="22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Black Hills Colorado IPP has been determined to be a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We have recorded the following assets and liabilities on our consolidated balance sheets related to the VIE described above as of December 31 (in thousands):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8000" w:type="dxa"/>
            <w:vAlign w:val="bottom"/>
            <w:tcBorders>
              <w:bottom w:val="single" w:sz="8" w:color="CEFFE7"/>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r>
      <w:tr>
        <w:trPr>
          <w:trHeight w:val="199"/>
        </w:trPr>
        <w:tc>
          <w:tcPr>
            <w:tcW w:w="8000" w:type="dxa"/>
            <w:vAlign w:val="bottom"/>
            <w:shd w:val="clear" w:color="auto" w:fill="CEFFE7"/>
          </w:tcPr>
          <w:p>
            <w:pPr>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CEFFE7"/>
          </w:tcPr>
          <w:p>
            <w:pPr>
              <w:spacing w:after="0"/>
              <w:rPr>
                <w:sz w:val="17"/>
                <w:szCs w:val="17"/>
                <w:color w:val="auto"/>
              </w:rPr>
            </w:pPr>
          </w:p>
        </w:tc>
        <w:tc>
          <w:tcPr>
            <w:tcW w:w="1220" w:type="dxa"/>
            <w:vAlign w:val="bottom"/>
            <w:shd w:val="clear" w:color="auto" w:fill="CEFFE7"/>
          </w:tcPr>
          <w:p>
            <w:pPr>
              <w:spacing w:after="0"/>
              <w:rPr>
                <w:sz w:val="17"/>
                <w:szCs w:val="17"/>
                <w:color w:val="auto"/>
              </w:rPr>
            </w:pPr>
          </w:p>
        </w:tc>
        <w:tc>
          <w:tcPr>
            <w:tcW w:w="42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Current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13,604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13,350</w:t>
            </w:r>
          </w:p>
        </w:tc>
      </w:tr>
      <w:tr>
        <w:trPr>
          <w:trHeight w:val="219"/>
        </w:trPr>
        <w:tc>
          <w:tcPr>
            <w:tcW w:w="80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Property, plant and equipment of variable interest entities, net</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190,637</w:t>
            </w:r>
          </w:p>
        </w:tc>
        <w:tc>
          <w:tcPr>
            <w:tcW w:w="4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193,046</w:t>
            </w:r>
          </w:p>
        </w:tc>
      </w:tr>
      <w:tr>
        <w:trPr>
          <w:trHeight w:val="270"/>
        </w:trPr>
        <w:tc>
          <w:tcPr>
            <w:tcW w:w="8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8000" w:type="dxa"/>
            <w:vAlign w:val="bottom"/>
            <w:shd w:val="clear" w:color="auto" w:fill="CEFFE7"/>
          </w:tcPr>
          <w:p>
            <w:pPr>
              <w:spacing w:after="0"/>
              <w:rPr>
                <w:sz w:val="20"/>
                <w:szCs w:val="20"/>
                <w:color w:val="auto"/>
              </w:rPr>
            </w:pPr>
            <w:r>
              <w:rPr>
                <w:rFonts w:ascii="Arial" w:cs="Arial" w:eastAsia="Arial" w:hAnsi="Arial"/>
                <w:sz w:val="16"/>
                <w:szCs w:val="16"/>
                <w:color w:val="auto"/>
              </w:rPr>
              <w:t>Liabilities:</w:t>
            </w:r>
          </w:p>
        </w:tc>
        <w:tc>
          <w:tcPr>
            <w:tcW w:w="340" w:type="dxa"/>
            <w:vAlign w:val="bottom"/>
            <w:shd w:val="clear" w:color="auto" w:fill="CEFFE7"/>
          </w:tcPr>
          <w:p>
            <w:pPr>
              <w:spacing w:after="0"/>
              <w:rPr>
                <w:sz w:val="18"/>
                <w:szCs w:val="18"/>
                <w:color w:val="auto"/>
              </w:rPr>
            </w:pPr>
          </w:p>
        </w:tc>
        <w:tc>
          <w:tcPr>
            <w:tcW w:w="122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r>
      <w:tr>
        <w:trPr>
          <w:trHeight w:val="210"/>
        </w:trPr>
        <w:tc>
          <w:tcPr>
            <w:tcW w:w="8000" w:type="dxa"/>
            <w:vAlign w:val="bottom"/>
          </w:tcPr>
          <w:p>
            <w:pPr>
              <w:ind w:left="1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5,318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6,013</w:t>
            </w:r>
          </w:p>
        </w:tc>
      </w:tr>
    </w:tbl>
    <w:p>
      <w:pPr>
        <w:spacing w:after="0" w:line="200" w:lineRule="exact"/>
        <w:rPr>
          <w:sz w:val="20"/>
          <w:szCs w:val="20"/>
          <w:color w:val="auto"/>
        </w:rPr>
      </w:pPr>
    </w:p>
    <w:p>
      <w:pPr>
        <w:spacing w:after="0" w:line="355" w:lineRule="exact"/>
        <w:rPr>
          <w:sz w:val="20"/>
          <w:szCs w:val="20"/>
          <w:color w:val="auto"/>
        </w:rPr>
      </w:pPr>
    </w:p>
    <w:p>
      <w:pPr>
        <w:ind w:right="8520" w:firstLine="8"/>
        <w:spacing w:after="0" w:line="576" w:lineRule="auto"/>
        <w:tabs>
          <w:tab w:leader="none" w:pos="468"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Defined Contribution Plans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sponsor a 401(k) retirement savings plan (the 401(k) Plan). Participants in the 401(k) Plan may elect to invest a portion of their eligible compensation in the 401(k) Plan up to the maximum amounts established by the IRS. The 401(k) Plan provides employees the opportunity to invest up to 50% of their eligible compensation on a pre-tax or after-tax basis.</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401(k) Plan provides a Company matching contribution for all eligible participants. Certain eligible participants who are not currently accruing a benefit in the Pension Plan also receive a Company retirement contribution based on the participant’s age and years of service. Vesting of all Company and matching contributions occurs at 20% per year with 100% vesting when the participant has 5 years of service with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268" w:lineRule="exact"/>
        <w:rPr>
          <w:sz w:val="20"/>
          <w:szCs w:val="20"/>
          <w:color w:val="auto"/>
        </w:rPr>
      </w:pPr>
    </w:p>
    <w:p>
      <w:pPr>
        <w:jc w:val="both"/>
        <w:ind w:right="520"/>
        <w:spacing w:after="0" w:line="253" w:lineRule="auto"/>
        <w:rPr>
          <w:sz w:val="20"/>
          <w:szCs w:val="20"/>
          <w:color w:val="auto"/>
        </w:rPr>
      </w:pPr>
      <w:r>
        <w:rPr>
          <w:rFonts w:ascii="Arial" w:cs="Arial" w:eastAsia="Arial" w:hAnsi="Arial"/>
          <w:sz w:val="16"/>
          <w:szCs w:val="16"/>
          <w:color w:val="auto"/>
        </w:rPr>
        <w:t>We have one defined benefit pension plan, the Black Hills Retirement Plan (Pension Plan). The Pension Plan covers certain eligible employees of the Company. The benefits for the Pension Plan are based on years of service and calculations of average earnings during a specific time period prior to retirement. The Pension Plan is closed to new employees and frozen for certain employees who did not meet age and service based criteria.</w:t>
      </w:r>
    </w:p>
    <w:p>
      <w:pPr>
        <w:spacing w:after="0" w:line="22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Pension Plan assets are held in a Master Trust. Our Board of Directors has approved the Pension Plan’s investment policy. The objective of the investment policy is to manage assets in such a way that will allow the eventual settlement of our obligations to the Pension Plan’s beneficiaries. To meet this objective, our pension assets are managed by an outside adviser using a portfolio strategy that will provide liquidity to meet the Pension Plan’s benefit payment obligations. The Pension Plan’s assets consist primarily of equity, fixed income and hedged investments.</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expected rate of return on the Pension Plan assets is determined by reviewing the historical and expected returns of both equity and fixed income markets, taking into account asset allocation, the correlation between asset class returns, and the mix of active and passive investments. The Pension Plan utilizes a dynamic asset allocation where the target range to return-seeking and liability-hedging assets is determined based on the funded status of the Plan. As of December 31, 2020, the expected rate of return on pension plan assets was based on the targeted asset allocation range of 28% to 36% return-seeking assets and 64% to 72% liability-hedging assets.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Our Pension Plan is funded in compliance with the federal government’s funding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Assets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of total plan asset by investment category for our Pension Plan at December 31 were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3740" w:type="dxa"/>
            <w:vAlign w:val="bottom"/>
            <w:tcBorders>
              <w:bottom w:val="single" w:sz="8" w:color="CEFFE7"/>
            </w:tcBorders>
          </w:tcPr>
          <w:p>
            <w:pPr>
              <w:spacing w:after="0"/>
              <w:rPr>
                <w:sz w:val="17"/>
                <w:szCs w:val="17"/>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2020</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2019</w:t>
            </w:r>
          </w:p>
        </w:tc>
      </w:tr>
      <w:tr>
        <w:trPr>
          <w:trHeight w:val="213"/>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Equity</w:t>
            </w:r>
          </w:p>
        </w:tc>
        <w:tc>
          <w:tcPr>
            <w:tcW w:w="37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21%</w:t>
            </w:r>
          </w:p>
        </w:tc>
        <w:tc>
          <w:tcPr>
            <w:tcW w:w="37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20%</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3740" w:type="dxa"/>
            <w:vAlign w:val="bottom"/>
          </w:tcPr>
          <w:p>
            <w:pPr>
              <w:jc w:val="center"/>
              <w:spacing w:after="0"/>
              <w:rPr>
                <w:sz w:val="20"/>
                <w:szCs w:val="20"/>
                <w:color w:val="auto"/>
              </w:rPr>
            </w:pPr>
            <w:r>
              <w:rPr>
                <w:rFonts w:ascii="Arial" w:cs="Arial" w:eastAsia="Arial" w:hAnsi="Arial"/>
                <w:sz w:val="16"/>
                <w:szCs w:val="16"/>
                <w:color w:val="auto"/>
              </w:rPr>
              <w:t>3</w:t>
            </w:r>
          </w:p>
        </w:tc>
        <w:tc>
          <w:tcPr>
            <w:tcW w:w="372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219"/>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Fixed income</w:t>
            </w:r>
          </w:p>
        </w:tc>
        <w:tc>
          <w:tcPr>
            <w:tcW w:w="37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69</w:t>
            </w:r>
          </w:p>
        </w:tc>
        <w:tc>
          <w:tcPr>
            <w:tcW w:w="37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71</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Cash</w:t>
            </w:r>
          </w:p>
        </w:tc>
        <w:tc>
          <w:tcPr>
            <w:tcW w:w="3740" w:type="dxa"/>
            <w:vAlign w:val="bottom"/>
          </w:tcPr>
          <w:p>
            <w:pPr>
              <w:jc w:val="center"/>
              <w:spacing w:after="0"/>
              <w:rPr>
                <w:sz w:val="20"/>
                <w:szCs w:val="20"/>
                <w:color w:val="auto"/>
              </w:rPr>
            </w:pPr>
            <w:r>
              <w:rPr>
                <w:rFonts w:ascii="Arial" w:cs="Arial" w:eastAsia="Arial" w:hAnsi="Arial"/>
                <w:sz w:val="16"/>
                <w:szCs w:val="16"/>
                <w:color w:val="auto"/>
              </w:rPr>
              <w:t>3</w:t>
            </w:r>
          </w:p>
        </w:tc>
        <w:tc>
          <w:tcPr>
            <w:tcW w:w="372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16"/>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Hedge funds</w:t>
            </w:r>
          </w:p>
        </w:tc>
        <w:tc>
          <w:tcPr>
            <w:tcW w:w="3740" w:type="dxa"/>
            <w:vAlign w:val="bottom"/>
            <w:tcBorders>
              <w:bottom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4</w:t>
            </w:r>
          </w:p>
        </w:tc>
        <w:tc>
          <w:tcPr>
            <w:tcW w:w="3720" w:type="dxa"/>
            <w:vAlign w:val="bottom"/>
            <w:tcBorders>
              <w:bottom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5</w:t>
            </w:r>
          </w:p>
        </w:tc>
      </w:tr>
      <w:tr>
        <w:trPr>
          <w:trHeight w:val="213"/>
        </w:trPr>
        <w:tc>
          <w:tcPr>
            <w:tcW w:w="3740" w:type="dxa"/>
            <w:vAlign w:val="bottom"/>
          </w:tcPr>
          <w:p>
            <w:pPr>
              <w:ind w:left="220"/>
              <w:spacing w:after="0"/>
              <w:rPr>
                <w:sz w:val="20"/>
                <w:szCs w:val="20"/>
                <w:color w:val="auto"/>
              </w:rPr>
            </w:pPr>
            <w:r>
              <w:rPr>
                <w:rFonts w:ascii="Arial" w:cs="Arial" w:eastAsia="Arial" w:hAnsi="Arial"/>
                <w:sz w:val="16"/>
                <w:szCs w:val="16"/>
                <w:color w:val="auto"/>
              </w:rPr>
              <w:t>Total</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r>
      <w:tr>
        <w:trPr>
          <w:trHeight w:val="21"/>
        </w:trPr>
        <w:tc>
          <w:tcPr>
            <w:tcW w:w="3740" w:type="dxa"/>
            <w:vAlign w:val="bottom"/>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Non-qualified Defined Benefit Plans</w:t>
      </w:r>
    </w:p>
    <w:p>
      <w:pPr>
        <w:spacing w:after="0" w:line="26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have various supplemental retirement plans for key executives of the Company. The plans are non-qualified defined benefit and defined contribution plans (Supplemental Plans). The Supplemental Plans are subject to various vesting schedules and are funded on a cash basis as benefits are paid.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Non-pension Defined Benefit Postretirement Healthcare Plan</w:t>
      </w:r>
    </w:p>
    <w:p>
      <w:pPr>
        <w:spacing w:after="0" w:line="26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BHC sponsors a retiree healthcare plan (Healthcare Plan) for employees who meet certain age and service requirements at retirement. Healthcare Plan benefits are subject to premiums, deductibles, co-payment provisions and other limitations. A portion of the Healthcare Plan for participating business units are pre-funded via VEBA trusts. Pre-65 retirees as well as a grandfathered group of post-65 retirees receive their retiree medical benefits through the Black Hills self-insured retiree medical plans. Healthcare coverage for post-65 Medicare-eligible retirees is provided through an individual market healthcare exchange.</w:t>
      </w:r>
    </w:p>
    <w:p>
      <w:pPr>
        <w:spacing w:after="0" w:line="230"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We fund the Healthcare Plan on a cash basis as benefits are paid. The Healthcare Plan provides for partial pre-funding via VEBA trusts. Assets related to this pre-funding are held in trust and are for the benefit of the union and non-union employees located in the states of Arkansas, Iowa and Kansas. We do not pre-fund the Healthcare Plan for those employees outside Arkansas, Iowa and Kansas.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Contributions</w:t>
      </w:r>
    </w:p>
    <w:p>
      <w:pPr>
        <w:spacing w:after="0" w:line="2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Contributions to the Pension Plan are cash contributions made directly to the Master Trust. Healthcare and Supplemental Plan contributions are made in the form of benefit payments. Healthcare benefits include company and participant paid premiums. Contributions for the years ended December 31 were as follows (in thousands):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2019</w:t>
            </w:r>
          </w:p>
        </w:tc>
      </w:tr>
      <w:tr>
        <w:trPr>
          <w:trHeight w:val="161"/>
        </w:trPr>
        <w:tc>
          <w:tcPr>
            <w:tcW w:w="7880" w:type="dxa"/>
            <w:vAlign w:val="bottom"/>
            <w:gridSpan w:val="4"/>
          </w:tcPr>
          <w:p>
            <w:pPr>
              <w:ind w:left="20"/>
              <w:spacing w:after="0" w:line="161" w:lineRule="exact"/>
              <w:rPr>
                <w:sz w:val="20"/>
                <w:szCs w:val="20"/>
                <w:color w:val="auto"/>
              </w:rPr>
            </w:pPr>
            <w:r>
              <w:rPr>
                <w:rFonts w:ascii="Arial" w:cs="Arial" w:eastAsia="Arial" w:hAnsi="Arial"/>
                <w:sz w:val="16"/>
                <w:szCs w:val="16"/>
                <w:color w:val="auto"/>
              </w:rPr>
              <w:t>Defined Contribution Plan</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788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Company retirement contributions</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10,455</w:t>
            </w:r>
          </w:p>
        </w:tc>
        <w:tc>
          <w:tcPr>
            <w:tcW w:w="4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9,714</w:t>
            </w:r>
          </w:p>
        </w:tc>
      </w:tr>
      <w:tr>
        <w:trPr>
          <w:trHeight w:val="210"/>
        </w:trPr>
        <w:tc>
          <w:tcPr>
            <w:tcW w:w="7880" w:type="dxa"/>
            <w:vAlign w:val="bottom"/>
            <w:gridSpan w:val="4"/>
          </w:tcPr>
          <w:p>
            <w:pPr>
              <w:ind w:left="20"/>
              <w:spacing w:after="0"/>
              <w:rPr>
                <w:sz w:val="20"/>
                <w:szCs w:val="20"/>
                <w:color w:val="auto"/>
              </w:rPr>
            </w:pPr>
            <w:r>
              <w:rPr>
                <w:rFonts w:ascii="Arial" w:cs="Arial" w:eastAsia="Arial" w:hAnsi="Arial"/>
                <w:sz w:val="16"/>
                <w:szCs w:val="16"/>
                <w:color w:val="auto"/>
              </w:rPr>
              <w:t>Company matching contributions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15,240</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14,558</w:t>
            </w:r>
          </w:p>
        </w:tc>
      </w:tr>
      <w:tr>
        <w:trPr>
          <w:trHeight w:val="66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2019</w:t>
            </w:r>
          </w:p>
        </w:tc>
      </w:tr>
      <w:tr>
        <w:trPr>
          <w:trHeight w:val="161"/>
        </w:trPr>
        <w:tc>
          <w:tcPr>
            <w:tcW w:w="7880" w:type="dxa"/>
            <w:vAlign w:val="bottom"/>
            <w:gridSpan w:val="4"/>
          </w:tcPr>
          <w:p>
            <w:pPr>
              <w:ind w:left="20"/>
              <w:spacing w:after="0" w:line="161" w:lineRule="exact"/>
              <w:rPr>
                <w:sz w:val="20"/>
                <w:szCs w:val="20"/>
                <w:color w:val="auto"/>
              </w:rPr>
            </w:pPr>
            <w:r>
              <w:rPr>
                <w:rFonts w:ascii="Arial" w:cs="Arial" w:eastAsia="Arial" w:hAnsi="Arial"/>
                <w:sz w:val="16"/>
                <w:szCs w:val="16"/>
                <w:color w:val="auto"/>
              </w:rPr>
              <w:t>Defined Benefit Plans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788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Defined Benefit Pension Plan</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12,700</w:t>
            </w:r>
          </w:p>
        </w:tc>
        <w:tc>
          <w:tcPr>
            <w:tcW w:w="4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12,700</w:t>
            </w:r>
          </w:p>
        </w:tc>
      </w:tr>
      <w:tr>
        <w:trPr>
          <w:trHeight w:val="213"/>
        </w:trPr>
        <w:tc>
          <w:tcPr>
            <w:tcW w:w="7880" w:type="dxa"/>
            <w:vAlign w:val="bottom"/>
            <w:gridSpan w:val="4"/>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6,058</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7,033</w:t>
            </w:r>
          </w:p>
        </w:tc>
      </w:tr>
      <w:tr>
        <w:trPr>
          <w:trHeight w:val="219"/>
        </w:trPr>
        <w:tc>
          <w:tcPr>
            <w:tcW w:w="788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Supplemental Non-Qualified Defined Benefit Plans</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2,674</w:t>
            </w:r>
          </w:p>
        </w:tc>
        <w:tc>
          <w:tcPr>
            <w:tcW w:w="4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2,344</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required 2021 contributions and currently do not expect to contribute to our Pension Plan.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the assets that were accounted for at fair value on a recurring basis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w:t>
            </w: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rPr>
              <w:t>December 31, 2020</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28"/>
              <w:spacing w:after="0" w:line="147"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28"/>
              <w:spacing w:after="0" w:line="135" w:lineRule="exact"/>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1"/>
                <w:szCs w:val="11"/>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Level 3</w:t>
            </w:r>
          </w:p>
        </w:tc>
        <w:tc>
          <w:tcPr>
            <w:tcW w:w="1280" w:type="dxa"/>
            <w:vAlign w:val="bottom"/>
            <w:gridSpan w:val="2"/>
          </w:tcPr>
          <w:p>
            <w:pPr>
              <w:jc w:val="center"/>
              <w:spacing w:after="0" w:line="135" w:lineRule="exact"/>
              <w:rPr>
                <w:sz w:val="20"/>
                <w:szCs w:val="20"/>
                <w:color w:val="auto"/>
              </w:rPr>
            </w:pPr>
            <w:r>
              <w:rPr>
                <w:rFonts w:ascii="Arial" w:cs="Arial" w:eastAsia="Arial" w:hAnsi="Arial"/>
                <w:sz w:val="14"/>
                <w:szCs w:val="14"/>
                <w:color w:val="auto"/>
              </w:rPr>
              <w:t>Measured at Fair</w:t>
            </w:r>
          </w:p>
        </w:tc>
        <w:tc>
          <w:tcPr>
            <w:tcW w:w="300" w:type="dxa"/>
            <w:vAlign w:val="bottom"/>
          </w:tcPr>
          <w:p>
            <w:pPr>
              <w:spacing w:after="0"/>
              <w:rPr>
                <w:sz w:val="11"/>
                <w:szCs w:val="11"/>
                <w:color w:val="auto"/>
              </w:rPr>
            </w:pPr>
          </w:p>
        </w:tc>
        <w:tc>
          <w:tcPr>
            <w:tcW w:w="960" w:type="dxa"/>
            <w:vAlign w:val="bottom"/>
            <w:vMerge w:val="restart"/>
          </w:tcPr>
          <w:p>
            <w:pPr>
              <w:jc w:val="right"/>
              <w:ind w:right="328"/>
              <w:spacing w:after="0"/>
              <w:rPr>
                <w:sz w:val="20"/>
                <w:szCs w:val="20"/>
                <w:color w:val="auto"/>
              </w:rPr>
            </w:pPr>
            <w:r>
              <w:rPr>
                <w:rFonts w:ascii="Arial" w:cs="Arial" w:eastAsia="Arial" w:hAnsi="Arial"/>
                <w:sz w:val="14"/>
                <w:szCs w:val="14"/>
                <w:color w:val="auto"/>
              </w:rPr>
              <w:t xml:space="preserve">NAV </w:t>
            </w:r>
            <w:r>
              <w:rPr>
                <w:rFonts w:ascii="Arial" w:cs="Arial" w:eastAsia="Arial" w:hAnsi="Arial"/>
                <w:sz w:val="18"/>
                <w:szCs w:val="18"/>
                <w:color w:val="auto"/>
                <w:vertAlign w:val="superscript"/>
              </w:rPr>
              <w:t>(a)</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EFFE7"/>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Value</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83"/>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Common Collective Trust - Cash and Cash Equivalents</w:t>
            </w:r>
          </w:p>
        </w:tc>
        <w:tc>
          <w:tcPr>
            <w:tcW w:w="840" w:type="dxa"/>
            <w:vAlign w:val="bottom"/>
            <w:shd w:val="clear" w:color="auto" w:fill="CEFFE7"/>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16,810</w:t>
            </w:r>
          </w:p>
        </w:tc>
        <w:tc>
          <w:tcPr>
            <w:tcW w:w="3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16,810</w:t>
            </w:r>
          </w:p>
        </w:tc>
        <w:tc>
          <w:tcPr>
            <w:tcW w:w="3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16,810</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Common Collective Trust - Equity</w:t>
            </w:r>
          </w:p>
        </w:tc>
        <w:tc>
          <w:tcPr>
            <w:tcW w:w="84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100,311</w:t>
            </w:r>
          </w:p>
        </w:tc>
        <w:tc>
          <w:tcPr>
            <w:tcW w:w="300" w:type="dxa"/>
            <w:vAlign w:val="bottom"/>
          </w:tcPr>
          <w:p>
            <w:pPr>
              <w:spacing w:after="0"/>
              <w:rPr>
                <w:sz w:val="16"/>
                <w:szCs w:val="16"/>
                <w:color w:val="auto"/>
              </w:rPr>
            </w:pP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100,311</w:t>
            </w: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100,311</w:t>
            </w:r>
          </w:p>
        </w:tc>
        <w:tc>
          <w:tcPr>
            <w:tcW w:w="0" w:type="dxa"/>
            <w:vAlign w:val="bottom"/>
          </w:tcPr>
          <w:p>
            <w:pPr>
              <w:spacing w:after="0"/>
              <w:rPr>
                <w:sz w:val="1"/>
                <w:szCs w:val="1"/>
                <w:color w:val="auto"/>
              </w:rPr>
            </w:pPr>
          </w:p>
        </w:tc>
      </w:tr>
      <w:tr>
        <w:trPr>
          <w:trHeight w:val="189"/>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Common Collective Trust - Fixed Income</w:t>
            </w:r>
          </w:p>
        </w:tc>
        <w:tc>
          <w:tcPr>
            <w:tcW w:w="840" w:type="dxa"/>
            <w:vAlign w:val="bottom"/>
            <w:shd w:val="clear" w:color="auto" w:fill="CEFFE7"/>
          </w:tcPr>
          <w:p>
            <w:pPr>
              <w:spacing w:after="0"/>
              <w:rPr>
                <w:sz w:val="16"/>
                <w:szCs w:val="16"/>
                <w:color w:val="auto"/>
              </w:rPr>
            </w:pPr>
          </w:p>
        </w:tc>
        <w:tc>
          <w:tcPr>
            <w:tcW w:w="32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324,845</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6"/>
                <w:szCs w:val="16"/>
                <w:color w:val="auto"/>
              </w:rPr>
            </w:pPr>
          </w:p>
        </w:tc>
        <w:tc>
          <w:tcPr>
            <w:tcW w:w="10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324,845</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6"/>
                <w:szCs w:val="16"/>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324,845</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Common Collective Trust - Real Estate</w:t>
            </w:r>
          </w:p>
        </w:tc>
        <w:tc>
          <w:tcPr>
            <w:tcW w:w="84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14,301</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14,301</w:t>
            </w:r>
          </w:p>
        </w:tc>
        <w:tc>
          <w:tcPr>
            <w:tcW w:w="0" w:type="dxa"/>
            <w:vAlign w:val="bottom"/>
          </w:tcPr>
          <w:p>
            <w:pPr>
              <w:spacing w:after="0"/>
              <w:rPr>
                <w:sz w:val="1"/>
                <w:szCs w:val="1"/>
                <w:color w:val="auto"/>
              </w:rPr>
            </w:pPr>
          </w:p>
        </w:tc>
      </w:tr>
      <w:tr>
        <w:trPr>
          <w:trHeight w:val="189"/>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Hedge Funds</w:t>
            </w:r>
          </w:p>
        </w:tc>
        <w:tc>
          <w:tcPr>
            <w:tcW w:w="840" w:type="dxa"/>
            <w:vAlign w:val="bottom"/>
            <w:tcBorders>
              <w:bottom w:val="single" w:sz="8" w:color="auto"/>
            </w:tcBorders>
            <w:shd w:val="clear" w:color="auto" w:fill="CEFFE7"/>
          </w:tcPr>
          <w:p>
            <w:pPr>
              <w:spacing w:after="0"/>
              <w:rPr>
                <w:sz w:val="16"/>
                <w:szCs w:val="16"/>
                <w:color w:val="auto"/>
              </w:rPr>
            </w:pPr>
          </w:p>
        </w:tc>
        <w:tc>
          <w:tcPr>
            <w:tcW w:w="32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spacing w:after="0"/>
              <w:rPr>
                <w:sz w:val="16"/>
                <w:szCs w:val="16"/>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spacing w:after="0"/>
              <w:rPr>
                <w:sz w:val="16"/>
                <w:szCs w:val="16"/>
                <w:color w:val="auto"/>
              </w:rPr>
            </w:pPr>
          </w:p>
        </w:tc>
        <w:tc>
          <w:tcPr>
            <w:tcW w:w="960" w:type="dxa"/>
            <w:vAlign w:val="bottom"/>
            <w:tcBorders>
              <w:bottom w:val="single" w:sz="8" w:color="auto"/>
            </w:tcBorders>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6"/>
                <w:szCs w:val="16"/>
                <w:color w:val="auto"/>
              </w:rPr>
            </w:pPr>
          </w:p>
        </w:tc>
        <w:tc>
          <w:tcPr>
            <w:tcW w:w="10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spacing w:after="0"/>
              <w:rPr>
                <w:sz w:val="16"/>
                <w:szCs w:val="16"/>
                <w:color w:val="auto"/>
              </w:rPr>
            </w:pPr>
          </w:p>
        </w:tc>
        <w:tc>
          <w:tcPr>
            <w:tcW w:w="9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17,454</w:t>
            </w:r>
          </w:p>
        </w:tc>
        <w:tc>
          <w:tcPr>
            <w:tcW w:w="22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17,454</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20"/>
                <w:szCs w:val="20"/>
                <w:color w:val="auto"/>
              </w:rPr>
            </w:pPr>
            <w:r>
              <w:rPr>
                <w:rFonts w:ascii="Arial" w:cs="Arial" w:eastAsia="Arial" w:hAnsi="Arial"/>
                <w:sz w:val="14"/>
                <w:szCs w:val="14"/>
                <w:color w:val="auto"/>
              </w:rPr>
              <w:t>Total investments measured at fair value</w:t>
            </w: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441,966</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441,966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473,721</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w:t>
            </w: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rPr>
              <w:t>December 31, 2019</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28"/>
              <w:spacing w:after="0" w:line="147"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28"/>
              <w:spacing w:after="0" w:line="135" w:lineRule="exact"/>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1"/>
                <w:szCs w:val="11"/>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Level 3</w:t>
            </w:r>
          </w:p>
        </w:tc>
        <w:tc>
          <w:tcPr>
            <w:tcW w:w="1280" w:type="dxa"/>
            <w:vAlign w:val="bottom"/>
            <w:gridSpan w:val="2"/>
          </w:tcPr>
          <w:p>
            <w:pPr>
              <w:jc w:val="center"/>
              <w:spacing w:after="0" w:line="135" w:lineRule="exact"/>
              <w:rPr>
                <w:sz w:val="20"/>
                <w:szCs w:val="20"/>
                <w:color w:val="auto"/>
              </w:rPr>
            </w:pPr>
            <w:r>
              <w:rPr>
                <w:rFonts w:ascii="Arial" w:cs="Arial" w:eastAsia="Arial" w:hAnsi="Arial"/>
                <w:sz w:val="14"/>
                <w:szCs w:val="14"/>
                <w:color w:val="auto"/>
              </w:rPr>
              <w:t>Measured at Fair</w:t>
            </w:r>
          </w:p>
        </w:tc>
        <w:tc>
          <w:tcPr>
            <w:tcW w:w="300" w:type="dxa"/>
            <w:vAlign w:val="bottom"/>
          </w:tcPr>
          <w:p>
            <w:pPr>
              <w:spacing w:after="0"/>
              <w:rPr>
                <w:sz w:val="11"/>
                <w:szCs w:val="11"/>
                <w:color w:val="auto"/>
              </w:rPr>
            </w:pPr>
          </w:p>
        </w:tc>
        <w:tc>
          <w:tcPr>
            <w:tcW w:w="960" w:type="dxa"/>
            <w:vAlign w:val="bottom"/>
            <w:vMerge w:val="restart"/>
          </w:tcPr>
          <w:p>
            <w:pPr>
              <w:jc w:val="right"/>
              <w:ind w:right="331"/>
              <w:spacing w:after="0" w:line="305" w:lineRule="exact"/>
              <w:rPr>
                <w:sz w:val="20"/>
                <w:szCs w:val="20"/>
                <w:color w:val="auto"/>
              </w:rPr>
            </w:pPr>
            <w:r>
              <w:rPr>
                <w:rFonts w:ascii="Arial" w:cs="Arial" w:eastAsia="Arial" w:hAnsi="Arial"/>
                <w:sz w:val="28"/>
                <w:szCs w:val="28"/>
                <w:color w:val="auto"/>
                <w:vertAlign w:val="subscript"/>
              </w:rPr>
              <w:t>NAV</w:t>
            </w:r>
            <w:r>
              <w:rPr>
                <w:rFonts w:ascii="Arial" w:cs="Arial" w:eastAsia="Arial" w:hAnsi="Arial"/>
                <w:sz w:val="9"/>
                <w:szCs w:val="9"/>
                <w:color w:val="auto"/>
              </w:rPr>
              <w:t xml:space="preserve"> (a)</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EFFE7"/>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Value</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83"/>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AXA Equitable General Fixed Income</w:t>
            </w:r>
          </w:p>
        </w:tc>
        <w:tc>
          <w:tcPr>
            <w:tcW w:w="840" w:type="dxa"/>
            <w:vAlign w:val="bottom"/>
            <w:shd w:val="clear" w:color="auto" w:fill="CEFFE7"/>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60</w:t>
            </w:r>
          </w:p>
        </w:tc>
        <w:tc>
          <w:tcPr>
            <w:tcW w:w="3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60</w:t>
            </w:r>
          </w:p>
        </w:tc>
        <w:tc>
          <w:tcPr>
            <w:tcW w:w="3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Common Collective Trust - Cash and Cash Equivalents</w:t>
            </w:r>
          </w:p>
        </w:tc>
        <w:tc>
          <w:tcPr>
            <w:tcW w:w="84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7,054</w:t>
            </w:r>
          </w:p>
        </w:tc>
        <w:tc>
          <w:tcPr>
            <w:tcW w:w="300" w:type="dxa"/>
            <w:vAlign w:val="bottom"/>
          </w:tcPr>
          <w:p>
            <w:pPr>
              <w:spacing w:after="0"/>
              <w:rPr>
                <w:sz w:val="16"/>
                <w:szCs w:val="16"/>
                <w:color w:val="auto"/>
              </w:rPr>
            </w:pP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7,054</w:t>
            </w:r>
          </w:p>
        </w:tc>
        <w:tc>
          <w:tcPr>
            <w:tcW w:w="30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7,054</w:t>
            </w:r>
          </w:p>
        </w:tc>
        <w:tc>
          <w:tcPr>
            <w:tcW w:w="0" w:type="dxa"/>
            <w:vAlign w:val="bottom"/>
          </w:tcPr>
          <w:p>
            <w:pPr>
              <w:spacing w:after="0"/>
              <w:rPr>
                <w:sz w:val="1"/>
                <w:szCs w:val="1"/>
                <w:color w:val="auto"/>
              </w:rPr>
            </w:pPr>
          </w:p>
        </w:tc>
      </w:tr>
      <w:tr>
        <w:trPr>
          <w:trHeight w:val="189"/>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Common Collective Trust - Equity</w:t>
            </w:r>
          </w:p>
        </w:tc>
        <w:tc>
          <w:tcPr>
            <w:tcW w:w="840" w:type="dxa"/>
            <w:vAlign w:val="bottom"/>
            <w:shd w:val="clear" w:color="auto" w:fill="CEFFE7"/>
          </w:tcPr>
          <w:p>
            <w:pPr>
              <w:spacing w:after="0"/>
              <w:rPr>
                <w:sz w:val="16"/>
                <w:szCs w:val="16"/>
                <w:color w:val="auto"/>
              </w:rPr>
            </w:pPr>
          </w:p>
        </w:tc>
        <w:tc>
          <w:tcPr>
            <w:tcW w:w="32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87,106</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6"/>
                <w:szCs w:val="16"/>
                <w:color w:val="auto"/>
              </w:rPr>
            </w:pPr>
          </w:p>
        </w:tc>
        <w:tc>
          <w:tcPr>
            <w:tcW w:w="10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87,106</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6"/>
                <w:szCs w:val="16"/>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87,106</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Common Collective Trust - Fixed Income</w:t>
            </w:r>
          </w:p>
        </w:tc>
        <w:tc>
          <w:tcPr>
            <w:tcW w:w="84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306,275</w:t>
            </w:r>
          </w:p>
        </w:tc>
        <w:tc>
          <w:tcPr>
            <w:tcW w:w="300" w:type="dxa"/>
            <w:vAlign w:val="bottom"/>
          </w:tcPr>
          <w:p>
            <w:pPr>
              <w:spacing w:after="0"/>
              <w:rPr>
                <w:sz w:val="16"/>
                <w:szCs w:val="16"/>
                <w:color w:val="auto"/>
              </w:rPr>
            </w:pP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306,275</w:t>
            </w:r>
          </w:p>
        </w:tc>
        <w:tc>
          <w:tcPr>
            <w:tcW w:w="30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306,275</w:t>
            </w:r>
          </w:p>
        </w:tc>
        <w:tc>
          <w:tcPr>
            <w:tcW w:w="0" w:type="dxa"/>
            <w:vAlign w:val="bottom"/>
          </w:tcPr>
          <w:p>
            <w:pPr>
              <w:spacing w:after="0"/>
              <w:rPr>
                <w:sz w:val="1"/>
                <w:szCs w:val="1"/>
                <w:color w:val="auto"/>
              </w:rPr>
            </w:pPr>
          </w:p>
        </w:tc>
      </w:tr>
      <w:tr>
        <w:trPr>
          <w:trHeight w:val="189"/>
        </w:trPr>
        <w:tc>
          <w:tcPr>
            <w:tcW w:w="3740" w:type="dxa"/>
            <w:vAlign w:val="bottom"/>
            <w:shd w:val="clear" w:color="auto" w:fill="CEFFE7"/>
          </w:tcPr>
          <w:p>
            <w:pPr>
              <w:spacing w:after="0"/>
              <w:rPr>
                <w:sz w:val="20"/>
                <w:szCs w:val="20"/>
                <w:color w:val="auto"/>
              </w:rPr>
            </w:pPr>
            <w:r>
              <w:rPr>
                <w:rFonts w:ascii="Arial" w:cs="Arial" w:eastAsia="Arial" w:hAnsi="Arial"/>
                <w:sz w:val="14"/>
                <w:szCs w:val="14"/>
                <w:color w:val="auto"/>
              </w:rPr>
              <w:t>Common Collective Trust - Real Estate</w:t>
            </w:r>
          </w:p>
        </w:tc>
        <w:tc>
          <w:tcPr>
            <w:tcW w:w="840" w:type="dxa"/>
            <w:vAlign w:val="bottom"/>
            <w:shd w:val="clear" w:color="auto" w:fill="CEFFE7"/>
          </w:tcPr>
          <w:p>
            <w:pPr>
              <w:spacing w:after="0"/>
              <w:rPr>
                <w:sz w:val="16"/>
                <w:szCs w:val="16"/>
                <w:color w:val="auto"/>
              </w:rPr>
            </w:pPr>
          </w:p>
        </w:tc>
        <w:tc>
          <w:tcPr>
            <w:tcW w:w="32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6"/>
                <w:szCs w:val="16"/>
                <w:color w:val="auto"/>
              </w:rPr>
            </w:pPr>
          </w:p>
        </w:tc>
        <w:tc>
          <w:tcPr>
            <w:tcW w:w="10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EFFE7"/>
          </w:tcPr>
          <w:p>
            <w:pPr>
              <w:spacing w:after="0"/>
              <w:rPr>
                <w:sz w:val="16"/>
                <w:szCs w:val="16"/>
                <w:color w:val="auto"/>
              </w:rPr>
            </w:pPr>
          </w:p>
        </w:tc>
        <w:tc>
          <w:tcPr>
            <w:tcW w:w="960" w:type="dxa"/>
            <w:vAlign w:val="bottom"/>
            <w:shd w:val="clear" w:color="auto" w:fill="CEFFE7"/>
          </w:tcPr>
          <w:p>
            <w:pPr>
              <w:jc w:val="right"/>
              <w:ind w:right="51"/>
              <w:spacing w:after="0"/>
              <w:rPr>
                <w:sz w:val="20"/>
                <w:szCs w:val="20"/>
                <w:color w:val="auto"/>
              </w:rPr>
            </w:pPr>
            <w:r>
              <w:rPr>
                <w:rFonts w:ascii="Arial" w:cs="Arial" w:eastAsia="Arial" w:hAnsi="Arial"/>
                <w:sz w:val="14"/>
                <w:szCs w:val="14"/>
                <w:color w:val="auto"/>
              </w:rPr>
              <w:t>14,239</w:t>
            </w:r>
          </w:p>
        </w:tc>
        <w:tc>
          <w:tcPr>
            <w:tcW w:w="220" w:type="dxa"/>
            <w:vAlign w:val="bottom"/>
            <w:shd w:val="clear" w:color="auto" w:fill="CEFFE7"/>
          </w:tcPr>
          <w:p>
            <w:pPr>
              <w:spacing w:after="0"/>
              <w:rPr>
                <w:sz w:val="16"/>
                <w:szCs w:val="16"/>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14,239</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EFFE7"/>
            </w:tcBorders>
          </w:tcPr>
          <w:p>
            <w:pPr>
              <w:spacing w:after="0"/>
              <w:rPr>
                <w:sz w:val="20"/>
                <w:szCs w:val="20"/>
                <w:color w:val="auto"/>
              </w:rPr>
            </w:pPr>
            <w:r>
              <w:rPr>
                <w:rFonts w:ascii="Arial" w:cs="Arial" w:eastAsia="Arial" w:hAnsi="Arial"/>
                <w:sz w:val="14"/>
                <w:szCs w:val="14"/>
                <w:color w:val="auto"/>
              </w:rPr>
              <w:t>Hedge Funds</w:t>
            </w: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19,550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19,550</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4"/>
                <w:szCs w:val="14"/>
                <w:color w:val="auto"/>
              </w:rPr>
              <w:t>Total investments measured at fair value</w:t>
            </w:r>
          </w:p>
        </w:tc>
        <w:tc>
          <w:tcPr>
            <w:tcW w:w="840" w:type="dxa"/>
            <w:vAlign w:val="bottom"/>
            <w:tcBorders>
              <w:bottom w:val="single" w:sz="8" w:color="auto"/>
            </w:tcBorders>
            <w:shd w:val="clear" w:color="auto" w:fill="CEFFE7"/>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400,495</w:t>
            </w:r>
          </w:p>
        </w:tc>
        <w:tc>
          <w:tcPr>
            <w:tcW w:w="3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400,495</w:t>
            </w:r>
          </w:p>
        </w:tc>
        <w:tc>
          <w:tcPr>
            <w:tcW w:w="30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EFFE7"/>
          </w:tcPr>
          <w:p>
            <w:pPr>
              <w:jc w:val="right"/>
              <w:ind w:right="51"/>
              <w:spacing w:after="0"/>
              <w:rPr>
                <w:sz w:val="20"/>
                <w:szCs w:val="20"/>
                <w:color w:val="auto"/>
              </w:rPr>
            </w:pPr>
            <w:r>
              <w:rPr>
                <w:rFonts w:ascii="Arial" w:cs="Arial" w:eastAsia="Arial" w:hAnsi="Arial"/>
                <w:sz w:val="14"/>
                <w:szCs w:val="14"/>
                <w:color w:val="auto"/>
              </w:rPr>
              <w:t>33,789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434,284</w:t>
            </w:r>
          </w:p>
        </w:tc>
        <w:tc>
          <w:tcPr>
            <w:tcW w:w="0" w:type="dxa"/>
            <w:vAlign w:val="bottom"/>
          </w:tcPr>
          <w:p>
            <w:pPr>
              <w:spacing w:after="0"/>
              <w:rPr>
                <w:sz w:val="1"/>
                <w:szCs w:val="1"/>
                <w:color w:val="auto"/>
              </w:rPr>
            </w:pPr>
          </w:p>
        </w:tc>
      </w:tr>
      <w:tr>
        <w:trPr>
          <w:trHeight w:val="20"/>
        </w:trPr>
        <w:tc>
          <w:tcPr>
            <w:tcW w:w="3740" w:type="dxa"/>
            <w:vAlign w:val="bottom"/>
            <w:tcBorders>
              <w:top w:val="single" w:sz="8" w:color="CEFFE7"/>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right="120" w:hanging="332"/>
        <w:spacing w:after="0" w:line="249" w:lineRule="auto"/>
        <w:tabs>
          <w:tab w:leader="none" w:pos="352" w:val="left"/>
        </w:tabs>
        <w:numPr>
          <w:ilvl w:val="0"/>
          <w:numId w:val="83"/>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Non-pension Defined Benefit Postretirement Healthcare Plan</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December 31, 2020</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28"/>
              <w:spacing w:after="0" w:line="147" w:lineRule="exact"/>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28"/>
              <w:spacing w:after="0" w:line="135" w:lineRule="exact"/>
              <w:rPr>
                <w:sz w:val="20"/>
                <w:szCs w:val="20"/>
                <w:color w:val="auto"/>
              </w:rPr>
            </w:pPr>
            <w:r>
              <w:rPr>
                <w:rFonts w:ascii="Arial" w:cs="Arial" w:eastAsia="Arial" w:hAnsi="Arial"/>
                <w:sz w:val="14"/>
                <w:szCs w:val="14"/>
                <w:color w:val="auto"/>
              </w:rPr>
              <w:t>Investments</w:t>
            </w:r>
          </w:p>
        </w:tc>
        <w:tc>
          <w:tcPr>
            <w:tcW w:w="200" w:type="dxa"/>
            <w:vAlign w:val="bottom"/>
          </w:tcPr>
          <w:p>
            <w:pPr>
              <w:spacing w:after="0"/>
              <w:rPr>
                <w:sz w:val="11"/>
                <w:szCs w:val="11"/>
                <w:color w:val="auto"/>
              </w:rPr>
            </w:pPr>
          </w:p>
        </w:tc>
        <w:tc>
          <w:tcPr>
            <w:tcW w:w="1000" w:type="dxa"/>
            <w:vAlign w:val="bottom"/>
            <w:vMerge w:val="restart"/>
          </w:tcPr>
          <w:p>
            <w:pPr>
              <w:jc w:val="center"/>
              <w:ind w:right="6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1"/>
                <w:szCs w:val="11"/>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color w:val="auto"/>
              </w:rPr>
              <w:t>Level 2</w:t>
            </w:r>
          </w:p>
        </w:tc>
        <w:tc>
          <w:tcPr>
            <w:tcW w:w="340" w:type="dxa"/>
            <w:vAlign w:val="bottom"/>
          </w:tcPr>
          <w:p>
            <w:pPr>
              <w:spacing w:after="0"/>
              <w:rPr>
                <w:sz w:val="11"/>
                <w:szCs w:val="11"/>
                <w:color w:val="auto"/>
              </w:rPr>
            </w:pPr>
          </w:p>
        </w:tc>
        <w:tc>
          <w:tcPr>
            <w:tcW w:w="1040" w:type="dxa"/>
            <w:vAlign w:val="bottom"/>
            <w:vMerge w:val="restart"/>
          </w:tcPr>
          <w:p>
            <w:pPr>
              <w:jc w:val="center"/>
              <w:ind w:right="268"/>
              <w:spacing w:after="0"/>
              <w:rPr>
                <w:sz w:val="20"/>
                <w:szCs w:val="20"/>
                <w:color w:val="auto"/>
              </w:rPr>
            </w:pPr>
            <w:r>
              <w:rPr>
                <w:rFonts w:ascii="Arial" w:cs="Arial" w:eastAsia="Arial" w:hAnsi="Arial"/>
                <w:sz w:val="14"/>
                <w:szCs w:val="14"/>
                <w:color w:val="auto"/>
              </w:rPr>
              <w:t>Level 3</w:t>
            </w: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Measured at Fair</w:t>
            </w: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48"/>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89"/>
        </w:trPr>
        <w:tc>
          <w:tcPr>
            <w:tcW w:w="4980" w:type="dxa"/>
            <w:vAlign w:val="bottom"/>
            <w:shd w:val="clear" w:color="auto" w:fill="CEFFE7"/>
          </w:tcPr>
          <w:p>
            <w:pPr>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8,165</w:t>
            </w:r>
          </w:p>
        </w:tc>
        <w:tc>
          <w:tcPr>
            <w:tcW w:w="32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EFFE7"/>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8,165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8,165</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20"/>
                <w:szCs w:val="20"/>
                <w:color w:val="auto"/>
              </w:rPr>
            </w:pPr>
            <w:r>
              <w:rPr>
                <w:rFonts w:ascii="Arial" w:cs="Arial" w:eastAsia="Arial" w:hAnsi="Arial"/>
                <w:sz w:val="14"/>
                <w:szCs w:val="14"/>
                <w:color w:val="auto"/>
              </w:rPr>
              <w:t>Total investments measured at fair value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8,165</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Non-pension Defined Benefit Postretirement Healthcare Plan</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December 31, 2019</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28"/>
              <w:spacing w:after="0" w:line="147" w:lineRule="exact"/>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28"/>
              <w:spacing w:after="0" w:line="135" w:lineRule="exact"/>
              <w:rPr>
                <w:sz w:val="20"/>
                <w:szCs w:val="20"/>
                <w:color w:val="auto"/>
              </w:rPr>
            </w:pPr>
            <w:r>
              <w:rPr>
                <w:rFonts w:ascii="Arial" w:cs="Arial" w:eastAsia="Arial" w:hAnsi="Arial"/>
                <w:sz w:val="14"/>
                <w:szCs w:val="14"/>
                <w:color w:val="auto"/>
              </w:rPr>
              <w:t>Investments</w:t>
            </w:r>
          </w:p>
        </w:tc>
        <w:tc>
          <w:tcPr>
            <w:tcW w:w="200" w:type="dxa"/>
            <w:vAlign w:val="bottom"/>
          </w:tcPr>
          <w:p>
            <w:pPr>
              <w:spacing w:after="0"/>
              <w:rPr>
                <w:sz w:val="11"/>
                <w:szCs w:val="11"/>
                <w:color w:val="auto"/>
              </w:rPr>
            </w:pPr>
          </w:p>
        </w:tc>
        <w:tc>
          <w:tcPr>
            <w:tcW w:w="1000" w:type="dxa"/>
            <w:vAlign w:val="bottom"/>
            <w:vMerge w:val="restart"/>
          </w:tcPr>
          <w:p>
            <w:pPr>
              <w:jc w:val="center"/>
              <w:ind w:right="6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1"/>
                <w:szCs w:val="11"/>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color w:val="auto"/>
              </w:rPr>
              <w:t>Level 2</w:t>
            </w:r>
          </w:p>
        </w:tc>
        <w:tc>
          <w:tcPr>
            <w:tcW w:w="340" w:type="dxa"/>
            <w:vAlign w:val="bottom"/>
          </w:tcPr>
          <w:p>
            <w:pPr>
              <w:spacing w:after="0"/>
              <w:rPr>
                <w:sz w:val="11"/>
                <w:szCs w:val="11"/>
                <w:color w:val="auto"/>
              </w:rPr>
            </w:pPr>
          </w:p>
        </w:tc>
        <w:tc>
          <w:tcPr>
            <w:tcW w:w="1040" w:type="dxa"/>
            <w:vAlign w:val="bottom"/>
            <w:vMerge w:val="restart"/>
          </w:tcPr>
          <w:p>
            <w:pPr>
              <w:jc w:val="center"/>
              <w:ind w:right="268"/>
              <w:spacing w:after="0"/>
              <w:rPr>
                <w:sz w:val="20"/>
                <w:szCs w:val="20"/>
                <w:color w:val="auto"/>
              </w:rPr>
            </w:pPr>
            <w:r>
              <w:rPr>
                <w:rFonts w:ascii="Arial" w:cs="Arial" w:eastAsia="Arial" w:hAnsi="Arial"/>
                <w:sz w:val="14"/>
                <w:szCs w:val="14"/>
                <w:color w:val="auto"/>
              </w:rPr>
              <w:t>Level 3</w:t>
            </w: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Measured at Fair</w:t>
            </w: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Value</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83"/>
        </w:trPr>
        <w:tc>
          <w:tcPr>
            <w:tcW w:w="4980" w:type="dxa"/>
            <w:vAlign w:val="bottom"/>
            <w:shd w:val="clear" w:color="auto" w:fill="CEFFE7"/>
          </w:tcPr>
          <w:p>
            <w:pPr>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8,305</w:t>
            </w:r>
          </w:p>
        </w:tc>
        <w:tc>
          <w:tcPr>
            <w:tcW w:w="32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EFFE7"/>
          </w:tcPr>
          <w:p>
            <w:pPr>
              <w:ind w:left="7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EFFE7"/>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8,305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8,305</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20"/>
                <w:szCs w:val="20"/>
                <w:color w:val="auto"/>
              </w:rPr>
            </w:pPr>
            <w:r>
              <w:rPr>
                <w:rFonts w:ascii="Arial" w:cs="Arial" w:eastAsia="Arial" w:hAnsi="Arial"/>
                <w:sz w:val="14"/>
                <w:szCs w:val="14"/>
                <w:color w:val="auto"/>
              </w:rPr>
              <w:t>Total investments measured at fair value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8,305</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8,305</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assets of the benefit plans, including methods and assumptions used to estimate the fair value of these assets, is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Pension Plan</w:t>
      </w:r>
    </w:p>
    <w:p>
      <w:pPr>
        <w:spacing w:after="0" w:line="23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 xml:space="preserve">Common Collective Trust Funds: </w:t>
      </w:r>
      <w:r>
        <w:rPr>
          <w:rFonts w:ascii="Arial" w:cs="Arial" w:eastAsia="Arial" w:hAnsi="Arial"/>
          <w:sz w:val="16"/>
          <w:szCs w:val="16"/>
          <w:color w:val="auto"/>
        </w:rPr>
        <w:t>These funds are valued based upon the redemption price of units held by the Plan, which is based on the current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common collective trust funds’ underlying assets. Unit values are determined by the financial institution sponsoring such funds by dividing the fund’s net assets at fair value by its units outstanding at the valuation dates. The Plan’s investments in common collective trust funds, with the exception of shares of the common collective trust-real estate are categorized as Level 2.</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i w:val="1"/>
          <w:iCs w:val="1"/>
          <w:color w:val="auto"/>
        </w:rPr>
        <w:t>Common Collective Trust-Real Estate Funds</w:t>
      </w:r>
      <w:r>
        <w:rPr>
          <w:rFonts w:ascii="Arial" w:cs="Arial" w:eastAsia="Arial" w:hAnsi="Arial"/>
          <w:sz w:val="16"/>
          <w:szCs w:val="16"/>
          <w:color w:val="auto"/>
        </w:rPr>
        <w:t>: These funds are valued based on various factors of the underlying real estate properties, including market</w:t>
      </w:r>
      <w:r>
        <w:rPr>
          <w:rFonts w:ascii="Arial" w:cs="Arial" w:eastAsia="Arial" w:hAnsi="Arial"/>
          <w:sz w:val="16"/>
          <w:szCs w:val="16"/>
          <w:i w:val="1"/>
          <w:iCs w:val="1"/>
          <w:color w:val="auto"/>
        </w:rPr>
        <w:t xml:space="preserve"> </w:t>
      </w:r>
      <w:r>
        <w:rPr>
          <w:rFonts w:ascii="Arial" w:cs="Arial" w:eastAsia="Arial" w:hAnsi="Arial"/>
          <w:sz w:val="16"/>
          <w:szCs w:val="16"/>
          <w:color w:val="auto"/>
        </w:rPr>
        <w:t>rent, market rent growth, occupancy levels, etc. As part of the trustee’s valuation process, properties are externally appraised generally on an annual basis. The appraisals are conducted by reputable independent appraisal firms and signed by appraisers that are members of the Appraisal Institute, with professional designation of Member, Appraisal Institute. All external appraisals are performed in accordance with the Uniform Standards of Professional Appraisal Practices. We receive monthly statements from the trustee, along with the annual schedule of investments and rely on these reports for pricing the units of the fund. Some of the funds without participant withdrawal limitations are categorized as Level 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investments are measured at NAV and are not classified in the fair value hierarchy, in accordance with accounting guidance:</w:t>
      </w:r>
    </w:p>
    <w:p>
      <w:pPr>
        <w:spacing w:after="0" w:line="165" w:lineRule="exact"/>
        <w:rPr>
          <w:sz w:val="20"/>
          <w:szCs w:val="20"/>
          <w:color w:val="auto"/>
        </w:rPr>
      </w:pPr>
    </w:p>
    <w:p>
      <w:pPr>
        <w:ind w:left="340" w:right="460"/>
        <w:spacing w:after="0" w:line="281" w:lineRule="auto"/>
        <w:rPr>
          <w:sz w:val="20"/>
          <w:szCs w:val="20"/>
          <w:color w:val="auto"/>
        </w:rPr>
      </w:pPr>
      <w:r>
        <w:rPr>
          <w:rFonts w:ascii="Arial" w:cs="Arial" w:eastAsia="Arial" w:hAnsi="Arial"/>
          <w:sz w:val="16"/>
          <w:szCs w:val="16"/>
          <w:i w:val="1"/>
          <w:iCs w:val="1"/>
          <w:color w:val="auto"/>
        </w:rPr>
        <w:t>Common Collective Trust-Real Estate Fund</w:t>
      </w:r>
      <w:r>
        <w:rPr>
          <w:rFonts w:ascii="Arial" w:cs="Arial" w:eastAsia="Arial" w:hAnsi="Arial"/>
          <w:sz w:val="16"/>
          <w:szCs w:val="16"/>
          <w:color w:val="auto"/>
        </w:rPr>
        <w:t>: This is the same fund as above except that certain of the funds’ assets contain participant withdrawal</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with restrictions on redemption and are therefore not included in the fair value hierarchy.</w:t>
      </w:r>
    </w:p>
    <w:p>
      <w:pPr>
        <w:spacing w:after="0" w:line="136" w:lineRule="exact"/>
        <w:rPr>
          <w:sz w:val="20"/>
          <w:szCs w:val="20"/>
          <w:color w:val="auto"/>
        </w:rPr>
      </w:pPr>
    </w:p>
    <w:p>
      <w:pPr>
        <w:ind w:left="340" w:right="20"/>
        <w:spacing w:after="0" w:line="253" w:lineRule="auto"/>
        <w:rPr>
          <w:sz w:val="20"/>
          <w:szCs w:val="20"/>
          <w:color w:val="auto"/>
        </w:rPr>
      </w:pPr>
      <w:r>
        <w:rPr>
          <w:rFonts w:ascii="Arial" w:cs="Arial" w:eastAsia="Arial" w:hAnsi="Arial"/>
          <w:sz w:val="16"/>
          <w:szCs w:val="16"/>
          <w:i w:val="1"/>
          <w:iCs w:val="1"/>
          <w:color w:val="auto"/>
        </w:rPr>
        <w:t xml:space="preserve">Hedge Funds: </w:t>
      </w:r>
      <w:r>
        <w:rPr>
          <w:rFonts w:ascii="Arial" w:cs="Arial" w:eastAsia="Arial" w:hAnsi="Arial"/>
          <w:sz w:val="16"/>
          <w:szCs w:val="16"/>
          <w:color w:val="auto"/>
        </w:rPr>
        <w:t>These funds represent investments in other investment funds that seek a return utilizing a number of diverse investment strategies.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when combined, aim to reduce volatility and risk while attempting to deliver positive returns under all market conditions. Amounts are reported on a one-month lag. The fair value of hedge funds is determined using net asset value per share based on the fair value of the hedge fund’s underlying investments. 10% of the shares may be redeemed at the end of each month with a 15-day notice and full redemptions are available at the end of each quarter with 60-day notice and is limited to a percentage of the total net assets value of the fund. The net asset values are based on the fair value of each fund’s underlying investments. There are no unfunded commitments related to these hedge funds.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Non-pension Defined Benefit Postretirement Healthcare Plan</w:t>
      </w:r>
    </w:p>
    <w:p>
      <w:pPr>
        <w:spacing w:after="0" w:line="232"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This represents an investment in Northern Institutional Government Assets Portfolio, which is a government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 As shares held reflect quoted prices in an active market, they are categorized as Level 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Plan Information</w:t>
      </w:r>
    </w:p>
    <w:p>
      <w:pPr>
        <w:spacing w:after="0" w:line="26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following tables provide a reconciliation of the employee benefit plan obligations and fair value of employee benefit plan assets, amounts recognized in the Consolidated Balance Sheets, accumulated benefit obligation, and reconciliation of components of the net periodic expense and elements of AOCI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gridSpan w:val="3"/>
          </w:tcPr>
          <w:p>
            <w:pPr>
              <w:spacing w:after="0"/>
              <w:rPr>
                <w:sz w:val="20"/>
                <w:szCs w:val="20"/>
                <w:color w:val="auto"/>
              </w:rPr>
            </w:pPr>
            <w:r>
              <w:rPr>
                <w:rFonts w:ascii="Arial" w:cs="Arial" w:eastAsia="Arial" w:hAnsi="Arial"/>
                <w:sz w:val="16"/>
                <w:szCs w:val="16"/>
                <w:color w:val="auto"/>
              </w:rPr>
              <w:t>Employee Benefit Plan Obligations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center"/>
              <w:ind w:right="139"/>
              <w:spacing w:after="0"/>
              <w:rPr>
                <w:sz w:val="20"/>
                <w:szCs w:val="20"/>
                <w:color w:val="auto"/>
              </w:rPr>
            </w:pPr>
            <w:r>
              <w:rPr>
                <w:rFonts w:ascii="Arial" w:cs="Arial" w:eastAsia="Arial" w:hAnsi="Arial"/>
                <w:sz w:val="16"/>
                <w:szCs w:val="16"/>
                <w:color w:val="auto"/>
              </w:rPr>
              <w:t>Supplemental Non-qualified</w:t>
            </w:r>
          </w:p>
        </w:tc>
        <w:tc>
          <w:tcPr>
            <w:tcW w:w="2260" w:type="dxa"/>
            <w:vAlign w:val="bottom"/>
            <w:gridSpan w:val="4"/>
          </w:tcPr>
          <w:p>
            <w:pPr>
              <w:jc w:val="center"/>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right"/>
              <w:ind w:right="159"/>
              <w:spacing w:after="0" w:line="162" w:lineRule="exact"/>
              <w:rPr>
                <w:sz w:val="20"/>
                <w:szCs w:val="20"/>
                <w:color w:val="auto"/>
              </w:rPr>
            </w:pPr>
            <w:r>
              <w:rPr>
                <w:rFonts w:ascii="Arial" w:cs="Arial" w:eastAsia="Arial" w:hAnsi="Arial"/>
                <w:sz w:val="16"/>
                <w:szCs w:val="16"/>
                <w:color w:val="auto"/>
              </w:rPr>
              <w:t>Defined Benefit Pension</w:t>
            </w:r>
          </w:p>
        </w:tc>
        <w:tc>
          <w:tcPr>
            <w:tcW w:w="220" w:type="dxa"/>
            <w:vAlign w:val="bottom"/>
          </w:tcPr>
          <w:p>
            <w:pPr>
              <w:spacing w:after="0"/>
              <w:rPr>
                <w:sz w:val="14"/>
                <w:szCs w:val="14"/>
                <w:color w:val="auto"/>
              </w:rPr>
            </w:pPr>
          </w:p>
        </w:tc>
        <w:tc>
          <w:tcPr>
            <w:tcW w:w="1380" w:type="dxa"/>
            <w:vAlign w:val="bottom"/>
            <w:gridSpan w:val="2"/>
          </w:tcPr>
          <w:p>
            <w:pPr>
              <w:jc w:val="center"/>
              <w:ind w:left="579"/>
              <w:spacing w:after="0" w:line="162" w:lineRule="exact"/>
              <w:rPr>
                <w:sz w:val="20"/>
                <w:szCs w:val="20"/>
                <w:color w:val="auto"/>
              </w:rPr>
            </w:pPr>
            <w:r>
              <w:rPr>
                <w:rFonts w:ascii="Arial" w:cs="Arial" w:eastAsia="Arial" w:hAnsi="Arial"/>
                <w:sz w:val="16"/>
                <w:szCs w:val="16"/>
                <w:color w:val="auto"/>
              </w:rPr>
              <w:t>Defined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3"/>
          </w:tcPr>
          <w:p>
            <w:pPr>
              <w:jc w:val="center"/>
              <w:ind w:right="39"/>
              <w:spacing w:after="0" w:line="162" w:lineRule="exact"/>
              <w:rPr>
                <w:sz w:val="20"/>
                <w:szCs w:val="20"/>
                <w:color w:val="auto"/>
              </w:rPr>
            </w:pPr>
            <w:r>
              <w:rPr>
                <w:rFonts w:ascii="Arial" w:cs="Arial" w:eastAsia="Arial" w:hAnsi="Arial"/>
                <w:sz w:val="16"/>
                <w:szCs w:val="16"/>
                <w:color w:val="auto"/>
              </w:rPr>
              <w:t>Postretirement Healthcare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Plan</w:t>
            </w: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color w:val="auto"/>
              </w:rPr>
              <w:t>Benefit Plans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color w:val="auto"/>
                <w:w w:val="99"/>
              </w:rPr>
              <w:t>Plan</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December 31,</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Change in benefit obligation: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Projected benefit obligation at beginning of year</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485,376</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445,381</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54,088</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43,010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65,277</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60,817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Service cost </w:t>
            </w:r>
            <w:r>
              <w:rPr>
                <w:rFonts w:ascii="Arial" w:cs="Arial" w:eastAsia="Arial" w:hAnsi="Arial"/>
                <w:sz w:val="21"/>
                <w:szCs w:val="21"/>
                <w:color w:val="auto"/>
                <w:vertAlign w:val="superscript"/>
              </w:rPr>
              <w:t>(a)</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5,411</w:t>
            </w:r>
          </w:p>
        </w:tc>
        <w:tc>
          <w:tcPr>
            <w:tcW w:w="2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5,383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1,579</w:t>
            </w:r>
          </w:p>
        </w:tc>
        <w:tc>
          <w:tcPr>
            <w:tcW w:w="3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4,995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13,426</w:t>
            </w: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17,374</w:t>
            </w:r>
          </w:p>
        </w:tc>
        <w:tc>
          <w:tcPr>
            <w:tcW w:w="220" w:type="dxa"/>
            <w:vAlign w:val="bottom"/>
            <w:shd w:val="clear" w:color="auto" w:fill="CEFFE7"/>
          </w:tcPr>
          <w:p>
            <w:pPr>
              <w:spacing w:after="0"/>
              <w:rPr>
                <w:sz w:val="18"/>
                <w:szCs w:val="18"/>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1,099</w:t>
            </w:r>
          </w:p>
        </w:tc>
        <w:tc>
          <w:tcPr>
            <w:tcW w:w="340" w:type="dxa"/>
            <w:vAlign w:val="bottom"/>
            <w:shd w:val="clear" w:color="auto" w:fill="CEFFE7"/>
          </w:tcPr>
          <w:p>
            <w:pPr>
              <w:spacing w:after="0"/>
              <w:rPr>
                <w:sz w:val="18"/>
                <w:szCs w:val="18"/>
                <w:color w:val="auto"/>
              </w:rPr>
            </w:pPr>
          </w:p>
        </w:tc>
        <w:tc>
          <w:tcPr>
            <w:tcW w:w="9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1,295</w:t>
            </w:r>
          </w:p>
        </w:tc>
        <w:tc>
          <w:tcPr>
            <w:tcW w:w="18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1,649</w:t>
            </w:r>
          </w:p>
        </w:tc>
        <w:tc>
          <w:tcPr>
            <w:tcW w:w="30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Actuarial (gain) loss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47,064</w:t>
            </w:r>
          </w:p>
        </w:tc>
        <w:tc>
          <w:tcPr>
            <w:tcW w:w="2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56,384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962</w:t>
            </w:r>
          </w:p>
        </w:tc>
        <w:tc>
          <w:tcPr>
            <w:tcW w:w="3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7,132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5,804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5,976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Benefits paid</w:t>
            </w:r>
          </w:p>
        </w:tc>
        <w:tc>
          <w:tcPr>
            <w:tcW w:w="1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(37,269)</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(39,146)</w:t>
            </w:r>
          </w:p>
        </w:tc>
        <w:tc>
          <w:tcPr>
            <w:tcW w:w="22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(2,674)</w:t>
            </w:r>
          </w:p>
        </w:tc>
        <w:tc>
          <w:tcPr>
            <w:tcW w:w="34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(2,344)</w:t>
            </w:r>
          </w:p>
        </w:tc>
        <w:tc>
          <w:tcPr>
            <w:tcW w:w="18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(6,058)</w:t>
            </w:r>
          </w:p>
        </w:tc>
        <w:tc>
          <w:tcPr>
            <w:tcW w:w="30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Plan participants’ contributions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Projected benefit obligation at end of year</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514,008</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485,376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55,054</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54,088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70,238</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65,277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shd w:val="clear" w:color="auto" w:fill="CEFFE7"/>
          </w:tcPr>
          <w:p>
            <w:pPr>
              <w:spacing w:after="0" w:line="20" w:lineRule="exact"/>
              <w:rPr>
                <w:sz w:val="1"/>
                <w:szCs w:val="1"/>
                <w:color w:val="auto"/>
              </w:rPr>
            </w:pPr>
          </w:p>
        </w:tc>
        <w:tc>
          <w:tcPr>
            <w:tcW w:w="1760" w:type="dxa"/>
            <w:vAlign w:val="bottom"/>
            <w:shd w:val="clear" w:color="auto" w:fill="CEFFE7"/>
          </w:tcPr>
          <w:p>
            <w:pPr>
              <w:spacing w:after="0" w:line="20" w:lineRule="exact"/>
              <w:rPr>
                <w:sz w:val="1"/>
                <w:szCs w:val="1"/>
                <w:color w:val="auto"/>
              </w:rPr>
            </w:pPr>
          </w:p>
        </w:tc>
        <w:tc>
          <w:tcPr>
            <w:tcW w:w="160" w:type="dxa"/>
            <w:vAlign w:val="bottom"/>
            <w:shd w:val="clear" w:color="auto" w:fill="CEFFE7"/>
          </w:tcPr>
          <w:p>
            <w:pPr>
              <w:spacing w:after="0" w:line="20" w:lineRule="exact"/>
              <w:rPr>
                <w:sz w:val="1"/>
                <w:szCs w:val="1"/>
                <w:color w:val="auto"/>
              </w:rPr>
            </w:pPr>
          </w:p>
        </w:tc>
        <w:tc>
          <w:tcPr>
            <w:tcW w:w="900" w:type="dxa"/>
            <w:vAlign w:val="bottom"/>
            <w:shd w:val="clear" w:color="auto" w:fill="CEFFE7"/>
          </w:tcPr>
          <w:p>
            <w:pPr>
              <w:spacing w:after="0" w:line="20" w:lineRule="exact"/>
              <w:rPr>
                <w:sz w:val="1"/>
                <w:szCs w:val="1"/>
                <w:color w:val="auto"/>
              </w:rPr>
            </w:pPr>
          </w:p>
        </w:tc>
        <w:tc>
          <w:tcPr>
            <w:tcW w:w="260" w:type="dxa"/>
            <w:vAlign w:val="bottom"/>
            <w:shd w:val="clear" w:color="auto" w:fill="CEFFE7"/>
          </w:tcPr>
          <w:p>
            <w:pPr>
              <w:spacing w:after="0" w:line="20" w:lineRule="exact"/>
              <w:rPr>
                <w:sz w:val="1"/>
                <w:szCs w:val="1"/>
                <w:color w:val="auto"/>
              </w:rPr>
            </w:pPr>
          </w:p>
        </w:tc>
        <w:tc>
          <w:tcPr>
            <w:tcW w:w="860" w:type="dxa"/>
            <w:vAlign w:val="bottom"/>
            <w:shd w:val="clear" w:color="auto" w:fill="CEFFE7"/>
          </w:tcPr>
          <w:p>
            <w:pPr>
              <w:spacing w:after="0" w:line="20" w:lineRule="exact"/>
              <w:rPr>
                <w:sz w:val="1"/>
                <w:szCs w:val="1"/>
                <w:color w:val="auto"/>
              </w:rPr>
            </w:pPr>
          </w:p>
        </w:tc>
        <w:tc>
          <w:tcPr>
            <w:tcW w:w="220" w:type="dxa"/>
            <w:vAlign w:val="bottom"/>
            <w:shd w:val="clear" w:color="auto" w:fill="CEFFE7"/>
          </w:tcPr>
          <w:p>
            <w:pPr>
              <w:spacing w:after="0" w:line="20" w:lineRule="exact"/>
              <w:rPr>
                <w:sz w:val="1"/>
                <w:szCs w:val="1"/>
                <w:color w:val="auto"/>
              </w:rPr>
            </w:pPr>
          </w:p>
        </w:tc>
        <w:tc>
          <w:tcPr>
            <w:tcW w:w="1040" w:type="dxa"/>
            <w:vAlign w:val="bottom"/>
            <w:shd w:val="clear" w:color="auto" w:fill="CEFFE7"/>
          </w:tcPr>
          <w:p>
            <w:pPr>
              <w:spacing w:after="0" w:line="20" w:lineRule="exact"/>
              <w:rPr>
                <w:sz w:val="1"/>
                <w:szCs w:val="1"/>
                <w:color w:val="auto"/>
              </w:rPr>
            </w:pPr>
          </w:p>
        </w:tc>
        <w:tc>
          <w:tcPr>
            <w:tcW w:w="340" w:type="dxa"/>
            <w:vAlign w:val="bottom"/>
            <w:shd w:val="clear" w:color="auto" w:fill="CEFFE7"/>
          </w:tcPr>
          <w:p>
            <w:pPr>
              <w:spacing w:after="0" w:line="20" w:lineRule="exact"/>
              <w:rPr>
                <w:sz w:val="1"/>
                <w:szCs w:val="1"/>
                <w:color w:val="auto"/>
              </w:rPr>
            </w:pPr>
          </w:p>
        </w:tc>
        <w:tc>
          <w:tcPr>
            <w:tcW w:w="920" w:type="dxa"/>
            <w:vAlign w:val="bottom"/>
            <w:shd w:val="clear" w:color="auto" w:fill="CEFFE7"/>
          </w:tcPr>
          <w:p>
            <w:pPr>
              <w:spacing w:after="0" w:line="20" w:lineRule="exact"/>
              <w:rPr>
                <w:sz w:val="1"/>
                <w:szCs w:val="1"/>
                <w:color w:val="auto"/>
              </w:rPr>
            </w:pPr>
          </w:p>
        </w:tc>
        <w:tc>
          <w:tcPr>
            <w:tcW w:w="180" w:type="dxa"/>
            <w:vAlign w:val="bottom"/>
            <w:shd w:val="clear" w:color="auto" w:fill="CEFFE7"/>
          </w:tcPr>
          <w:p>
            <w:pPr>
              <w:spacing w:after="0" w:line="20" w:lineRule="exact"/>
              <w:rPr>
                <w:sz w:val="1"/>
                <w:szCs w:val="1"/>
                <w:color w:val="auto"/>
              </w:rPr>
            </w:pPr>
          </w:p>
        </w:tc>
        <w:tc>
          <w:tcPr>
            <w:tcW w:w="940" w:type="dxa"/>
            <w:vAlign w:val="bottom"/>
            <w:shd w:val="clear" w:color="auto" w:fill="CEFFE7"/>
          </w:tcPr>
          <w:p>
            <w:pPr>
              <w:spacing w:after="0" w:line="20" w:lineRule="exact"/>
              <w:rPr>
                <w:sz w:val="1"/>
                <w:szCs w:val="1"/>
                <w:color w:val="auto"/>
              </w:rPr>
            </w:pPr>
          </w:p>
        </w:tc>
        <w:tc>
          <w:tcPr>
            <w:tcW w:w="300" w:type="dxa"/>
            <w:vAlign w:val="bottom"/>
            <w:shd w:val="clear" w:color="auto" w:fill="CEFFE7"/>
          </w:tcPr>
          <w:p>
            <w:pPr>
              <w:spacing w:after="0" w:line="20" w:lineRule="exact"/>
              <w:rPr>
                <w:sz w:val="1"/>
                <w:szCs w:val="1"/>
                <w:color w:val="auto"/>
              </w:rPr>
            </w:pPr>
          </w:p>
        </w:tc>
        <w:tc>
          <w:tcPr>
            <w:tcW w:w="840" w:type="dxa"/>
            <w:vAlign w:val="bottom"/>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50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720" w:hanging="332"/>
        <w:spacing w:after="0" w:line="258" w:lineRule="auto"/>
        <w:tabs>
          <w:tab w:leader="none" w:pos="352" w:val="left"/>
        </w:tabs>
        <w:numPr>
          <w:ilvl w:val="0"/>
          <w:numId w:val="84"/>
        </w:numPr>
        <w:rPr>
          <w:rFonts w:ascii="Arial" w:cs="Arial" w:eastAsia="Arial" w:hAnsi="Arial"/>
          <w:sz w:val="14"/>
          <w:szCs w:val="14"/>
          <w:color w:val="auto"/>
        </w:rPr>
      </w:pPr>
      <w:r>
        <w:rPr>
          <w:rFonts w:ascii="Arial" w:cs="Arial" w:eastAsia="Arial" w:hAnsi="Arial"/>
          <w:sz w:val="14"/>
          <w:szCs w:val="14"/>
          <w:color w:val="auto"/>
        </w:rPr>
        <w:t>For the year ended December 31, 2020, Service Cost for the Supplemental Non-qualified Defined Benefit Plans includes a $1.4 million correction of a prior year overstatement of Projected benefit obligation. Due to the immaterial nature of this correction, the prior year information was not revised.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Fair Value Employee Benefit Plan Assets</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06"/>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jc w:val="center"/>
              <w:ind w:right="119"/>
              <w:spacing w:after="0"/>
              <w:rPr>
                <w:sz w:val="20"/>
                <w:szCs w:val="20"/>
                <w:color w:val="auto"/>
              </w:rPr>
            </w:pPr>
            <w:r>
              <w:rPr>
                <w:rFonts w:ascii="Arial" w:cs="Arial" w:eastAsia="Arial" w:hAnsi="Arial"/>
                <w:sz w:val="16"/>
                <w:szCs w:val="16"/>
                <w:color w:val="auto"/>
              </w:rPr>
              <w:t>Supplemental Non-qualified</w:t>
            </w:r>
          </w:p>
        </w:tc>
        <w:tc>
          <w:tcPr>
            <w:tcW w:w="2260" w:type="dxa"/>
            <w:vAlign w:val="bottom"/>
            <w:gridSpan w:val="4"/>
          </w:tcPr>
          <w:p>
            <w:pPr>
              <w:jc w:val="right"/>
              <w:spacing w:after="0"/>
              <w:rPr>
                <w:sz w:val="20"/>
                <w:szCs w:val="20"/>
                <w:color w:val="auto"/>
              </w:rPr>
            </w:pPr>
            <w:r>
              <w:rPr>
                <w:rFonts w:ascii="Arial" w:cs="Arial" w:eastAsia="Arial" w:hAnsi="Arial"/>
                <w:sz w:val="16"/>
                <w:szCs w:val="16"/>
                <w:color w:val="auto"/>
              </w:rPr>
              <w:t>Non-pension Defined Benefit</w:t>
            </w:r>
          </w:p>
        </w:tc>
      </w:tr>
      <w:tr>
        <w:trPr>
          <w:trHeight w:val="147"/>
        </w:trPr>
        <w:tc>
          <w:tcPr>
            <w:tcW w:w="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3"/>
          </w:tcPr>
          <w:p>
            <w:pPr>
              <w:jc w:val="right"/>
              <w:ind w:right="479"/>
              <w:spacing w:after="0" w:line="147" w:lineRule="exact"/>
              <w:rPr>
                <w:sz w:val="20"/>
                <w:szCs w:val="20"/>
                <w:color w:val="auto"/>
              </w:rPr>
            </w:pPr>
            <w:r>
              <w:rPr>
                <w:rFonts w:ascii="Arial" w:cs="Arial" w:eastAsia="Arial" w:hAnsi="Arial"/>
                <w:sz w:val="16"/>
                <w:szCs w:val="16"/>
                <w:color w:val="auto"/>
              </w:rPr>
              <w:t>Defined Benefit</w:t>
            </w:r>
          </w:p>
        </w:tc>
        <w:tc>
          <w:tcPr>
            <w:tcW w:w="220" w:type="dxa"/>
            <w:vAlign w:val="bottom"/>
          </w:tcPr>
          <w:p>
            <w:pPr>
              <w:spacing w:after="0"/>
              <w:rPr>
                <w:sz w:val="12"/>
                <w:szCs w:val="12"/>
                <w:color w:val="auto"/>
              </w:rPr>
            </w:pPr>
          </w:p>
        </w:tc>
        <w:tc>
          <w:tcPr>
            <w:tcW w:w="1380" w:type="dxa"/>
            <w:vAlign w:val="bottom"/>
          </w:tcPr>
          <w:p>
            <w:pPr>
              <w:jc w:val="center"/>
              <w:ind w:left="579"/>
              <w:spacing w:after="0" w:line="147" w:lineRule="exact"/>
              <w:rPr>
                <w:sz w:val="20"/>
                <w:szCs w:val="20"/>
                <w:color w:val="auto"/>
              </w:rPr>
            </w:pPr>
            <w:r>
              <w:rPr>
                <w:rFonts w:ascii="Arial" w:cs="Arial" w:eastAsia="Arial" w:hAnsi="Arial"/>
                <w:sz w:val="16"/>
                <w:szCs w:val="16"/>
                <w:color w:val="auto"/>
              </w:rPr>
              <w:t>Defined</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3"/>
          </w:tcPr>
          <w:p>
            <w:pPr>
              <w:jc w:val="right"/>
              <w:ind w:right="83"/>
              <w:spacing w:after="0" w:line="147" w:lineRule="exact"/>
              <w:rPr>
                <w:sz w:val="20"/>
                <w:szCs w:val="20"/>
                <w:color w:val="auto"/>
              </w:rPr>
            </w:pPr>
            <w:r>
              <w:rPr>
                <w:rFonts w:ascii="Arial" w:cs="Arial" w:eastAsia="Arial" w:hAnsi="Arial"/>
                <w:sz w:val="16"/>
                <w:szCs w:val="16"/>
                <w:color w:val="auto"/>
              </w:rPr>
              <w:t>Postretirement Healthcare</w:t>
            </w:r>
          </w:p>
        </w:tc>
      </w:tr>
      <w:tr>
        <w:trPr>
          <w:trHeight w:val="213"/>
        </w:trPr>
        <w:tc>
          <w:tcPr>
            <w:tcW w:w="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color w:val="auto"/>
              </w:rPr>
              <w:t>Pension Plan</w:t>
            </w: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6"/>
                <w:szCs w:val="16"/>
                <w:color w:val="auto"/>
              </w:rPr>
              <w:t>Benefit Plans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Plan</w:t>
            </w:r>
          </w:p>
        </w:tc>
        <w:tc>
          <w:tcPr>
            <w:tcW w:w="1000" w:type="dxa"/>
            <w:vAlign w:val="bottom"/>
            <w:tcBorders>
              <w:bottom w:val="single" w:sz="8" w:color="auto"/>
            </w:tcBorders>
          </w:tcPr>
          <w:p>
            <w:pPr>
              <w:jc w:val="right"/>
              <w:ind w:right="783"/>
              <w:spacing w:after="0" w:line="125" w:lineRule="exact"/>
              <w:rPr>
                <w:sz w:val="20"/>
                <w:szCs w:val="20"/>
                <w:color w:val="auto"/>
              </w:rPr>
            </w:pPr>
            <w:r>
              <w:rPr>
                <w:rFonts w:ascii="Arial" w:cs="Arial" w:eastAsia="Arial" w:hAnsi="Arial"/>
                <w:sz w:val="11"/>
                <w:szCs w:val="11"/>
                <w:color w:val="auto"/>
                <w:w w:val="88"/>
              </w:rPr>
              <w:t>(a)</w:t>
            </w:r>
          </w:p>
        </w:tc>
      </w:tr>
      <w:tr>
        <w:trPr>
          <w:trHeight w:val="210"/>
        </w:trPr>
        <w:tc>
          <w:tcPr>
            <w:tcW w:w="40" w:type="dxa"/>
            <w:vAlign w:val="bottom"/>
          </w:tcPr>
          <w:p>
            <w:pPr>
              <w:spacing w:after="0"/>
              <w:rPr>
                <w:sz w:val="18"/>
                <w:szCs w:val="18"/>
                <w:color w:val="auto"/>
              </w:rPr>
            </w:pP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w:t>
            </w:r>
          </w:p>
        </w:tc>
        <w:tc>
          <w:tcPr>
            <w:tcW w:w="1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2020</w:t>
            </w: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2019</w:t>
            </w:r>
          </w:p>
        </w:tc>
      </w:tr>
      <w:tr>
        <w:trPr>
          <w:trHeight w:val="209"/>
        </w:trPr>
        <w:tc>
          <w:tcPr>
            <w:tcW w:w="4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Change in fair value of plan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Beginning fair value of plan assets</w:t>
            </w:r>
          </w:p>
        </w:tc>
        <w:tc>
          <w:tcPr>
            <w:tcW w:w="1560" w:type="dxa"/>
            <w:vAlign w:val="bottom"/>
            <w:gridSpan w:val="2"/>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434,284</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390,796</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EFFE7"/>
          </w:tcPr>
          <w:p>
            <w:pPr>
              <w:ind w:left="800"/>
              <w:spacing w:after="0"/>
              <w:rPr>
                <w:sz w:val="20"/>
                <w:szCs w:val="20"/>
                <w:color w:val="auto"/>
              </w:rPr>
            </w:pPr>
            <w:r>
              <w:rPr>
                <w:rFonts w:ascii="Arial" w:cs="Arial" w:eastAsia="Arial" w:hAnsi="Arial"/>
                <w:sz w:val="16"/>
                <w:szCs w:val="16"/>
                <w:color w:val="auto"/>
              </w:rPr>
              <w:t>— $</w:t>
            </w:r>
          </w:p>
        </w:tc>
        <w:tc>
          <w:tcPr>
            <w:tcW w:w="9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8,305</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ind w:right="3"/>
              <w:spacing w:after="0"/>
              <w:rPr>
                <w:sz w:val="20"/>
                <w:szCs w:val="20"/>
                <w:color w:val="auto"/>
              </w:rPr>
            </w:pPr>
            <w:r>
              <w:rPr>
                <w:rFonts w:ascii="Arial" w:cs="Arial" w:eastAsia="Arial" w:hAnsi="Arial"/>
                <w:sz w:val="16"/>
                <w:szCs w:val="16"/>
                <w:color w:val="auto"/>
              </w:rPr>
              <w:t>8,162</w:t>
            </w:r>
          </w:p>
        </w:tc>
      </w:tr>
      <w:tr>
        <w:trPr>
          <w:trHeight w:val="213"/>
        </w:trPr>
        <w:tc>
          <w:tcPr>
            <w:tcW w:w="4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Investment income (loss)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64,006</w:t>
            </w: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69,934</w:t>
            </w:r>
          </w:p>
        </w:tc>
        <w:tc>
          <w:tcPr>
            <w:tcW w:w="220" w:type="dxa"/>
            <w:vAlign w:val="bottom"/>
          </w:tcPr>
          <w:p>
            <w:pPr>
              <w:spacing w:after="0"/>
              <w:rPr>
                <w:sz w:val="18"/>
                <w:szCs w:val="18"/>
                <w:color w:val="auto"/>
              </w:rPr>
            </w:pPr>
          </w:p>
        </w:tc>
        <w:tc>
          <w:tcPr>
            <w:tcW w:w="1380" w:type="dxa"/>
            <w:vAlign w:val="bottom"/>
          </w:tcPr>
          <w:p>
            <w:pPr>
              <w:ind w:left="8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260</w:t>
            </w:r>
          </w:p>
        </w:tc>
      </w:tr>
      <w:tr>
        <w:trPr>
          <w:trHeight w:val="219"/>
        </w:trPr>
        <w:tc>
          <w:tcPr>
            <w:tcW w:w="40" w:type="dxa"/>
            <w:vAlign w:val="bottom"/>
          </w:tcPr>
          <w:p>
            <w:pPr>
              <w:spacing w:after="0"/>
              <w:rPr>
                <w:sz w:val="19"/>
                <w:szCs w:val="19"/>
                <w:color w:val="auto"/>
              </w:rPr>
            </w:pPr>
          </w:p>
        </w:tc>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Employer contributions</w:t>
            </w:r>
          </w:p>
        </w:tc>
        <w:tc>
          <w:tcPr>
            <w:tcW w:w="13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12,700</w:t>
            </w:r>
          </w:p>
        </w:tc>
        <w:tc>
          <w:tcPr>
            <w:tcW w:w="240" w:type="dxa"/>
            <w:vAlign w:val="bottom"/>
            <w:shd w:val="clear" w:color="auto" w:fill="CEFFE7"/>
          </w:tcPr>
          <w:p>
            <w:pPr>
              <w:spacing w:after="0"/>
              <w:rPr>
                <w:sz w:val="19"/>
                <w:szCs w:val="19"/>
                <w:color w:val="auto"/>
              </w:rPr>
            </w:pPr>
          </w:p>
        </w:tc>
        <w:tc>
          <w:tcPr>
            <w:tcW w:w="8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12,700</w:t>
            </w:r>
          </w:p>
        </w:tc>
        <w:tc>
          <w:tcPr>
            <w:tcW w:w="220" w:type="dxa"/>
            <w:vAlign w:val="bottom"/>
            <w:shd w:val="clear" w:color="auto" w:fill="CEFFE7"/>
          </w:tcPr>
          <w:p>
            <w:pPr>
              <w:spacing w:after="0"/>
              <w:rPr>
                <w:sz w:val="19"/>
                <w:szCs w:val="19"/>
                <w:color w:val="auto"/>
              </w:rPr>
            </w:pPr>
          </w:p>
        </w:tc>
        <w:tc>
          <w:tcPr>
            <w:tcW w:w="1380" w:type="dxa"/>
            <w:vAlign w:val="bottom"/>
            <w:shd w:val="clear" w:color="auto" w:fill="CEFFE7"/>
          </w:tcPr>
          <w:p>
            <w:pPr>
              <w:ind w:left="560"/>
              <w:spacing w:after="0"/>
              <w:rPr>
                <w:sz w:val="20"/>
                <w:szCs w:val="20"/>
                <w:color w:val="auto"/>
              </w:rPr>
            </w:pPr>
            <w:r>
              <w:rPr>
                <w:rFonts w:ascii="Arial" w:cs="Arial" w:eastAsia="Arial" w:hAnsi="Arial"/>
                <w:sz w:val="16"/>
                <w:szCs w:val="16"/>
                <w:color w:val="auto"/>
              </w:rPr>
              <w:t>2,674</w:t>
            </w:r>
          </w:p>
        </w:tc>
        <w:tc>
          <w:tcPr>
            <w:tcW w:w="9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2,344</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4,374</w:t>
            </w:r>
          </w:p>
        </w:tc>
        <w:tc>
          <w:tcPr>
            <w:tcW w:w="120" w:type="dxa"/>
            <w:vAlign w:val="bottom"/>
            <w:shd w:val="clear" w:color="auto" w:fill="CEFFE7"/>
          </w:tcPr>
          <w:p>
            <w:pPr>
              <w:spacing w:after="0"/>
              <w:rPr>
                <w:sz w:val="19"/>
                <w:szCs w:val="19"/>
                <w:color w:val="auto"/>
              </w:rPr>
            </w:pPr>
          </w:p>
        </w:tc>
        <w:tc>
          <w:tcPr>
            <w:tcW w:w="1000" w:type="dxa"/>
            <w:vAlign w:val="bottom"/>
            <w:shd w:val="clear" w:color="auto" w:fill="CEFFE7"/>
          </w:tcPr>
          <w:p>
            <w:pPr>
              <w:jc w:val="right"/>
              <w:ind w:right="3"/>
              <w:spacing w:after="0"/>
              <w:rPr>
                <w:sz w:val="20"/>
                <w:szCs w:val="20"/>
                <w:color w:val="auto"/>
              </w:rPr>
            </w:pPr>
            <w:r>
              <w:rPr>
                <w:rFonts w:ascii="Arial" w:cs="Arial" w:eastAsia="Arial" w:hAnsi="Arial"/>
                <w:sz w:val="16"/>
                <w:szCs w:val="16"/>
                <w:color w:val="auto"/>
              </w:rPr>
              <w:t>5,461</w:t>
            </w:r>
          </w:p>
        </w:tc>
      </w:tr>
      <w:tr>
        <w:trPr>
          <w:trHeight w:val="213"/>
        </w:trPr>
        <w:tc>
          <w:tcPr>
            <w:tcW w:w="4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Retiree contributions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ind w:left="8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1,455</w:t>
            </w:r>
          </w:p>
        </w:tc>
      </w:tr>
      <w:tr>
        <w:trPr>
          <w:trHeight w:val="216"/>
        </w:trPr>
        <w:tc>
          <w:tcPr>
            <w:tcW w:w="40" w:type="dxa"/>
            <w:vAlign w:val="bottom"/>
          </w:tcPr>
          <w:p>
            <w:pPr>
              <w:spacing w:after="0"/>
              <w:rPr>
                <w:sz w:val="18"/>
                <w:szCs w:val="18"/>
                <w:color w:val="auto"/>
              </w:rPr>
            </w:pPr>
          </w:p>
        </w:tc>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Benefits paid</w:t>
            </w:r>
          </w:p>
        </w:tc>
        <w:tc>
          <w:tcPr>
            <w:tcW w:w="1340" w:type="dxa"/>
            <w:vAlign w:val="bottom"/>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(37,269)</w:t>
            </w:r>
          </w:p>
        </w:tc>
        <w:tc>
          <w:tcPr>
            <w:tcW w:w="24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(39,146)</w:t>
            </w:r>
          </w:p>
        </w:tc>
        <w:tc>
          <w:tcPr>
            <w:tcW w:w="22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(2,674)</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(2,344)</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(6,058)</w:t>
            </w:r>
          </w:p>
        </w:tc>
        <w:tc>
          <w:tcPr>
            <w:tcW w:w="1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(7,033)</w:t>
            </w:r>
          </w:p>
        </w:tc>
      </w:tr>
      <w:tr>
        <w:trPr>
          <w:trHeight w:val="213"/>
        </w:trPr>
        <w:tc>
          <w:tcPr>
            <w:tcW w:w="4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Ending fair value of plan assets</w:t>
            </w: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473,721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434,284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ind w:left="800"/>
              <w:spacing w:after="0"/>
              <w:rPr>
                <w:sz w:val="20"/>
                <w:szCs w:val="20"/>
                <w:color w:val="auto"/>
              </w:rPr>
            </w:pPr>
            <w:r>
              <w:rPr>
                <w:rFonts w:ascii="Arial" w:cs="Arial" w:eastAsia="Arial" w:hAnsi="Arial"/>
                <w:sz w:val="16"/>
                <w:szCs w:val="16"/>
                <w:color w:val="auto"/>
              </w:rPr>
              <w:t>—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8,165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8,305</w:t>
            </w: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Assets of VEBA trusts.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In 2012, we froze our Pension Plan and closed it to new participants. Since then, we have implemented various de-risking strategies including lump sum buyouts, the purchase of annuities and the reduction of return-seeking assets over time to a more liability-hedged portfolio. As a result, recent capital markets volatility driven by the COVID-19 pandemic did not materially affect our unfunded status.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gridSpan w:val="10"/>
          </w:tcPr>
          <w:p>
            <w:pPr>
              <w:spacing w:after="0"/>
              <w:rPr>
                <w:sz w:val="20"/>
                <w:szCs w:val="20"/>
                <w:color w:val="auto"/>
              </w:rPr>
            </w:pPr>
            <w:r>
              <w:rPr>
                <w:rFonts w:ascii="Arial" w:cs="Arial" w:eastAsia="Arial" w:hAnsi="Arial"/>
                <w:sz w:val="16"/>
                <w:szCs w:val="16"/>
                <w:color w:val="auto"/>
              </w:rPr>
              <w:t>Amounts Recognized in the Consolidated Balance Sheets</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jc w:val="center"/>
              <w:ind w:left="63"/>
              <w:spacing w:after="0"/>
              <w:rPr>
                <w:sz w:val="20"/>
                <w:szCs w:val="20"/>
                <w:color w:val="auto"/>
              </w:rPr>
            </w:pPr>
            <w:r>
              <w:rPr>
                <w:rFonts w:ascii="Arial" w:cs="Arial" w:eastAsia="Arial" w:hAnsi="Arial"/>
                <w:sz w:val="16"/>
                <w:szCs w:val="16"/>
                <w:color w:val="auto"/>
              </w:rPr>
              <w:t>Supplemental</w:t>
            </w:r>
          </w:p>
        </w:tc>
        <w:tc>
          <w:tcPr>
            <w:tcW w:w="320" w:type="dxa"/>
            <w:vAlign w:val="bottom"/>
          </w:tcPr>
          <w:p>
            <w:pPr>
              <w:spacing w:after="0"/>
              <w:rPr>
                <w:sz w:val="24"/>
                <w:szCs w:val="24"/>
                <w:color w:val="auto"/>
              </w:rPr>
            </w:pPr>
          </w:p>
        </w:tc>
        <w:tc>
          <w:tcPr>
            <w:tcW w:w="2360" w:type="dxa"/>
            <w:vAlign w:val="bottom"/>
            <w:gridSpan w:val="7"/>
          </w:tcPr>
          <w:p>
            <w:pPr>
              <w:jc w:val="center"/>
              <w:ind w:left="103"/>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ind w:left="400"/>
              <w:spacing w:after="0" w:line="162" w:lineRule="exact"/>
              <w:rPr>
                <w:sz w:val="20"/>
                <w:szCs w:val="20"/>
                <w:color w:val="auto"/>
              </w:rPr>
            </w:pPr>
            <w:r>
              <w:rPr>
                <w:rFonts w:ascii="Arial" w:cs="Arial" w:eastAsia="Arial" w:hAnsi="Arial"/>
                <w:sz w:val="16"/>
                <w:szCs w:val="16"/>
                <w:color w:val="auto"/>
              </w:rPr>
              <w:t>Defined Benefit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ind w:left="60"/>
              <w:spacing w:after="0" w:line="162" w:lineRule="exact"/>
              <w:rPr>
                <w:sz w:val="20"/>
                <w:szCs w:val="20"/>
                <w:color w:val="auto"/>
              </w:rPr>
            </w:pPr>
            <w:r>
              <w:rPr>
                <w:rFonts w:ascii="Arial" w:cs="Arial" w:eastAsia="Arial" w:hAnsi="Arial"/>
                <w:sz w:val="16"/>
                <w:szCs w:val="16"/>
                <w:color w:val="auto"/>
              </w:rPr>
              <w:t>Non-qualified Defined Benefit</w:t>
            </w:r>
          </w:p>
        </w:tc>
        <w:tc>
          <w:tcPr>
            <w:tcW w:w="2360" w:type="dxa"/>
            <w:vAlign w:val="bottom"/>
            <w:gridSpan w:val="7"/>
          </w:tcPr>
          <w:p>
            <w:pPr>
              <w:jc w:val="center"/>
              <w:ind w:left="83"/>
              <w:spacing w:after="0" w:line="162" w:lineRule="exact"/>
              <w:rPr>
                <w:sz w:val="20"/>
                <w:szCs w:val="20"/>
                <w:color w:val="auto"/>
              </w:rPr>
            </w:pPr>
            <w:r>
              <w:rPr>
                <w:rFonts w:ascii="Arial" w:cs="Arial" w:eastAsia="Arial" w:hAnsi="Arial"/>
                <w:sz w:val="16"/>
                <w:szCs w:val="16"/>
                <w:color w:val="auto"/>
              </w:rPr>
              <w:t>Postretirement Healthcare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Pension Plan</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right="464"/>
              <w:spacing w:after="0"/>
              <w:rPr>
                <w:sz w:val="20"/>
                <w:szCs w:val="20"/>
                <w:color w:val="auto"/>
              </w:rPr>
            </w:pPr>
            <w:r>
              <w:rPr>
                <w:rFonts w:ascii="Arial" w:cs="Arial" w:eastAsia="Arial" w:hAnsi="Arial"/>
                <w:sz w:val="16"/>
                <w:szCs w:val="16"/>
                <w:color w:val="auto"/>
              </w:rPr>
              <w:t>Plans</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left="303"/>
              <w:spacing w:after="0"/>
              <w:rPr>
                <w:sz w:val="20"/>
                <w:szCs w:val="20"/>
                <w:color w:val="auto"/>
              </w:rPr>
            </w:pPr>
            <w:r>
              <w:rPr>
                <w:rFonts w:ascii="Arial" w:cs="Arial" w:eastAsia="Arial" w:hAnsi="Arial"/>
                <w:sz w:val="16"/>
                <w:szCs w:val="16"/>
                <w:color w:val="auto"/>
                <w:w w:val="99"/>
              </w:rPr>
              <w:t>Plan</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As of December 31,</w:t>
            </w: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6"/>
                <w:szCs w:val="16"/>
                <w:color w:val="auto"/>
              </w:rPr>
              <w:t>2020</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346"/>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Regulatory assets</w:t>
            </w:r>
          </w:p>
        </w:tc>
        <w:tc>
          <w:tcPr>
            <w:tcW w:w="3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420" w:type="dxa"/>
            <w:vAlign w:val="bottom"/>
            <w:gridSpan w:val="3"/>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86,677</w:t>
            </w:r>
          </w:p>
        </w:tc>
        <w:tc>
          <w:tcPr>
            <w:tcW w:w="420" w:type="dxa"/>
            <w:vAlign w:val="bottom"/>
            <w:shd w:val="clear" w:color="auto" w:fill="CEFFE7"/>
          </w:tcPr>
          <w:p>
            <w:pPr>
              <w:jc w:val="right"/>
              <w:ind w:right="163"/>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EFFE7"/>
          </w:tcPr>
          <w:p>
            <w:pPr>
              <w:jc w:val="right"/>
              <w:ind w:right="46"/>
              <w:spacing w:after="0"/>
              <w:rPr>
                <w:sz w:val="20"/>
                <w:szCs w:val="20"/>
                <w:color w:val="auto"/>
              </w:rPr>
            </w:pPr>
            <w:r>
              <w:rPr>
                <w:rFonts w:ascii="Arial" w:cs="Arial" w:eastAsia="Arial" w:hAnsi="Arial"/>
                <w:sz w:val="16"/>
                <w:szCs w:val="16"/>
                <w:color w:val="auto"/>
              </w:rPr>
              <w:t>88,471</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8"/>
                <w:szCs w:val="18"/>
                <w:color w:val="auto"/>
              </w:rPr>
            </w:pPr>
          </w:p>
        </w:tc>
        <w:tc>
          <w:tcPr>
            <w:tcW w:w="98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700" w:type="dxa"/>
            <w:vAlign w:val="bottom"/>
            <w:shd w:val="clear" w:color="auto" w:fill="CEFFE7"/>
          </w:tcPr>
          <w:p>
            <w:pPr>
              <w:spacing w:after="0"/>
              <w:rPr>
                <w:sz w:val="18"/>
                <w:szCs w:val="18"/>
                <w:color w:val="auto"/>
              </w:rPr>
            </w:pPr>
          </w:p>
        </w:tc>
        <w:tc>
          <w:tcPr>
            <w:tcW w:w="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EFFE7"/>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shd w:val="clear" w:color="auto" w:fill="CEFFE7"/>
          </w:tcPr>
          <w:p>
            <w:pPr>
              <w:spacing w:after="0"/>
              <w:rPr>
                <w:sz w:val="18"/>
                <w:szCs w:val="18"/>
                <w:color w:val="auto"/>
              </w:rPr>
            </w:pPr>
          </w:p>
        </w:tc>
        <w:tc>
          <w:tcPr>
            <w:tcW w:w="5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8"/>
              </w:rPr>
              <w:t>16,102</w:t>
            </w:r>
          </w:p>
        </w:tc>
        <w:tc>
          <w:tcPr>
            <w:tcW w:w="240" w:type="dxa"/>
            <w:vAlign w:val="bottom"/>
            <w:shd w:val="clear" w:color="auto" w:fill="CEFFE7"/>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8"/>
                <w:szCs w:val="18"/>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11,670</w:t>
            </w: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1,927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1,420</w:t>
            </w:r>
          </w:p>
        </w:tc>
        <w:tc>
          <w:tcPr>
            <w:tcW w:w="58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4,931</w:t>
            </w:r>
          </w:p>
        </w:tc>
        <w:tc>
          <w:tcPr>
            <w:tcW w:w="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Non-current liabilities</w:t>
            </w:r>
          </w:p>
        </w:tc>
        <w:tc>
          <w:tcPr>
            <w:tcW w:w="38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700" w:type="dxa"/>
            <w:vAlign w:val="bottom"/>
            <w:shd w:val="clear" w:color="auto" w:fill="CEFFE7"/>
          </w:tcPr>
          <w:p>
            <w:pPr>
              <w:spacing w:after="0"/>
              <w:rPr>
                <w:sz w:val="19"/>
                <w:szCs w:val="19"/>
                <w:color w:val="auto"/>
              </w:rPr>
            </w:pPr>
          </w:p>
        </w:tc>
        <w:tc>
          <w:tcPr>
            <w:tcW w:w="420" w:type="dxa"/>
            <w:vAlign w:val="bottom"/>
            <w:gridSpan w:val="3"/>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40,287</w:t>
            </w:r>
          </w:p>
        </w:tc>
        <w:tc>
          <w:tcPr>
            <w:tcW w:w="420" w:type="dxa"/>
            <w:vAlign w:val="bottom"/>
            <w:shd w:val="clear" w:color="auto" w:fill="CEFFE7"/>
          </w:tcPr>
          <w:p>
            <w:pPr>
              <w:jc w:val="right"/>
              <w:ind w:right="163"/>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EFFE7"/>
          </w:tcPr>
          <w:p>
            <w:pPr>
              <w:jc w:val="right"/>
              <w:ind w:right="46"/>
              <w:spacing w:after="0"/>
              <w:rPr>
                <w:sz w:val="20"/>
                <w:szCs w:val="20"/>
                <w:color w:val="auto"/>
              </w:rPr>
            </w:pPr>
            <w:r>
              <w:rPr>
                <w:rFonts w:ascii="Arial" w:cs="Arial" w:eastAsia="Arial" w:hAnsi="Arial"/>
                <w:sz w:val="16"/>
                <w:szCs w:val="16"/>
                <w:color w:val="auto"/>
              </w:rPr>
              <w:t>51,093</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9"/>
                <w:szCs w:val="19"/>
                <w:color w:val="auto"/>
              </w:rPr>
            </w:pPr>
          </w:p>
        </w:tc>
        <w:tc>
          <w:tcPr>
            <w:tcW w:w="8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53,127</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51,243</w:t>
            </w:r>
          </w:p>
        </w:tc>
        <w:tc>
          <w:tcPr>
            <w:tcW w:w="580" w:type="dxa"/>
            <w:vAlign w:val="bottom"/>
            <w:shd w:val="clear" w:color="auto" w:fill="CEFFE7"/>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shd w:val="clear" w:color="auto" w:fill="CEFFE7"/>
          </w:tcPr>
          <w:p>
            <w:pPr>
              <w:spacing w:after="0"/>
              <w:rPr>
                <w:sz w:val="19"/>
                <w:szCs w:val="19"/>
                <w:color w:val="auto"/>
              </w:rPr>
            </w:pPr>
          </w:p>
        </w:tc>
        <w:tc>
          <w:tcPr>
            <w:tcW w:w="5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8"/>
              </w:rPr>
              <w:t>57,142</w:t>
            </w:r>
          </w:p>
        </w:tc>
        <w:tc>
          <w:tcPr>
            <w:tcW w:w="240" w:type="dxa"/>
            <w:vAlign w:val="bottom"/>
            <w:shd w:val="clear" w:color="auto" w:fill="CEFFE7"/>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52,136</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3"/>
          </w:tcPr>
          <w:p>
            <w:pPr>
              <w:ind w:left="20"/>
              <w:spacing w:after="0"/>
              <w:rPr>
                <w:sz w:val="20"/>
                <w:szCs w:val="20"/>
                <w:color w:val="auto"/>
              </w:rPr>
            </w:pPr>
            <w:r>
              <w:rPr>
                <w:rFonts w:ascii="Arial" w:cs="Arial" w:eastAsia="Arial" w:hAnsi="Arial"/>
                <w:sz w:val="16"/>
                <w:szCs w:val="16"/>
                <w:color w:val="auto"/>
              </w:rPr>
              <w:t>Regulatory liabilities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3,607</w:t>
            </w:r>
          </w:p>
        </w:tc>
        <w:tc>
          <w:tcPr>
            <w:tcW w:w="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tcPr>
          <w:p>
            <w:pPr>
              <w:jc w:val="right"/>
              <w:ind w:right="46"/>
              <w:spacing w:after="0"/>
              <w:rPr>
                <w:sz w:val="20"/>
                <w:szCs w:val="20"/>
                <w:color w:val="auto"/>
              </w:rPr>
            </w:pPr>
            <w:r>
              <w:rPr>
                <w:rFonts w:ascii="Arial" w:cs="Arial" w:eastAsia="Arial" w:hAnsi="Arial"/>
                <w:sz w:val="16"/>
                <w:szCs w:val="16"/>
                <w:color w:val="auto"/>
                <w:w w:val="99"/>
              </w:rPr>
              <w:t>3,524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2,140</w:t>
            </w:r>
          </w:p>
        </w:tc>
        <w:tc>
          <w:tcPr>
            <w:tcW w:w="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2"/>
        </w:trPr>
        <w:tc>
          <w:tcPr>
            <w:tcW w:w="2700" w:type="dxa"/>
            <w:vAlign w:val="bottom"/>
            <w:gridSpan w:val="4"/>
          </w:tcPr>
          <w:p>
            <w:pPr>
              <w:spacing w:after="0"/>
              <w:rPr>
                <w:sz w:val="20"/>
                <w:szCs w:val="20"/>
                <w:color w:val="auto"/>
              </w:rPr>
            </w:pPr>
            <w:r>
              <w:rPr>
                <w:rFonts w:ascii="Arial" w:cs="Arial" w:eastAsia="Arial" w:hAnsi="Arial"/>
                <w:sz w:val="16"/>
                <w:szCs w:val="16"/>
                <w:color w:val="auto"/>
              </w:rPr>
              <w:t>Accumulated Benefit Obligation</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jc w:val="center"/>
              <w:ind w:left="63"/>
              <w:spacing w:after="0"/>
              <w:rPr>
                <w:sz w:val="20"/>
                <w:szCs w:val="20"/>
                <w:color w:val="auto"/>
              </w:rPr>
            </w:pPr>
            <w:r>
              <w:rPr>
                <w:rFonts w:ascii="Arial" w:cs="Arial" w:eastAsia="Arial" w:hAnsi="Arial"/>
                <w:sz w:val="16"/>
                <w:szCs w:val="16"/>
                <w:color w:val="auto"/>
              </w:rPr>
              <w:t>Supplemental</w:t>
            </w:r>
          </w:p>
        </w:tc>
        <w:tc>
          <w:tcPr>
            <w:tcW w:w="320" w:type="dxa"/>
            <w:vAlign w:val="bottom"/>
          </w:tcPr>
          <w:p>
            <w:pPr>
              <w:spacing w:after="0"/>
              <w:rPr>
                <w:sz w:val="24"/>
                <w:szCs w:val="24"/>
                <w:color w:val="auto"/>
              </w:rPr>
            </w:pPr>
          </w:p>
        </w:tc>
        <w:tc>
          <w:tcPr>
            <w:tcW w:w="2360" w:type="dxa"/>
            <w:vAlign w:val="bottom"/>
            <w:gridSpan w:val="7"/>
          </w:tcPr>
          <w:p>
            <w:pPr>
              <w:jc w:val="center"/>
              <w:ind w:left="103"/>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ind w:left="400"/>
              <w:spacing w:after="0" w:line="162" w:lineRule="exact"/>
              <w:rPr>
                <w:sz w:val="20"/>
                <w:szCs w:val="20"/>
                <w:color w:val="auto"/>
              </w:rPr>
            </w:pPr>
            <w:r>
              <w:rPr>
                <w:rFonts w:ascii="Arial" w:cs="Arial" w:eastAsia="Arial" w:hAnsi="Arial"/>
                <w:sz w:val="16"/>
                <w:szCs w:val="16"/>
                <w:color w:val="auto"/>
              </w:rPr>
              <w:t>Defined Benefit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ind w:left="60"/>
              <w:spacing w:after="0" w:line="162" w:lineRule="exact"/>
              <w:rPr>
                <w:sz w:val="20"/>
                <w:szCs w:val="20"/>
                <w:color w:val="auto"/>
              </w:rPr>
            </w:pPr>
            <w:r>
              <w:rPr>
                <w:rFonts w:ascii="Arial" w:cs="Arial" w:eastAsia="Arial" w:hAnsi="Arial"/>
                <w:sz w:val="16"/>
                <w:szCs w:val="16"/>
                <w:color w:val="auto"/>
              </w:rPr>
              <w:t>Non-qualified Defined Benefit</w:t>
            </w:r>
          </w:p>
        </w:tc>
        <w:tc>
          <w:tcPr>
            <w:tcW w:w="2360" w:type="dxa"/>
            <w:vAlign w:val="bottom"/>
            <w:gridSpan w:val="7"/>
          </w:tcPr>
          <w:p>
            <w:pPr>
              <w:jc w:val="center"/>
              <w:ind w:left="83"/>
              <w:spacing w:after="0" w:line="162" w:lineRule="exact"/>
              <w:rPr>
                <w:sz w:val="20"/>
                <w:szCs w:val="20"/>
                <w:color w:val="auto"/>
              </w:rPr>
            </w:pPr>
            <w:r>
              <w:rPr>
                <w:rFonts w:ascii="Arial" w:cs="Arial" w:eastAsia="Arial" w:hAnsi="Arial"/>
                <w:sz w:val="16"/>
                <w:szCs w:val="16"/>
                <w:color w:val="auto"/>
              </w:rPr>
              <w:t>Postretirement Healthcare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Pension Plan</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right="464"/>
              <w:spacing w:after="0"/>
              <w:rPr>
                <w:sz w:val="20"/>
                <w:szCs w:val="20"/>
                <w:color w:val="auto"/>
              </w:rPr>
            </w:pPr>
            <w:r>
              <w:rPr>
                <w:rFonts w:ascii="Arial" w:cs="Arial" w:eastAsia="Arial" w:hAnsi="Arial"/>
                <w:sz w:val="16"/>
                <w:szCs w:val="16"/>
                <w:color w:val="auto"/>
              </w:rPr>
              <w:t>Plans</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left="303"/>
              <w:spacing w:after="0"/>
              <w:rPr>
                <w:sz w:val="20"/>
                <w:szCs w:val="20"/>
                <w:color w:val="auto"/>
              </w:rPr>
            </w:pPr>
            <w:r>
              <w:rPr>
                <w:rFonts w:ascii="Arial" w:cs="Arial" w:eastAsia="Arial" w:hAnsi="Arial"/>
                <w:sz w:val="16"/>
                <w:szCs w:val="16"/>
                <w:color w:val="auto"/>
                <w:w w:val="99"/>
              </w:rPr>
              <w:t>Plan</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As of December 31,</w:t>
            </w: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6"/>
                <w:szCs w:val="16"/>
                <w:color w:val="auto"/>
              </w:rPr>
              <w:t>2020</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346"/>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Accumulated Benefit Obligation</w:t>
            </w:r>
          </w:p>
        </w:tc>
        <w:tc>
          <w:tcPr>
            <w:tcW w:w="38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700" w:type="dxa"/>
            <w:vAlign w:val="bottom"/>
            <w:tcBorders>
              <w:bottom w:val="single" w:sz="8" w:color="CEFFE7"/>
            </w:tcBorders>
            <w:shd w:val="clear" w:color="auto" w:fill="CEFFE7"/>
          </w:tcPr>
          <w:p>
            <w:pPr>
              <w:spacing w:after="0"/>
              <w:rPr>
                <w:sz w:val="20"/>
                <w:szCs w:val="20"/>
                <w:color w:val="auto"/>
              </w:rPr>
            </w:pPr>
          </w:p>
        </w:tc>
        <w:tc>
          <w:tcPr>
            <w:tcW w:w="280" w:type="dxa"/>
            <w:vAlign w:val="bottom"/>
            <w:tcBorders>
              <w:bottom w:val="single" w:sz="8" w:color="CEFFE7"/>
            </w:tcBorders>
            <w:gridSpan w:val="2"/>
            <w:shd w:val="clear" w:color="auto" w:fill="CEFFE7"/>
          </w:tcPr>
          <w:p>
            <w:pPr>
              <w:spacing w:after="0"/>
              <w:rPr>
                <w:sz w:val="20"/>
                <w:szCs w:val="20"/>
                <w:color w:val="auto"/>
              </w:rPr>
            </w:pPr>
          </w:p>
        </w:tc>
        <w:tc>
          <w:tcPr>
            <w:tcW w:w="1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498,815</w:t>
            </w:r>
          </w:p>
        </w:tc>
        <w:tc>
          <w:tcPr>
            <w:tcW w:w="420" w:type="dxa"/>
            <w:vAlign w:val="bottom"/>
            <w:tcBorders>
              <w:bottom w:val="single" w:sz="8" w:color="auto"/>
            </w:tcBorders>
            <w:shd w:val="clear" w:color="auto" w:fill="CEFFE7"/>
          </w:tcPr>
          <w:p>
            <w:pPr>
              <w:jc w:val="right"/>
              <w:ind w:right="163"/>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shd w:val="clear" w:color="auto" w:fill="CEFFE7"/>
          </w:tcPr>
          <w:p>
            <w:pPr>
              <w:jc w:val="right"/>
              <w:ind w:right="46"/>
              <w:spacing w:after="0"/>
              <w:rPr>
                <w:sz w:val="20"/>
                <w:szCs w:val="20"/>
                <w:color w:val="auto"/>
              </w:rPr>
            </w:pPr>
            <w:r>
              <w:rPr>
                <w:rFonts w:ascii="Arial" w:cs="Arial" w:eastAsia="Arial" w:hAnsi="Arial"/>
                <w:sz w:val="16"/>
                <w:szCs w:val="16"/>
                <w:color w:val="auto"/>
              </w:rPr>
              <w:t>470,615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8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54,779</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49,241</w:t>
            </w:r>
          </w:p>
        </w:tc>
        <w:tc>
          <w:tcPr>
            <w:tcW w:w="580" w:type="dxa"/>
            <w:vAlign w:val="bottom"/>
            <w:tcBorders>
              <w:bottom w:val="single" w:sz="8" w:color="auto"/>
            </w:tcBorders>
            <w:shd w:val="clear" w:color="auto" w:fill="CEFFE7"/>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EFFE7"/>
          </w:tcPr>
          <w:p>
            <w:pPr>
              <w:spacing w:after="0"/>
              <w:rPr>
                <w:sz w:val="20"/>
                <w:szCs w:val="20"/>
                <w:color w:val="auto"/>
              </w:rPr>
            </w:pP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8"/>
              </w:rPr>
              <w:t>70,238</w:t>
            </w:r>
          </w:p>
        </w:tc>
        <w:tc>
          <w:tcPr>
            <w:tcW w:w="240" w:type="dxa"/>
            <w:vAlign w:val="bottom"/>
            <w:tcBorders>
              <w:bottom w:val="single" w:sz="8" w:color="auto"/>
            </w:tcBorders>
            <w:shd w:val="clear" w:color="auto" w:fill="CEFFE7"/>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20"/>
                <w:szCs w:val="20"/>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65,277</w:t>
            </w:r>
          </w:p>
        </w:tc>
        <w:tc>
          <w:tcPr>
            <w:tcW w:w="20" w:type="dxa"/>
            <w:vAlign w:val="bottom"/>
            <w:tcBorders>
              <w:bottom w:val="single" w:sz="8" w:color="auto"/>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gridSpan w:val="4"/>
            <w:vMerge w:val="restart"/>
          </w:tcPr>
          <w:p>
            <w:pPr>
              <w:spacing w:after="0"/>
              <w:rPr>
                <w:sz w:val="20"/>
                <w:szCs w:val="20"/>
                <w:color w:val="auto"/>
              </w:rPr>
            </w:pPr>
            <w:r>
              <w:rPr>
                <w:rFonts w:ascii="Arial" w:cs="Arial" w:eastAsia="Arial" w:hAnsi="Arial"/>
                <w:sz w:val="16"/>
                <w:szCs w:val="16"/>
                <w:color w:val="auto"/>
              </w:rPr>
              <w:t>Components of Net Periodic Expense</w:t>
            </w: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2700" w:type="dxa"/>
            <w:vAlign w:val="bottom"/>
            <w:tcBorders>
              <w:bottom w:val="single" w:sz="8" w:color="auto"/>
            </w:tcBorders>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6"/>
          </w:tcPr>
          <w:p>
            <w:pPr>
              <w:jc w:val="right"/>
              <w:ind w:right="304"/>
              <w:spacing w:after="0"/>
              <w:rPr>
                <w:sz w:val="20"/>
                <w:szCs w:val="20"/>
                <w:color w:val="auto"/>
              </w:rPr>
            </w:pPr>
            <w:r>
              <w:rPr>
                <w:rFonts w:ascii="Arial" w:cs="Arial" w:eastAsia="Arial" w:hAnsi="Arial"/>
                <w:sz w:val="14"/>
                <w:szCs w:val="14"/>
                <w:color w:val="auto"/>
              </w:rPr>
              <w:t>Defined Benefit</w:t>
            </w: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Supplemental</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gridSpan w:val="7"/>
          </w:tcPr>
          <w:p>
            <w:pPr>
              <w:jc w:val="center"/>
              <w:ind w:right="320"/>
              <w:spacing w:after="0"/>
              <w:rPr>
                <w:sz w:val="20"/>
                <w:szCs w:val="20"/>
                <w:color w:val="auto"/>
              </w:rPr>
            </w:pPr>
            <w:r>
              <w:rPr>
                <w:rFonts w:ascii="Arial" w:cs="Arial" w:eastAsia="Arial" w:hAnsi="Arial"/>
                <w:sz w:val="14"/>
                <w:szCs w:val="14"/>
                <w:color w:val="auto"/>
              </w:rPr>
              <w:t>Non-pension Defined Benefit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color w:val="auto"/>
              </w:rPr>
              <w:t>Pension Plan</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7"/>
          </w:tcPr>
          <w:p>
            <w:pPr>
              <w:jc w:val="right"/>
              <w:ind w:right="184"/>
              <w:spacing w:after="0"/>
              <w:rPr>
                <w:sz w:val="20"/>
                <w:szCs w:val="20"/>
                <w:color w:val="auto"/>
              </w:rPr>
            </w:pPr>
            <w:r>
              <w:rPr>
                <w:rFonts w:ascii="Arial" w:cs="Arial" w:eastAsia="Arial" w:hAnsi="Arial"/>
                <w:sz w:val="14"/>
                <w:szCs w:val="14"/>
                <w:color w:val="auto"/>
              </w:rPr>
              <w:t>Non-qualified Defined Benefit Plans</w:t>
            </w:r>
          </w:p>
        </w:tc>
        <w:tc>
          <w:tcPr>
            <w:tcW w:w="320" w:type="dxa"/>
            <w:vAlign w:val="bottom"/>
          </w:tcPr>
          <w:p>
            <w:pPr>
              <w:spacing w:after="0"/>
              <w:rPr>
                <w:sz w:val="14"/>
                <w:szCs w:val="14"/>
                <w:color w:val="auto"/>
              </w:rPr>
            </w:pPr>
          </w:p>
        </w:tc>
        <w:tc>
          <w:tcPr>
            <w:tcW w:w="2360" w:type="dxa"/>
            <w:vAlign w:val="bottom"/>
            <w:gridSpan w:val="7"/>
          </w:tcPr>
          <w:p>
            <w:pPr>
              <w:jc w:val="center"/>
              <w:ind w:right="320"/>
              <w:spacing w:after="0"/>
              <w:rPr>
                <w:sz w:val="20"/>
                <w:szCs w:val="20"/>
                <w:color w:val="auto"/>
              </w:rPr>
            </w:pPr>
            <w:r>
              <w:rPr>
                <w:rFonts w:ascii="Arial" w:cs="Arial" w:eastAsia="Arial" w:hAnsi="Arial"/>
                <w:sz w:val="14"/>
                <w:szCs w:val="14"/>
                <w:color w:val="auto"/>
              </w:rPr>
              <w:t>Postretirement Healthcare Plan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For the years ended December 31,</w:t>
            </w:r>
          </w:p>
        </w:tc>
        <w:tc>
          <w:tcPr>
            <w:tcW w:w="38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880" w:type="dxa"/>
            <w:vAlign w:val="bottom"/>
            <w:tcBorders>
              <w:top w:val="single" w:sz="8" w:color="auto"/>
              <w:bottom w:val="single" w:sz="8" w:color="auto"/>
            </w:tcBorders>
            <w:gridSpan w:val="4"/>
          </w:tcPr>
          <w:p>
            <w:pPr>
              <w:jc w:val="right"/>
              <w:ind w:right="202"/>
              <w:spacing w:after="0"/>
              <w:rPr>
                <w:sz w:val="20"/>
                <w:szCs w:val="20"/>
                <w:color w:val="auto"/>
              </w:rPr>
            </w:pPr>
            <w:r>
              <w:rPr>
                <w:rFonts w:ascii="Arial" w:cs="Arial" w:eastAsia="Arial" w:hAnsi="Arial"/>
                <w:sz w:val="14"/>
                <w:szCs w:val="14"/>
                <w:color w:val="auto"/>
              </w:rPr>
              <w:t>2019</w:t>
            </w:r>
          </w:p>
        </w:tc>
        <w:tc>
          <w:tcPr>
            <w:tcW w:w="840" w:type="dxa"/>
            <w:vAlign w:val="bottom"/>
            <w:tcBorders>
              <w:top w:val="single" w:sz="8" w:color="auto"/>
              <w:bottom w:val="single" w:sz="8" w:color="auto"/>
            </w:tcBorders>
            <w:gridSpan w:val="2"/>
          </w:tcPr>
          <w:p>
            <w:pPr>
              <w:jc w:val="right"/>
              <w:ind w:right="163"/>
              <w:spacing w:after="0"/>
              <w:rPr>
                <w:sz w:val="20"/>
                <w:szCs w:val="20"/>
                <w:color w:val="auto"/>
              </w:rPr>
            </w:pPr>
            <w:r>
              <w:rPr>
                <w:rFonts w:ascii="Arial" w:cs="Arial" w:eastAsia="Arial" w:hAnsi="Arial"/>
                <w:sz w:val="14"/>
                <w:szCs w:val="14"/>
                <w:color w:val="auto"/>
              </w:rPr>
              <w:t>2018</w:t>
            </w:r>
          </w:p>
        </w:tc>
        <w:tc>
          <w:tcPr>
            <w:tcW w:w="2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2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color w:val="auto"/>
              </w:rPr>
              <w:t>2019</w:t>
            </w:r>
          </w:p>
        </w:tc>
        <w:tc>
          <w:tcPr>
            <w:tcW w:w="1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color w:val="auto"/>
              </w:rPr>
              <w:t>2018</w:t>
            </w:r>
          </w:p>
        </w:tc>
        <w:tc>
          <w:tcPr>
            <w:tcW w:w="900" w:type="dxa"/>
            <w:vAlign w:val="bottom"/>
            <w:tcBorders>
              <w:top w:val="single" w:sz="8" w:color="auto"/>
              <w:bottom w:val="single" w:sz="8" w:color="auto"/>
            </w:tcBorders>
            <w:gridSpan w:val="2"/>
          </w:tcPr>
          <w:p>
            <w:pPr>
              <w:jc w:val="right"/>
              <w:ind w:right="203"/>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2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40" w:type="dxa"/>
            <w:vAlign w:val="bottom"/>
            <w:gridSpan w:val="2"/>
            <w:shd w:val="clear" w:color="auto" w:fill="CEFFE7"/>
          </w:tcPr>
          <w:p>
            <w:pPr>
              <w:ind w:left="20"/>
              <w:spacing w:after="0"/>
              <w:rPr>
                <w:sz w:val="20"/>
                <w:szCs w:val="20"/>
                <w:color w:val="auto"/>
              </w:rPr>
            </w:pPr>
            <w:r>
              <w:rPr>
                <w:rFonts w:ascii="Arial" w:cs="Arial" w:eastAsia="Arial" w:hAnsi="Arial"/>
                <w:sz w:val="14"/>
                <w:szCs w:val="14"/>
                <w:color w:val="auto"/>
              </w:rPr>
              <w:t xml:space="preserve">Service cost </w:t>
            </w:r>
            <w:r>
              <w:rPr>
                <w:rFonts w:ascii="Arial" w:cs="Arial" w:eastAsia="Arial" w:hAnsi="Arial"/>
                <w:sz w:val="9"/>
                <w:szCs w:val="9"/>
                <w:color w:val="auto"/>
              </w:rPr>
              <w:t>(a)</w:t>
            </w:r>
          </w:p>
        </w:tc>
        <w:tc>
          <w:tcPr>
            <w:tcW w:w="560" w:type="dxa"/>
            <w:vAlign w:val="bottom"/>
            <w:gridSpan w:val="2"/>
            <w:shd w:val="clear" w:color="auto" w:fill="CEFFE7"/>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5,411</w:t>
            </w:r>
          </w:p>
        </w:tc>
        <w:tc>
          <w:tcPr>
            <w:tcW w:w="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460" w:type="dxa"/>
            <w:vAlign w:val="bottom"/>
            <w:shd w:val="clear" w:color="auto" w:fill="CEFFE7"/>
          </w:tcPr>
          <w:p>
            <w:pPr>
              <w:jc w:val="right"/>
              <w:ind w:right="2"/>
              <w:spacing w:after="0"/>
              <w:rPr>
                <w:sz w:val="20"/>
                <w:szCs w:val="20"/>
                <w:color w:val="auto"/>
              </w:rPr>
            </w:pPr>
            <w:r>
              <w:rPr>
                <w:rFonts w:ascii="Arial" w:cs="Arial" w:eastAsia="Arial" w:hAnsi="Arial"/>
                <w:sz w:val="14"/>
                <w:szCs w:val="14"/>
                <w:color w:val="auto"/>
              </w:rPr>
              <w:t>5,383</w:t>
            </w:r>
          </w:p>
        </w:tc>
        <w:tc>
          <w:tcPr>
            <w:tcW w:w="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6,834</w:t>
            </w:r>
          </w:p>
        </w:tc>
        <w:tc>
          <w:tcPr>
            <w:tcW w:w="240" w:type="dxa"/>
            <w:vAlign w:val="bottom"/>
            <w:shd w:val="clear" w:color="auto" w:fill="CEFFE7"/>
          </w:tcPr>
          <w:p>
            <w:pPr>
              <w:jc w:val="center"/>
              <w:ind w:left="8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4"/>
                <w:szCs w:val="14"/>
                <w:color w:val="auto"/>
              </w:rPr>
              <w:t>1,579</w:t>
            </w:r>
          </w:p>
        </w:tc>
        <w:tc>
          <w:tcPr>
            <w:tcW w:w="200" w:type="dxa"/>
            <w:vAlign w:val="bottom"/>
            <w:shd w:val="clear" w:color="auto" w:fill="CEFFE7"/>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4,995</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84"/>
              <w:spacing w:after="0"/>
              <w:rPr>
                <w:sz w:val="20"/>
                <w:szCs w:val="20"/>
                <w:color w:val="auto"/>
              </w:rPr>
            </w:pPr>
            <w:r>
              <w:rPr>
                <w:rFonts w:ascii="Arial" w:cs="Arial" w:eastAsia="Arial" w:hAnsi="Arial"/>
                <w:sz w:val="14"/>
                <w:szCs w:val="14"/>
                <w:color w:val="auto"/>
              </w:rPr>
              <w:t>1,764</w:t>
            </w:r>
          </w:p>
        </w:tc>
        <w:tc>
          <w:tcPr>
            <w:tcW w:w="320" w:type="dxa"/>
            <w:vAlign w:val="bottom"/>
            <w:shd w:val="clear" w:color="auto" w:fill="CEFFE7"/>
          </w:tcPr>
          <w:p>
            <w:pPr>
              <w:jc w:val="right"/>
              <w:ind w:right="124"/>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2,056</w:t>
            </w:r>
          </w:p>
        </w:tc>
        <w:tc>
          <w:tcPr>
            <w:tcW w:w="1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EFFE7"/>
          </w:tcPr>
          <w:p>
            <w:pPr>
              <w:jc w:val="right"/>
              <w:ind w:right="1"/>
              <w:spacing w:after="0"/>
              <w:rPr>
                <w:sz w:val="20"/>
                <w:szCs w:val="20"/>
                <w:color w:val="auto"/>
              </w:rPr>
            </w:pPr>
            <w:r>
              <w:rPr>
                <w:rFonts w:ascii="Arial" w:cs="Arial" w:eastAsia="Arial" w:hAnsi="Arial"/>
                <w:sz w:val="14"/>
                <w:szCs w:val="14"/>
                <w:color w:val="auto"/>
              </w:rPr>
              <w:t>1,815</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4"/>
              <w:spacing w:after="0"/>
              <w:rPr>
                <w:sz w:val="20"/>
                <w:szCs w:val="20"/>
                <w:color w:val="auto"/>
              </w:rPr>
            </w:pPr>
            <w:r>
              <w:rPr>
                <w:rFonts w:ascii="Arial" w:cs="Arial" w:eastAsia="Arial" w:hAnsi="Arial"/>
                <w:sz w:val="14"/>
                <w:szCs w:val="14"/>
                <w:color w:val="auto"/>
              </w:rPr>
              <w:t>2,291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Interest cost</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13,426</w:t>
            </w:r>
          </w:p>
        </w:tc>
        <w:tc>
          <w:tcPr>
            <w:tcW w:w="880" w:type="dxa"/>
            <w:vAlign w:val="bottom"/>
            <w:gridSpan w:val="4"/>
          </w:tcPr>
          <w:p>
            <w:pPr>
              <w:jc w:val="right"/>
              <w:ind w:right="2"/>
              <w:spacing w:after="0"/>
              <w:rPr>
                <w:sz w:val="20"/>
                <w:szCs w:val="20"/>
                <w:color w:val="auto"/>
              </w:rPr>
            </w:pPr>
            <w:r>
              <w:rPr>
                <w:rFonts w:ascii="Arial" w:cs="Arial" w:eastAsia="Arial" w:hAnsi="Arial"/>
                <w:sz w:val="14"/>
                <w:szCs w:val="14"/>
                <w:color w:val="auto"/>
              </w:rPr>
              <w:t>17,374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15,470</w:t>
            </w:r>
          </w:p>
        </w:tc>
        <w:tc>
          <w:tcPr>
            <w:tcW w:w="24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4"/>
              <w:spacing w:after="0"/>
              <w:rPr>
                <w:sz w:val="20"/>
                <w:szCs w:val="20"/>
                <w:color w:val="auto"/>
              </w:rPr>
            </w:pPr>
            <w:r>
              <w:rPr>
                <w:rFonts w:ascii="Arial" w:cs="Arial" w:eastAsia="Arial" w:hAnsi="Arial"/>
                <w:sz w:val="14"/>
                <w:szCs w:val="14"/>
                <w:color w:val="auto"/>
              </w:rPr>
              <w:t>1,170</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6"/>
                <w:szCs w:val="16"/>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color w:val="auto"/>
              </w:rPr>
              <w:t>2,085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gridSpan w:val="2"/>
            <w:shd w:val="clear" w:color="auto" w:fill="CEFFE7"/>
          </w:tcPr>
          <w:p>
            <w:pPr>
              <w:ind w:left="20"/>
              <w:spacing w:after="0"/>
              <w:rPr>
                <w:sz w:val="20"/>
                <w:szCs w:val="20"/>
                <w:color w:val="auto"/>
              </w:rPr>
            </w:pPr>
            <w:r>
              <w:rPr>
                <w:rFonts w:ascii="Arial" w:cs="Arial" w:eastAsia="Arial" w:hAnsi="Arial"/>
                <w:sz w:val="14"/>
                <w:szCs w:val="14"/>
                <w:color w:val="auto"/>
              </w:rPr>
              <w:t>Expected return on assets</w:t>
            </w:r>
          </w:p>
        </w:tc>
        <w:tc>
          <w:tcPr>
            <w:tcW w:w="380" w:type="dxa"/>
            <w:vAlign w:val="bottom"/>
            <w:shd w:val="clear" w:color="auto" w:fill="CEFFE7"/>
          </w:tcPr>
          <w:p>
            <w:pPr>
              <w:spacing w:after="0"/>
              <w:rPr>
                <w:sz w:val="16"/>
                <w:szCs w:val="16"/>
                <w:color w:val="auto"/>
              </w:rPr>
            </w:pP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(22,591)</w:t>
            </w:r>
          </w:p>
        </w:tc>
        <w:tc>
          <w:tcPr>
            <w:tcW w:w="880" w:type="dxa"/>
            <w:vAlign w:val="bottom"/>
            <w:gridSpan w:val="4"/>
            <w:shd w:val="clear" w:color="auto" w:fill="CEFFE7"/>
          </w:tcPr>
          <w:p>
            <w:pPr>
              <w:ind w:left="320"/>
              <w:spacing w:after="0"/>
              <w:rPr>
                <w:sz w:val="20"/>
                <w:szCs w:val="20"/>
                <w:color w:val="auto"/>
              </w:rPr>
            </w:pPr>
            <w:r>
              <w:rPr>
                <w:rFonts w:ascii="Arial" w:cs="Arial" w:eastAsia="Arial" w:hAnsi="Arial"/>
                <w:sz w:val="14"/>
                <w:szCs w:val="14"/>
                <w:color w:val="auto"/>
              </w:rPr>
              <w:t>(24,401)</w:t>
            </w:r>
          </w:p>
        </w:tc>
        <w:tc>
          <w:tcPr>
            <w:tcW w:w="840" w:type="dxa"/>
            <w:vAlign w:val="bottom"/>
            <w:gridSpan w:val="2"/>
            <w:shd w:val="clear" w:color="auto" w:fill="CEFFE7"/>
          </w:tcPr>
          <w:p>
            <w:pPr>
              <w:jc w:val="right"/>
              <w:spacing w:after="0"/>
              <w:rPr>
                <w:sz w:val="20"/>
                <w:szCs w:val="20"/>
                <w:color w:val="auto"/>
              </w:rPr>
            </w:pPr>
            <w:r>
              <w:rPr>
                <w:rFonts w:ascii="Arial" w:cs="Arial" w:eastAsia="Arial" w:hAnsi="Arial"/>
                <w:sz w:val="14"/>
                <w:szCs w:val="14"/>
                <w:color w:val="auto"/>
              </w:rPr>
              <w:t>(24,741)</w:t>
            </w:r>
          </w:p>
        </w:tc>
        <w:tc>
          <w:tcPr>
            <w:tcW w:w="240" w:type="dxa"/>
            <w:vAlign w:val="bottom"/>
            <w:shd w:val="clear" w:color="auto" w:fill="CEFFE7"/>
          </w:tcPr>
          <w:p>
            <w:pPr>
              <w:spacing w:after="0"/>
              <w:rPr>
                <w:sz w:val="16"/>
                <w:szCs w:val="16"/>
                <w:color w:val="auto"/>
              </w:rPr>
            </w:pPr>
          </w:p>
        </w:tc>
        <w:tc>
          <w:tcPr>
            <w:tcW w:w="540" w:type="dxa"/>
            <w:vAlign w:val="bottom"/>
            <w:shd w:val="clear" w:color="auto" w:fill="CEFFE7"/>
          </w:tcPr>
          <w:p>
            <w:pPr>
              <w:spacing w:after="0"/>
              <w:rPr>
                <w:sz w:val="16"/>
                <w:szCs w:val="16"/>
                <w:color w:val="auto"/>
              </w:rPr>
            </w:pPr>
          </w:p>
        </w:tc>
        <w:tc>
          <w:tcPr>
            <w:tcW w:w="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6"/>
                <w:szCs w:val="16"/>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14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84"/>
              <w:spacing w:after="0"/>
              <w:rPr>
                <w:sz w:val="20"/>
                <w:szCs w:val="20"/>
                <w:color w:val="auto"/>
              </w:rPr>
            </w:pPr>
            <w:r>
              <w:rPr>
                <w:rFonts w:ascii="Arial" w:cs="Arial" w:eastAsia="Arial" w:hAnsi="Arial"/>
                <w:sz w:val="14"/>
                <w:szCs w:val="14"/>
                <w:color w:val="auto"/>
              </w:rPr>
              <w:t>—</w:t>
            </w:r>
          </w:p>
        </w:tc>
        <w:tc>
          <w:tcPr>
            <w:tcW w:w="32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EFFE7"/>
          </w:tcPr>
          <w:p>
            <w:pPr>
              <w:spacing w:after="0"/>
              <w:rPr>
                <w:sz w:val="16"/>
                <w:szCs w:val="16"/>
                <w:color w:val="auto"/>
              </w:rPr>
            </w:pPr>
          </w:p>
        </w:tc>
        <w:tc>
          <w:tcPr>
            <w:tcW w:w="780" w:type="dxa"/>
            <w:vAlign w:val="bottom"/>
            <w:gridSpan w:val="2"/>
            <w:shd w:val="clear" w:color="auto" w:fill="CEFFE7"/>
          </w:tcPr>
          <w:p>
            <w:pPr>
              <w:jc w:val="center"/>
              <w:ind w:left="303"/>
              <w:spacing w:after="0"/>
              <w:rPr>
                <w:sz w:val="20"/>
                <w:szCs w:val="20"/>
                <w:color w:val="auto"/>
              </w:rPr>
            </w:pPr>
            <w:r>
              <w:rPr>
                <w:rFonts w:ascii="Arial" w:cs="Arial" w:eastAsia="Arial" w:hAnsi="Arial"/>
                <w:sz w:val="14"/>
                <w:szCs w:val="14"/>
                <w:color w:val="auto"/>
                <w:w w:val="97"/>
              </w:rPr>
              <w:t>(230)</w:t>
            </w:r>
          </w:p>
        </w:tc>
        <w:tc>
          <w:tcPr>
            <w:tcW w:w="120" w:type="dxa"/>
            <w:vAlign w:val="bottom"/>
            <w:shd w:val="clear" w:color="auto" w:fill="CEFFE7"/>
          </w:tcPr>
          <w:p>
            <w:pPr>
              <w:spacing w:after="0"/>
              <w:rPr>
                <w:sz w:val="16"/>
                <w:szCs w:val="16"/>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Net amortization of prior service cost</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ind w:right="2"/>
              <w:spacing w:after="0"/>
              <w:rPr>
                <w:sz w:val="20"/>
                <w:szCs w:val="20"/>
                <w:color w:val="auto"/>
              </w:rPr>
            </w:pPr>
            <w:r>
              <w:rPr>
                <w:rFonts w:ascii="Arial" w:cs="Arial" w:eastAsia="Arial" w:hAnsi="Arial"/>
                <w:sz w:val="14"/>
                <w:szCs w:val="14"/>
                <w:color w:val="auto"/>
              </w:rPr>
              <w:t>26</w:t>
            </w:r>
          </w:p>
        </w:tc>
        <w:tc>
          <w:tcPr>
            <w:tcW w:w="4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4"/>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780" w:type="dxa"/>
            <w:vAlign w:val="bottom"/>
            <w:gridSpan w:val="2"/>
          </w:tcPr>
          <w:p>
            <w:pPr>
              <w:jc w:val="center"/>
              <w:ind w:left="303"/>
              <w:spacing w:after="0"/>
              <w:rPr>
                <w:sz w:val="20"/>
                <w:szCs w:val="20"/>
                <w:color w:val="auto"/>
              </w:rPr>
            </w:pPr>
            <w:r>
              <w:rPr>
                <w:rFonts w:ascii="Arial" w:cs="Arial" w:eastAsia="Arial" w:hAnsi="Arial"/>
                <w:sz w:val="14"/>
                <w:szCs w:val="14"/>
                <w:color w:val="auto"/>
                <w:w w:val="97"/>
              </w:rPr>
              <w:t>(398)</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gridSpan w:val="2"/>
            <w:shd w:val="clear" w:color="auto" w:fill="CEFFE7"/>
          </w:tcPr>
          <w:p>
            <w:pPr>
              <w:ind w:left="20"/>
              <w:spacing w:after="0"/>
              <w:rPr>
                <w:sz w:val="20"/>
                <w:szCs w:val="20"/>
                <w:color w:val="auto"/>
              </w:rPr>
            </w:pPr>
            <w:r>
              <w:rPr>
                <w:rFonts w:ascii="Arial" w:cs="Arial" w:eastAsia="Arial" w:hAnsi="Arial"/>
                <w:sz w:val="14"/>
                <w:szCs w:val="14"/>
                <w:color w:val="auto"/>
              </w:rPr>
              <w:t>Recognized net actuarial loss (gain)</w:t>
            </w:r>
          </w:p>
        </w:tc>
        <w:tc>
          <w:tcPr>
            <w:tcW w:w="380" w:type="dxa"/>
            <w:vAlign w:val="bottom"/>
            <w:shd w:val="clear" w:color="auto" w:fill="CEFFE7"/>
          </w:tcPr>
          <w:p>
            <w:pPr>
              <w:spacing w:after="0"/>
              <w:rPr>
                <w:sz w:val="16"/>
                <w:szCs w:val="16"/>
                <w:color w:val="auto"/>
              </w:rPr>
            </w:pPr>
          </w:p>
        </w:tc>
        <w:tc>
          <w:tcPr>
            <w:tcW w:w="180" w:type="dxa"/>
            <w:vAlign w:val="bottom"/>
            <w:tcBorders>
              <w:bottom w:val="single" w:sz="8" w:color="auto"/>
            </w:tcBorders>
            <w:shd w:val="clear" w:color="auto" w:fill="CEFFE7"/>
          </w:tcPr>
          <w:p>
            <w:pPr>
              <w:spacing w:after="0"/>
              <w:rPr>
                <w:sz w:val="16"/>
                <w:szCs w:val="16"/>
                <w:color w:val="auto"/>
              </w:rPr>
            </w:pPr>
          </w:p>
        </w:tc>
        <w:tc>
          <w:tcPr>
            <w:tcW w:w="7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8,372</w:t>
            </w:r>
          </w:p>
        </w:tc>
        <w:tc>
          <w:tcPr>
            <w:tcW w:w="200" w:type="dxa"/>
            <w:vAlign w:val="bottom"/>
            <w:tcBorders>
              <w:bottom w:val="single" w:sz="8" w:color="auto"/>
            </w:tcBorders>
            <w:shd w:val="clear" w:color="auto" w:fill="CEFFE7"/>
          </w:tcPr>
          <w:p>
            <w:pPr>
              <w:spacing w:after="0"/>
              <w:rPr>
                <w:sz w:val="16"/>
                <w:szCs w:val="16"/>
                <w:color w:val="auto"/>
              </w:rPr>
            </w:pPr>
          </w:p>
        </w:tc>
        <w:tc>
          <w:tcPr>
            <w:tcW w:w="80" w:type="dxa"/>
            <w:vAlign w:val="bottom"/>
            <w:tcBorders>
              <w:bottom w:val="single" w:sz="8" w:color="auto"/>
            </w:tcBorders>
            <w:shd w:val="clear" w:color="auto" w:fill="CEFFE7"/>
          </w:tcPr>
          <w:p>
            <w:pPr>
              <w:spacing w:after="0"/>
              <w:rPr>
                <w:sz w:val="16"/>
                <w:szCs w:val="16"/>
                <w:color w:val="auto"/>
              </w:rPr>
            </w:pPr>
          </w:p>
        </w:tc>
        <w:tc>
          <w:tcPr>
            <w:tcW w:w="140" w:type="dxa"/>
            <w:vAlign w:val="bottom"/>
            <w:tcBorders>
              <w:bottom w:val="single" w:sz="8" w:color="auto"/>
            </w:tcBorders>
            <w:shd w:val="clear" w:color="auto" w:fill="CEFFE7"/>
          </w:tcPr>
          <w:p>
            <w:pPr>
              <w:spacing w:after="0"/>
              <w:rPr>
                <w:sz w:val="16"/>
                <w:szCs w:val="16"/>
                <w:color w:val="auto"/>
              </w:rPr>
            </w:pPr>
          </w:p>
        </w:tc>
        <w:tc>
          <w:tcPr>
            <w:tcW w:w="460" w:type="dxa"/>
            <w:vAlign w:val="bottom"/>
            <w:tcBorders>
              <w:bottom w:val="single" w:sz="8" w:color="auto"/>
            </w:tcBorders>
            <w:shd w:val="clear" w:color="auto" w:fill="CEFFE7"/>
          </w:tcPr>
          <w:p>
            <w:pPr>
              <w:jc w:val="right"/>
              <w:ind w:right="2"/>
              <w:spacing w:after="0"/>
              <w:rPr>
                <w:sz w:val="20"/>
                <w:szCs w:val="20"/>
                <w:color w:val="auto"/>
              </w:rPr>
            </w:pPr>
            <w:r>
              <w:rPr>
                <w:rFonts w:ascii="Arial" w:cs="Arial" w:eastAsia="Arial" w:hAnsi="Arial"/>
                <w:sz w:val="14"/>
                <w:szCs w:val="14"/>
                <w:color w:val="auto"/>
              </w:rPr>
              <w:t>3,763</w:t>
            </w:r>
          </w:p>
        </w:tc>
        <w:tc>
          <w:tcPr>
            <w:tcW w:w="420" w:type="dxa"/>
            <w:vAlign w:val="bottom"/>
            <w:tcBorders>
              <w:bottom w:val="single" w:sz="8" w:color="auto"/>
            </w:tcBorders>
            <w:shd w:val="clear" w:color="auto" w:fill="CEFFE7"/>
          </w:tcPr>
          <w:p>
            <w:pPr>
              <w:spacing w:after="0"/>
              <w:rPr>
                <w:sz w:val="16"/>
                <w:szCs w:val="16"/>
                <w:color w:val="auto"/>
              </w:rPr>
            </w:pPr>
          </w:p>
        </w:tc>
        <w:tc>
          <w:tcPr>
            <w:tcW w:w="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8,632</w:t>
            </w:r>
          </w:p>
        </w:tc>
        <w:tc>
          <w:tcPr>
            <w:tcW w:w="240" w:type="dxa"/>
            <w:vAlign w:val="bottom"/>
            <w:tcBorders>
              <w:bottom w:val="single" w:sz="8" w:color="auto"/>
            </w:tcBorders>
            <w:shd w:val="clear" w:color="auto" w:fill="CEFFE7"/>
          </w:tcPr>
          <w:p>
            <w:pPr>
              <w:spacing w:after="0"/>
              <w:rPr>
                <w:sz w:val="16"/>
                <w:szCs w:val="16"/>
                <w:color w:val="auto"/>
              </w:rPr>
            </w:pPr>
          </w:p>
        </w:tc>
        <w:tc>
          <w:tcPr>
            <w:tcW w:w="7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4"/>
                <w:szCs w:val="14"/>
                <w:color w:val="auto"/>
              </w:rPr>
              <w:t>1,702</w:t>
            </w:r>
          </w:p>
        </w:tc>
        <w:tc>
          <w:tcPr>
            <w:tcW w:w="200" w:type="dxa"/>
            <w:vAlign w:val="bottom"/>
            <w:tcBorders>
              <w:bottom w:val="single" w:sz="8" w:color="auto"/>
            </w:tcBorders>
            <w:shd w:val="clear" w:color="auto" w:fill="CEFFE7"/>
          </w:tcPr>
          <w:p>
            <w:pPr>
              <w:spacing w:after="0"/>
              <w:rPr>
                <w:sz w:val="16"/>
                <w:szCs w:val="16"/>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535</w:t>
            </w:r>
          </w:p>
        </w:tc>
        <w:tc>
          <w:tcPr>
            <w:tcW w:w="160" w:type="dxa"/>
            <w:vAlign w:val="bottom"/>
            <w:tcBorders>
              <w:bottom w:val="single" w:sz="8" w:color="auto"/>
            </w:tcBorders>
            <w:shd w:val="clear" w:color="auto" w:fill="CEFFE7"/>
          </w:tcPr>
          <w:p>
            <w:pPr>
              <w:spacing w:after="0"/>
              <w:rPr>
                <w:sz w:val="16"/>
                <w:szCs w:val="16"/>
                <w:color w:val="auto"/>
              </w:rPr>
            </w:pPr>
          </w:p>
        </w:tc>
        <w:tc>
          <w:tcPr>
            <w:tcW w:w="140" w:type="dxa"/>
            <w:vAlign w:val="bottom"/>
            <w:tcBorders>
              <w:bottom w:val="single" w:sz="8" w:color="auto"/>
            </w:tcBorders>
            <w:shd w:val="clear" w:color="auto" w:fill="CEFFE7"/>
          </w:tcPr>
          <w:p>
            <w:pPr>
              <w:spacing w:after="0"/>
              <w:rPr>
                <w:sz w:val="16"/>
                <w:szCs w:val="16"/>
                <w:color w:val="auto"/>
              </w:rPr>
            </w:pPr>
          </w:p>
        </w:tc>
        <w:tc>
          <w:tcPr>
            <w:tcW w:w="700" w:type="dxa"/>
            <w:vAlign w:val="bottom"/>
            <w:tcBorders>
              <w:bottom w:val="single" w:sz="8" w:color="auto"/>
            </w:tcBorders>
            <w:shd w:val="clear" w:color="auto" w:fill="CEFFE7"/>
          </w:tcPr>
          <w:p>
            <w:pPr>
              <w:jc w:val="right"/>
              <w:ind w:right="84"/>
              <w:spacing w:after="0"/>
              <w:rPr>
                <w:sz w:val="20"/>
                <w:szCs w:val="20"/>
                <w:color w:val="auto"/>
              </w:rPr>
            </w:pPr>
            <w:r>
              <w:rPr>
                <w:rFonts w:ascii="Arial" w:cs="Arial" w:eastAsia="Arial" w:hAnsi="Arial"/>
                <w:sz w:val="14"/>
                <w:szCs w:val="14"/>
                <w:color w:val="auto"/>
              </w:rPr>
              <w:t>1,000</w:t>
            </w:r>
          </w:p>
        </w:tc>
        <w:tc>
          <w:tcPr>
            <w:tcW w:w="320" w:type="dxa"/>
            <w:vAlign w:val="bottom"/>
            <w:tcBorders>
              <w:bottom w:val="single" w:sz="8" w:color="auto"/>
            </w:tcBorders>
            <w:shd w:val="clear" w:color="auto" w:fill="CEFFE7"/>
          </w:tcPr>
          <w:p>
            <w:pPr>
              <w:spacing w:after="0"/>
              <w:rPr>
                <w:sz w:val="16"/>
                <w:szCs w:val="16"/>
                <w:color w:val="auto"/>
              </w:rPr>
            </w:pPr>
          </w:p>
        </w:tc>
        <w:tc>
          <w:tcPr>
            <w:tcW w:w="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auto"/>
            </w:tcBorders>
            <w:shd w:val="clear" w:color="auto" w:fill="CEFFE7"/>
          </w:tcPr>
          <w:p>
            <w:pPr>
              <w:spacing w:after="0"/>
              <w:rPr>
                <w:sz w:val="16"/>
                <w:szCs w:val="16"/>
                <w:color w:val="auto"/>
              </w:rPr>
            </w:pPr>
          </w:p>
        </w:tc>
        <w:tc>
          <w:tcPr>
            <w:tcW w:w="540" w:type="dxa"/>
            <w:vAlign w:val="bottom"/>
            <w:tcBorders>
              <w:bottom w:val="single" w:sz="8" w:color="auto"/>
            </w:tcBorders>
            <w:shd w:val="clear" w:color="auto" w:fill="CEFFE7"/>
          </w:tcPr>
          <w:p>
            <w:pPr>
              <w:spacing w:after="0"/>
              <w:rPr>
                <w:sz w:val="16"/>
                <w:szCs w:val="16"/>
                <w:color w:val="auto"/>
              </w:rPr>
            </w:pPr>
          </w:p>
        </w:tc>
        <w:tc>
          <w:tcPr>
            <w:tcW w:w="240" w:type="dxa"/>
            <w:vAlign w:val="bottom"/>
            <w:tcBorders>
              <w:bottom w:val="single" w:sz="8" w:color="auto"/>
            </w:tcBorders>
            <w:shd w:val="clear" w:color="auto" w:fill="CEFFE7"/>
          </w:tcPr>
          <w:p>
            <w:pPr>
              <w:jc w:val="right"/>
              <w:ind w:right="1"/>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auto"/>
            </w:tcBorders>
            <w:shd w:val="clear" w:color="auto" w:fill="CEFFE7"/>
          </w:tcPr>
          <w:p>
            <w:pPr>
              <w:spacing w:after="0"/>
              <w:rPr>
                <w:sz w:val="16"/>
                <w:szCs w:val="16"/>
                <w:color w:val="auto"/>
              </w:rPr>
            </w:pPr>
          </w:p>
        </w:tc>
        <w:tc>
          <w:tcPr>
            <w:tcW w:w="760" w:type="dxa"/>
            <w:vAlign w:val="bottom"/>
            <w:tcBorders>
              <w:bottom w:val="single" w:sz="8" w:color="auto"/>
            </w:tcBorders>
            <w:shd w:val="clear" w:color="auto" w:fill="CEFFE7"/>
          </w:tcPr>
          <w:p>
            <w:pPr>
              <w:jc w:val="right"/>
              <w:ind w:right="4"/>
              <w:spacing w:after="0"/>
              <w:rPr>
                <w:sz w:val="20"/>
                <w:szCs w:val="20"/>
                <w:color w:val="auto"/>
              </w:rPr>
            </w:pPr>
            <w:r>
              <w:rPr>
                <w:rFonts w:ascii="Arial" w:cs="Arial" w:eastAsia="Arial" w:hAnsi="Arial"/>
                <w:sz w:val="14"/>
                <w:szCs w:val="14"/>
                <w:color w:val="auto"/>
              </w:rPr>
              <w:t>216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Net periodic expense</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4,618</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4"/>
                <w:szCs w:val="14"/>
                <w:color w:val="auto"/>
              </w:rPr>
              <w:t>2,145</w:t>
            </w: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6,253</w:t>
            </w:r>
          </w:p>
        </w:tc>
        <w:tc>
          <w:tcPr>
            <w:tcW w:w="240" w:type="dxa"/>
            <w:vAlign w:val="bottom"/>
          </w:tcPr>
          <w:p>
            <w:pPr>
              <w:jc w:val="center"/>
              <w:ind w:left="82"/>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4,382</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6,827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84"/>
              <w:spacing w:after="0"/>
              <w:rPr>
                <w:sz w:val="20"/>
                <w:szCs w:val="20"/>
                <w:color w:val="auto"/>
              </w:rPr>
            </w:pPr>
            <w:r>
              <w:rPr>
                <w:rFonts w:ascii="Arial" w:cs="Arial" w:eastAsia="Arial" w:hAnsi="Arial"/>
                <w:sz w:val="14"/>
                <w:szCs w:val="14"/>
                <w:color w:val="auto"/>
              </w:rPr>
              <w:t>3,936</w:t>
            </w:r>
          </w:p>
        </w:tc>
        <w:tc>
          <w:tcPr>
            <w:tcW w:w="320" w:type="dxa"/>
            <w:vAlign w:val="bottom"/>
          </w:tcPr>
          <w:p>
            <w:pPr>
              <w:jc w:val="right"/>
              <w:ind w:right="124"/>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2,997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
              <w:spacing w:after="0"/>
              <w:rPr>
                <w:sz w:val="20"/>
                <w:szCs w:val="20"/>
                <w:color w:val="auto"/>
              </w:rPr>
            </w:pPr>
            <w:r>
              <w:rPr>
                <w:rFonts w:ascii="Arial" w:cs="Arial" w:eastAsia="Arial" w:hAnsi="Arial"/>
                <w:sz w:val="14"/>
                <w:szCs w:val="14"/>
                <w:color w:val="auto"/>
              </w:rPr>
              <w:t>3,434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
              <w:spacing w:after="0"/>
              <w:rPr>
                <w:sz w:val="20"/>
                <w:szCs w:val="20"/>
                <w:color w:val="auto"/>
              </w:rPr>
            </w:pPr>
            <w:r>
              <w:rPr>
                <w:rFonts w:ascii="Arial" w:cs="Arial" w:eastAsia="Arial" w:hAnsi="Arial"/>
                <w:sz w:val="14"/>
                <w:szCs w:val="14"/>
                <w:color w:val="auto"/>
              </w:rPr>
              <w:t>3,879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 w:lineRule="exact"/>
        <w:rPr>
          <w:sz w:val="20"/>
          <w:szCs w:val="20"/>
          <w:color w:val="auto"/>
        </w:rPr>
      </w:pPr>
    </w:p>
    <w:p>
      <w:pPr>
        <w:ind w:left="340" w:right="720" w:hanging="332"/>
        <w:spacing w:after="0" w:line="258" w:lineRule="auto"/>
        <w:tabs>
          <w:tab w:leader="none" w:pos="352" w:val="left"/>
        </w:tabs>
        <w:numPr>
          <w:ilvl w:val="0"/>
          <w:numId w:val="86"/>
        </w:numPr>
        <w:rPr>
          <w:rFonts w:ascii="Arial" w:cs="Arial" w:eastAsia="Arial" w:hAnsi="Arial"/>
          <w:sz w:val="14"/>
          <w:szCs w:val="14"/>
          <w:color w:val="auto"/>
        </w:rPr>
      </w:pPr>
      <w:r>
        <w:rPr>
          <w:rFonts w:ascii="Arial" w:cs="Arial" w:eastAsia="Arial" w:hAnsi="Arial"/>
          <w:sz w:val="14"/>
          <w:szCs w:val="14"/>
          <w:color w:val="auto"/>
        </w:rPr>
        <w:t>For the year ended December 31, 2020, Service Cost for the Supplemental Non-qualified Defined Benefit Plans includes a $1.4 million correction of a prior year overstatement of Projected benefit obligation. Due to the immaterial nature of this correction, the prior year information was not revised.</w:t>
      </w:r>
    </w:p>
    <w:p>
      <w:pPr>
        <w:spacing w:after="0" w:line="21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For the years ended December 31, 2020, 2019 and 2018, Service costs were recorded in Operations and maintenance expense while non service costs were recorded in Other expense on the Consolidated Statements of Income.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Accounting Principle - Pension Accounting Asset Method</w:t>
      </w:r>
    </w:p>
    <w:p>
      <w:pPr>
        <w:spacing w:after="0" w:line="26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Effective January 1, 2020, the Company changed its method of accounting for net periodic benefit cost. Prior to the change, the Company used a calculated value for determining market-related value of plan assets which amortized the effects of gains and losses over a five-year period. Effective with the accounting change, the Company used a calculated value for the return-seeking assets (equities) in the portfolio and fair value for the liability-hedging assets (fixed income). The Company considers the fair value method for determining market-related value of liability-hedging assets to be a preferable method of accounting because asset-related gains and losses are subject to amortization into pension cost immediately. Additionally, the fair value for liability-hedging assets allows for the impact of gains and losses on this portion of the asset portfolio to be reflected in tandem with changes in the liability which is linked to changes in the discount rate assumption for re-measurement.</w:t>
      </w:r>
    </w:p>
    <w:p>
      <w:pPr>
        <w:spacing w:after="0" w:line="23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evaluated the effect of this change in accounting method and deemed it immaterial to the historical and current financial statements and therefore did not account for the change retrospectively. Accordingly, the Company calculated the cumulative difference using a calculated value versus fair value to determine market-related value for liability-hedging assets of the portfolio. The cumulative effect of this change, as of January 1, 2020, resulted in a decrease to prior service costs, as recorded in Other income (expense), net, of $0.6 million, an increase in Income tax expense of $0.2 million and an increase to Net income of $0.4 million within the accompanying Consolidated Statements of Income for the year ended December 31, 2020.</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gridSpan w:val="3"/>
          </w:tcPr>
          <w:p>
            <w:pPr>
              <w:spacing w:after="0"/>
              <w:rPr>
                <w:sz w:val="20"/>
                <w:szCs w:val="20"/>
                <w:color w:val="auto"/>
              </w:rPr>
            </w:pPr>
            <w:r>
              <w:rPr>
                <w:rFonts w:ascii="Arial" w:cs="Arial" w:eastAsia="Arial" w:hAnsi="Arial"/>
                <w:sz w:val="16"/>
                <w:szCs w:val="16"/>
                <w:color w:val="auto"/>
              </w:rPr>
              <w:t>AOCI Amounts (After-Tax)</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center"/>
              <w:ind w:left="399"/>
              <w:spacing w:after="0"/>
              <w:rPr>
                <w:sz w:val="20"/>
                <w:szCs w:val="20"/>
                <w:color w:val="auto"/>
              </w:rPr>
            </w:pPr>
            <w:r>
              <w:rPr>
                <w:rFonts w:ascii="Arial" w:cs="Arial" w:eastAsia="Arial" w:hAnsi="Arial"/>
                <w:sz w:val="16"/>
                <w:szCs w:val="16"/>
                <w:color w:val="auto"/>
              </w:rPr>
              <w:t>Supplemental</w:t>
            </w:r>
          </w:p>
        </w:tc>
        <w:tc>
          <w:tcPr>
            <w:tcW w:w="460" w:type="dxa"/>
            <w:vAlign w:val="bottom"/>
          </w:tcPr>
          <w:p>
            <w:pPr>
              <w:spacing w:after="0"/>
              <w:rPr>
                <w:sz w:val="24"/>
                <w:szCs w:val="24"/>
                <w:color w:val="auto"/>
              </w:rPr>
            </w:pPr>
          </w:p>
        </w:tc>
        <w:tc>
          <w:tcPr>
            <w:tcW w:w="2360" w:type="dxa"/>
            <w:vAlign w:val="bottom"/>
            <w:gridSpan w:val="4"/>
          </w:tcPr>
          <w:p>
            <w:pPr>
              <w:jc w:val="center"/>
              <w:ind w:left="99"/>
              <w:spacing w:after="0"/>
              <w:rPr>
                <w:sz w:val="20"/>
                <w:szCs w:val="20"/>
                <w:color w:val="auto"/>
              </w:rPr>
            </w:pPr>
            <w:r>
              <w:rPr>
                <w:rFonts w:ascii="Arial" w:cs="Arial" w:eastAsia="Arial" w:hAnsi="Arial"/>
                <w:sz w:val="16"/>
                <w:szCs w:val="16"/>
                <w:color w:val="auto"/>
              </w:rPr>
              <w:t>Non-pension Defined Benefit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3"/>
          </w:tcPr>
          <w:p>
            <w:pPr>
              <w:jc w:val="right"/>
              <w:ind w:right="559"/>
              <w:spacing w:after="0" w:line="162" w:lineRule="exact"/>
              <w:rPr>
                <w:sz w:val="20"/>
                <w:szCs w:val="20"/>
                <w:color w:val="auto"/>
              </w:rPr>
            </w:pPr>
            <w:r>
              <w:rPr>
                <w:rFonts w:ascii="Arial" w:cs="Arial" w:eastAsia="Arial" w:hAnsi="Arial"/>
                <w:sz w:val="16"/>
                <w:szCs w:val="16"/>
                <w:color w:val="auto"/>
              </w:rPr>
              <w:t>Defined Benefit</w:t>
            </w:r>
          </w:p>
        </w:tc>
        <w:tc>
          <w:tcPr>
            <w:tcW w:w="140" w:type="dxa"/>
            <w:vAlign w:val="bottom"/>
          </w:tcPr>
          <w:p>
            <w:pPr>
              <w:spacing w:after="0"/>
              <w:rPr>
                <w:sz w:val="14"/>
                <w:szCs w:val="14"/>
                <w:color w:val="auto"/>
              </w:rPr>
            </w:pPr>
          </w:p>
        </w:tc>
        <w:tc>
          <w:tcPr>
            <w:tcW w:w="2200" w:type="dxa"/>
            <w:vAlign w:val="bottom"/>
            <w:gridSpan w:val="3"/>
          </w:tcPr>
          <w:p>
            <w:pPr>
              <w:jc w:val="center"/>
              <w:spacing w:after="0" w:line="162" w:lineRule="exact"/>
              <w:rPr>
                <w:sz w:val="20"/>
                <w:szCs w:val="20"/>
                <w:color w:val="auto"/>
              </w:rPr>
            </w:pPr>
            <w:r>
              <w:rPr>
                <w:rFonts w:ascii="Arial" w:cs="Arial" w:eastAsia="Arial" w:hAnsi="Arial"/>
                <w:sz w:val="16"/>
                <w:szCs w:val="16"/>
                <w:color w:val="auto"/>
              </w:rPr>
              <w:t>Non-qualified Defined Benefit</w:t>
            </w:r>
          </w:p>
        </w:tc>
        <w:tc>
          <w:tcPr>
            <w:tcW w:w="2360" w:type="dxa"/>
            <w:vAlign w:val="bottom"/>
            <w:gridSpan w:val="4"/>
          </w:tcPr>
          <w:p>
            <w:pPr>
              <w:jc w:val="center"/>
              <w:ind w:left="79"/>
              <w:spacing w:after="0" w:line="162" w:lineRule="exact"/>
              <w:rPr>
                <w:sz w:val="20"/>
                <w:szCs w:val="20"/>
                <w:color w:val="auto"/>
              </w:rPr>
            </w:pPr>
            <w:r>
              <w:rPr>
                <w:rFonts w:ascii="Arial" w:cs="Arial" w:eastAsia="Arial" w:hAnsi="Arial"/>
                <w:sz w:val="16"/>
                <w:szCs w:val="16"/>
                <w:color w:val="auto"/>
              </w:rPr>
              <w:t>Postretirement Healthcare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color w:val="auto"/>
              </w:rPr>
              <w:t>Pension Plan</w:t>
            </w: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left="399"/>
              <w:spacing w:after="0"/>
              <w:rPr>
                <w:sz w:val="20"/>
                <w:szCs w:val="20"/>
                <w:color w:val="auto"/>
              </w:rPr>
            </w:pPr>
            <w:r>
              <w:rPr>
                <w:rFonts w:ascii="Arial" w:cs="Arial" w:eastAsia="Arial" w:hAnsi="Arial"/>
                <w:sz w:val="16"/>
                <w:szCs w:val="16"/>
                <w:color w:val="auto"/>
              </w:rPr>
              <w:t>Plans</w:t>
            </w: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6"/>
                <w:szCs w:val="16"/>
                <w:color w:val="auto"/>
                <w:w w:val="99"/>
              </w:rPr>
              <w:t>Plan</w:t>
            </w: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December 31,</w:t>
            </w:r>
          </w:p>
        </w:tc>
        <w:tc>
          <w:tcPr>
            <w:tcW w:w="1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2020</w:t>
            </w:r>
          </w:p>
        </w:tc>
        <w:tc>
          <w:tcPr>
            <w:tcW w:w="118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2019</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5"/>
              </w:rPr>
              <w:t>2020</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(gain) loss</w:t>
            </w:r>
          </w:p>
        </w:tc>
        <w:tc>
          <w:tcPr>
            <w:tcW w:w="1060" w:type="dxa"/>
            <w:vAlign w:val="bottom"/>
            <w:shd w:val="clear" w:color="auto" w:fill="CEFFE7"/>
          </w:tcPr>
          <w:p>
            <w:pPr>
              <w:spacing w:after="0"/>
              <w:rPr>
                <w:sz w:val="18"/>
                <w:szCs w:val="18"/>
                <w:color w:val="auto"/>
              </w:rPr>
            </w:pPr>
          </w:p>
        </w:tc>
        <w:tc>
          <w:tcPr>
            <w:tcW w:w="920" w:type="dxa"/>
            <w:vAlign w:val="bottom"/>
            <w:gridSpan w:val="2"/>
            <w:shd w:val="clear" w:color="auto" w:fill="CEFFE7"/>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5,511</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5,322</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9,323</w:t>
            </w:r>
          </w:p>
        </w:tc>
        <w:tc>
          <w:tcPr>
            <w:tcW w:w="720" w:type="dxa"/>
            <w:vAlign w:val="bottom"/>
            <w:shd w:val="clear" w:color="auto" w:fill="CEFFE7"/>
          </w:tcPr>
          <w:p>
            <w:pPr>
              <w:ind w:left="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9,893</w:t>
            </w:r>
          </w:p>
        </w:tc>
        <w:tc>
          <w:tcPr>
            <w:tcW w:w="52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Prior service cost (gain)</w:t>
            </w:r>
          </w:p>
        </w:tc>
        <w:tc>
          <w:tcPr>
            <w:tcW w:w="1060" w:type="dxa"/>
            <w:vAlign w:val="bottom"/>
            <w:tcBorders>
              <w:bottom w:val="single" w:sz="8" w:color="CEFFE7"/>
            </w:tcBorders>
          </w:tcPr>
          <w:p>
            <w:pPr>
              <w:spacing w:after="0"/>
              <w:rPr>
                <w:sz w:val="18"/>
                <w:szCs w:val="18"/>
                <w:color w:val="auto"/>
              </w:rPr>
            </w:pPr>
          </w:p>
        </w:tc>
        <w:tc>
          <w:tcPr>
            <w:tcW w:w="440" w:type="dxa"/>
            <w:vAlign w:val="bottom"/>
            <w:tcBorders>
              <w:bottom w:val="single" w:sz="8" w:color="CEFFE7"/>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00" w:type="dxa"/>
            <w:vAlign w:val="bottom"/>
            <w:gridSpan w:val="3"/>
            <w:shd w:val="clear" w:color="auto" w:fill="CEFFE7"/>
          </w:tcPr>
          <w:p>
            <w:pPr>
              <w:ind w:left="20"/>
              <w:spacing w:after="0" w:line="161" w:lineRule="exact"/>
              <w:rPr>
                <w:sz w:val="20"/>
                <w:szCs w:val="20"/>
                <w:color w:val="auto"/>
              </w:rPr>
            </w:pPr>
            <w:r>
              <w:rPr>
                <w:rFonts w:ascii="Arial" w:cs="Arial" w:eastAsia="Arial" w:hAnsi="Arial"/>
                <w:sz w:val="16"/>
                <w:szCs w:val="16"/>
                <w:color w:val="auto"/>
              </w:rPr>
              <w:t>Total amounts included in AOCI, after-tax not yet</w:t>
            </w:r>
          </w:p>
        </w:tc>
        <w:tc>
          <w:tcPr>
            <w:tcW w:w="440" w:type="dxa"/>
            <w:vAlign w:val="bottom"/>
            <w:vMerge w:val="restart"/>
            <w:shd w:val="clear" w:color="auto" w:fill="CEFFE7"/>
          </w:tcPr>
          <w:p>
            <w:pPr>
              <w:spacing w:after="0"/>
              <w:rPr>
                <w:sz w:val="13"/>
                <w:szCs w:val="13"/>
                <w:color w:val="auto"/>
              </w:rPr>
            </w:pPr>
          </w:p>
        </w:tc>
        <w:tc>
          <w:tcPr>
            <w:tcW w:w="480" w:type="dxa"/>
            <w:vAlign w:val="bottom"/>
            <w:vMerge w:val="restart"/>
            <w:shd w:val="clear" w:color="auto" w:fill="CEFFE7"/>
          </w:tcPr>
          <w:p>
            <w:pPr>
              <w:jc w:val="center"/>
              <w:ind w:right="279"/>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5,511</w:t>
            </w:r>
          </w:p>
        </w:tc>
        <w:tc>
          <w:tcPr>
            <w:tcW w:w="30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5,322</w:t>
            </w:r>
          </w:p>
        </w:tc>
        <w:tc>
          <w:tcPr>
            <w:tcW w:w="1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9,323</w:t>
            </w:r>
          </w:p>
        </w:tc>
        <w:tc>
          <w:tcPr>
            <w:tcW w:w="720" w:type="dxa"/>
            <w:vAlign w:val="bottom"/>
            <w:vMerge w:val="restart"/>
            <w:shd w:val="clear" w:color="auto" w:fill="CEFFE7"/>
          </w:tcPr>
          <w:p>
            <w:pPr>
              <w:ind w:left="6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9,895</w:t>
            </w:r>
          </w:p>
        </w:tc>
        <w:tc>
          <w:tcPr>
            <w:tcW w:w="520" w:type="dxa"/>
            <w:vAlign w:val="bottom"/>
            <w:vMerge w:val="restart"/>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(44)</w:t>
            </w:r>
          </w:p>
        </w:tc>
        <w:tc>
          <w:tcPr>
            <w:tcW w:w="30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tcBorders>
              <w:bottom w:val="single" w:sz="8" w:color="CEFFE7"/>
            </w:tcBorders>
            <w:gridSpan w:val="3"/>
            <w:shd w:val="clear" w:color="auto" w:fill="CEFFE7"/>
          </w:tcPr>
          <w:p>
            <w:pPr>
              <w:ind w:left="20"/>
              <w:spacing w:after="0" w:line="174" w:lineRule="exact"/>
              <w:rPr>
                <w:sz w:val="20"/>
                <w:szCs w:val="20"/>
                <w:color w:val="auto"/>
              </w:rPr>
            </w:pPr>
            <w:r>
              <w:rPr>
                <w:rFonts w:ascii="Arial" w:cs="Arial" w:eastAsia="Arial" w:hAnsi="Arial"/>
                <w:sz w:val="16"/>
                <w:szCs w:val="16"/>
                <w:color w:val="auto"/>
              </w:rPr>
              <w:t>recognized as components of net periodic expense</w:t>
            </w:r>
          </w:p>
        </w:tc>
        <w:tc>
          <w:tcPr>
            <w:tcW w:w="440" w:type="dxa"/>
            <w:vAlign w:val="bottom"/>
            <w:tcBorders>
              <w:bottom w:val="single" w:sz="8" w:color="CEFFE7"/>
            </w:tcBorders>
            <w:vMerge w:val="continue"/>
            <w:shd w:val="clear" w:color="auto" w:fill="CEFFE7"/>
          </w:tcPr>
          <w:p>
            <w:pPr>
              <w:spacing w:after="0"/>
              <w:rPr>
                <w:sz w:val="16"/>
                <w:szCs w:val="16"/>
                <w:color w:val="auto"/>
              </w:rPr>
            </w:pPr>
          </w:p>
        </w:tc>
        <w:tc>
          <w:tcPr>
            <w:tcW w:w="480" w:type="dxa"/>
            <w:vAlign w:val="bottom"/>
            <w:tcBorders>
              <w:bottom w:val="single" w:sz="8" w:color="auto"/>
            </w:tcBorders>
            <w:vMerge w:val="continue"/>
            <w:shd w:val="clear" w:color="auto" w:fill="CEFFE7"/>
          </w:tcPr>
          <w:p>
            <w:pPr>
              <w:spacing w:after="0"/>
              <w:rPr>
                <w:sz w:val="16"/>
                <w:szCs w:val="16"/>
                <w:color w:val="auto"/>
              </w:rPr>
            </w:pPr>
          </w:p>
        </w:tc>
        <w:tc>
          <w:tcPr>
            <w:tcW w:w="560" w:type="dxa"/>
            <w:vAlign w:val="bottom"/>
            <w:tcBorders>
              <w:bottom w:val="single" w:sz="8" w:color="auto"/>
            </w:tcBorders>
            <w:vMerge w:val="continue"/>
            <w:shd w:val="clear" w:color="auto" w:fill="CEFFE7"/>
          </w:tcPr>
          <w:p>
            <w:pPr>
              <w:spacing w:after="0"/>
              <w:rPr>
                <w:sz w:val="16"/>
                <w:szCs w:val="16"/>
                <w:color w:val="auto"/>
              </w:rPr>
            </w:pPr>
          </w:p>
        </w:tc>
        <w:tc>
          <w:tcPr>
            <w:tcW w:w="300" w:type="dxa"/>
            <w:vAlign w:val="bottom"/>
            <w:tcBorders>
              <w:bottom w:val="single" w:sz="8" w:color="auto"/>
            </w:tcBorders>
            <w:vMerge w:val="continue"/>
            <w:shd w:val="clear" w:color="auto" w:fill="CEFFE7"/>
          </w:tcPr>
          <w:p>
            <w:pPr>
              <w:spacing w:after="0"/>
              <w:rPr>
                <w:sz w:val="16"/>
                <w:szCs w:val="16"/>
                <w:color w:val="auto"/>
              </w:rPr>
            </w:pPr>
          </w:p>
        </w:tc>
        <w:tc>
          <w:tcPr>
            <w:tcW w:w="920" w:type="dxa"/>
            <w:vAlign w:val="bottom"/>
            <w:tcBorders>
              <w:bottom w:val="single" w:sz="8" w:color="auto"/>
            </w:tcBorders>
            <w:vMerge w:val="continue"/>
            <w:shd w:val="clear" w:color="auto" w:fill="CEFFE7"/>
          </w:tcPr>
          <w:p>
            <w:pPr>
              <w:spacing w:after="0"/>
              <w:rPr>
                <w:sz w:val="16"/>
                <w:szCs w:val="16"/>
                <w:color w:val="auto"/>
              </w:rPr>
            </w:pPr>
          </w:p>
        </w:tc>
        <w:tc>
          <w:tcPr>
            <w:tcW w:w="140" w:type="dxa"/>
            <w:vAlign w:val="bottom"/>
            <w:tcBorders>
              <w:bottom w:val="single" w:sz="8" w:color="auto"/>
            </w:tcBorders>
            <w:vMerge w:val="continue"/>
            <w:shd w:val="clear" w:color="auto" w:fill="CEFFE7"/>
          </w:tcPr>
          <w:p>
            <w:pPr>
              <w:spacing w:after="0"/>
              <w:rPr>
                <w:sz w:val="16"/>
                <w:szCs w:val="16"/>
                <w:color w:val="auto"/>
              </w:rPr>
            </w:pPr>
          </w:p>
        </w:tc>
        <w:tc>
          <w:tcPr>
            <w:tcW w:w="1020" w:type="dxa"/>
            <w:vAlign w:val="bottom"/>
            <w:tcBorders>
              <w:bottom w:val="single" w:sz="8" w:color="auto"/>
            </w:tcBorders>
            <w:vMerge w:val="continue"/>
            <w:shd w:val="clear" w:color="auto" w:fill="CEFFE7"/>
          </w:tcPr>
          <w:p>
            <w:pPr>
              <w:spacing w:after="0"/>
              <w:rPr>
                <w:sz w:val="16"/>
                <w:szCs w:val="16"/>
                <w:color w:val="auto"/>
              </w:rPr>
            </w:pPr>
          </w:p>
        </w:tc>
        <w:tc>
          <w:tcPr>
            <w:tcW w:w="720" w:type="dxa"/>
            <w:vAlign w:val="bottom"/>
            <w:tcBorders>
              <w:bottom w:val="single" w:sz="8" w:color="auto"/>
            </w:tcBorders>
            <w:vMerge w:val="continue"/>
            <w:shd w:val="clear" w:color="auto" w:fill="CEFFE7"/>
          </w:tcPr>
          <w:p>
            <w:pPr>
              <w:spacing w:after="0"/>
              <w:rPr>
                <w:sz w:val="16"/>
                <w:szCs w:val="16"/>
                <w:color w:val="auto"/>
              </w:rPr>
            </w:pPr>
          </w:p>
        </w:tc>
        <w:tc>
          <w:tcPr>
            <w:tcW w:w="460" w:type="dxa"/>
            <w:vAlign w:val="bottom"/>
            <w:tcBorders>
              <w:bottom w:val="single" w:sz="8" w:color="auto"/>
            </w:tcBorders>
            <w:vMerge w:val="continue"/>
            <w:shd w:val="clear" w:color="auto" w:fill="CEFFE7"/>
          </w:tcPr>
          <w:p>
            <w:pPr>
              <w:spacing w:after="0"/>
              <w:rPr>
                <w:sz w:val="16"/>
                <w:szCs w:val="16"/>
                <w:color w:val="auto"/>
              </w:rPr>
            </w:pPr>
          </w:p>
        </w:tc>
        <w:tc>
          <w:tcPr>
            <w:tcW w:w="520" w:type="dxa"/>
            <w:vAlign w:val="bottom"/>
            <w:tcBorders>
              <w:bottom w:val="single" w:sz="8" w:color="auto"/>
            </w:tcBorders>
            <w:vMerge w:val="continue"/>
            <w:shd w:val="clear" w:color="auto" w:fill="CEFFE7"/>
          </w:tcPr>
          <w:p>
            <w:pPr>
              <w:spacing w:after="0"/>
              <w:rPr>
                <w:sz w:val="16"/>
                <w:szCs w:val="16"/>
                <w:color w:val="auto"/>
              </w:rPr>
            </w:pPr>
          </w:p>
        </w:tc>
        <w:tc>
          <w:tcPr>
            <w:tcW w:w="720" w:type="dxa"/>
            <w:vAlign w:val="bottom"/>
            <w:tcBorders>
              <w:bottom w:val="single" w:sz="8" w:color="auto"/>
            </w:tcBorders>
            <w:vMerge w:val="continue"/>
            <w:shd w:val="clear" w:color="auto" w:fill="CEFFE7"/>
          </w:tcPr>
          <w:p>
            <w:pPr>
              <w:spacing w:after="0"/>
              <w:rPr>
                <w:sz w:val="16"/>
                <w:szCs w:val="16"/>
                <w:color w:val="auto"/>
              </w:rPr>
            </w:pPr>
          </w:p>
        </w:tc>
        <w:tc>
          <w:tcPr>
            <w:tcW w:w="300" w:type="dxa"/>
            <w:vAlign w:val="bottom"/>
            <w:tcBorders>
              <w:bottom w:val="single" w:sz="8" w:color="auto"/>
            </w:tcBorders>
            <w:vMerge w:val="continue"/>
            <w:shd w:val="clear" w:color="auto" w:fill="CEFFE7"/>
          </w:tcPr>
          <w:p>
            <w:pPr>
              <w:spacing w:after="0"/>
              <w:rPr>
                <w:sz w:val="16"/>
                <w:szCs w:val="16"/>
                <w:color w:val="auto"/>
              </w:rPr>
            </w:pPr>
          </w:p>
        </w:tc>
        <w:tc>
          <w:tcPr>
            <w:tcW w:w="820" w:type="dxa"/>
            <w:vAlign w:val="bottom"/>
            <w:tcBorders>
              <w:bottom w:val="single" w:sz="8" w:color="auto"/>
            </w:tcBorders>
            <w:vMerge w:val="continue"/>
            <w:shd w:val="clear" w:color="auto" w:fill="CEFFE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Assumptions</w:t>
            </w: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76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80" w:type="dxa"/>
            <w:vAlign w:val="bottom"/>
            <w:gridSpan w:val="3"/>
          </w:tcPr>
          <w:p>
            <w:pPr>
              <w:jc w:val="center"/>
              <w:ind w:left="699"/>
              <w:spacing w:after="0"/>
              <w:rPr>
                <w:sz w:val="20"/>
                <w:szCs w:val="20"/>
                <w:color w:val="auto"/>
              </w:rPr>
            </w:pPr>
            <w:r>
              <w:rPr>
                <w:rFonts w:ascii="Arial" w:cs="Arial" w:eastAsia="Arial" w:hAnsi="Arial"/>
                <w:sz w:val="16"/>
                <w:szCs w:val="16"/>
                <w:color w:val="auto"/>
              </w:rPr>
              <w:t>Defined Benefit</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3"/>
          </w:tcPr>
          <w:p>
            <w:pPr>
              <w:jc w:val="center"/>
              <w:ind w:left="639"/>
              <w:spacing w:after="0"/>
              <w:rPr>
                <w:sz w:val="20"/>
                <w:szCs w:val="20"/>
                <w:color w:val="auto"/>
              </w:rPr>
            </w:pPr>
            <w:r>
              <w:rPr>
                <w:rFonts w:ascii="Arial" w:cs="Arial" w:eastAsia="Arial" w:hAnsi="Arial"/>
                <w:sz w:val="16"/>
                <w:szCs w:val="16"/>
                <w:color w:val="auto"/>
              </w:rPr>
              <w:t>Supplemental</w:t>
            </w:r>
          </w:p>
        </w:tc>
        <w:tc>
          <w:tcPr>
            <w:tcW w:w="720" w:type="dxa"/>
            <w:vAlign w:val="bottom"/>
          </w:tcPr>
          <w:p>
            <w:pPr>
              <w:spacing w:after="0"/>
              <w:rPr>
                <w:sz w:val="24"/>
                <w:szCs w:val="24"/>
                <w:color w:val="auto"/>
              </w:rPr>
            </w:pPr>
          </w:p>
        </w:tc>
        <w:tc>
          <w:tcPr>
            <w:tcW w:w="2820" w:type="dxa"/>
            <w:vAlign w:val="bottom"/>
            <w:gridSpan w:val="5"/>
          </w:tcPr>
          <w:p>
            <w:pPr>
              <w:jc w:val="center"/>
              <w:ind w:left="19"/>
              <w:spacing w:after="0"/>
              <w:rPr>
                <w:sz w:val="20"/>
                <w:szCs w:val="20"/>
                <w:color w:val="auto"/>
              </w:rPr>
            </w:pPr>
            <w:r>
              <w:rPr>
                <w:rFonts w:ascii="Arial" w:cs="Arial" w:eastAsia="Arial" w:hAnsi="Arial"/>
                <w:sz w:val="16"/>
                <w:szCs w:val="16"/>
                <w:color w:val="auto"/>
              </w:rPr>
              <w:t>Non-pension Defined Benefit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color w:val="auto"/>
              </w:rPr>
              <w:t>Pension Plan</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Non-qualified Defined Benefit Plans</w:t>
            </w:r>
          </w:p>
        </w:tc>
        <w:tc>
          <w:tcPr>
            <w:tcW w:w="2820" w:type="dxa"/>
            <w:vAlign w:val="bottom"/>
            <w:tcBorders>
              <w:bottom w:val="single" w:sz="8" w:color="auto"/>
            </w:tcBorders>
            <w:gridSpan w:val="5"/>
          </w:tcPr>
          <w:p>
            <w:pPr>
              <w:jc w:val="center"/>
              <w:ind w:left="19"/>
              <w:spacing w:after="0"/>
              <w:rPr>
                <w:sz w:val="20"/>
                <w:szCs w:val="20"/>
                <w:color w:val="auto"/>
              </w:rPr>
            </w:pPr>
            <w:r>
              <w:rPr>
                <w:rFonts w:ascii="Arial" w:cs="Arial" w:eastAsia="Arial" w:hAnsi="Arial"/>
                <w:sz w:val="16"/>
                <w:szCs w:val="16"/>
                <w:color w:val="auto"/>
              </w:rPr>
              <w:t>Postretirement Healthcare Plan</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gridSpan w:val="2"/>
          </w:tcPr>
          <w:p>
            <w:pPr>
              <w:spacing w:after="0" w:line="164" w:lineRule="exact"/>
              <w:rPr>
                <w:sz w:val="20"/>
                <w:szCs w:val="20"/>
                <w:color w:val="auto"/>
              </w:rPr>
            </w:pPr>
            <w:r>
              <w:rPr>
                <w:rFonts w:ascii="Arial" w:cs="Arial" w:eastAsia="Arial" w:hAnsi="Arial"/>
                <w:sz w:val="16"/>
                <w:szCs w:val="16"/>
                <w:color w:val="auto"/>
              </w:rPr>
              <w:t>Weighted-average assumptions used</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 determine benefit obligations:</w:t>
            </w: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92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6"/>
                <w:szCs w:val="16"/>
                <w:color w:val="auto"/>
              </w:rPr>
              <w:t>2019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rPr>
              <w:t>2019</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2018</w:t>
            </w:r>
          </w:p>
        </w:tc>
        <w:tc>
          <w:tcPr>
            <w:tcW w:w="9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2020</w:t>
            </w:r>
          </w:p>
        </w:tc>
        <w:tc>
          <w:tcPr>
            <w:tcW w:w="7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EFFE7"/>
          </w:tcPr>
          <w:p>
            <w:pPr>
              <w:spacing w:after="0"/>
              <w:rPr>
                <w:sz w:val="18"/>
                <w:szCs w:val="18"/>
                <w:color w:val="auto"/>
              </w:rPr>
            </w:pPr>
          </w:p>
        </w:tc>
        <w:tc>
          <w:tcPr>
            <w:tcW w:w="27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Discount rate</w:t>
            </w:r>
          </w:p>
        </w:tc>
        <w:tc>
          <w:tcPr>
            <w:tcW w:w="10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2.56 %</w:t>
            </w:r>
          </w:p>
        </w:tc>
        <w:tc>
          <w:tcPr>
            <w:tcW w:w="920" w:type="dxa"/>
            <w:vAlign w:val="bottom"/>
            <w:gridSpan w:val="2"/>
            <w:shd w:val="clear" w:color="auto" w:fill="CEFFE7"/>
          </w:tcPr>
          <w:p>
            <w:pPr>
              <w:jc w:val="center"/>
              <w:ind w:left="19"/>
              <w:spacing w:after="0"/>
              <w:rPr>
                <w:sz w:val="20"/>
                <w:szCs w:val="20"/>
                <w:color w:val="auto"/>
              </w:rPr>
            </w:pPr>
            <w:r>
              <w:rPr>
                <w:rFonts w:ascii="Arial" w:cs="Arial" w:eastAsia="Arial" w:hAnsi="Arial"/>
                <w:sz w:val="16"/>
                <w:szCs w:val="16"/>
                <w:color w:val="auto"/>
              </w:rPr>
              <w:t>3.27 %</w:t>
            </w:r>
          </w:p>
        </w:tc>
        <w:tc>
          <w:tcPr>
            <w:tcW w:w="86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4.40 %</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2.41 %</w:t>
            </w:r>
          </w:p>
        </w:tc>
        <w:tc>
          <w:tcPr>
            <w:tcW w:w="140" w:type="dxa"/>
            <w:vAlign w:val="bottom"/>
            <w:shd w:val="clear" w:color="auto" w:fill="CEFFE7"/>
          </w:tcPr>
          <w:p>
            <w:pPr>
              <w:spacing w:after="0"/>
              <w:rPr>
                <w:sz w:val="18"/>
                <w:szCs w:val="18"/>
                <w:color w:val="auto"/>
              </w:rPr>
            </w:pPr>
          </w:p>
        </w:tc>
        <w:tc>
          <w:tcPr>
            <w:tcW w:w="1020" w:type="dxa"/>
            <w:vAlign w:val="bottom"/>
            <w:shd w:val="clear" w:color="auto" w:fill="CEFFE7"/>
          </w:tcPr>
          <w:p>
            <w:pPr>
              <w:ind w:left="280"/>
              <w:spacing w:after="0"/>
              <w:rPr>
                <w:sz w:val="20"/>
                <w:szCs w:val="20"/>
                <w:color w:val="auto"/>
              </w:rPr>
            </w:pPr>
            <w:r>
              <w:rPr>
                <w:rFonts w:ascii="Arial" w:cs="Arial" w:eastAsia="Arial" w:hAnsi="Arial"/>
                <w:sz w:val="16"/>
                <w:szCs w:val="16"/>
                <w:color w:val="auto"/>
              </w:rPr>
              <w:t>3.14 %</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4.34 %</w:t>
            </w:r>
          </w:p>
        </w:tc>
        <w:tc>
          <w:tcPr>
            <w:tcW w:w="460" w:type="dxa"/>
            <w:vAlign w:val="bottom"/>
            <w:shd w:val="clear" w:color="auto" w:fill="CEFFE7"/>
          </w:tcPr>
          <w:p>
            <w:pPr>
              <w:spacing w:after="0"/>
              <w:rPr>
                <w:sz w:val="18"/>
                <w:szCs w:val="18"/>
                <w:color w:val="auto"/>
              </w:rPr>
            </w:pP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2.41 %</w:t>
            </w:r>
          </w:p>
        </w:tc>
        <w:tc>
          <w:tcPr>
            <w:tcW w:w="102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3.15 %</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4.28 %</w:t>
            </w: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40" w:type="dxa"/>
            <w:vAlign w:val="bottom"/>
            <w:gridSpan w:val="2"/>
          </w:tcPr>
          <w:p>
            <w:pPr>
              <w:spacing w:after="0" w:line="178" w:lineRule="exact"/>
              <w:rPr>
                <w:sz w:val="20"/>
                <w:szCs w:val="20"/>
                <w:color w:val="auto"/>
              </w:rPr>
            </w:pPr>
            <w:r>
              <w:rPr>
                <w:rFonts w:ascii="Arial" w:cs="Arial" w:eastAsia="Arial" w:hAnsi="Arial"/>
                <w:sz w:val="16"/>
                <w:szCs w:val="16"/>
                <w:color w:val="auto"/>
              </w:rPr>
              <w:t>Rate of increase in compensation</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rPr>
              <w:t>levels</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3.34 %</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rPr>
              <w:t>3.49 %</w:t>
            </w:r>
          </w:p>
        </w:tc>
        <w:tc>
          <w:tcPr>
            <w:tcW w:w="860" w:type="dxa"/>
            <w:vAlign w:val="bottom"/>
            <w:gridSpan w:val="2"/>
          </w:tcPr>
          <w:p>
            <w:pPr>
              <w:jc w:val="right"/>
              <w:ind w:right="19"/>
              <w:spacing w:after="0"/>
              <w:rPr>
                <w:sz w:val="20"/>
                <w:szCs w:val="20"/>
                <w:color w:val="auto"/>
              </w:rPr>
            </w:pPr>
            <w:r>
              <w:rPr>
                <w:rFonts w:ascii="Arial" w:cs="Arial" w:eastAsia="Arial" w:hAnsi="Arial"/>
                <w:sz w:val="16"/>
                <w:szCs w:val="16"/>
                <w:color w:val="auto"/>
              </w:rPr>
              <w:t>3.52 %</w:t>
            </w:r>
          </w:p>
        </w:tc>
        <w:tc>
          <w:tcPr>
            <w:tcW w:w="920" w:type="dxa"/>
            <w:vAlign w:val="bottom"/>
          </w:tcPr>
          <w:p>
            <w:pPr>
              <w:jc w:val="right"/>
              <w:spacing w:after="0"/>
              <w:rPr>
                <w:sz w:val="20"/>
                <w:szCs w:val="20"/>
                <w:color w:val="auto"/>
              </w:rPr>
            </w:pPr>
            <w:r>
              <w:rPr>
                <w:rFonts w:ascii="Arial" w:cs="Arial" w:eastAsia="Arial" w:hAnsi="Arial"/>
                <w:sz w:val="16"/>
                <w:szCs w:val="16"/>
                <w:color w:val="auto"/>
              </w:rPr>
              <w:t>5.00 %</w:t>
            </w:r>
          </w:p>
        </w:tc>
        <w:tc>
          <w:tcPr>
            <w:tcW w:w="140" w:type="dxa"/>
            <w:vAlign w:val="bottom"/>
          </w:tcPr>
          <w:p>
            <w:pPr>
              <w:spacing w:after="0"/>
              <w:rPr>
                <w:sz w:val="16"/>
                <w:szCs w:val="16"/>
                <w:color w:val="auto"/>
              </w:rPr>
            </w:pPr>
          </w:p>
        </w:tc>
        <w:tc>
          <w:tcPr>
            <w:tcW w:w="1020" w:type="dxa"/>
            <w:vAlign w:val="bottom"/>
          </w:tcPr>
          <w:p>
            <w:pPr>
              <w:ind w:left="280"/>
              <w:spacing w:after="0"/>
              <w:rPr>
                <w:sz w:val="20"/>
                <w:szCs w:val="20"/>
                <w:color w:val="auto"/>
              </w:rPr>
            </w:pPr>
            <w:r>
              <w:rPr>
                <w:rFonts w:ascii="Arial" w:cs="Arial" w:eastAsia="Arial" w:hAnsi="Arial"/>
                <w:sz w:val="16"/>
                <w:szCs w:val="16"/>
                <w:color w:val="auto"/>
              </w:rPr>
              <w:t>5.00 %</w:t>
            </w:r>
          </w:p>
        </w:tc>
        <w:tc>
          <w:tcPr>
            <w:tcW w:w="720" w:type="dxa"/>
            <w:vAlign w:val="bottom"/>
          </w:tcPr>
          <w:p>
            <w:pPr>
              <w:jc w:val="right"/>
              <w:spacing w:after="0"/>
              <w:rPr>
                <w:sz w:val="20"/>
                <w:szCs w:val="20"/>
                <w:color w:val="auto"/>
              </w:rPr>
            </w:pPr>
            <w:r>
              <w:rPr>
                <w:rFonts w:ascii="Arial" w:cs="Arial" w:eastAsia="Arial" w:hAnsi="Arial"/>
                <w:sz w:val="16"/>
                <w:szCs w:val="16"/>
                <w:color w:val="auto"/>
              </w:rPr>
              <w:t>5.00 %</w:t>
            </w:r>
          </w:p>
        </w:tc>
        <w:tc>
          <w:tcPr>
            <w:tcW w:w="4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N/A</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N/A</w:t>
            </w:r>
          </w:p>
        </w:tc>
        <w:tc>
          <w:tcPr>
            <w:tcW w:w="820" w:type="dxa"/>
            <w:vAlign w:val="bottom"/>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80" w:type="dxa"/>
            <w:vAlign w:val="bottom"/>
            <w:gridSpan w:val="3"/>
          </w:tcPr>
          <w:p>
            <w:pPr>
              <w:jc w:val="center"/>
              <w:ind w:left="699"/>
              <w:spacing w:after="0"/>
              <w:rPr>
                <w:sz w:val="20"/>
                <w:szCs w:val="20"/>
                <w:color w:val="auto"/>
              </w:rPr>
            </w:pPr>
            <w:r>
              <w:rPr>
                <w:rFonts w:ascii="Arial" w:cs="Arial" w:eastAsia="Arial" w:hAnsi="Arial"/>
                <w:sz w:val="16"/>
                <w:szCs w:val="16"/>
                <w:color w:val="auto"/>
              </w:rPr>
              <w:t>Defined Benefit</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3"/>
          </w:tcPr>
          <w:p>
            <w:pPr>
              <w:jc w:val="center"/>
              <w:ind w:left="639"/>
              <w:spacing w:after="0"/>
              <w:rPr>
                <w:sz w:val="20"/>
                <w:szCs w:val="20"/>
                <w:color w:val="auto"/>
              </w:rPr>
            </w:pPr>
            <w:r>
              <w:rPr>
                <w:rFonts w:ascii="Arial" w:cs="Arial" w:eastAsia="Arial" w:hAnsi="Arial"/>
                <w:sz w:val="16"/>
                <w:szCs w:val="16"/>
                <w:color w:val="auto"/>
              </w:rPr>
              <w:t>Supplemental</w:t>
            </w:r>
          </w:p>
        </w:tc>
        <w:tc>
          <w:tcPr>
            <w:tcW w:w="720" w:type="dxa"/>
            <w:vAlign w:val="bottom"/>
          </w:tcPr>
          <w:p>
            <w:pPr>
              <w:spacing w:after="0"/>
              <w:rPr>
                <w:sz w:val="24"/>
                <w:szCs w:val="24"/>
                <w:color w:val="auto"/>
              </w:rPr>
            </w:pPr>
          </w:p>
        </w:tc>
        <w:tc>
          <w:tcPr>
            <w:tcW w:w="2820" w:type="dxa"/>
            <w:vAlign w:val="bottom"/>
            <w:gridSpan w:val="5"/>
          </w:tcPr>
          <w:p>
            <w:pPr>
              <w:jc w:val="center"/>
              <w:ind w:left="19"/>
              <w:spacing w:after="0"/>
              <w:rPr>
                <w:sz w:val="20"/>
                <w:szCs w:val="20"/>
                <w:color w:val="auto"/>
              </w:rPr>
            </w:pPr>
            <w:r>
              <w:rPr>
                <w:rFonts w:ascii="Arial" w:cs="Arial" w:eastAsia="Arial" w:hAnsi="Arial"/>
                <w:sz w:val="16"/>
                <w:szCs w:val="16"/>
                <w:color w:val="auto"/>
              </w:rPr>
              <w:t>Non-pension Defined Benefit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color w:val="auto"/>
              </w:rPr>
              <w:t>Pension Plan</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Non-qualified Defined Benefit Plans</w:t>
            </w:r>
          </w:p>
        </w:tc>
        <w:tc>
          <w:tcPr>
            <w:tcW w:w="2820" w:type="dxa"/>
            <w:vAlign w:val="bottom"/>
            <w:tcBorders>
              <w:bottom w:val="single" w:sz="8" w:color="auto"/>
            </w:tcBorders>
            <w:gridSpan w:val="5"/>
          </w:tcPr>
          <w:p>
            <w:pPr>
              <w:jc w:val="center"/>
              <w:ind w:left="19"/>
              <w:spacing w:after="0"/>
              <w:rPr>
                <w:sz w:val="20"/>
                <w:szCs w:val="20"/>
                <w:color w:val="auto"/>
              </w:rPr>
            </w:pPr>
            <w:r>
              <w:rPr>
                <w:rFonts w:ascii="Arial" w:cs="Arial" w:eastAsia="Arial" w:hAnsi="Arial"/>
                <w:sz w:val="16"/>
                <w:szCs w:val="16"/>
                <w:color w:val="auto"/>
              </w:rPr>
              <w:t>Postretirement Healthcare Plan</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gridSpan w:val="2"/>
          </w:tcPr>
          <w:p>
            <w:pPr>
              <w:spacing w:after="0" w:line="164" w:lineRule="exact"/>
              <w:rPr>
                <w:sz w:val="20"/>
                <w:szCs w:val="20"/>
                <w:color w:val="auto"/>
              </w:rPr>
            </w:pPr>
            <w:r>
              <w:rPr>
                <w:rFonts w:ascii="Arial" w:cs="Arial" w:eastAsia="Arial" w:hAnsi="Arial"/>
                <w:sz w:val="16"/>
                <w:szCs w:val="16"/>
                <w:color w:val="auto"/>
              </w:rPr>
              <w:t>Weighted-average assumptions used</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tcPr>
          <w:p>
            <w:pPr>
              <w:spacing w:after="0" w:line="162" w:lineRule="exact"/>
              <w:rPr>
                <w:sz w:val="20"/>
                <w:szCs w:val="20"/>
                <w:color w:val="auto"/>
              </w:rPr>
            </w:pPr>
            <w:r>
              <w:rPr>
                <w:rFonts w:ascii="Arial" w:cs="Arial" w:eastAsia="Arial" w:hAnsi="Arial"/>
                <w:sz w:val="16"/>
                <w:szCs w:val="16"/>
                <w:color w:val="auto"/>
              </w:rPr>
              <w:t>to determine net periodic benefit cost</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for plan year:</w:t>
            </w: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92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6"/>
                <w:szCs w:val="16"/>
                <w:color w:val="auto"/>
              </w:rPr>
              <w:t>2019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rPr>
              <w:t>2019</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2018</w:t>
            </w:r>
          </w:p>
        </w:tc>
        <w:tc>
          <w:tcPr>
            <w:tcW w:w="9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2020</w:t>
            </w:r>
          </w:p>
        </w:tc>
        <w:tc>
          <w:tcPr>
            <w:tcW w:w="7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EFFE7"/>
          </w:tcPr>
          <w:p>
            <w:pPr>
              <w:spacing w:after="0"/>
              <w:rPr>
                <w:sz w:val="18"/>
                <w:szCs w:val="18"/>
                <w:color w:val="auto"/>
              </w:rPr>
            </w:pPr>
          </w:p>
        </w:tc>
        <w:tc>
          <w:tcPr>
            <w:tcW w:w="2740" w:type="dxa"/>
            <w:vAlign w:val="bottom"/>
            <w:gridSpan w:val="2"/>
            <w:shd w:val="clear" w:color="auto" w:fill="CEFFE7"/>
          </w:tcPr>
          <w:p>
            <w:pPr>
              <w:spacing w:after="0" w:line="213" w:lineRule="exact"/>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(a)</w:t>
            </w:r>
          </w:p>
        </w:tc>
        <w:tc>
          <w:tcPr>
            <w:tcW w:w="10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3.27 %</w:t>
            </w:r>
          </w:p>
        </w:tc>
        <w:tc>
          <w:tcPr>
            <w:tcW w:w="920" w:type="dxa"/>
            <w:vAlign w:val="bottom"/>
            <w:gridSpan w:val="2"/>
            <w:shd w:val="clear" w:color="auto" w:fill="CEFFE7"/>
          </w:tcPr>
          <w:p>
            <w:pPr>
              <w:jc w:val="center"/>
              <w:ind w:left="19"/>
              <w:spacing w:after="0"/>
              <w:rPr>
                <w:sz w:val="20"/>
                <w:szCs w:val="20"/>
                <w:color w:val="auto"/>
              </w:rPr>
            </w:pPr>
            <w:r>
              <w:rPr>
                <w:rFonts w:ascii="Arial" w:cs="Arial" w:eastAsia="Arial" w:hAnsi="Arial"/>
                <w:sz w:val="16"/>
                <w:szCs w:val="16"/>
                <w:color w:val="auto"/>
              </w:rPr>
              <w:t>4.40 %</w:t>
            </w:r>
          </w:p>
        </w:tc>
        <w:tc>
          <w:tcPr>
            <w:tcW w:w="86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3.71 %</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3.14 %</w:t>
            </w:r>
          </w:p>
        </w:tc>
        <w:tc>
          <w:tcPr>
            <w:tcW w:w="140" w:type="dxa"/>
            <w:vAlign w:val="bottom"/>
            <w:shd w:val="clear" w:color="auto" w:fill="CEFFE7"/>
          </w:tcPr>
          <w:p>
            <w:pPr>
              <w:spacing w:after="0"/>
              <w:rPr>
                <w:sz w:val="18"/>
                <w:szCs w:val="18"/>
                <w:color w:val="auto"/>
              </w:rPr>
            </w:pPr>
          </w:p>
        </w:tc>
        <w:tc>
          <w:tcPr>
            <w:tcW w:w="1020" w:type="dxa"/>
            <w:vAlign w:val="bottom"/>
            <w:shd w:val="clear" w:color="auto" w:fill="CEFFE7"/>
          </w:tcPr>
          <w:p>
            <w:pPr>
              <w:ind w:left="280"/>
              <w:spacing w:after="0"/>
              <w:rPr>
                <w:sz w:val="20"/>
                <w:szCs w:val="20"/>
                <w:color w:val="auto"/>
              </w:rPr>
            </w:pPr>
            <w:r>
              <w:rPr>
                <w:rFonts w:ascii="Arial" w:cs="Arial" w:eastAsia="Arial" w:hAnsi="Arial"/>
                <w:sz w:val="16"/>
                <w:szCs w:val="16"/>
                <w:color w:val="auto"/>
              </w:rPr>
              <w:t>4.34 %</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3.67 %</w:t>
            </w:r>
          </w:p>
        </w:tc>
        <w:tc>
          <w:tcPr>
            <w:tcW w:w="460" w:type="dxa"/>
            <w:vAlign w:val="bottom"/>
            <w:shd w:val="clear" w:color="auto" w:fill="CEFFE7"/>
          </w:tcPr>
          <w:p>
            <w:pPr>
              <w:spacing w:after="0"/>
              <w:rPr>
                <w:sz w:val="18"/>
                <w:szCs w:val="18"/>
                <w:color w:val="auto"/>
              </w:rPr>
            </w:pP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3.15 %</w:t>
            </w:r>
          </w:p>
        </w:tc>
        <w:tc>
          <w:tcPr>
            <w:tcW w:w="102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4.28 %</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3.60 %</w:t>
            </w: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line="175" w:lineRule="exact"/>
              <w:rPr>
                <w:sz w:val="20"/>
                <w:szCs w:val="20"/>
                <w:color w:val="auto"/>
              </w:rPr>
            </w:pPr>
            <w:r>
              <w:rPr>
                <w:rFonts w:ascii="Arial" w:cs="Arial" w:eastAsia="Arial" w:hAnsi="Arial"/>
                <w:sz w:val="16"/>
                <w:szCs w:val="16"/>
                <w:color w:val="auto"/>
              </w:rPr>
              <w:t>Expected long-term rate of return on</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tcPr>
          <w:p>
            <w:pPr>
              <w:spacing w:after="0" w:line="204" w:lineRule="exact"/>
              <w:rPr>
                <w:sz w:val="20"/>
                <w:szCs w:val="20"/>
                <w:color w:val="auto"/>
              </w:rPr>
            </w:pPr>
            <w:r>
              <w:rPr>
                <w:rFonts w:ascii="Arial" w:cs="Arial" w:eastAsia="Arial" w:hAnsi="Arial"/>
                <w:sz w:val="16"/>
                <w:szCs w:val="16"/>
                <w:color w:val="auto"/>
              </w:rPr>
              <w:t xml:space="preserve">assets </w:t>
            </w:r>
            <w:r>
              <w:rPr>
                <w:rFonts w:ascii="Arial" w:cs="Arial" w:eastAsia="Arial" w:hAnsi="Arial"/>
                <w:sz w:val="21"/>
                <w:szCs w:val="21"/>
                <w:color w:val="auto"/>
                <w:vertAlign w:val="superscript"/>
              </w:rPr>
              <w:t>(b)</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5.25 %</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rPr>
              <w:t>6.00 %</w:t>
            </w:r>
          </w:p>
        </w:tc>
        <w:tc>
          <w:tcPr>
            <w:tcW w:w="860" w:type="dxa"/>
            <w:vAlign w:val="bottom"/>
            <w:gridSpan w:val="2"/>
          </w:tcPr>
          <w:p>
            <w:pPr>
              <w:jc w:val="right"/>
              <w:ind w:right="19"/>
              <w:spacing w:after="0"/>
              <w:rPr>
                <w:sz w:val="20"/>
                <w:szCs w:val="20"/>
                <w:color w:val="auto"/>
              </w:rPr>
            </w:pPr>
            <w:r>
              <w:rPr>
                <w:rFonts w:ascii="Arial" w:cs="Arial" w:eastAsia="Arial" w:hAnsi="Arial"/>
                <w:sz w:val="16"/>
                <w:szCs w:val="16"/>
                <w:color w:val="auto"/>
              </w:rPr>
              <w:t>6.25 %</w:t>
            </w:r>
          </w:p>
        </w:tc>
        <w:tc>
          <w:tcPr>
            <w:tcW w:w="920" w:type="dxa"/>
            <w:vAlign w:val="bottom"/>
          </w:tcPr>
          <w:p>
            <w:pPr>
              <w:jc w:val="right"/>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7"/>
                <w:szCs w:val="17"/>
                <w:color w:val="auto"/>
              </w:rPr>
            </w:pPr>
          </w:p>
        </w:tc>
        <w:tc>
          <w:tcPr>
            <w:tcW w:w="1020" w:type="dxa"/>
            <w:vAlign w:val="bottom"/>
          </w:tcPr>
          <w:p>
            <w:pPr>
              <w:ind w:left="520"/>
              <w:spacing w:after="0"/>
              <w:rPr>
                <w:sz w:val="20"/>
                <w:szCs w:val="20"/>
                <w:color w:val="auto"/>
              </w:rPr>
            </w:pPr>
            <w:r>
              <w:rPr>
                <w:rFonts w:ascii="Arial" w:cs="Arial" w:eastAsia="Arial" w:hAnsi="Arial"/>
                <w:sz w:val="16"/>
                <w:szCs w:val="16"/>
                <w:color w:val="auto"/>
              </w:rPr>
              <w:t>N/A</w:t>
            </w:r>
          </w:p>
        </w:tc>
        <w:tc>
          <w:tcPr>
            <w:tcW w:w="720" w:type="dxa"/>
            <w:vAlign w:val="bottom"/>
          </w:tcPr>
          <w:p>
            <w:pPr>
              <w:jc w:val="right"/>
              <w:spacing w:after="0"/>
              <w:rPr>
                <w:sz w:val="20"/>
                <w:szCs w:val="20"/>
                <w:color w:val="auto"/>
              </w:rPr>
            </w:pPr>
            <w:r>
              <w:rPr>
                <w:rFonts w:ascii="Arial" w:cs="Arial" w:eastAsia="Arial" w:hAnsi="Arial"/>
                <w:sz w:val="16"/>
                <w:szCs w:val="16"/>
                <w:color w:val="auto"/>
              </w:rPr>
              <w:t>N/A</w:t>
            </w:r>
          </w:p>
        </w:tc>
        <w:tc>
          <w:tcPr>
            <w:tcW w:w="4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2.35 %</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3.00 %</w:t>
            </w:r>
          </w:p>
        </w:tc>
        <w:tc>
          <w:tcPr>
            <w:tcW w:w="820" w:type="dxa"/>
            <w:vAlign w:val="bottom"/>
          </w:tcPr>
          <w:p>
            <w:pPr>
              <w:jc w:val="right"/>
              <w:spacing w:after="0"/>
              <w:rPr>
                <w:sz w:val="20"/>
                <w:szCs w:val="20"/>
                <w:color w:val="auto"/>
              </w:rPr>
            </w:pPr>
            <w:r>
              <w:rPr>
                <w:rFonts w:ascii="Arial" w:cs="Arial" w:eastAsia="Arial" w:hAnsi="Arial"/>
                <w:sz w:val="16"/>
                <w:szCs w:val="16"/>
                <w:color w:val="auto"/>
              </w:rPr>
              <w:t>3.93 %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EFFE7"/>
          </w:tcPr>
          <w:p>
            <w:pPr>
              <w:spacing w:after="0"/>
              <w:rPr>
                <w:sz w:val="15"/>
                <w:szCs w:val="15"/>
                <w:color w:val="auto"/>
              </w:rPr>
            </w:pPr>
          </w:p>
        </w:tc>
        <w:tc>
          <w:tcPr>
            <w:tcW w:w="2740" w:type="dxa"/>
            <w:vAlign w:val="bottom"/>
            <w:gridSpan w:val="2"/>
            <w:shd w:val="clear" w:color="auto" w:fill="CEFFE7"/>
          </w:tcPr>
          <w:p>
            <w:pPr>
              <w:spacing w:after="0" w:line="178" w:lineRule="exact"/>
              <w:rPr>
                <w:sz w:val="20"/>
                <w:szCs w:val="20"/>
                <w:color w:val="auto"/>
              </w:rPr>
            </w:pPr>
            <w:r>
              <w:rPr>
                <w:rFonts w:ascii="Arial" w:cs="Arial" w:eastAsia="Arial" w:hAnsi="Arial"/>
                <w:sz w:val="16"/>
                <w:szCs w:val="16"/>
                <w:color w:val="auto"/>
              </w:rPr>
              <w:t>Rate of increase in compensation</w:t>
            </w:r>
          </w:p>
        </w:tc>
        <w:tc>
          <w:tcPr>
            <w:tcW w:w="1060" w:type="dxa"/>
            <w:vAlign w:val="bottom"/>
            <w:shd w:val="clear" w:color="auto" w:fill="CEFFE7"/>
          </w:tcPr>
          <w:p>
            <w:pPr>
              <w:spacing w:after="0"/>
              <w:rPr>
                <w:sz w:val="15"/>
                <w:szCs w:val="15"/>
                <w:color w:val="auto"/>
              </w:rPr>
            </w:pPr>
          </w:p>
        </w:tc>
        <w:tc>
          <w:tcPr>
            <w:tcW w:w="440" w:type="dxa"/>
            <w:vAlign w:val="bottom"/>
            <w:shd w:val="clear" w:color="auto" w:fill="CEFFE7"/>
          </w:tcPr>
          <w:p>
            <w:pPr>
              <w:spacing w:after="0"/>
              <w:rPr>
                <w:sz w:val="15"/>
                <w:szCs w:val="15"/>
                <w:color w:val="auto"/>
              </w:rPr>
            </w:pPr>
          </w:p>
        </w:tc>
        <w:tc>
          <w:tcPr>
            <w:tcW w:w="48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92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020" w:type="dxa"/>
            <w:vAlign w:val="bottom"/>
            <w:shd w:val="clear" w:color="auto" w:fill="CEFFE7"/>
          </w:tcPr>
          <w:p>
            <w:pPr>
              <w:spacing w:after="0"/>
              <w:rPr>
                <w:sz w:val="15"/>
                <w:szCs w:val="15"/>
                <w:color w:val="auto"/>
              </w:rPr>
            </w:pPr>
          </w:p>
        </w:tc>
        <w:tc>
          <w:tcPr>
            <w:tcW w:w="720" w:type="dxa"/>
            <w:vAlign w:val="bottom"/>
            <w:shd w:val="clear" w:color="auto" w:fill="CEFFE7"/>
          </w:tcPr>
          <w:p>
            <w:pPr>
              <w:spacing w:after="0"/>
              <w:rPr>
                <w:sz w:val="15"/>
                <w:szCs w:val="15"/>
                <w:color w:val="auto"/>
              </w:rPr>
            </w:pPr>
          </w:p>
        </w:tc>
        <w:tc>
          <w:tcPr>
            <w:tcW w:w="46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72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8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EFFE7"/>
          </w:tcPr>
          <w:p>
            <w:pPr>
              <w:spacing w:after="0"/>
              <w:rPr>
                <w:sz w:val="17"/>
                <w:szCs w:val="17"/>
                <w:color w:val="auto"/>
              </w:rPr>
            </w:pPr>
          </w:p>
        </w:tc>
        <w:tc>
          <w:tcPr>
            <w:tcW w:w="27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levels</w:t>
            </w:r>
          </w:p>
        </w:tc>
        <w:tc>
          <w:tcPr>
            <w:tcW w:w="10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3.49 %</w:t>
            </w:r>
          </w:p>
        </w:tc>
        <w:tc>
          <w:tcPr>
            <w:tcW w:w="920" w:type="dxa"/>
            <w:vAlign w:val="bottom"/>
            <w:gridSpan w:val="2"/>
            <w:shd w:val="clear" w:color="auto" w:fill="CEFFE7"/>
          </w:tcPr>
          <w:p>
            <w:pPr>
              <w:jc w:val="center"/>
              <w:ind w:left="19"/>
              <w:spacing w:after="0"/>
              <w:rPr>
                <w:sz w:val="20"/>
                <w:szCs w:val="20"/>
                <w:color w:val="auto"/>
              </w:rPr>
            </w:pPr>
            <w:r>
              <w:rPr>
                <w:rFonts w:ascii="Arial" w:cs="Arial" w:eastAsia="Arial" w:hAnsi="Arial"/>
                <w:sz w:val="16"/>
                <w:szCs w:val="16"/>
                <w:color w:val="auto"/>
              </w:rPr>
              <w:t>3.52 %</w:t>
            </w:r>
          </w:p>
        </w:tc>
        <w:tc>
          <w:tcPr>
            <w:tcW w:w="86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3.43 %</w:t>
            </w: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5.00 %</w:t>
            </w:r>
          </w:p>
        </w:tc>
        <w:tc>
          <w:tcPr>
            <w:tcW w:w="140" w:type="dxa"/>
            <w:vAlign w:val="bottom"/>
            <w:shd w:val="clear" w:color="auto" w:fill="CEFFE7"/>
          </w:tcPr>
          <w:p>
            <w:pPr>
              <w:spacing w:after="0"/>
              <w:rPr>
                <w:sz w:val="17"/>
                <w:szCs w:val="17"/>
                <w:color w:val="auto"/>
              </w:rPr>
            </w:pPr>
          </w:p>
        </w:tc>
        <w:tc>
          <w:tcPr>
            <w:tcW w:w="1020" w:type="dxa"/>
            <w:vAlign w:val="bottom"/>
            <w:shd w:val="clear" w:color="auto" w:fill="CEFFE7"/>
          </w:tcPr>
          <w:p>
            <w:pPr>
              <w:ind w:left="280"/>
              <w:spacing w:after="0"/>
              <w:rPr>
                <w:sz w:val="20"/>
                <w:szCs w:val="20"/>
                <w:color w:val="auto"/>
              </w:rPr>
            </w:pPr>
            <w:r>
              <w:rPr>
                <w:rFonts w:ascii="Arial" w:cs="Arial" w:eastAsia="Arial" w:hAnsi="Arial"/>
                <w:sz w:val="16"/>
                <w:szCs w:val="16"/>
                <w:color w:val="auto"/>
              </w:rPr>
              <w:t>5.00 %</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5.00 %</w:t>
            </w:r>
          </w:p>
        </w:tc>
        <w:tc>
          <w:tcPr>
            <w:tcW w:w="460" w:type="dxa"/>
            <w:vAlign w:val="bottom"/>
            <w:shd w:val="clear" w:color="auto" w:fill="CEFFE7"/>
          </w:tcPr>
          <w:p>
            <w:pPr>
              <w:spacing w:after="0"/>
              <w:rPr>
                <w:sz w:val="17"/>
                <w:szCs w:val="17"/>
                <w:color w:val="auto"/>
              </w:rPr>
            </w:pP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N/A</w:t>
            </w:r>
          </w:p>
        </w:tc>
        <w:tc>
          <w:tcPr>
            <w:tcW w:w="102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N/A</w:t>
            </w:r>
          </w:p>
        </w:tc>
        <w:tc>
          <w:tcPr>
            <w:tcW w:w="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w:t>
      </w:r>
    </w:p>
    <w:p>
      <w:pPr>
        <w:spacing w:after="0" w:line="1"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estimated discount rate for the Defined Benefit Pension Plan is 2.56% for the calculation of the 2021 net periodic pension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expected rate of return on plan assets is 4.50% for the calculation of the 2021 net periodic pension cost.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60" w:type="dxa"/>
            <w:vAlign w:val="bottom"/>
            <w:gridSpan w:val="2"/>
          </w:tcPr>
          <w:p>
            <w:pPr>
              <w:spacing w:after="0"/>
              <w:rPr>
                <w:sz w:val="20"/>
                <w:szCs w:val="20"/>
                <w:color w:val="auto"/>
              </w:rPr>
            </w:pPr>
            <w:r>
              <w:rPr>
                <w:rFonts w:ascii="Arial" w:cs="Arial" w:eastAsia="Arial" w:hAnsi="Arial"/>
                <w:sz w:val="16"/>
                <w:szCs w:val="16"/>
                <w:color w:val="auto"/>
              </w:rPr>
              <w:t>The healthcare benefit obligation at December 31 was determined as follows:</w:t>
            </w: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27"/>
        </w:trPr>
        <w:tc>
          <w:tcPr>
            <w:tcW w:w="20" w:type="dxa"/>
            <w:vAlign w:val="bottom"/>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2020</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2019</w:t>
            </w:r>
          </w:p>
        </w:tc>
      </w:tr>
      <w:tr>
        <w:trPr>
          <w:trHeight w:val="212"/>
        </w:trPr>
        <w:tc>
          <w:tcPr>
            <w:tcW w:w="2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Trend Rate - Medical</w:t>
            </w:r>
          </w:p>
        </w:tc>
        <w:tc>
          <w:tcPr>
            <w:tcW w:w="236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Pre-65 for next year - All Plans</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6.10%</w:t>
            </w:r>
          </w:p>
        </w:tc>
        <w:tc>
          <w:tcPr>
            <w:tcW w:w="24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6.40%</w:t>
            </w:r>
          </w:p>
        </w:tc>
      </w:tr>
      <w:tr>
        <w:trPr>
          <w:trHeight w:val="213"/>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6"/>
                <w:szCs w:val="16"/>
                <w:color w:val="auto"/>
              </w:rPr>
              <w:t>Pre-65 Ultimate trend rate - Black Hills Corp</w:t>
            </w:r>
          </w:p>
        </w:tc>
        <w:tc>
          <w:tcPr>
            <w:tcW w:w="2360" w:type="dxa"/>
            <w:vAlign w:val="bottom"/>
          </w:tcPr>
          <w:p>
            <w:pPr>
              <w:jc w:val="center"/>
              <w:spacing w:after="0"/>
              <w:rPr>
                <w:sz w:val="20"/>
                <w:szCs w:val="20"/>
                <w:color w:val="auto"/>
              </w:rPr>
            </w:pPr>
            <w:r>
              <w:rPr>
                <w:rFonts w:ascii="Arial" w:cs="Arial" w:eastAsia="Arial" w:hAnsi="Arial"/>
                <w:sz w:val="16"/>
                <w:szCs w:val="16"/>
                <w:color w:val="auto"/>
              </w:rPr>
              <w:t>4.50%</w:t>
            </w:r>
          </w:p>
        </w:tc>
        <w:tc>
          <w:tcPr>
            <w:tcW w:w="2400" w:type="dxa"/>
            <w:vAlign w:val="bottom"/>
          </w:tcPr>
          <w:p>
            <w:pPr>
              <w:jc w:val="center"/>
              <w:spacing w:after="0"/>
              <w:rPr>
                <w:sz w:val="20"/>
                <w:szCs w:val="20"/>
                <w:color w:val="auto"/>
              </w:rPr>
            </w:pPr>
            <w:r>
              <w:rPr>
                <w:rFonts w:ascii="Arial" w:cs="Arial" w:eastAsia="Arial" w:hAnsi="Arial"/>
                <w:sz w:val="16"/>
                <w:szCs w:val="16"/>
                <w:color w:val="auto"/>
              </w:rPr>
              <w:t>4.50%</w:t>
            </w:r>
          </w:p>
        </w:tc>
      </w:tr>
      <w:tr>
        <w:trPr>
          <w:trHeight w:val="219"/>
        </w:trPr>
        <w:tc>
          <w:tcPr>
            <w:tcW w:w="20" w:type="dxa"/>
            <w:vAlign w:val="bottom"/>
          </w:tcPr>
          <w:p>
            <w:pPr>
              <w:spacing w:after="0"/>
              <w:rPr>
                <w:sz w:val="19"/>
                <w:szCs w:val="19"/>
                <w:color w:val="auto"/>
              </w:rPr>
            </w:pPr>
          </w:p>
        </w:tc>
        <w:tc>
          <w:tcPr>
            <w:tcW w:w="64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Trend Year</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2027</w:t>
            </w:r>
          </w:p>
        </w:tc>
        <w:tc>
          <w:tcPr>
            <w:tcW w:w="24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2027</w:t>
            </w:r>
          </w:p>
        </w:tc>
      </w:tr>
      <w:tr>
        <w:trPr>
          <w:trHeight w:val="270"/>
        </w:trPr>
        <w:tc>
          <w:tcPr>
            <w:tcW w:w="2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Post-65 for next year - All Plans</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4.92%</w:t>
            </w:r>
          </w:p>
        </w:tc>
        <w:tc>
          <w:tcPr>
            <w:tcW w:w="24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4.92%</w:t>
            </w:r>
          </w:p>
        </w:tc>
      </w:tr>
      <w:tr>
        <w:trPr>
          <w:trHeight w:val="213"/>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6"/>
                <w:szCs w:val="16"/>
                <w:color w:val="auto"/>
              </w:rPr>
              <w:t>Post-65 Ultimate trend rate - Black Hills Corp</w:t>
            </w:r>
          </w:p>
        </w:tc>
        <w:tc>
          <w:tcPr>
            <w:tcW w:w="2360" w:type="dxa"/>
            <w:vAlign w:val="bottom"/>
          </w:tcPr>
          <w:p>
            <w:pPr>
              <w:jc w:val="center"/>
              <w:spacing w:after="0"/>
              <w:rPr>
                <w:sz w:val="20"/>
                <w:szCs w:val="20"/>
                <w:color w:val="auto"/>
              </w:rPr>
            </w:pPr>
            <w:r>
              <w:rPr>
                <w:rFonts w:ascii="Arial" w:cs="Arial" w:eastAsia="Arial" w:hAnsi="Arial"/>
                <w:sz w:val="16"/>
                <w:szCs w:val="16"/>
                <w:color w:val="auto"/>
              </w:rPr>
              <w:t>4.50%</w:t>
            </w:r>
          </w:p>
        </w:tc>
        <w:tc>
          <w:tcPr>
            <w:tcW w:w="2400" w:type="dxa"/>
            <w:vAlign w:val="bottom"/>
          </w:tcPr>
          <w:p>
            <w:pPr>
              <w:jc w:val="center"/>
              <w:spacing w:after="0"/>
              <w:rPr>
                <w:sz w:val="20"/>
                <w:szCs w:val="20"/>
                <w:color w:val="auto"/>
              </w:rPr>
            </w:pPr>
            <w:r>
              <w:rPr>
                <w:rFonts w:ascii="Arial" w:cs="Arial" w:eastAsia="Arial" w:hAnsi="Arial"/>
                <w:sz w:val="16"/>
                <w:szCs w:val="16"/>
                <w:color w:val="auto"/>
              </w:rPr>
              <w:t>4.50%</w:t>
            </w:r>
          </w:p>
        </w:tc>
      </w:tr>
      <w:tr>
        <w:trPr>
          <w:trHeight w:val="219"/>
        </w:trPr>
        <w:tc>
          <w:tcPr>
            <w:tcW w:w="20" w:type="dxa"/>
            <w:vAlign w:val="bottom"/>
          </w:tcPr>
          <w:p>
            <w:pPr>
              <w:spacing w:after="0"/>
              <w:rPr>
                <w:sz w:val="19"/>
                <w:szCs w:val="19"/>
                <w:color w:val="auto"/>
              </w:rPr>
            </w:pPr>
          </w:p>
        </w:tc>
        <w:tc>
          <w:tcPr>
            <w:tcW w:w="64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Trend Year</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2029</w:t>
            </w:r>
          </w:p>
        </w:tc>
        <w:tc>
          <w:tcPr>
            <w:tcW w:w="24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benefit payments to employees, which reflect future service, are expected to be paid (in thousands):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380" w:type="dxa"/>
            <w:vAlign w:val="bottom"/>
            <w:gridSpan w:val="2"/>
          </w:tcPr>
          <w:p>
            <w:pPr>
              <w:jc w:val="right"/>
              <w:ind w:right="19"/>
              <w:spacing w:after="0"/>
              <w:rPr>
                <w:sz w:val="20"/>
                <w:szCs w:val="20"/>
                <w:color w:val="auto"/>
              </w:rPr>
            </w:pPr>
            <w:r>
              <w:rPr>
                <w:rFonts w:ascii="Arial" w:cs="Arial" w:eastAsia="Arial" w:hAnsi="Arial"/>
                <w:sz w:val="16"/>
                <w:szCs w:val="16"/>
                <w:color w:val="auto"/>
              </w:rPr>
              <w:t>Supplemental Non-qualified Defined Benefit</w:t>
            </w:r>
          </w:p>
        </w:tc>
        <w:tc>
          <w:tcPr>
            <w:tcW w:w="300" w:type="dxa"/>
            <w:vAlign w:val="bottom"/>
          </w:tcPr>
          <w:p>
            <w:pPr>
              <w:spacing w:after="0"/>
              <w:rPr>
                <w:sz w:val="16"/>
                <w:szCs w:val="16"/>
                <w:color w:val="auto"/>
              </w:rPr>
            </w:pPr>
          </w:p>
        </w:tc>
        <w:tc>
          <w:tcPr>
            <w:tcW w:w="2700" w:type="dxa"/>
            <w:vAlign w:val="bottom"/>
          </w:tcPr>
          <w:p>
            <w:pPr>
              <w:jc w:val="right"/>
              <w:ind w:right="339"/>
              <w:spacing w:after="0"/>
              <w:rPr>
                <w:sz w:val="20"/>
                <w:szCs w:val="20"/>
                <w:color w:val="auto"/>
              </w:rPr>
            </w:pPr>
            <w:r>
              <w:rPr>
                <w:rFonts w:ascii="Arial" w:cs="Arial" w:eastAsia="Arial" w:hAnsi="Arial"/>
                <w:sz w:val="16"/>
                <w:szCs w:val="16"/>
                <w:color w:val="auto"/>
              </w:rPr>
              <w:t>Non-pension Defined Benefit</w:t>
            </w:r>
          </w:p>
        </w:tc>
      </w:tr>
      <w:tr>
        <w:trPr>
          <w:trHeight w:val="198"/>
        </w:trPr>
        <w:tc>
          <w:tcPr>
            <w:tcW w:w="2580" w:type="dxa"/>
            <w:vAlign w:val="bottom"/>
            <w:tcBorders>
              <w:bottom w:val="single" w:sz="8" w:color="CEFFE7"/>
            </w:tcBorders>
          </w:tcPr>
          <w:p>
            <w:pPr>
              <w:spacing w:after="0"/>
              <w:rPr>
                <w:sz w:val="17"/>
                <w:szCs w:val="17"/>
                <w:color w:val="auto"/>
              </w:rPr>
            </w:pPr>
          </w:p>
        </w:tc>
        <w:tc>
          <w:tcPr>
            <w:tcW w:w="2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Defined Benefit Pension Plan</w:t>
            </w:r>
          </w:p>
        </w:tc>
        <w:tc>
          <w:tcPr>
            <w:tcW w:w="8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rPr>
              <w:t>Plans</w:t>
            </w: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Postretirement Healthcare Plan</w:t>
            </w:r>
          </w:p>
        </w:tc>
      </w:tr>
      <w:tr>
        <w:trPr>
          <w:trHeight w:val="213"/>
        </w:trPr>
        <w:tc>
          <w:tcPr>
            <w:tcW w:w="2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2021</w:t>
            </w:r>
          </w:p>
        </w:tc>
        <w:tc>
          <w:tcPr>
            <w:tcW w:w="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25,842</w:t>
            </w:r>
          </w:p>
        </w:tc>
        <w:tc>
          <w:tcPr>
            <w:tcW w:w="840" w:type="dxa"/>
            <w:vAlign w:val="bottom"/>
            <w:shd w:val="clear" w:color="auto" w:fill="CEFFE7"/>
          </w:tcPr>
          <w:p>
            <w:pPr>
              <w:jc w:val="right"/>
              <w:ind w:right="579"/>
              <w:spacing w:after="0"/>
              <w:rPr>
                <w:sz w:val="20"/>
                <w:szCs w:val="20"/>
                <w:color w:val="auto"/>
              </w:rPr>
            </w:pPr>
            <w:r>
              <w:rPr>
                <w:rFonts w:ascii="Arial" w:cs="Arial" w:eastAsia="Arial" w:hAnsi="Arial"/>
                <w:sz w:val="16"/>
                <w:szCs w:val="16"/>
                <w:color w:val="auto"/>
              </w:rPr>
              <w:t>$</w:t>
            </w:r>
          </w:p>
        </w:tc>
        <w:tc>
          <w:tcPr>
            <w:tcW w:w="2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1,927</w:t>
            </w:r>
          </w:p>
        </w:tc>
        <w:tc>
          <w:tcPr>
            <w:tcW w:w="3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6,108</w:t>
            </w: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2022</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26,658</w:t>
            </w:r>
          </w:p>
        </w:tc>
        <w:tc>
          <w:tcPr>
            <w:tcW w:w="8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2540" w:type="dxa"/>
            <w:vAlign w:val="bottom"/>
          </w:tcPr>
          <w:p>
            <w:pPr>
              <w:jc w:val="right"/>
              <w:spacing w:after="0"/>
              <w:rPr>
                <w:sz w:val="20"/>
                <w:szCs w:val="20"/>
                <w:color w:val="auto"/>
              </w:rPr>
            </w:pPr>
            <w:r>
              <w:rPr>
                <w:rFonts w:ascii="Arial" w:cs="Arial" w:eastAsia="Arial" w:hAnsi="Arial"/>
                <w:sz w:val="16"/>
                <w:szCs w:val="16"/>
                <w:color w:val="auto"/>
              </w:rPr>
              <w:t>1,968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700" w:type="dxa"/>
            <w:vAlign w:val="bottom"/>
          </w:tcPr>
          <w:p>
            <w:pPr>
              <w:jc w:val="right"/>
              <w:spacing w:after="0"/>
              <w:rPr>
                <w:sz w:val="20"/>
                <w:szCs w:val="20"/>
                <w:color w:val="auto"/>
              </w:rPr>
            </w:pPr>
            <w:r>
              <w:rPr>
                <w:rFonts w:ascii="Arial" w:cs="Arial" w:eastAsia="Arial" w:hAnsi="Arial"/>
                <w:sz w:val="16"/>
                <w:szCs w:val="16"/>
                <w:color w:val="auto"/>
              </w:rPr>
              <w:t>5,965</w:t>
            </w:r>
          </w:p>
        </w:tc>
      </w:tr>
      <w:tr>
        <w:trPr>
          <w:trHeight w:val="219"/>
        </w:trPr>
        <w:tc>
          <w:tcPr>
            <w:tcW w:w="2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2023</w:t>
            </w:r>
          </w:p>
        </w:tc>
        <w:tc>
          <w:tcPr>
            <w:tcW w:w="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27,581</w:t>
            </w:r>
          </w:p>
        </w:tc>
        <w:tc>
          <w:tcPr>
            <w:tcW w:w="840" w:type="dxa"/>
            <w:vAlign w:val="bottom"/>
            <w:shd w:val="clear" w:color="auto" w:fill="CEFFE7"/>
          </w:tcPr>
          <w:p>
            <w:pPr>
              <w:jc w:val="right"/>
              <w:ind w:right="579"/>
              <w:spacing w:after="0"/>
              <w:rPr>
                <w:sz w:val="20"/>
                <w:szCs w:val="20"/>
                <w:color w:val="auto"/>
              </w:rPr>
            </w:pPr>
            <w:r>
              <w:rPr>
                <w:rFonts w:ascii="Arial" w:cs="Arial" w:eastAsia="Arial" w:hAnsi="Arial"/>
                <w:sz w:val="16"/>
                <w:szCs w:val="16"/>
                <w:color w:val="auto"/>
              </w:rPr>
              <w:t>$</w:t>
            </w:r>
          </w:p>
        </w:tc>
        <w:tc>
          <w:tcPr>
            <w:tcW w:w="2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2,033</w:t>
            </w:r>
          </w:p>
        </w:tc>
        <w:tc>
          <w:tcPr>
            <w:tcW w:w="3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5,725</w:t>
            </w: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2024</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28,284</w:t>
            </w:r>
          </w:p>
        </w:tc>
        <w:tc>
          <w:tcPr>
            <w:tcW w:w="8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2540" w:type="dxa"/>
            <w:vAlign w:val="bottom"/>
          </w:tcPr>
          <w:p>
            <w:pPr>
              <w:jc w:val="right"/>
              <w:spacing w:after="0"/>
              <w:rPr>
                <w:sz w:val="20"/>
                <w:szCs w:val="20"/>
                <w:color w:val="auto"/>
              </w:rPr>
            </w:pPr>
            <w:r>
              <w:rPr>
                <w:rFonts w:ascii="Arial" w:cs="Arial" w:eastAsia="Arial" w:hAnsi="Arial"/>
                <w:sz w:val="16"/>
                <w:szCs w:val="16"/>
                <w:color w:val="auto"/>
              </w:rPr>
              <w:t>2,231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700" w:type="dxa"/>
            <w:vAlign w:val="bottom"/>
          </w:tcPr>
          <w:p>
            <w:pPr>
              <w:jc w:val="right"/>
              <w:spacing w:after="0"/>
              <w:rPr>
                <w:sz w:val="20"/>
                <w:szCs w:val="20"/>
                <w:color w:val="auto"/>
              </w:rPr>
            </w:pPr>
            <w:r>
              <w:rPr>
                <w:rFonts w:ascii="Arial" w:cs="Arial" w:eastAsia="Arial" w:hAnsi="Arial"/>
                <w:sz w:val="16"/>
                <w:szCs w:val="16"/>
                <w:color w:val="auto"/>
              </w:rPr>
              <w:t>5,532</w:t>
            </w:r>
          </w:p>
        </w:tc>
      </w:tr>
      <w:tr>
        <w:trPr>
          <w:trHeight w:val="219"/>
        </w:trPr>
        <w:tc>
          <w:tcPr>
            <w:tcW w:w="2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2025</w:t>
            </w:r>
          </w:p>
        </w:tc>
        <w:tc>
          <w:tcPr>
            <w:tcW w:w="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29,062</w:t>
            </w:r>
          </w:p>
        </w:tc>
        <w:tc>
          <w:tcPr>
            <w:tcW w:w="840" w:type="dxa"/>
            <w:vAlign w:val="bottom"/>
            <w:shd w:val="clear" w:color="auto" w:fill="CEFFE7"/>
          </w:tcPr>
          <w:p>
            <w:pPr>
              <w:jc w:val="right"/>
              <w:ind w:right="579"/>
              <w:spacing w:after="0"/>
              <w:rPr>
                <w:sz w:val="20"/>
                <w:szCs w:val="20"/>
                <w:color w:val="auto"/>
              </w:rPr>
            </w:pPr>
            <w:r>
              <w:rPr>
                <w:rFonts w:ascii="Arial" w:cs="Arial" w:eastAsia="Arial" w:hAnsi="Arial"/>
                <w:sz w:val="16"/>
                <w:szCs w:val="16"/>
                <w:color w:val="auto"/>
              </w:rPr>
              <w:t>$</w:t>
            </w:r>
          </w:p>
        </w:tc>
        <w:tc>
          <w:tcPr>
            <w:tcW w:w="2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2,690</w:t>
            </w:r>
          </w:p>
        </w:tc>
        <w:tc>
          <w:tcPr>
            <w:tcW w:w="3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5,244</w:t>
            </w: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2026-2030</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144,273</w:t>
            </w:r>
          </w:p>
        </w:tc>
        <w:tc>
          <w:tcPr>
            <w:tcW w:w="8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2540" w:type="dxa"/>
            <w:vAlign w:val="bottom"/>
          </w:tcPr>
          <w:p>
            <w:pPr>
              <w:jc w:val="right"/>
              <w:spacing w:after="0"/>
              <w:rPr>
                <w:sz w:val="20"/>
                <w:szCs w:val="20"/>
                <w:color w:val="auto"/>
              </w:rPr>
            </w:pPr>
            <w:r>
              <w:rPr>
                <w:rFonts w:ascii="Arial" w:cs="Arial" w:eastAsia="Arial" w:hAnsi="Arial"/>
                <w:sz w:val="16"/>
                <w:szCs w:val="16"/>
                <w:color w:val="auto"/>
              </w:rPr>
              <w:t>13,117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700" w:type="dxa"/>
            <w:vAlign w:val="bottom"/>
          </w:tcPr>
          <w:p>
            <w:pPr>
              <w:jc w:val="right"/>
              <w:spacing w:after="0"/>
              <w:rPr>
                <w:sz w:val="20"/>
                <w:szCs w:val="20"/>
                <w:color w:val="auto"/>
              </w:rPr>
            </w:pPr>
            <w:r>
              <w:rPr>
                <w:rFonts w:ascii="Arial" w:cs="Arial" w:eastAsia="Arial" w:hAnsi="Arial"/>
                <w:sz w:val="16"/>
                <w:szCs w:val="16"/>
                <w:color w:val="auto"/>
              </w:rPr>
              <w:t>22,872</w:t>
            </w: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SHARE-BASED COMPENSATION PLANS</w:t>
      </w:r>
    </w:p>
    <w:p>
      <w:pPr>
        <w:spacing w:after="0" w:line="268"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Our 2015 Omnibus Incentive Plan allows for the granting of stock, restricted stock, restricted stock units, stock options, performance shares and performance share units. We had 561,073 shares available to grant at December 31, 2020.</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Compensation expense is determined using the grant date fair value estimated in accordance with the provisions of accounting standards for stock compensation and is recognized over the vesting periods of the individual awards. As of December 31, 2020, total unrecognized compensation expense related to non-vested stock awards was approximately $12 million and is expected to be recognized over a weighted-average period of 2 years. Stock-based compensation expense, which is included in Operations and maintenance on the accompanying Consolidated Statements of Income, was as follows for the years ended December 31 (in thousands):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420" w:type="dxa"/>
            <w:vAlign w:val="bottom"/>
            <w:tcBorders>
              <w:bottom w:val="single" w:sz="8" w:color="CEFFE7"/>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2018</w:t>
            </w:r>
          </w:p>
        </w:tc>
      </w:tr>
      <w:tr>
        <w:trPr>
          <w:trHeight w:val="213"/>
        </w:trPr>
        <w:tc>
          <w:tcPr>
            <w:tcW w:w="6420" w:type="dxa"/>
            <w:vAlign w:val="bottom"/>
            <w:shd w:val="clear" w:color="auto" w:fill="CEFFE7"/>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EFFE7"/>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5,373</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12,095</w:t>
            </w:r>
          </w:p>
        </w:tc>
        <w:tc>
          <w:tcPr>
            <w:tcW w:w="4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12,390</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 Options</w:t>
      </w:r>
    </w:p>
    <w:p>
      <w:pPr>
        <w:spacing w:after="0" w:line="24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Company has not issued any stock options since 2014 and has 5,000 stock options outstanding at December 31, 2020. The amount of stock options granted and related exercise activity are not material to the Company’s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restricted stock and restricted stock unit awards equals the market price of our stock on the date of grant.</w:t>
      </w:r>
    </w:p>
    <w:p>
      <w:pPr>
        <w:spacing w:after="0" w:line="24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shares carry a restriction on the ability to sell the shares until the shares vest. The shares substantially vest over three years, contingent on continued employment. Compensation expense related to the awards is recognized over the vesting period.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5"/>
        </w:trPr>
        <w:tc>
          <w:tcPr>
            <w:tcW w:w="8420" w:type="dxa"/>
            <w:vAlign w:val="bottom"/>
            <w:gridSpan w:val="3"/>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769"/>
        </w:trPr>
        <w:tc>
          <w:tcPr>
            <w:tcW w:w="8420" w:type="dxa"/>
            <w:vAlign w:val="bottom"/>
            <w:gridSpan w:val="3"/>
          </w:tcPr>
          <w:p>
            <w:pPr>
              <w:spacing w:after="0"/>
              <w:rPr>
                <w:sz w:val="20"/>
                <w:szCs w:val="20"/>
                <w:color w:val="auto"/>
              </w:rPr>
            </w:pPr>
            <w:r>
              <w:rPr>
                <w:rFonts w:ascii="Arial" w:cs="Arial" w:eastAsia="Arial" w:hAnsi="Arial"/>
                <w:sz w:val="16"/>
                <w:szCs w:val="16"/>
                <w:color w:val="auto"/>
              </w:rPr>
              <w:t>A summary of the status of the restricted stock and restricted stock units at December 31, 2020, was as follows: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jc w:val="right"/>
              <w:ind w:right="39"/>
              <w:spacing w:after="0"/>
              <w:rPr>
                <w:sz w:val="20"/>
                <w:szCs w:val="20"/>
                <w:color w:val="auto"/>
              </w:rPr>
            </w:pPr>
            <w:r>
              <w:rPr>
                <w:rFonts w:ascii="Arial" w:cs="Arial" w:eastAsia="Arial" w:hAnsi="Arial"/>
                <w:sz w:val="16"/>
                <w:szCs w:val="16"/>
                <w:color w:val="auto"/>
              </w:rPr>
              <w:t>Weighted-Average Grant Date</w:t>
            </w:r>
          </w:p>
        </w:tc>
      </w:tr>
      <w:tr>
        <w:trPr>
          <w:trHeight w:val="198"/>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60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rPr>
              <w:t>Restricted Stock</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Fair Value</w:t>
            </w: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0" w:type="dxa"/>
            <w:vAlign w:val="bottom"/>
          </w:tcPr>
          <w:p>
            <w:pPr>
              <w:jc w:val="center"/>
              <w:ind w:left="279"/>
              <w:spacing w:after="0"/>
              <w:rPr>
                <w:sz w:val="20"/>
                <w:szCs w:val="20"/>
                <w:color w:val="auto"/>
              </w:rPr>
            </w:pPr>
            <w:r>
              <w:rPr>
                <w:rFonts w:ascii="Arial" w:cs="Arial" w:eastAsia="Arial" w:hAnsi="Arial"/>
                <w:sz w:val="16"/>
                <w:szCs w:val="16"/>
                <w:color w:val="auto"/>
              </w:rPr>
              <w:t>(in thousands)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4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Balance at January 1, 2020</w:t>
            </w: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65.66</w:t>
            </w:r>
          </w:p>
        </w:tc>
      </w:tr>
      <w:tr>
        <w:trPr>
          <w:trHeight w:val="213"/>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3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69.49</w:t>
            </w:r>
          </w:p>
        </w:tc>
      </w:tr>
      <w:tr>
        <w:trPr>
          <w:trHeight w:val="219"/>
        </w:trPr>
        <w:tc>
          <w:tcPr>
            <w:tcW w:w="20" w:type="dxa"/>
            <w:vAlign w:val="bottom"/>
          </w:tcPr>
          <w:p>
            <w:pPr>
              <w:spacing w:after="0"/>
              <w:rPr>
                <w:sz w:val="19"/>
                <w:szCs w:val="19"/>
                <w:color w:val="auto"/>
              </w:rPr>
            </w:pPr>
          </w:p>
        </w:tc>
        <w:tc>
          <w:tcPr>
            <w:tcW w:w="840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Vested</w:t>
            </w: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EFFE7"/>
          </w:tcPr>
          <w:p>
            <w:pPr>
              <w:spacing w:after="0"/>
              <w:rPr>
                <w:sz w:val="19"/>
                <w:szCs w:val="19"/>
                <w:color w:val="auto"/>
              </w:rPr>
            </w:pPr>
          </w:p>
        </w:tc>
        <w:tc>
          <w:tcPr>
            <w:tcW w:w="2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63.30</w:t>
            </w:r>
          </w:p>
        </w:tc>
      </w:tr>
      <w:tr>
        <w:trPr>
          <w:trHeight w:val="213"/>
        </w:trPr>
        <w:tc>
          <w:tcPr>
            <w:tcW w:w="20" w:type="dxa"/>
            <w:vAlign w:val="bottom"/>
          </w:tcPr>
          <w:p>
            <w:pPr>
              <w:spacing w:after="0"/>
              <w:rPr>
                <w:sz w:val="18"/>
                <w:szCs w:val="18"/>
                <w:color w:val="auto"/>
              </w:rPr>
            </w:pPr>
          </w:p>
        </w:tc>
        <w:tc>
          <w:tcPr>
            <w:tcW w:w="68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65.30</w:t>
            </w:r>
          </w:p>
        </w:tc>
      </w:tr>
      <w:tr>
        <w:trPr>
          <w:trHeight w:val="233"/>
        </w:trPr>
        <w:tc>
          <w:tcPr>
            <w:tcW w:w="20" w:type="dxa"/>
            <w:vAlign w:val="bottom"/>
          </w:tcPr>
          <w:p>
            <w:pPr>
              <w:spacing w:after="0"/>
              <w:rPr>
                <w:sz w:val="20"/>
                <w:szCs w:val="20"/>
                <w:color w:val="auto"/>
              </w:rPr>
            </w:pPr>
          </w:p>
        </w:tc>
        <w:tc>
          <w:tcPr>
            <w:tcW w:w="84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Balance at December 31, 2020</w:t>
            </w: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69.05</w:t>
            </w: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EFFE7"/>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weighted-average grant-date fair value of restricted stock granted and the total fair value of shares vested during the years ended December 31, were as follows: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99"/>
              <w:spacing w:after="0"/>
              <w:rPr>
                <w:sz w:val="20"/>
                <w:szCs w:val="20"/>
                <w:color w:val="auto"/>
              </w:rPr>
            </w:pPr>
            <w:r>
              <w:rPr>
                <w:rFonts w:ascii="Arial" w:cs="Arial" w:eastAsia="Arial" w:hAnsi="Arial"/>
                <w:sz w:val="16"/>
                <w:szCs w:val="16"/>
                <w:color w:val="auto"/>
              </w:rPr>
              <w:t>Weighted-Average Grant</w:t>
            </w:r>
          </w:p>
        </w:tc>
        <w:tc>
          <w:tcPr>
            <w:tcW w:w="160" w:type="dxa"/>
            <w:vAlign w:val="bottom"/>
          </w:tcPr>
          <w:p>
            <w:pPr>
              <w:spacing w:after="0"/>
              <w:rPr>
                <w:sz w:val="16"/>
                <w:szCs w:val="16"/>
                <w:color w:val="auto"/>
              </w:rPr>
            </w:pPr>
          </w:p>
        </w:tc>
        <w:tc>
          <w:tcPr>
            <w:tcW w:w="2060" w:type="dxa"/>
            <w:vAlign w:val="bottom"/>
          </w:tcPr>
          <w:p>
            <w:pPr>
              <w:jc w:val="center"/>
              <w:ind w:right="59"/>
              <w:spacing w:after="0"/>
              <w:rPr>
                <w:sz w:val="20"/>
                <w:szCs w:val="20"/>
                <w:color w:val="auto"/>
              </w:rPr>
            </w:pPr>
            <w:r>
              <w:rPr>
                <w:rFonts w:ascii="Arial" w:cs="Arial" w:eastAsia="Arial" w:hAnsi="Arial"/>
                <w:sz w:val="16"/>
                <w:szCs w:val="16"/>
                <w:color w:val="auto"/>
                <w:w w:val="98"/>
              </w:rPr>
              <w:t>Total Fair Value of Shares</w:t>
            </w:r>
          </w:p>
        </w:tc>
      </w:tr>
      <w:tr>
        <w:trPr>
          <w:trHeight w:val="198"/>
        </w:trPr>
        <w:tc>
          <w:tcPr>
            <w:tcW w:w="6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Date Fair Value</w:t>
            </w:r>
          </w:p>
        </w:tc>
        <w:tc>
          <w:tcPr>
            <w:tcW w:w="1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6"/>
              </w:rPr>
              <w:t>Vested</w:t>
            </w:r>
          </w:p>
        </w:tc>
      </w:tr>
      <w:tr>
        <w:trPr>
          <w:trHeight w:val="209"/>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center"/>
              <w:ind w:right="59"/>
              <w:spacing w:after="0"/>
              <w:rPr>
                <w:sz w:val="20"/>
                <w:szCs w:val="20"/>
                <w:color w:val="auto"/>
              </w:rPr>
            </w:pPr>
            <w:r>
              <w:rPr>
                <w:rFonts w:ascii="Arial" w:cs="Arial" w:eastAsia="Arial" w:hAnsi="Arial"/>
                <w:sz w:val="16"/>
                <w:szCs w:val="16"/>
                <w:color w:val="auto"/>
              </w:rPr>
              <w:t>(in thousands)</w:t>
            </w:r>
          </w:p>
        </w:tc>
      </w:tr>
      <w:tr>
        <w:trPr>
          <w:trHeight w:val="219"/>
        </w:trPr>
        <w:tc>
          <w:tcPr>
            <w:tcW w:w="6780" w:type="dxa"/>
            <w:vAlign w:val="bottom"/>
            <w:shd w:val="clear" w:color="auto" w:fill="CEFFE7"/>
          </w:tcPr>
          <w:p>
            <w:pPr>
              <w:jc w:val="right"/>
              <w:ind w:right="6339"/>
              <w:spacing w:after="0"/>
              <w:rPr>
                <w:sz w:val="20"/>
                <w:szCs w:val="20"/>
                <w:color w:val="auto"/>
              </w:rPr>
            </w:pPr>
            <w:r>
              <w:rPr>
                <w:rFonts w:ascii="Arial" w:cs="Arial" w:eastAsia="Arial" w:hAnsi="Arial"/>
                <w:sz w:val="16"/>
                <w:szCs w:val="16"/>
                <w:color w:val="auto"/>
                <w:w w:val="95"/>
              </w:rPr>
              <w:t>2020</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69.49</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6,722</w:t>
            </w:r>
          </w:p>
        </w:tc>
      </w:tr>
      <w:tr>
        <w:trPr>
          <w:trHeight w:val="213"/>
        </w:trPr>
        <w:tc>
          <w:tcPr>
            <w:tcW w:w="6780" w:type="dxa"/>
            <w:vAlign w:val="bottom"/>
          </w:tcPr>
          <w:p>
            <w:pPr>
              <w:jc w:val="right"/>
              <w:ind w:right="6339"/>
              <w:spacing w:after="0"/>
              <w:rPr>
                <w:sz w:val="20"/>
                <w:szCs w:val="20"/>
                <w:color w:val="auto"/>
              </w:rPr>
            </w:pPr>
            <w:r>
              <w:rPr>
                <w:rFonts w:ascii="Arial" w:cs="Arial" w:eastAsia="Arial" w:hAnsi="Arial"/>
                <w:sz w:val="16"/>
                <w:szCs w:val="16"/>
                <w:color w:val="auto"/>
                <w:w w:val="95"/>
              </w:rPr>
              <w:t>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73.66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8,438</w:t>
            </w:r>
          </w:p>
        </w:tc>
      </w:tr>
      <w:tr>
        <w:trPr>
          <w:trHeight w:val="219"/>
        </w:trPr>
        <w:tc>
          <w:tcPr>
            <w:tcW w:w="6780" w:type="dxa"/>
            <w:vAlign w:val="bottom"/>
            <w:shd w:val="clear" w:color="auto" w:fill="CEFFE7"/>
          </w:tcPr>
          <w:p>
            <w:pPr>
              <w:jc w:val="right"/>
              <w:ind w:right="6339"/>
              <w:spacing w:after="0"/>
              <w:rPr>
                <w:sz w:val="20"/>
                <w:szCs w:val="20"/>
                <w:color w:val="auto"/>
              </w:rPr>
            </w:pPr>
            <w:r>
              <w:rPr>
                <w:rFonts w:ascii="Arial" w:cs="Arial" w:eastAsia="Arial" w:hAnsi="Arial"/>
                <w:sz w:val="16"/>
                <w:szCs w:val="16"/>
                <w:color w:val="auto"/>
                <w:w w:val="95"/>
              </w:rPr>
              <w:t>2018</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57.31</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6,776</w:t>
            </w:r>
          </w:p>
        </w:tc>
      </w:tr>
    </w:tbl>
    <w:p>
      <w:pPr>
        <w:spacing w:after="0" w:line="339"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As of December 31, 2020, there was $10.3 million of unrecognized compensation expense related to non-vested restricted stock that is expected to be recognized over a weighted-average period of 2.2 years.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Share Plan</w:t>
      </w:r>
    </w:p>
    <w:p>
      <w:pPr>
        <w:spacing w:after="0" w:line="2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Certain officers of the Company and its subsidiaries are participants in a performance share award plan, a market-based plan. Performance shares are awarded based on our total shareholder return over designated performance periods as measured against a selected peer group. In addition, certain stock price performance must be achieved for a payout to occur. The final value of the performance shares will vary according to the number of shares of common stock that are ultimately granted based upon the actual level of attainment of the performance criteria.</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performance awards are paid 50% in cash and 50% in common stock. The cash portion accrued is classified as a liability and the stock portion is classified as equity. In the event of a change-in-control, performance awards are paid 100% in cash. If it is determined that a change-in-control is probable, the equity portion of $2.7 million at December 31, 2020 would be reclassified as a liability.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Outstanding performance periods at December 31, 2020 were as follows (shares in thousands):</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0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color w:val="auto"/>
              </w:rPr>
              <w:t>Possible Payout Range of Target</w:t>
            </w:r>
          </w:p>
        </w:tc>
      </w:tr>
      <w:tr>
        <w:trPr>
          <w:trHeight w:val="210"/>
        </w:trPr>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Grant Date</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Performance Period</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Target Grant of Shares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Minimum</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Maximum</w:t>
            </w:r>
          </w:p>
        </w:tc>
      </w:tr>
      <w:tr>
        <w:trPr>
          <w:trHeight w:val="213"/>
        </w:trPr>
        <w:tc>
          <w:tcPr>
            <w:tcW w:w="21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January 1, 2020</w:t>
            </w:r>
          </w:p>
        </w:tc>
        <w:tc>
          <w:tcPr>
            <w:tcW w:w="35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January 1, 2020 - December 31, 2022</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36</w:t>
            </w:r>
          </w:p>
        </w:tc>
        <w:tc>
          <w:tcPr>
            <w:tcW w:w="15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0%</w:t>
            </w:r>
          </w:p>
        </w:tc>
        <w:tc>
          <w:tcPr>
            <w:tcW w:w="15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200%</w:t>
            </w:r>
          </w:p>
        </w:tc>
      </w:tr>
      <w:tr>
        <w:trPr>
          <w:trHeight w:val="213"/>
        </w:trPr>
        <w:tc>
          <w:tcPr>
            <w:tcW w:w="2120" w:type="dxa"/>
            <w:vAlign w:val="bottom"/>
          </w:tcPr>
          <w:p>
            <w:pPr>
              <w:jc w:val="center"/>
              <w:spacing w:after="0"/>
              <w:rPr>
                <w:sz w:val="20"/>
                <w:szCs w:val="20"/>
                <w:color w:val="auto"/>
              </w:rPr>
            </w:pPr>
            <w:r>
              <w:rPr>
                <w:rFonts w:ascii="Arial" w:cs="Arial" w:eastAsia="Arial" w:hAnsi="Arial"/>
                <w:sz w:val="16"/>
                <w:szCs w:val="16"/>
                <w:color w:val="auto"/>
              </w:rPr>
              <w:t>January 1, 2019</w:t>
            </w:r>
          </w:p>
        </w:tc>
        <w:tc>
          <w:tcPr>
            <w:tcW w:w="3580" w:type="dxa"/>
            <w:vAlign w:val="bottom"/>
          </w:tcPr>
          <w:p>
            <w:pPr>
              <w:jc w:val="center"/>
              <w:spacing w:after="0"/>
              <w:rPr>
                <w:sz w:val="20"/>
                <w:szCs w:val="20"/>
                <w:color w:val="auto"/>
              </w:rPr>
            </w:pPr>
            <w:r>
              <w:rPr>
                <w:rFonts w:ascii="Arial" w:cs="Arial" w:eastAsia="Arial" w:hAnsi="Arial"/>
                <w:sz w:val="16"/>
                <w:szCs w:val="16"/>
                <w:color w:val="auto"/>
              </w:rPr>
              <w:t>January 1, 2019 - December 31, 2021</w:t>
            </w:r>
          </w:p>
        </w:tc>
        <w:tc>
          <w:tcPr>
            <w:tcW w:w="2360" w:type="dxa"/>
            <w:vAlign w:val="bottom"/>
          </w:tcPr>
          <w:p>
            <w:pPr>
              <w:jc w:val="center"/>
              <w:spacing w:after="0"/>
              <w:rPr>
                <w:sz w:val="20"/>
                <w:szCs w:val="20"/>
                <w:color w:val="auto"/>
              </w:rPr>
            </w:pPr>
            <w:r>
              <w:rPr>
                <w:rFonts w:ascii="Arial" w:cs="Arial" w:eastAsia="Arial" w:hAnsi="Arial"/>
                <w:sz w:val="16"/>
                <w:szCs w:val="16"/>
                <w:color w:val="auto"/>
              </w:rPr>
              <w:t>36</w:t>
            </w:r>
          </w:p>
        </w:tc>
        <w:tc>
          <w:tcPr>
            <w:tcW w:w="1500" w:type="dxa"/>
            <w:vAlign w:val="bottom"/>
          </w:tcPr>
          <w:p>
            <w:pPr>
              <w:jc w:val="center"/>
              <w:spacing w:after="0"/>
              <w:rPr>
                <w:sz w:val="20"/>
                <w:szCs w:val="20"/>
                <w:color w:val="auto"/>
              </w:rPr>
            </w:pPr>
            <w:r>
              <w:rPr>
                <w:rFonts w:ascii="Arial" w:cs="Arial" w:eastAsia="Arial" w:hAnsi="Arial"/>
                <w:sz w:val="16"/>
                <w:szCs w:val="16"/>
                <w:color w:val="auto"/>
              </w:rPr>
              <w:t>0%</w:t>
            </w:r>
          </w:p>
        </w:tc>
        <w:tc>
          <w:tcPr>
            <w:tcW w:w="1540" w:type="dxa"/>
            <w:vAlign w:val="bottom"/>
          </w:tcPr>
          <w:p>
            <w:pPr>
              <w:jc w:val="center"/>
              <w:spacing w:after="0"/>
              <w:rPr>
                <w:sz w:val="20"/>
                <w:szCs w:val="20"/>
                <w:color w:val="auto"/>
              </w:rPr>
            </w:pPr>
            <w:r>
              <w:rPr>
                <w:rFonts w:ascii="Arial" w:cs="Arial" w:eastAsia="Arial" w:hAnsi="Arial"/>
                <w:sz w:val="16"/>
                <w:szCs w:val="16"/>
                <w:color w:val="auto"/>
              </w:rPr>
              <w:t>200%</w:t>
            </w:r>
          </w:p>
        </w:tc>
      </w:tr>
      <w:tr>
        <w:trPr>
          <w:trHeight w:val="219"/>
        </w:trPr>
        <w:tc>
          <w:tcPr>
            <w:tcW w:w="21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January 1, 2018</w:t>
            </w:r>
          </w:p>
        </w:tc>
        <w:tc>
          <w:tcPr>
            <w:tcW w:w="35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January 1, 2018 - December 31, 2020</w:t>
            </w:r>
          </w:p>
        </w:tc>
        <w:tc>
          <w:tcPr>
            <w:tcW w:w="23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49</w:t>
            </w:r>
          </w:p>
        </w:tc>
        <w:tc>
          <w:tcPr>
            <w:tcW w:w="15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0%</w:t>
            </w:r>
          </w:p>
        </w:tc>
        <w:tc>
          <w:tcPr>
            <w:tcW w:w="15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200%</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gridSpan w:val="4"/>
          </w:tcPr>
          <w:p>
            <w:pPr>
              <w:spacing w:after="0"/>
              <w:rPr>
                <w:sz w:val="20"/>
                <w:szCs w:val="20"/>
                <w:color w:val="auto"/>
              </w:rPr>
            </w:pPr>
            <w:r>
              <w:rPr>
                <w:rFonts w:ascii="Arial" w:cs="Arial" w:eastAsia="Arial" w:hAnsi="Arial"/>
                <w:sz w:val="16"/>
                <w:szCs w:val="16"/>
                <w:color w:val="auto"/>
              </w:rPr>
              <w:t>A summary of the status of the Performance Share Plan at December 31, 2020 was as follows:</w:t>
            </w: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46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Equity Portion</w:t>
            </w:r>
          </w:p>
        </w:tc>
        <w:tc>
          <w:tcPr>
            <w:tcW w:w="8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6"/>
                <w:szCs w:val="16"/>
                <w:color w:val="auto"/>
              </w:rPr>
              <w:t>Liability Portion</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19"/>
              <w:spacing w:after="0"/>
              <w:rPr>
                <w:sz w:val="20"/>
                <w:szCs w:val="20"/>
                <w:color w:val="auto"/>
              </w:rPr>
            </w:pPr>
            <w:r>
              <w:rPr>
                <w:rFonts w:ascii="Arial" w:cs="Arial" w:eastAsia="Arial" w:hAnsi="Arial"/>
                <w:sz w:val="16"/>
                <w:szCs w:val="16"/>
                <w:color w:val="auto"/>
              </w:rPr>
              <w:t>Weighted-Average Fair</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2"/>
            <w:vMerge w:val="restart"/>
          </w:tcPr>
          <w:p>
            <w:pPr>
              <w:jc w:val="right"/>
              <w:ind w:right="259"/>
              <w:spacing w:after="0"/>
              <w:rPr>
                <w:sz w:val="20"/>
                <w:szCs w:val="20"/>
                <w:color w:val="auto"/>
              </w:rPr>
            </w:pPr>
            <w:r>
              <w:rPr>
                <w:rFonts w:ascii="Arial" w:cs="Arial" w:eastAsia="Arial" w:hAnsi="Arial"/>
                <w:sz w:val="16"/>
                <w:szCs w:val="16"/>
                <w:color w:val="auto"/>
              </w:rPr>
              <w:t>Weighted-Average</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19"/>
              <w:spacing w:after="0"/>
              <w:rPr>
                <w:sz w:val="20"/>
                <w:szCs w:val="20"/>
                <w:color w:val="auto"/>
              </w:rPr>
            </w:pPr>
            <w:r>
              <w:rPr>
                <w:rFonts w:ascii="Arial" w:cs="Arial" w:eastAsia="Arial" w:hAnsi="Arial"/>
                <w:sz w:val="16"/>
                <w:szCs w:val="16"/>
                <w:color w:val="auto"/>
                <w:w w:val="98"/>
              </w:rPr>
              <w:t>Value at</w:t>
            </w:r>
          </w:p>
        </w:tc>
        <w:tc>
          <w:tcPr>
            <w:tcW w:w="0" w:type="dxa"/>
            <w:vAlign w:val="bottom"/>
          </w:tcPr>
          <w:p>
            <w:pPr>
              <w:spacing w:after="0"/>
              <w:rPr>
                <w:sz w:val="1"/>
                <w:szCs w:val="1"/>
                <w:color w:val="auto"/>
              </w:rPr>
            </w:pPr>
          </w:p>
        </w:tc>
      </w:tr>
      <w:tr>
        <w:trPr>
          <w:trHeight w:val="60"/>
        </w:trPr>
        <w:tc>
          <w:tcPr>
            <w:tcW w:w="46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Shares</w:t>
            </w: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ind w:right="59"/>
              <w:spacing w:after="0" w:line="216" w:lineRule="exact"/>
              <w:rPr>
                <w:sz w:val="20"/>
                <w:szCs w:val="20"/>
                <w:color w:val="auto"/>
              </w:rPr>
            </w:pPr>
            <w:r>
              <w:rPr>
                <w:rFonts w:ascii="Arial" w:cs="Arial" w:eastAsia="Arial" w:hAnsi="Arial"/>
                <w:sz w:val="16"/>
                <w:szCs w:val="16"/>
                <w:color w:val="auto"/>
                <w:w w:val="99"/>
              </w:rPr>
              <w:t xml:space="preserve">Grant Date Fair Value </w:t>
            </w:r>
            <w:r>
              <w:rPr>
                <w:rFonts w:ascii="Arial" w:cs="Arial" w:eastAsia="Arial" w:hAnsi="Arial"/>
                <w:sz w:val="21"/>
                <w:szCs w:val="21"/>
                <w:color w:val="auto"/>
                <w:w w:val="99"/>
                <w:vertAlign w:val="superscript"/>
              </w:rPr>
              <w:t>(a)</w:t>
            </w:r>
          </w:p>
        </w:tc>
        <w:tc>
          <w:tcPr>
            <w:tcW w:w="14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Shares</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1400" w:type="dxa"/>
            <w:vAlign w:val="bottom"/>
            <w:gridSpan w:val="2"/>
          </w:tcPr>
          <w:p>
            <w:pPr>
              <w:jc w:val="right"/>
              <w:ind w:right="99"/>
              <w:spacing w:after="0"/>
              <w:rPr>
                <w:sz w:val="20"/>
                <w:szCs w:val="20"/>
                <w:color w:val="auto"/>
              </w:rPr>
            </w:pPr>
            <w:r>
              <w:rPr>
                <w:rFonts w:ascii="Arial" w:cs="Arial" w:eastAsia="Arial" w:hAnsi="Arial"/>
                <w:sz w:val="16"/>
                <w:szCs w:val="16"/>
                <w:color w:val="auto"/>
              </w:rPr>
              <w:t>(in thousands)</w:t>
            </w: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Performance Shares balance at beginning of period</w:t>
            </w:r>
          </w:p>
        </w:tc>
        <w:tc>
          <w:tcPr>
            <w:tcW w:w="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w:t>
            </w:r>
          </w:p>
        </w:tc>
        <w:tc>
          <w:tcPr>
            <w:tcW w:w="1060" w:type="dxa"/>
            <w:vAlign w:val="bottom"/>
            <w:shd w:val="clear" w:color="auto" w:fill="CEFFE7"/>
          </w:tcPr>
          <w:p>
            <w:pPr>
              <w:jc w:val="right"/>
              <w:ind w:right="8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64.32</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EFFE7"/>
          </w:tcPr>
          <w:p>
            <w:pPr>
              <w:spacing w:after="0"/>
              <w:rPr>
                <w:sz w:val="19"/>
                <w:szCs w:val="19"/>
                <w:color w:val="auto"/>
              </w:rPr>
            </w:pPr>
          </w:p>
        </w:tc>
        <w:tc>
          <w:tcPr>
            <w:tcW w:w="17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10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81.42</w:t>
            </w: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Forfeited</w:t>
            </w:r>
          </w:p>
        </w:tc>
        <w:tc>
          <w:tcPr>
            <w:tcW w:w="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060" w:type="dxa"/>
            <w:vAlign w:val="bottom"/>
            <w:shd w:val="clear" w:color="auto" w:fill="CEFFE7"/>
          </w:tcPr>
          <w:p>
            <w:pPr>
              <w:spacing w:after="0"/>
              <w:rPr>
                <w:sz w:val="19"/>
                <w:szCs w:val="19"/>
                <w:color w:val="auto"/>
              </w:rPr>
            </w:pPr>
          </w:p>
        </w:tc>
        <w:tc>
          <w:tcPr>
            <w:tcW w:w="86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73.89</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EFFE7"/>
          </w:tcPr>
          <w:p>
            <w:pPr>
              <w:spacing w:after="0"/>
              <w:rPr>
                <w:sz w:val="19"/>
                <w:szCs w:val="19"/>
                <w:color w:val="auto"/>
              </w:rPr>
            </w:pPr>
          </w:p>
        </w:tc>
        <w:tc>
          <w:tcPr>
            <w:tcW w:w="17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Vested</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63.52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Performance Shares balance at end of period</w:t>
            </w:r>
          </w:p>
        </w:tc>
        <w:tc>
          <w:tcPr>
            <w:tcW w:w="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w:t>
            </w:r>
          </w:p>
        </w:tc>
        <w:tc>
          <w:tcPr>
            <w:tcW w:w="1060" w:type="dxa"/>
            <w:vAlign w:val="bottom"/>
            <w:shd w:val="clear" w:color="auto" w:fill="CEFFE7"/>
          </w:tcPr>
          <w:p>
            <w:pPr>
              <w:jc w:val="right"/>
              <w:ind w:right="8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69.71</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52.42</w:t>
            </w:r>
          </w:p>
        </w:tc>
        <w:tc>
          <w:tcPr>
            <w:tcW w:w="0" w:type="dxa"/>
            <w:vAlign w:val="bottom"/>
          </w:tcPr>
          <w:p>
            <w:pPr>
              <w:spacing w:after="0"/>
              <w:rPr>
                <w:sz w:val="1"/>
                <w:szCs w:val="1"/>
                <w:color w:val="auto"/>
              </w:rPr>
            </w:pPr>
          </w:p>
        </w:tc>
      </w:tr>
      <w:tr>
        <w:trPr>
          <w:trHeight w:val="20"/>
        </w:trPr>
        <w:tc>
          <w:tcPr>
            <w:tcW w:w="4620" w:type="dxa"/>
            <w:vAlign w:val="bottom"/>
            <w:tcBorders>
              <w:top w:val="single" w:sz="8" w:color="CEFFE7"/>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 w:lineRule="exact"/>
        <w:rPr>
          <w:sz w:val="20"/>
          <w:szCs w:val="20"/>
          <w:color w:val="auto"/>
        </w:rPr>
      </w:pPr>
    </w:p>
    <w:p>
      <w:pPr>
        <w:ind w:left="340" w:right="140" w:hanging="332"/>
        <w:spacing w:after="0" w:line="249" w:lineRule="auto"/>
        <w:tabs>
          <w:tab w:leader="none" w:pos="349"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grant date fair values for the performance shares granted in 2020, 2019 and 2018 were determined by Monte Carlo simulation using a blended volatility of 18%, 21% and 21%, respectively, comprised of 50% historical volatility and 50% implied volatility and the average risk-free interest rate of the three-year United States Treasury security rate in effect as of the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gridSpan w:val="3"/>
          </w:tcPr>
          <w:p>
            <w:pPr>
              <w:spacing w:after="0"/>
              <w:rPr>
                <w:sz w:val="20"/>
                <w:szCs w:val="20"/>
                <w:color w:val="auto"/>
              </w:rPr>
            </w:pPr>
            <w:r>
              <w:rPr>
                <w:rFonts w:ascii="Arial" w:cs="Arial" w:eastAsia="Arial" w:hAnsi="Arial"/>
                <w:sz w:val="16"/>
                <w:szCs w:val="16"/>
                <w:color w:val="auto"/>
              </w:rPr>
              <w:t>The weighted-average grant-date fair value of performance share awards granted was as follows in the years ended: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91"/>
        </w:trPr>
        <w:tc>
          <w:tcPr>
            <w:tcW w:w="5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3"/>
          </w:tcPr>
          <w:p>
            <w:pPr>
              <w:jc w:val="right"/>
              <w:ind w:right="39"/>
              <w:spacing w:after="0"/>
              <w:rPr>
                <w:sz w:val="20"/>
                <w:szCs w:val="20"/>
                <w:color w:val="auto"/>
              </w:rPr>
            </w:pPr>
            <w:r>
              <w:rPr>
                <w:rFonts w:ascii="Arial" w:cs="Arial" w:eastAsia="Arial" w:hAnsi="Arial"/>
                <w:sz w:val="16"/>
                <w:szCs w:val="16"/>
                <w:color w:val="auto"/>
              </w:rPr>
              <w:t>Weighted Average Grant Date Fair</w:t>
            </w:r>
          </w:p>
        </w:tc>
        <w:tc>
          <w:tcPr>
            <w:tcW w:w="40" w:type="dxa"/>
            <w:vAlign w:val="bottom"/>
          </w:tcPr>
          <w:p>
            <w:pPr>
              <w:spacing w:after="0"/>
              <w:rPr>
                <w:sz w:val="24"/>
                <w:szCs w:val="24"/>
                <w:color w:val="auto"/>
              </w:rPr>
            </w:pPr>
          </w:p>
        </w:tc>
      </w:tr>
      <w:tr>
        <w:trPr>
          <w:trHeight w:val="198"/>
        </w:trPr>
        <w:tc>
          <w:tcPr>
            <w:tcW w:w="5300" w:type="dxa"/>
            <w:vAlign w:val="bottom"/>
            <w:tcBorders>
              <w:bottom w:val="single" w:sz="8" w:color="CEFFE7"/>
            </w:tcBorders>
          </w:tcPr>
          <w:p>
            <w:pPr>
              <w:spacing w:after="0"/>
              <w:rPr>
                <w:sz w:val="17"/>
                <w:szCs w:val="17"/>
                <w:color w:val="auto"/>
              </w:rPr>
            </w:pPr>
          </w:p>
        </w:tc>
        <w:tc>
          <w:tcPr>
            <w:tcW w:w="1680" w:type="dxa"/>
            <w:vAlign w:val="bottom"/>
            <w:tcBorders>
              <w:bottom w:val="single" w:sz="8" w:color="CEFFE7"/>
            </w:tcBorders>
          </w:tcPr>
          <w:p>
            <w:pPr>
              <w:spacing w:after="0"/>
              <w:rPr>
                <w:sz w:val="17"/>
                <w:szCs w:val="17"/>
                <w:color w:val="auto"/>
              </w:rPr>
            </w:pPr>
          </w:p>
        </w:tc>
        <w:tc>
          <w:tcPr>
            <w:tcW w:w="1380" w:type="dxa"/>
            <w:vAlign w:val="bottom"/>
            <w:tcBorders>
              <w:bottom w:val="single" w:sz="8" w:color="CEFFE7"/>
            </w:tcBorders>
          </w:tcPr>
          <w:p>
            <w:pPr>
              <w:spacing w:after="0"/>
              <w:rPr>
                <w:sz w:val="17"/>
                <w:szCs w:val="17"/>
                <w:color w:val="auto"/>
              </w:rPr>
            </w:pPr>
          </w:p>
        </w:tc>
        <w:tc>
          <w:tcPr>
            <w:tcW w:w="120" w:type="dxa"/>
            <w:vAlign w:val="bottom"/>
            <w:tcBorders>
              <w:bottom w:val="single" w:sz="8" w:color="CEFFE7"/>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7"/>
              </w:rPr>
              <w:t>Value</w:t>
            </w:r>
          </w:p>
        </w:tc>
        <w:tc>
          <w:tcPr>
            <w:tcW w:w="8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5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December 31, 2020</w:t>
            </w:r>
          </w:p>
        </w:tc>
        <w:tc>
          <w:tcPr>
            <w:tcW w:w="1680" w:type="dxa"/>
            <w:vAlign w:val="bottom"/>
            <w:shd w:val="clear" w:color="auto" w:fill="CEFFE7"/>
          </w:tcPr>
          <w:p>
            <w:pPr>
              <w:spacing w:after="0"/>
              <w:rPr>
                <w:sz w:val="18"/>
                <w:szCs w:val="18"/>
                <w:color w:val="auto"/>
              </w:rPr>
            </w:pPr>
          </w:p>
        </w:tc>
        <w:tc>
          <w:tcPr>
            <w:tcW w:w="138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140" w:type="dxa"/>
            <w:vAlign w:val="bottom"/>
            <w:shd w:val="clear" w:color="auto" w:fill="CEFFE7"/>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81.42</w:t>
            </w:r>
          </w:p>
        </w:tc>
        <w:tc>
          <w:tcPr>
            <w:tcW w:w="40" w:type="dxa"/>
            <w:vAlign w:val="bottom"/>
          </w:tcPr>
          <w:p>
            <w:pPr>
              <w:spacing w:after="0"/>
              <w:rPr>
                <w:sz w:val="18"/>
                <w:szCs w:val="18"/>
                <w:color w:val="auto"/>
              </w:rPr>
            </w:pP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68.72</w:t>
            </w:r>
          </w:p>
        </w:tc>
        <w:tc>
          <w:tcPr>
            <w:tcW w:w="40" w:type="dxa"/>
            <w:vAlign w:val="bottom"/>
          </w:tcPr>
          <w:p>
            <w:pPr>
              <w:spacing w:after="0"/>
              <w:rPr>
                <w:sz w:val="18"/>
                <w:szCs w:val="18"/>
                <w:color w:val="auto"/>
              </w:rPr>
            </w:pPr>
          </w:p>
        </w:tc>
      </w:tr>
      <w:tr>
        <w:trPr>
          <w:trHeight w:val="219"/>
        </w:trPr>
        <w:tc>
          <w:tcPr>
            <w:tcW w:w="5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December 31, 2018</w:t>
            </w:r>
          </w:p>
        </w:tc>
        <w:tc>
          <w:tcPr>
            <w:tcW w:w="168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140" w:type="dxa"/>
            <w:vAlign w:val="bottom"/>
            <w:shd w:val="clear" w:color="auto" w:fill="CEFFE7"/>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61.82</w:t>
            </w:r>
          </w:p>
        </w:tc>
        <w:tc>
          <w:tcPr>
            <w:tcW w:w="40" w:type="dxa"/>
            <w:vAlign w:val="bottom"/>
          </w:tcPr>
          <w:p>
            <w:pPr>
              <w:spacing w:after="0"/>
              <w:rPr>
                <w:sz w:val="19"/>
                <w:szCs w:val="19"/>
                <w:color w:val="auto"/>
              </w:rPr>
            </w:pPr>
          </w:p>
        </w:tc>
      </w:tr>
      <w:tr>
        <w:trPr>
          <w:trHeight w:val="534"/>
        </w:trPr>
        <w:tc>
          <w:tcPr>
            <w:tcW w:w="5300" w:type="dxa"/>
            <w:vAlign w:val="bottom"/>
          </w:tcPr>
          <w:p>
            <w:pPr>
              <w:spacing w:after="0"/>
              <w:rPr>
                <w:sz w:val="20"/>
                <w:szCs w:val="20"/>
                <w:color w:val="auto"/>
              </w:rPr>
            </w:pPr>
            <w:r>
              <w:rPr>
                <w:rFonts w:ascii="Arial" w:cs="Arial" w:eastAsia="Arial" w:hAnsi="Arial"/>
                <w:sz w:val="16"/>
                <w:szCs w:val="16"/>
                <w:color w:val="auto"/>
              </w:rPr>
              <w:t>Performance plan payouts have been as follows (in thousands):</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4"/>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Performance Period</w:t>
            </w:r>
          </w:p>
        </w:tc>
        <w:tc>
          <w:tcPr>
            <w:tcW w:w="168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99"/>
              </w:rPr>
              <w:t>Year Paid</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Stock Issued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Cash Paid</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Total Intrinsic Value</w:t>
            </w:r>
          </w:p>
        </w:tc>
        <w:tc>
          <w:tcPr>
            <w:tcW w:w="40" w:type="dxa"/>
            <w:vAlign w:val="bottom"/>
            <w:tcBorders>
              <w:bottom w:val="single" w:sz="8" w:color="auto"/>
            </w:tcBorders>
          </w:tcPr>
          <w:p>
            <w:pPr>
              <w:spacing w:after="0"/>
              <w:rPr>
                <w:sz w:val="24"/>
                <w:szCs w:val="24"/>
                <w:color w:val="auto"/>
              </w:rPr>
            </w:pPr>
          </w:p>
        </w:tc>
      </w:tr>
      <w:tr>
        <w:trPr>
          <w:trHeight w:val="213"/>
        </w:trPr>
        <w:tc>
          <w:tcPr>
            <w:tcW w:w="5300" w:type="dxa"/>
            <w:vAlign w:val="bottom"/>
            <w:shd w:val="clear" w:color="auto" w:fill="CEFFE7"/>
          </w:tcPr>
          <w:p>
            <w:pPr>
              <w:ind w:left="40"/>
              <w:spacing w:after="0"/>
              <w:rPr>
                <w:sz w:val="20"/>
                <w:szCs w:val="20"/>
                <w:color w:val="auto"/>
              </w:rPr>
            </w:pPr>
            <w:r>
              <w:rPr>
                <w:rFonts w:ascii="Arial" w:cs="Arial" w:eastAsia="Arial" w:hAnsi="Arial"/>
                <w:sz w:val="16"/>
                <w:szCs w:val="16"/>
                <w:color w:val="auto"/>
              </w:rPr>
              <w:t>January 1, 2017 to December 31, 2019</w:t>
            </w:r>
          </w:p>
        </w:tc>
        <w:tc>
          <w:tcPr>
            <w:tcW w:w="1680" w:type="dxa"/>
            <w:vAlign w:val="bottom"/>
            <w:shd w:val="clear" w:color="auto" w:fill="CEFFE7"/>
          </w:tcPr>
          <w:p>
            <w:pPr>
              <w:jc w:val="center"/>
              <w:ind w:left="359"/>
              <w:spacing w:after="0"/>
              <w:rPr>
                <w:sz w:val="20"/>
                <w:szCs w:val="20"/>
                <w:color w:val="auto"/>
              </w:rPr>
            </w:pPr>
            <w:r>
              <w:rPr>
                <w:rFonts w:ascii="Arial" w:cs="Arial" w:eastAsia="Arial" w:hAnsi="Arial"/>
                <w:sz w:val="16"/>
                <w:szCs w:val="16"/>
                <w:color w:val="auto"/>
              </w:rPr>
              <w:t>2020</w:t>
            </w:r>
          </w:p>
        </w:tc>
        <w:tc>
          <w:tcPr>
            <w:tcW w:w="1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1,100</w:t>
            </w:r>
          </w:p>
        </w:tc>
        <w:tc>
          <w:tcPr>
            <w:tcW w:w="760" w:type="dxa"/>
            <w:vAlign w:val="bottom"/>
            <w:shd w:val="clear" w:color="auto" w:fill="CEFFE7"/>
          </w:tcPr>
          <w:p>
            <w:pPr>
              <w:jc w:val="right"/>
              <w:ind w:right="4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2,199</w:t>
            </w:r>
          </w:p>
        </w:tc>
        <w:tc>
          <w:tcPr>
            <w:tcW w:w="40" w:type="dxa"/>
            <w:vAlign w:val="bottom"/>
            <w:shd w:val="clear" w:color="auto" w:fill="CEFFE7"/>
          </w:tcPr>
          <w:p>
            <w:pPr>
              <w:spacing w:after="0"/>
              <w:rPr>
                <w:sz w:val="18"/>
                <w:szCs w:val="18"/>
                <w:color w:val="auto"/>
              </w:rPr>
            </w:pPr>
          </w:p>
        </w:tc>
      </w:tr>
      <w:tr>
        <w:trPr>
          <w:trHeight w:val="213"/>
        </w:trPr>
        <w:tc>
          <w:tcPr>
            <w:tcW w:w="5300" w:type="dxa"/>
            <w:vAlign w:val="bottom"/>
          </w:tcPr>
          <w:p>
            <w:pPr>
              <w:ind w:left="40"/>
              <w:spacing w:after="0"/>
              <w:rPr>
                <w:sz w:val="20"/>
                <w:szCs w:val="20"/>
                <w:color w:val="auto"/>
              </w:rPr>
            </w:pPr>
            <w:r>
              <w:rPr>
                <w:rFonts w:ascii="Arial" w:cs="Arial" w:eastAsia="Arial" w:hAnsi="Arial"/>
                <w:sz w:val="16"/>
                <w:szCs w:val="16"/>
                <w:color w:val="auto"/>
              </w:rPr>
              <w:t>January 1, 2016 to December 31, 2018</w:t>
            </w:r>
          </w:p>
        </w:tc>
        <w:tc>
          <w:tcPr>
            <w:tcW w:w="1680" w:type="dxa"/>
            <w:vAlign w:val="bottom"/>
          </w:tcPr>
          <w:p>
            <w:pPr>
              <w:jc w:val="center"/>
              <w:ind w:left="359"/>
              <w:spacing w:after="0"/>
              <w:rPr>
                <w:sz w:val="20"/>
                <w:szCs w:val="20"/>
                <w:color w:val="auto"/>
              </w:rPr>
            </w:pPr>
            <w:r>
              <w:rPr>
                <w:rFonts w:ascii="Arial" w:cs="Arial" w:eastAsia="Arial" w:hAnsi="Arial"/>
                <w:sz w:val="16"/>
                <w:szCs w:val="16"/>
                <w:color w:val="auto"/>
              </w:rPr>
              <w:t>2019</w:t>
            </w:r>
          </w:p>
        </w:tc>
        <w:tc>
          <w:tcPr>
            <w:tcW w:w="13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2,860</w:t>
            </w:r>
          </w:p>
        </w:tc>
        <w:tc>
          <w:tcPr>
            <w:tcW w:w="7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5,720</w:t>
            </w:r>
          </w:p>
        </w:tc>
        <w:tc>
          <w:tcPr>
            <w:tcW w:w="40" w:type="dxa"/>
            <w:vAlign w:val="bottom"/>
          </w:tcPr>
          <w:p>
            <w:pPr>
              <w:spacing w:after="0"/>
              <w:rPr>
                <w:sz w:val="18"/>
                <w:szCs w:val="18"/>
                <w:color w:val="auto"/>
              </w:rPr>
            </w:pPr>
          </w:p>
        </w:tc>
      </w:tr>
      <w:tr>
        <w:trPr>
          <w:trHeight w:val="219"/>
        </w:trPr>
        <w:tc>
          <w:tcPr>
            <w:tcW w:w="5300" w:type="dxa"/>
            <w:vAlign w:val="bottom"/>
            <w:shd w:val="clear" w:color="auto" w:fill="CEFFE7"/>
          </w:tcPr>
          <w:p>
            <w:pPr>
              <w:ind w:left="40"/>
              <w:spacing w:after="0"/>
              <w:rPr>
                <w:sz w:val="20"/>
                <w:szCs w:val="20"/>
                <w:color w:val="auto"/>
              </w:rPr>
            </w:pPr>
            <w:r>
              <w:rPr>
                <w:rFonts w:ascii="Arial" w:cs="Arial" w:eastAsia="Arial" w:hAnsi="Arial"/>
                <w:sz w:val="16"/>
                <w:szCs w:val="16"/>
                <w:color w:val="auto"/>
              </w:rPr>
              <w:t>January 1, 2015 to December 31, 2017</w:t>
            </w:r>
          </w:p>
        </w:tc>
        <w:tc>
          <w:tcPr>
            <w:tcW w:w="1680" w:type="dxa"/>
            <w:vAlign w:val="bottom"/>
            <w:shd w:val="clear" w:color="auto" w:fill="CEFFE7"/>
          </w:tcPr>
          <w:p>
            <w:pPr>
              <w:jc w:val="center"/>
              <w:ind w:left="359"/>
              <w:spacing w:after="0"/>
              <w:rPr>
                <w:sz w:val="20"/>
                <w:szCs w:val="20"/>
                <w:color w:val="auto"/>
              </w:rPr>
            </w:pPr>
            <w:r>
              <w:rPr>
                <w:rFonts w:ascii="Arial" w:cs="Arial" w:eastAsia="Arial" w:hAnsi="Arial"/>
                <w:sz w:val="16"/>
                <w:szCs w:val="16"/>
                <w:color w:val="auto"/>
              </w:rPr>
              <w:t>2018</w:t>
            </w:r>
          </w:p>
        </w:tc>
        <w:tc>
          <w:tcPr>
            <w:tcW w:w="1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EFFE7"/>
          </w:tcPr>
          <w:p>
            <w:pPr>
              <w:spacing w:after="0"/>
              <w:rPr>
                <w:sz w:val="19"/>
                <w:szCs w:val="19"/>
                <w:color w:val="auto"/>
              </w:rPr>
            </w:pPr>
          </w:p>
        </w:tc>
      </w:tr>
    </w:tbl>
    <w:p>
      <w:pPr>
        <w:spacing w:after="0" w:line="339"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On January 27, 2021, the Compensation Committee of our Board of Directors determined that the Company’s total shareholder return for the January 1, 2018 through December 31, 2020 performance period was at the 55th percentile of its peer group and confirmed a payout equal to 112.35% of target shares, valued at $3.3 million. The payout was fully accrued at December 31, 2020.</w:t>
      </w:r>
    </w:p>
    <w:p>
      <w:pPr>
        <w:spacing w:after="0" w:line="2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As of December 31, 2020, there was $2.0 million of unrecognized compensation expense related to outstanding performance share plans that is expected to be recognized over a weighted-average period of 1.7 years.</w:t>
      </w:r>
    </w:p>
    <w:p>
      <w:pPr>
        <w:spacing w:after="0" w:line="200" w:lineRule="exact"/>
        <w:rPr>
          <w:sz w:val="20"/>
          <w:szCs w:val="20"/>
          <w:color w:val="auto"/>
        </w:rPr>
      </w:pPr>
    </w:p>
    <w:p>
      <w:pPr>
        <w:spacing w:after="0" w:line="245" w:lineRule="exact"/>
        <w:rPr>
          <w:sz w:val="20"/>
          <w:szCs w:val="20"/>
          <w:color w:val="auto"/>
        </w:rPr>
      </w:pPr>
    </w:p>
    <w:p>
      <w:pPr>
        <w:ind w:right="9540" w:firstLine="8"/>
        <w:spacing w:after="0" w:line="576" w:lineRule="auto"/>
        <w:tabs>
          <w:tab w:leader="none" w:pos="468"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 CARES Act</w:t>
      </w:r>
    </w:p>
    <w:p>
      <w:pPr>
        <w:spacing w:after="0" w:line="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On March 27, 2020, President Trump signed the CARES Act, which contained, in part, an allowance for deferral of the employer portion of Social Security employment tax liabilities until 2021 and 2022, as well as a COVID-19 employee retention tax credit of up to $5,000 per eligible employee.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Eligible employers are taxpayers experiencing either: (1) a full or partial suspension of business operations stemming from a government COVID-19 related order or (2) a more than 50% drop in gross receipts compared to the corresponding calendar quarter in 2019. This 50% employee retention tax credit applies up to $10,000 in qualified wages paid between March 13, 2020 through December 31, 2020, and is refundable to the extent it exceeds the employer portion of payroll tax liability.</w:t>
      </w:r>
    </w:p>
    <w:p>
      <w:pPr>
        <w:spacing w:after="0" w:line="2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Eligible wages or employer-paid health benefits must be paid for the period of time during which an employee did not provide services. However, employees do not need to stop providing all services to the employer for the credit to potentially apply.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Additionally, the CARES Act accelerates the amount of alternative minimum tax (“AMT”) credits that can be refunded for the 2018 and 2019 annual tax returns. In 2020, we filed for, and received, a refund of approximately $2.4 million of AMT credit carryforwards under this provision.</w:t>
      </w:r>
    </w:p>
    <w:p>
      <w:pPr>
        <w:spacing w:after="0" w:line="22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During the year ended December 31, 2020, we utilized the payroll tax deferral provision which allowed us to defer payment of approximately $10 million of Social Security employment tax liabilities. We are currently reviewing the potential future benefits of the CARES Act related to employee retention tax credits to assess the impact on our financial position, results of operations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TCJA</w:t>
      </w:r>
    </w:p>
    <w:p>
      <w:pPr>
        <w:spacing w:after="0" w:line="26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TCJA. The TCJA reduced the U.S. federal corporate tax rate from 35% to 21%. As such, the Company remeasured the deferred income taxes at the 21% federal tax rate as of December 31, 2017. The entities subject to regulatory construct have made their best estimate regarding the probability of settlements of net regulatory liabilities established pursuant to the TCJA. The amount of the settlements may change based on decisions and actions by the federal and state utility commissions, which could have a material impact on the Company’s future results of operations, cash flows or financial position. As a result of the revaluation at December 31, 2017, deferred tax assets and liabilities were reduced by approximately $309 million. Of the $309 million, approximately $301 million is related to our regulated utilities and is reclassified to a regulatory liability. During the year ended December 31, 2018, we recorded approximately $11 million of additional regulatory liability associated with TCJA related items primarily related to property, completing the revaluation of deferred taxes pursuant to the TCJA. A majority of the excess deferred taxes are subject to the average rate assumption method, as prescribed by the IRS, and will generally be amortized as a reduction of customer rates over the remaining lives of the related assets. As of December 31, 2020, the Company has amortized $13.3 million of the regulatory liability. The portion that was eligible for amortization under the average rate assumption method in 2020, but is awaiting resolution of the treatment of these amounts in future regulatory proceedings, has not been recognized and may be refunded in customer rates at any time in accordance with the resolution of pending or future regulatory proceedings.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from continuing operations for the years ended December 31 was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199"/>
        </w:trPr>
        <w:tc>
          <w:tcPr>
            <w:tcW w:w="6560" w:type="dxa"/>
            <w:vAlign w:val="bottom"/>
          </w:tcPr>
          <w:p>
            <w:pPr>
              <w:spacing w:after="0"/>
              <w:rPr>
                <w:sz w:val="20"/>
                <w:szCs w:val="20"/>
                <w:color w:val="auto"/>
              </w:rPr>
            </w:pPr>
            <w:r>
              <w:rPr>
                <w:rFonts w:ascii="Arial" w:cs="Arial" w:eastAsia="Arial" w:hAnsi="Arial"/>
                <w:sz w:val="16"/>
                <w:szCs w:val="16"/>
                <w:color w:val="auto"/>
              </w:rPr>
              <w:t>Current:</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65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Federal</w:t>
            </w:r>
          </w:p>
        </w:tc>
        <w:tc>
          <w:tcPr>
            <w:tcW w:w="960" w:type="dxa"/>
            <w:vAlign w:val="bottom"/>
            <w:shd w:val="clear" w:color="auto" w:fill="CEFFE7"/>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(6,020)</w:t>
            </w:r>
          </w:p>
        </w:tc>
        <w:tc>
          <w:tcPr>
            <w:tcW w:w="36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(8,578)</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325</w:t>
            </w:r>
          </w:p>
        </w:tc>
      </w:tr>
      <w:tr>
        <w:trPr>
          <w:trHeight w:val="213"/>
        </w:trPr>
        <w:tc>
          <w:tcPr>
            <w:tcW w:w="656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State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12"/>
        </w:trPr>
        <w:tc>
          <w:tcPr>
            <w:tcW w:w="65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Current income tax expense (benefit)</w:t>
            </w:r>
          </w:p>
        </w:tc>
        <w:tc>
          <w:tcPr>
            <w:tcW w:w="960" w:type="dxa"/>
            <w:vAlign w:val="bottom"/>
            <w:tcBorders>
              <w:bottom w:val="single" w:sz="8" w:color="auto"/>
            </w:tcBorders>
            <w:shd w:val="clear" w:color="auto" w:fill="CEFFE7"/>
          </w:tcPr>
          <w:p>
            <w:pPr>
              <w:spacing w:after="0"/>
              <w:rPr>
                <w:sz w:val="18"/>
                <w:szCs w:val="18"/>
                <w:color w:val="auto"/>
              </w:rPr>
            </w:pPr>
          </w:p>
        </w:tc>
        <w:tc>
          <w:tcPr>
            <w:tcW w:w="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(5,173)</w:t>
            </w:r>
          </w:p>
        </w:tc>
        <w:tc>
          <w:tcPr>
            <w:tcW w:w="36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(8,440)</w:t>
            </w: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572</w:t>
            </w:r>
          </w:p>
        </w:tc>
      </w:tr>
      <w:tr>
        <w:trPr>
          <w:trHeight w:val="193"/>
        </w:trPr>
        <w:tc>
          <w:tcPr>
            <w:tcW w:w="6560" w:type="dxa"/>
            <w:vAlign w:val="bottom"/>
          </w:tcPr>
          <w:p>
            <w:pPr>
              <w:spacing w:after="0"/>
              <w:rPr>
                <w:sz w:val="20"/>
                <w:szCs w:val="20"/>
                <w:color w:val="auto"/>
              </w:rPr>
            </w:pPr>
            <w:r>
              <w:rPr>
                <w:rFonts w:ascii="Arial" w:cs="Arial" w:eastAsia="Arial" w:hAnsi="Arial"/>
                <w:sz w:val="16"/>
                <w:szCs w:val="16"/>
                <w:color w:val="auto"/>
              </w:rPr>
              <w:t>Deferred:</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65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Federal</w:t>
            </w:r>
          </w:p>
        </w:tc>
        <w:tc>
          <w:tcPr>
            <w:tcW w:w="960" w:type="dxa"/>
            <w:vAlign w:val="bottom"/>
            <w:shd w:val="clear" w:color="auto" w:fill="CEFFE7"/>
          </w:tcPr>
          <w:p>
            <w:pPr>
              <w:spacing w:after="0"/>
              <w:rPr>
                <w:sz w:val="19"/>
                <w:szCs w:val="19"/>
                <w:color w:val="auto"/>
              </w:rPr>
            </w:pPr>
          </w:p>
        </w:tc>
        <w:tc>
          <w:tcPr>
            <w:tcW w:w="5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8"/>
              </w:rPr>
              <w:t>35,672</w:t>
            </w:r>
          </w:p>
        </w:tc>
        <w:tc>
          <w:tcPr>
            <w:tcW w:w="36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34,551</w:t>
            </w:r>
          </w:p>
        </w:tc>
        <w:tc>
          <w:tcPr>
            <w:tcW w:w="34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(25,022)</w:t>
            </w:r>
          </w:p>
        </w:tc>
      </w:tr>
      <w:tr>
        <w:trPr>
          <w:trHeight w:val="213"/>
        </w:trPr>
        <w:tc>
          <w:tcPr>
            <w:tcW w:w="656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State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r>
      <w:tr>
        <w:trPr>
          <w:trHeight w:val="209"/>
        </w:trPr>
        <w:tc>
          <w:tcPr>
            <w:tcW w:w="65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Deferred income tax expense (benefit)</w:t>
            </w:r>
          </w:p>
        </w:tc>
        <w:tc>
          <w:tcPr>
            <w:tcW w:w="960" w:type="dxa"/>
            <w:vAlign w:val="bottom"/>
            <w:tcBorders>
              <w:bottom w:val="single" w:sz="8" w:color="auto"/>
            </w:tcBorders>
            <w:shd w:val="clear" w:color="auto" w:fill="CEFFE7"/>
          </w:tcPr>
          <w:p>
            <w:pPr>
              <w:spacing w:after="0"/>
              <w:rPr>
                <w:sz w:val="18"/>
                <w:szCs w:val="18"/>
                <w:color w:val="auto"/>
              </w:rPr>
            </w:pPr>
          </w:p>
        </w:tc>
        <w:tc>
          <w:tcPr>
            <w:tcW w:w="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8"/>
              </w:rPr>
              <w:t>38,091</w:t>
            </w:r>
          </w:p>
        </w:tc>
        <w:tc>
          <w:tcPr>
            <w:tcW w:w="36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38,020</w:t>
            </w: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(24,239)</w:t>
            </w:r>
          </w:p>
        </w:tc>
      </w:tr>
      <w:tr>
        <w:trPr>
          <w:trHeight w:val="253"/>
        </w:trPr>
        <w:tc>
          <w:tcPr>
            <w:tcW w:w="6560" w:type="dxa"/>
            <w:vAlign w:val="bottom"/>
            <w:tcBorders>
              <w:bottom w:val="single" w:sz="8" w:color="CEFFE7"/>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234"/>
        </w:trPr>
        <w:tc>
          <w:tcPr>
            <w:tcW w:w="656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Income tax expense (benefit)</w:t>
            </w:r>
          </w:p>
        </w:tc>
        <w:tc>
          <w:tcPr>
            <w:tcW w:w="960" w:type="dxa"/>
            <w:vAlign w:val="bottom"/>
            <w:tcBorders>
              <w:bottom w:val="single" w:sz="8" w:color="auto"/>
            </w:tcBorders>
            <w:shd w:val="clear" w:color="auto" w:fill="CEFFE7"/>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8"/>
              </w:rPr>
              <w:t>32,918</w:t>
            </w:r>
          </w:p>
        </w:tc>
        <w:tc>
          <w:tcPr>
            <w:tcW w:w="36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29,580</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(23,667)</w:t>
            </w:r>
          </w:p>
        </w:tc>
      </w:tr>
      <w:tr>
        <w:trPr>
          <w:trHeight w:val="20"/>
        </w:trPr>
        <w:tc>
          <w:tcPr>
            <w:tcW w:w="656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5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Tax Rates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differs from the federal statutory rate for the years ended December 31,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320" w:type="dxa"/>
            <w:vAlign w:val="bottom"/>
            <w:tcBorders>
              <w:bottom w:val="single" w:sz="8" w:color="CEFFE7"/>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8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2018</w:t>
            </w:r>
          </w:p>
        </w:tc>
      </w:tr>
      <w:tr>
        <w:trPr>
          <w:trHeight w:val="213"/>
        </w:trPr>
        <w:tc>
          <w:tcPr>
            <w:tcW w:w="736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Federal statutory rate</w:t>
            </w:r>
          </w:p>
        </w:tc>
        <w:tc>
          <w:tcPr>
            <w:tcW w:w="1620" w:type="dxa"/>
            <w:vAlign w:val="bottom"/>
            <w:shd w:val="clear" w:color="auto" w:fill="CEFFE7"/>
          </w:tcPr>
          <w:p>
            <w:pPr>
              <w:jc w:val="right"/>
              <w:ind w:right="979"/>
              <w:spacing w:after="0"/>
              <w:rPr>
                <w:sz w:val="20"/>
                <w:szCs w:val="20"/>
                <w:color w:val="auto"/>
              </w:rPr>
            </w:pPr>
            <w:r>
              <w:rPr>
                <w:rFonts w:ascii="Arial" w:cs="Arial" w:eastAsia="Arial" w:hAnsi="Arial"/>
                <w:sz w:val="16"/>
                <w:szCs w:val="16"/>
                <w:color w:val="auto"/>
              </w:rPr>
              <w:t>21.0 %</w:t>
            </w:r>
          </w:p>
        </w:tc>
        <w:tc>
          <w:tcPr>
            <w:tcW w:w="88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21.0 %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360" w:type="dxa"/>
            <w:vAlign w:val="bottom"/>
            <w:gridSpan w:val="2"/>
          </w:tcPr>
          <w:p>
            <w:pPr>
              <w:ind w:left="220"/>
              <w:spacing w:after="0"/>
              <w:rPr>
                <w:sz w:val="20"/>
                <w:szCs w:val="20"/>
                <w:color w:val="auto"/>
              </w:rPr>
            </w:pPr>
            <w:r>
              <w:rPr>
                <w:rFonts w:ascii="Arial" w:cs="Arial" w:eastAsia="Arial" w:hAnsi="Arial"/>
                <w:sz w:val="16"/>
                <w:szCs w:val="16"/>
                <w:color w:val="auto"/>
              </w:rPr>
              <w:t>State income tax (net of federal tax effect)</w:t>
            </w:r>
          </w:p>
        </w:tc>
        <w:tc>
          <w:tcPr>
            <w:tcW w:w="1620" w:type="dxa"/>
            <w:vAlign w:val="bottom"/>
          </w:tcPr>
          <w:p>
            <w:pPr>
              <w:jc w:val="right"/>
              <w:ind w:right="1159"/>
              <w:spacing w:after="0"/>
              <w:rPr>
                <w:sz w:val="20"/>
                <w:szCs w:val="20"/>
                <w:color w:val="auto"/>
              </w:rPr>
            </w:pPr>
            <w:r>
              <w:rPr>
                <w:rFonts w:ascii="Arial" w:cs="Arial" w:eastAsia="Arial" w:hAnsi="Arial"/>
                <w:sz w:val="16"/>
                <w:szCs w:val="16"/>
                <w:color w:val="auto"/>
              </w:rPr>
              <w:t>2.4</w:t>
            </w: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1.5</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2.3</w:t>
            </w:r>
          </w:p>
        </w:tc>
      </w:tr>
      <w:tr>
        <w:trPr>
          <w:trHeight w:val="219"/>
        </w:trPr>
        <w:tc>
          <w:tcPr>
            <w:tcW w:w="7360" w:type="dxa"/>
            <w:vAlign w:val="bottom"/>
            <w:gridSpan w:val="2"/>
            <w:shd w:val="clear" w:color="auto" w:fill="CEFFE7"/>
          </w:tcPr>
          <w:p>
            <w:pPr>
              <w:ind w:left="220"/>
              <w:spacing w:after="0" w:line="219" w:lineRule="exact"/>
              <w:rPr>
                <w:sz w:val="20"/>
                <w:szCs w:val="20"/>
                <w:color w:val="auto"/>
              </w:rPr>
            </w:pPr>
            <w:r>
              <w:rPr>
                <w:rFonts w:ascii="Arial" w:cs="Arial" w:eastAsia="Arial" w:hAnsi="Arial"/>
                <w:sz w:val="16"/>
                <w:szCs w:val="16"/>
                <w:color w:val="auto"/>
              </w:rPr>
              <w:t xml:space="preserve">Non-controlling interest </w:t>
            </w:r>
            <w:r>
              <w:rPr>
                <w:rFonts w:ascii="Arial" w:cs="Arial" w:eastAsia="Arial" w:hAnsi="Arial"/>
                <w:sz w:val="21"/>
                <w:szCs w:val="21"/>
                <w:color w:val="auto"/>
                <w:vertAlign w:val="superscript"/>
              </w:rPr>
              <w:t>(a)</w:t>
            </w:r>
          </w:p>
        </w:tc>
        <w:tc>
          <w:tcPr>
            <w:tcW w:w="1620" w:type="dxa"/>
            <w:vAlign w:val="bottom"/>
            <w:shd w:val="clear" w:color="auto" w:fill="CEFFE7"/>
          </w:tcPr>
          <w:p>
            <w:pPr>
              <w:jc w:val="right"/>
              <w:ind w:right="1119"/>
              <w:spacing w:after="0"/>
              <w:rPr>
                <w:sz w:val="20"/>
                <w:szCs w:val="20"/>
                <w:color w:val="auto"/>
              </w:rPr>
            </w:pPr>
            <w:r>
              <w:rPr>
                <w:rFonts w:ascii="Arial" w:cs="Arial" w:eastAsia="Arial" w:hAnsi="Arial"/>
                <w:sz w:val="16"/>
                <w:szCs w:val="16"/>
                <w:color w:val="auto"/>
              </w:rPr>
              <w:t>(1.2)</w:t>
            </w:r>
          </w:p>
        </w:tc>
        <w:tc>
          <w:tcPr>
            <w:tcW w:w="88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(1.2)</w:t>
            </w:r>
          </w:p>
        </w:tc>
        <w:tc>
          <w:tcPr>
            <w:tcW w:w="13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(1.3)</w:t>
            </w:r>
          </w:p>
        </w:tc>
      </w:tr>
      <w:tr>
        <w:trPr>
          <w:trHeight w:val="216"/>
        </w:trPr>
        <w:tc>
          <w:tcPr>
            <w:tcW w:w="736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(b) (c)</w:t>
            </w:r>
          </w:p>
        </w:tc>
        <w:tc>
          <w:tcPr>
            <w:tcW w:w="1620" w:type="dxa"/>
            <w:vAlign w:val="bottom"/>
          </w:tcPr>
          <w:p>
            <w:pPr>
              <w:jc w:val="right"/>
              <w:ind w:right="1119"/>
              <w:spacing w:after="0"/>
              <w:rPr>
                <w:sz w:val="20"/>
                <w:szCs w:val="20"/>
                <w:color w:val="auto"/>
              </w:rPr>
            </w:pPr>
            <w:r>
              <w:rPr>
                <w:rFonts w:ascii="Arial" w:cs="Arial" w:eastAsia="Arial" w:hAnsi="Arial"/>
                <w:sz w:val="16"/>
                <w:szCs w:val="16"/>
                <w:color w:val="auto"/>
              </w:rPr>
              <w:t>(9.2)</w:t>
            </w: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(3.9)</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(2.0)</w:t>
            </w:r>
          </w:p>
        </w:tc>
      </w:tr>
      <w:tr>
        <w:trPr>
          <w:trHeight w:val="216"/>
        </w:trPr>
        <w:tc>
          <w:tcPr>
            <w:tcW w:w="7360" w:type="dxa"/>
            <w:vAlign w:val="bottom"/>
            <w:gridSpan w:val="2"/>
            <w:shd w:val="clear" w:color="auto" w:fill="CEFFE7"/>
          </w:tcPr>
          <w:p>
            <w:pPr>
              <w:ind w:left="220"/>
              <w:spacing w:after="0" w:line="216" w:lineRule="exact"/>
              <w:rPr>
                <w:sz w:val="20"/>
                <w:szCs w:val="20"/>
                <w:color w:val="auto"/>
              </w:rPr>
            </w:pPr>
            <w:r>
              <w:rPr>
                <w:rFonts w:ascii="Arial" w:cs="Arial" w:eastAsia="Arial" w:hAnsi="Arial"/>
                <w:sz w:val="16"/>
                <w:szCs w:val="16"/>
                <w:color w:val="auto"/>
              </w:rPr>
              <w:t xml:space="preserve">Flow-through adjustments </w:t>
            </w:r>
            <w:r>
              <w:rPr>
                <w:rFonts w:ascii="Arial" w:cs="Arial" w:eastAsia="Arial" w:hAnsi="Arial"/>
                <w:sz w:val="21"/>
                <w:szCs w:val="21"/>
                <w:color w:val="auto"/>
                <w:vertAlign w:val="superscript"/>
              </w:rPr>
              <w:t>(d)</w:t>
            </w:r>
          </w:p>
        </w:tc>
        <w:tc>
          <w:tcPr>
            <w:tcW w:w="1620" w:type="dxa"/>
            <w:vAlign w:val="bottom"/>
            <w:shd w:val="clear" w:color="auto" w:fill="CEFFE7"/>
          </w:tcPr>
          <w:p>
            <w:pPr>
              <w:jc w:val="right"/>
              <w:ind w:right="1119"/>
              <w:spacing w:after="0"/>
              <w:rPr>
                <w:sz w:val="20"/>
                <w:szCs w:val="20"/>
                <w:color w:val="auto"/>
              </w:rPr>
            </w:pPr>
            <w:r>
              <w:rPr>
                <w:rFonts w:ascii="Arial" w:cs="Arial" w:eastAsia="Arial" w:hAnsi="Arial"/>
                <w:sz w:val="16"/>
                <w:szCs w:val="16"/>
                <w:color w:val="auto"/>
              </w:rPr>
              <w:t>(1.6)</w:t>
            </w:r>
          </w:p>
        </w:tc>
        <w:tc>
          <w:tcPr>
            <w:tcW w:w="88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(2.4)</w:t>
            </w:r>
          </w:p>
        </w:tc>
        <w:tc>
          <w:tcPr>
            <w:tcW w:w="13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(1.6)</w:t>
            </w:r>
          </w:p>
        </w:tc>
      </w:tr>
      <w:tr>
        <w:trPr>
          <w:trHeight w:val="216"/>
        </w:trPr>
        <w:tc>
          <w:tcPr>
            <w:tcW w:w="736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Jurisdictional consolidation project </w:t>
            </w:r>
            <w:r>
              <w:rPr>
                <w:rFonts w:ascii="Arial" w:cs="Arial" w:eastAsia="Arial" w:hAnsi="Arial"/>
                <w:sz w:val="21"/>
                <w:szCs w:val="21"/>
                <w:color w:val="auto"/>
                <w:vertAlign w:val="superscript"/>
              </w:rPr>
              <w:t>(e)</w:t>
            </w:r>
          </w:p>
        </w:tc>
        <w:tc>
          <w:tcPr>
            <w:tcW w:w="162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(28.5)</w:t>
            </w:r>
          </w:p>
        </w:tc>
      </w:tr>
      <w:tr>
        <w:trPr>
          <w:trHeight w:val="216"/>
        </w:trPr>
        <w:tc>
          <w:tcPr>
            <w:tcW w:w="736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Uncertain Tax Benefits</w:t>
            </w:r>
          </w:p>
        </w:tc>
        <w:tc>
          <w:tcPr>
            <w:tcW w:w="1620" w:type="dxa"/>
            <w:vAlign w:val="bottom"/>
            <w:shd w:val="clear" w:color="auto" w:fill="CEFFE7"/>
          </w:tcPr>
          <w:p>
            <w:pPr>
              <w:jc w:val="right"/>
              <w:ind w:right="1159"/>
              <w:spacing w:after="0"/>
              <w:rPr>
                <w:sz w:val="20"/>
                <w:szCs w:val="20"/>
                <w:color w:val="auto"/>
              </w:rPr>
            </w:pPr>
            <w:r>
              <w:rPr>
                <w:rFonts w:ascii="Arial" w:cs="Arial" w:eastAsia="Arial" w:hAnsi="Arial"/>
                <w:sz w:val="16"/>
                <w:szCs w:val="16"/>
                <w:color w:val="auto"/>
              </w:rPr>
              <w:t>1.5</w:t>
            </w:r>
          </w:p>
        </w:tc>
        <w:tc>
          <w:tcPr>
            <w:tcW w:w="880" w:type="dxa"/>
            <w:vAlign w:val="bottom"/>
            <w:shd w:val="clear" w:color="auto" w:fill="CEFFE7"/>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7360" w:type="dxa"/>
            <w:vAlign w:val="bottom"/>
            <w:gridSpan w:val="2"/>
          </w:tcPr>
          <w:p>
            <w:pPr>
              <w:ind w:left="220"/>
              <w:spacing w:after="0"/>
              <w:rPr>
                <w:sz w:val="20"/>
                <w:szCs w:val="20"/>
                <w:color w:val="auto"/>
              </w:rPr>
            </w:pPr>
            <w:r>
              <w:rPr>
                <w:rFonts w:ascii="Arial" w:cs="Arial" w:eastAsia="Arial" w:hAnsi="Arial"/>
                <w:sz w:val="16"/>
                <w:szCs w:val="16"/>
                <w:color w:val="auto"/>
              </w:rPr>
              <w:t>Valuation Allowance</w:t>
            </w:r>
          </w:p>
        </w:tc>
        <w:tc>
          <w:tcPr>
            <w:tcW w:w="1620" w:type="dxa"/>
            <w:vAlign w:val="bottom"/>
          </w:tcPr>
          <w:p>
            <w:pPr>
              <w:jc w:val="right"/>
              <w:ind w:right="1159"/>
              <w:spacing w:after="0"/>
              <w:rPr>
                <w:sz w:val="20"/>
                <w:szCs w:val="20"/>
                <w:color w:val="auto"/>
              </w:rPr>
            </w:pPr>
            <w:r>
              <w:rPr>
                <w:rFonts w:ascii="Arial" w:cs="Arial" w:eastAsia="Arial" w:hAnsi="Arial"/>
                <w:sz w:val="16"/>
                <w:szCs w:val="16"/>
                <w:color w:val="auto"/>
              </w:rPr>
              <w:t>0.7</w:t>
            </w: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Other tax differences</w:t>
            </w:r>
          </w:p>
        </w:tc>
        <w:tc>
          <w:tcPr>
            <w:tcW w:w="1620" w:type="dxa"/>
            <w:vAlign w:val="bottom"/>
            <w:shd w:val="clear" w:color="auto" w:fill="CEFFE7"/>
          </w:tcPr>
          <w:p>
            <w:pPr>
              <w:jc w:val="right"/>
              <w:ind w:right="1159"/>
              <w:spacing w:after="0"/>
              <w:rPr>
                <w:sz w:val="20"/>
                <w:szCs w:val="20"/>
                <w:color w:val="auto"/>
              </w:rPr>
            </w:pPr>
            <w:r>
              <w:rPr>
                <w:rFonts w:ascii="Arial" w:cs="Arial" w:eastAsia="Arial" w:hAnsi="Arial"/>
                <w:sz w:val="16"/>
                <w:szCs w:val="16"/>
                <w:color w:val="auto"/>
              </w:rPr>
              <w:t>0.6</w:t>
            </w:r>
          </w:p>
        </w:tc>
        <w:tc>
          <w:tcPr>
            <w:tcW w:w="88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(1.6)</w:t>
            </w:r>
          </w:p>
        </w:tc>
        <w:tc>
          <w:tcPr>
            <w:tcW w:w="13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(0.1)</w:t>
            </w:r>
          </w:p>
        </w:tc>
      </w:tr>
      <w:tr>
        <w:trPr>
          <w:trHeight w:val="216"/>
        </w:trPr>
        <w:tc>
          <w:tcPr>
            <w:tcW w:w="736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TCJA corporate rate reduction </w:t>
            </w:r>
            <w:r>
              <w:rPr>
                <w:rFonts w:ascii="Arial" w:cs="Arial" w:eastAsia="Arial" w:hAnsi="Arial"/>
                <w:sz w:val="21"/>
                <w:szCs w:val="21"/>
                <w:color w:val="auto"/>
                <w:vertAlign w:val="superscript"/>
              </w:rPr>
              <w:t>(f)</w:t>
            </w:r>
          </w:p>
        </w:tc>
        <w:tc>
          <w:tcPr>
            <w:tcW w:w="162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1.6</w:t>
            </w:r>
          </w:p>
        </w:tc>
      </w:tr>
      <w:tr>
        <w:trPr>
          <w:trHeight w:val="216"/>
        </w:trPr>
        <w:tc>
          <w:tcPr>
            <w:tcW w:w="6320" w:type="dxa"/>
            <w:vAlign w:val="bottom"/>
            <w:shd w:val="clear" w:color="auto" w:fill="CEFFE7"/>
          </w:tcPr>
          <w:p>
            <w:pPr>
              <w:ind w:left="220"/>
              <w:spacing w:after="0" w:line="216" w:lineRule="exact"/>
              <w:rPr>
                <w:sz w:val="20"/>
                <w:szCs w:val="20"/>
                <w:color w:val="auto"/>
              </w:rPr>
            </w:pPr>
            <w:r>
              <w:rPr>
                <w:rFonts w:ascii="Arial" w:cs="Arial" w:eastAsia="Arial" w:hAnsi="Arial"/>
                <w:sz w:val="16"/>
                <w:szCs w:val="16"/>
                <w:color w:val="auto"/>
              </w:rPr>
              <w:t xml:space="preserve">Amortization of excess deferred income tax expense </w:t>
            </w:r>
            <w:r>
              <w:rPr>
                <w:rFonts w:ascii="Arial" w:cs="Arial" w:eastAsia="Arial" w:hAnsi="Arial"/>
                <w:sz w:val="21"/>
                <w:szCs w:val="21"/>
                <w:color w:val="auto"/>
                <w:vertAlign w:val="superscript"/>
              </w:rPr>
              <w:t>(g)</w:t>
            </w:r>
          </w:p>
        </w:tc>
        <w:tc>
          <w:tcPr>
            <w:tcW w:w="1040" w:type="dxa"/>
            <w:vAlign w:val="bottom"/>
            <w:tcBorders>
              <w:bottom w:val="single" w:sz="8" w:color="auto"/>
            </w:tcBorders>
            <w:shd w:val="clear" w:color="auto" w:fill="CEFFE7"/>
          </w:tcPr>
          <w:p>
            <w:pPr>
              <w:spacing w:after="0"/>
              <w:rPr>
                <w:sz w:val="18"/>
                <w:szCs w:val="18"/>
                <w:color w:val="auto"/>
              </w:rPr>
            </w:pPr>
          </w:p>
        </w:tc>
        <w:tc>
          <w:tcPr>
            <w:tcW w:w="1620" w:type="dxa"/>
            <w:vAlign w:val="bottom"/>
            <w:tcBorders>
              <w:bottom w:val="single" w:sz="8" w:color="auto"/>
            </w:tcBorders>
            <w:shd w:val="clear" w:color="auto" w:fill="CEFFE7"/>
          </w:tcPr>
          <w:p>
            <w:pPr>
              <w:jc w:val="right"/>
              <w:ind w:right="1119"/>
              <w:spacing w:after="0"/>
              <w:rPr>
                <w:sz w:val="20"/>
                <w:szCs w:val="20"/>
                <w:color w:val="auto"/>
              </w:rPr>
            </w:pPr>
            <w:r>
              <w:rPr>
                <w:rFonts w:ascii="Arial" w:cs="Arial" w:eastAsia="Arial" w:hAnsi="Arial"/>
                <w:sz w:val="16"/>
                <w:szCs w:val="16"/>
                <w:color w:val="auto"/>
              </w:rPr>
              <w:t>(2.3)</w:t>
            </w:r>
          </w:p>
        </w:tc>
        <w:tc>
          <w:tcPr>
            <w:tcW w:w="880" w:type="dxa"/>
            <w:vAlign w:val="bottom"/>
            <w:tcBorders>
              <w:bottom w:val="single" w:sz="8" w:color="auto"/>
            </w:tcBorders>
            <w:shd w:val="clear" w:color="auto" w:fill="CEFFE7"/>
          </w:tcPr>
          <w:p>
            <w:pPr>
              <w:jc w:val="right"/>
              <w:ind w:right="379"/>
              <w:spacing w:after="0"/>
              <w:rPr>
                <w:sz w:val="20"/>
                <w:szCs w:val="20"/>
                <w:color w:val="auto"/>
              </w:rPr>
            </w:pPr>
            <w:r>
              <w:rPr>
                <w:rFonts w:ascii="Arial" w:cs="Arial" w:eastAsia="Arial" w:hAnsi="Arial"/>
                <w:sz w:val="16"/>
                <w:szCs w:val="16"/>
                <w:color w:val="auto"/>
              </w:rPr>
              <w:t>(1.2)</w:t>
            </w:r>
          </w:p>
        </w:tc>
        <w:tc>
          <w:tcPr>
            <w:tcW w:w="132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(0.7)</w:t>
            </w:r>
          </w:p>
        </w:tc>
      </w:tr>
      <w:tr>
        <w:trPr>
          <w:trHeight w:val="209"/>
        </w:trPr>
        <w:tc>
          <w:tcPr>
            <w:tcW w:w="7360" w:type="dxa"/>
            <w:vAlign w:val="bottom"/>
            <w:gridSpan w:val="2"/>
          </w:tcPr>
          <w:p>
            <w:pPr>
              <w:spacing w:after="0"/>
              <w:rPr>
                <w:sz w:val="20"/>
                <w:szCs w:val="20"/>
                <w:color w:val="auto"/>
              </w:rPr>
            </w:pPr>
            <w:r>
              <w:rPr>
                <w:rFonts w:ascii="Arial" w:cs="Arial" w:eastAsia="Arial" w:hAnsi="Arial"/>
                <w:sz w:val="16"/>
                <w:szCs w:val="16"/>
                <w:color w:val="auto"/>
              </w:rPr>
              <w:t>Effective Tax Rate</w:t>
            </w:r>
          </w:p>
        </w:tc>
        <w:tc>
          <w:tcPr>
            <w:tcW w:w="1620" w:type="dxa"/>
            <w:vAlign w:val="bottom"/>
          </w:tcPr>
          <w:p>
            <w:pPr>
              <w:jc w:val="right"/>
              <w:ind w:right="979"/>
              <w:spacing w:after="0"/>
              <w:rPr>
                <w:sz w:val="20"/>
                <w:szCs w:val="20"/>
                <w:color w:val="auto"/>
              </w:rPr>
            </w:pPr>
            <w:r>
              <w:rPr>
                <w:rFonts w:ascii="Arial" w:cs="Arial" w:eastAsia="Arial" w:hAnsi="Arial"/>
                <w:sz w:val="16"/>
                <w:szCs w:val="16"/>
                <w:color w:val="auto"/>
              </w:rPr>
              <w:t>11.9 %</w:t>
            </w: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12.2 %</w:t>
            </w:r>
          </w:p>
        </w:tc>
        <w:tc>
          <w:tcPr>
            <w:tcW w:w="13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
        </w:trPr>
        <w:tc>
          <w:tcPr>
            <w:tcW w:w="6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1"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effective tax rate reflects the income attributable to the noncontrolling interest in Black Hills Colorado IPP for which a tax provision was not recorded.</w:t>
      </w:r>
    </w:p>
    <w:p>
      <w:pPr>
        <w:spacing w:after="0" w:line="1" w:lineRule="exact"/>
        <w:rPr>
          <w:rFonts w:ascii="Arial" w:cs="Arial" w:eastAsia="Arial" w:hAnsi="Arial"/>
          <w:sz w:val="14"/>
          <w:szCs w:val="14"/>
          <w:color w:val="auto"/>
        </w:rPr>
      </w:pPr>
    </w:p>
    <w:p>
      <w:pPr>
        <w:ind w:left="340" w:right="240" w:hanging="332"/>
        <w:spacing w:after="0" w:line="241" w:lineRule="auto"/>
        <w:tabs>
          <w:tab w:leader="none" w:pos="349"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current year increase of PTCs reflect full year production of two wind facilities that were acquired/ placed into service during 2019; Top of Iowa purchased February 2019 and Busch Ranch II with an in-service date of November 2019. Additionally, in November 2020, the Corriedale qualifying wind facility was placed in service.</w:t>
      </w: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2020, the Company completed a research and development study which encompassed tax years from 2013 to 2019.</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52" w:val="left"/>
        </w:tabs>
        <w:numPr>
          <w:ilvl w:val="0"/>
          <w:numId w:val="90"/>
        </w:numPr>
        <w:rPr>
          <w:rFonts w:ascii="Arial" w:cs="Arial" w:eastAsia="Arial" w:hAnsi="Arial"/>
          <w:sz w:val="14"/>
          <w:szCs w:val="14"/>
          <w:color w:val="auto"/>
        </w:rPr>
      </w:pPr>
      <w:r>
        <w:rPr>
          <w:rFonts w:ascii="Arial" w:cs="Arial" w:eastAsia="Arial" w:hAnsi="Arial"/>
          <w:sz w:val="14"/>
          <w:szCs w:val="14"/>
          <w:color w:val="auto"/>
        </w:rPr>
        <w:t>Flow-through adjustments related primarily to accounting method changes for tax purposes that allow us to take a current tax deduction for repair costs and certain indirect costs.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52"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2018, the Company restructured certain legal entities from earlier acquisitions, which resulted in additional deferred income tax assets of $73 million, related to goodwill that is amortizable for tax purposes, and deferred tax benefits of $73 million.</w:t>
      </w:r>
    </w:p>
    <w:p>
      <w:pPr>
        <w:ind w:left="340" w:right="220" w:hanging="332"/>
        <w:spacing w:after="0" w:line="241" w:lineRule="auto"/>
        <w:tabs>
          <w:tab w:leader="none" w:pos="312" w:val="left"/>
        </w:tabs>
        <w:numPr>
          <w:ilvl w:val="0"/>
          <w:numId w:val="90"/>
        </w:numPr>
        <w:rPr>
          <w:rFonts w:ascii="Arial" w:cs="Arial" w:eastAsia="Arial" w:hAnsi="Arial"/>
          <w:sz w:val="14"/>
          <w:szCs w:val="14"/>
          <w:color w:val="auto"/>
        </w:rPr>
      </w:pPr>
      <w:r>
        <w:rPr>
          <w:rFonts w:ascii="Arial" w:cs="Arial" w:eastAsia="Arial" w:hAnsi="Arial"/>
          <w:sz w:val="14"/>
          <w:szCs w:val="14"/>
          <w:color w:val="auto"/>
        </w:rPr>
        <w:t>On December 22, 2017, the TCJA was signed into law reducing the federal corporate rate from 35% to 21% effective January 1, 2018. During the year ended December 31, 2018, we recorded $4.0 million of additional tax expense associated with changes in the prior estimated impacts of TCJA related items.</w:t>
      </w: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Primarily TCJA - see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Assets and Liabilities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temporary differences, which gave rise to the net deferred tax liability, for the years ended December 31 were as follows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2019</w:t>
            </w:r>
          </w:p>
        </w:tc>
      </w:tr>
      <w:tr>
        <w:trPr>
          <w:trHeight w:val="199"/>
        </w:trPr>
        <w:tc>
          <w:tcPr>
            <w:tcW w:w="68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9"/>
        </w:trPr>
        <w:tc>
          <w:tcPr>
            <w:tcW w:w="68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Regulatory liabilities</w:t>
            </w:r>
          </w:p>
        </w:tc>
        <w:tc>
          <w:tcPr>
            <w:tcW w:w="1360" w:type="dxa"/>
            <w:vAlign w:val="bottom"/>
            <w:shd w:val="clear" w:color="auto" w:fill="CEFFE7"/>
          </w:tcPr>
          <w:p>
            <w:pPr>
              <w:jc w:val="right"/>
              <w:ind w:right="11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90,535</w:t>
            </w:r>
          </w:p>
        </w:tc>
        <w:tc>
          <w:tcPr>
            <w:tcW w:w="52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89,754</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State tax credits</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23,339</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23,261</w:t>
            </w:r>
          </w:p>
        </w:tc>
      </w:tr>
      <w:tr>
        <w:trPr>
          <w:trHeight w:val="219"/>
        </w:trPr>
        <w:tc>
          <w:tcPr>
            <w:tcW w:w="68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Federal NOL</w:t>
            </w:r>
          </w:p>
        </w:tc>
        <w:tc>
          <w:tcPr>
            <w:tcW w:w="1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96,155</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120,624</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State NOL</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9,914</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13,537</w:t>
            </w:r>
          </w:p>
        </w:tc>
      </w:tr>
      <w:tr>
        <w:trPr>
          <w:trHeight w:val="219"/>
        </w:trPr>
        <w:tc>
          <w:tcPr>
            <w:tcW w:w="68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Partnership</w:t>
            </w:r>
          </w:p>
        </w:tc>
        <w:tc>
          <w:tcPr>
            <w:tcW w:w="1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15,601</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14,030</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Credit Carryovers</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51,445</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27,139</w:t>
            </w:r>
          </w:p>
        </w:tc>
      </w:tr>
      <w:tr>
        <w:trPr>
          <w:trHeight w:val="219"/>
        </w:trPr>
        <w:tc>
          <w:tcPr>
            <w:tcW w:w="68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Other deferred tax assets</w:t>
            </w:r>
          </w:p>
        </w:tc>
        <w:tc>
          <w:tcPr>
            <w:tcW w:w="1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40,143</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33,395</w:t>
            </w:r>
          </w:p>
        </w:tc>
      </w:tr>
      <w:tr>
        <w:trPr>
          <w:trHeight w:val="213"/>
        </w:trPr>
        <w:tc>
          <w:tcPr>
            <w:tcW w:w="686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Less: Valuation allowance</w:t>
            </w: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(13,943)</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(12,063)</w:t>
            </w:r>
          </w:p>
        </w:tc>
      </w:tr>
      <w:tr>
        <w:trPr>
          <w:trHeight w:val="209"/>
        </w:trPr>
        <w:tc>
          <w:tcPr>
            <w:tcW w:w="68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Total deferred tax assets</w:t>
            </w:r>
          </w:p>
        </w:tc>
        <w:tc>
          <w:tcPr>
            <w:tcW w:w="13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313,189</w:t>
            </w:r>
          </w:p>
        </w:tc>
        <w:tc>
          <w:tcPr>
            <w:tcW w:w="52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309,677</w:t>
            </w:r>
          </w:p>
        </w:tc>
      </w:tr>
      <w:tr>
        <w:trPr>
          <w:trHeight w:val="253"/>
        </w:trPr>
        <w:tc>
          <w:tcPr>
            <w:tcW w:w="68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16"/>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Deferred tax liabilities:</w:t>
            </w:r>
          </w:p>
        </w:tc>
        <w:tc>
          <w:tcPr>
            <w:tcW w:w="136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520" w:type="dxa"/>
            <w:vAlign w:val="bottom"/>
            <w:shd w:val="clear" w:color="auto" w:fill="CEFFE7"/>
          </w:tcPr>
          <w:p>
            <w:pPr>
              <w:spacing w:after="0"/>
              <w:rPr>
                <w:sz w:val="18"/>
                <w:szCs w:val="18"/>
                <w:color w:val="auto"/>
              </w:rPr>
            </w:pPr>
          </w:p>
        </w:tc>
        <w:tc>
          <w:tcPr>
            <w:tcW w:w="1660" w:type="dxa"/>
            <w:vAlign w:val="bottom"/>
            <w:shd w:val="clear" w:color="auto" w:fill="CEFFE7"/>
          </w:tcPr>
          <w:p>
            <w:pPr>
              <w:spacing w:after="0"/>
              <w:rPr>
                <w:sz w:val="18"/>
                <w:szCs w:val="18"/>
                <w:color w:val="auto"/>
              </w:rPr>
            </w:pP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Accelerated depreciation, amortization and other property-related differences</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(551,137)</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(533,292)</w:t>
            </w:r>
          </w:p>
        </w:tc>
      </w:tr>
      <w:tr>
        <w:trPr>
          <w:trHeight w:val="219"/>
        </w:trPr>
        <w:tc>
          <w:tcPr>
            <w:tcW w:w="68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Regulatory assets</w:t>
            </w:r>
          </w:p>
        </w:tc>
        <w:tc>
          <w:tcPr>
            <w:tcW w:w="1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(28,007)</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(23,586)</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(30,590)</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(15,875)</w:t>
            </w:r>
          </w:p>
        </w:tc>
      </w:tr>
      <w:tr>
        <w:trPr>
          <w:trHeight w:val="219"/>
        </w:trPr>
        <w:tc>
          <w:tcPr>
            <w:tcW w:w="68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State deferred tax liability</w:t>
            </w:r>
          </w:p>
        </w:tc>
        <w:tc>
          <w:tcPr>
            <w:tcW w:w="1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(73,910)</w:t>
            </w:r>
          </w:p>
        </w:tc>
        <w:tc>
          <w:tcPr>
            <w:tcW w:w="52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(72,911)</w:t>
            </w:r>
          </w:p>
        </w:tc>
      </w:tr>
      <w:tr>
        <w:trPr>
          <w:trHeight w:val="213"/>
        </w:trPr>
        <w:tc>
          <w:tcPr>
            <w:tcW w:w="686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Other deferred tax liabilities</w:t>
            </w: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(38,169)</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(24,732)</w:t>
            </w:r>
          </w:p>
        </w:tc>
      </w:tr>
      <w:tr>
        <w:trPr>
          <w:trHeight w:val="210"/>
        </w:trPr>
        <w:tc>
          <w:tcPr>
            <w:tcW w:w="68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Total deferred tax liabilities</w:t>
            </w:r>
          </w:p>
        </w:tc>
        <w:tc>
          <w:tcPr>
            <w:tcW w:w="13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(721,813)</w:t>
            </w:r>
          </w:p>
        </w:tc>
        <w:tc>
          <w:tcPr>
            <w:tcW w:w="52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(670,396)</w:t>
            </w:r>
          </w:p>
        </w:tc>
      </w:tr>
      <w:tr>
        <w:trPr>
          <w:trHeight w:val="253"/>
        </w:trPr>
        <w:tc>
          <w:tcPr>
            <w:tcW w:w="68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41"/>
        </w:trPr>
        <w:tc>
          <w:tcPr>
            <w:tcW w:w="68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Net deferred tax liability</w:t>
            </w:r>
          </w:p>
        </w:tc>
        <w:tc>
          <w:tcPr>
            <w:tcW w:w="1360" w:type="dxa"/>
            <w:vAlign w:val="bottom"/>
            <w:tcBorders>
              <w:bottom w:val="single" w:sz="8" w:color="auto"/>
            </w:tcBorders>
            <w:shd w:val="clear" w:color="auto" w:fill="CEFFE7"/>
          </w:tcPr>
          <w:p>
            <w:pPr>
              <w:jc w:val="right"/>
              <w:ind w:right="1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(408,624)</w:t>
            </w:r>
          </w:p>
        </w:tc>
        <w:tc>
          <w:tcPr>
            <w:tcW w:w="52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(360,719)</w:t>
            </w:r>
          </w:p>
        </w:tc>
      </w:tr>
      <w:tr>
        <w:trPr>
          <w:trHeight w:val="20"/>
        </w:trPr>
        <w:tc>
          <w:tcPr>
            <w:tcW w:w="6860" w:type="dxa"/>
            <w:vAlign w:val="bottom"/>
            <w:tcBorders>
              <w:top w:val="single" w:sz="8" w:color="CEFFE7"/>
            </w:tcBorders>
          </w:tcPr>
          <w:p>
            <w:pPr>
              <w:spacing w:after="0" w:line="20" w:lineRule="exact"/>
              <w:rPr>
                <w:sz w:val="1"/>
                <w:szCs w:val="1"/>
                <w:color w:val="auto"/>
              </w:rPr>
            </w:pPr>
          </w:p>
        </w:tc>
        <w:tc>
          <w:tcPr>
            <w:tcW w:w="136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66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Operating Loss Carryforwards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we have federal and state NOL carryforwards that will expire at various dates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Amounts</w:t>
            </w:r>
          </w:p>
        </w:tc>
        <w:tc>
          <w:tcPr>
            <w:tcW w:w="1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 Dates</w:t>
            </w:r>
          </w:p>
        </w:tc>
        <w:tc>
          <w:tcPr>
            <w:tcW w:w="1000" w:type="dxa"/>
            <w:vAlign w:val="bottom"/>
            <w:tcBorders>
              <w:bottom w:val="single" w:sz="8" w:color="auto"/>
            </w:tcBorders>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540" w:type="dxa"/>
            <w:vAlign w:val="bottom"/>
            <w:shd w:val="clear" w:color="auto" w:fill="CEFEE7"/>
          </w:tcPr>
          <w:p>
            <w:pPr>
              <w:jc w:val="center"/>
              <w:ind w:right="1519"/>
              <w:spacing w:after="0"/>
              <w:rPr>
                <w:sz w:val="20"/>
                <w:szCs w:val="20"/>
                <w:color w:val="auto"/>
              </w:rPr>
            </w:pPr>
            <w:r>
              <w:rPr>
                <w:rFonts w:ascii="Arial" w:cs="Arial" w:eastAsia="Arial" w:hAnsi="Arial"/>
                <w:sz w:val="16"/>
                <w:szCs w:val="16"/>
                <w:color w:val="auto"/>
              </w:rPr>
              <w:t>Federal NOL Carryforward</w:t>
            </w:r>
          </w:p>
        </w:tc>
        <w:tc>
          <w:tcPr>
            <w:tcW w:w="3020" w:type="dxa"/>
            <w:vAlign w:val="bottom"/>
            <w:shd w:val="clear" w:color="auto" w:fill="CEFEE7"/>
          </w:tcPr>
          <w:p>
            <w:pPr>
              <w:jc w:val="right"/>
              <w:ind w:right="12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EE7"/>
          </w:tcPr>
          <w:p>
            <w:pPr>
              <w:jc w:val="right"/>
              <w:ind w:right="419"/>
              <w:spacing w:after="0"/>
              <w:rPr>
                <w:sz w:val="20"/>
                <w:szCs w:val="20"/>
                <w:color w:val="auto"/>
              </w:rPr>
            </w:pPr>
            <w:r>
              <w:rPr>
                <w:rFonts w:ascii="Arial" w:cs="Arial" w:eastAsia="Arial" w:hAnsi="Arial"/>
                <w:sz w:val="16"/>
                <w:szCs w:val="16"/>
                <w:color w:val="auto"/>
              </w:rPr>
              <w:t>378,236</w:t>
            </w:r>
          </w:p>
        </w:tc>
        <w:tc>
          <w:tcPr>
            <w:tcW w:w="1020" w:type="dxa"/>
            <w:vAlign w:val="bottom"/>
            <w:shd w:val="clear" w:color="auto" w:fill="CEFEE7"/>
          </w:tcPr>
          <w:p>
            <w:pPr>
              <w:jc w:val="right"/>
              <w:ind w:right="59"/>
              <w:spacing w:after="0"/>
              <w:rPr>
                <w:sz w:val="20"/>
                <w:szCs w:val="20"/>
                <w:color w:val="auto"/>
              </w:rPr>
            </w:pPr>
            <w:r>
              <w:rPr>
                <w:rFonts w:ascii="Arial" w:cs="Arial" w:eastAsia="Arial" w:hAnsi="Arial"/>
                <w:sz w:val="16"/>
                <w:szCs w:val="16"/>
                <w:color w:val="auto"/>
              </w:rPr>
              <w:t>2022</w:t>
            </w:r>
          </w:p>
        </w:tc>
        <w:tc>
          <w:tcPr>
            <w:tcW w:w="1480" w:type="dxa"/>
            <w:vAlign w:val="bottom"/>
            <w:shd w:val="clear" w:color="auto" w:fill="CEFEE7"/>
          </w:tcPr>
          <w:p>
            <w:pPr>
              <w:jc w:val="center"/>
              <w:spacing w:after="0"/>
              <w:rPr>
                <w:sz w:val="20"/>
                <w:szCs w:val="20"/>
                <w:color w:val="auto"/>
              </w:rPr>
            </w:pPr>
            <w:r>
              <w:rPr>
                <w:rFonts w:ascii="Arial" w:cs="Arial" w:eastAsia="Arial" w:hAnsi="Arial"/>
                <w:sz w:val="16"/>
                <w:szCs w:val="16"/>
                <w:color w:val="auto"/>
              </w:rPr>
              <w:t>to</w:t>
            </w:r>
          </w:p>
        </w:tc>
        <w:tc>
          <w:tcPr>
            <w:tcW w:w="1000" w:type="dxa"/>
            <w:vAlign w:val="bottom"/>
            <w:shd w:val="clear" w:color="auto" w:fill="CEFEE7"/>
          </w:tcPr>
          <w:p>
            <w:pPr>
              <w:jc w:val="right"/>
              <w:ind w:right="419"/>
              <w:spacing w:after="0"/>
              <w:rPr>
                <w:sz w:val="20"/>
                <w:szCs w:val="20"/>
                <w:color w:val="auto"/>
              </w:rPr>
            </w:pPr>
            <w:r>
              <w:rPr>
                <w:rFonts w:ascii="Arial" w:cs="Arial" w:eastAsia="Arial" w:hAnsi="Arial"/>
                <w:sz w:val="16"/>
                <w:szCs w:val="16"/>
                <w:color w:val="auto"/>
              </w:rPr>
              <w:t>2037</w:t>
            </w:r>
          </w:p>
        </w:tc>
      </w:tr>
      <w:tr>
        <w:trPr>
          <w:trHeight w:val="213"/>
        </w:trPr>
        <w:tc>
          <w:tcPr>
            <w:tcW w:w="20" w:type="dxa"/>
            <w:vAlign w:val="bottom"/>
          </w:tcPr>
          <w:p>
            <w:pPr>
              <w:spacing w:after="0"/>
              <w:rPr>
                <w:sz w:val="18"/>
                <w:szCs w:val="18"/>
                <w:color w:val="auto"/>
              </w:rPr>
            </w:pPr>
          </w:p>
        </w:tc>
        <w:tc>
          <w:tcPr>
            <w:tcW w:w="3540" w:type="dxa"/>
            <w:vAlign w:val="bottom"/>
          </w:tcPr>
          <w:p>
            <w:pPr>
              <w:jc w:val="center"/>
              <w:ind w:right="1519"/>
              <w:spacing w:after="0"/>
              <w:rPr>
                <w:sz w:val="20"/>
                <w:szCs w:val="20"/>
                <w:color w:val="auto"/>
              </w:rPr>
            </w:pPr>
            <w:r>
              <w:rPr>
                <w:rFonts w:ascii="Arial" w:cs="Arial" w:eastAsia="Arial" w:hAnsi="Arial"/>
                <w:sz w:val="16"/>
                <w:szCs w:val="16"/>
                <w:color w:val="auto"/>
              </w:rPr>
              <w:t>Federal NOL Carryforward</w:t>
            </w:r>
          </w:p>
        </w:tc>
        <w:tc>
          <w:tcPr>
            <w:tcW w:w="302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79,644</w:t>
            </w:r>
          </w:p>
        </w:tc>
        <w:tc>
          <w:tcPr>
            <w:tcW w:w="10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No expiration</w:t>
            </w:r>
          </w:p>
        </w:tc>
        <w:tc>
          <w:tcPr>
            <w:tcW w:w="1000" w:type="dxa"/>
            <w:vAlign w:val="bottom"/>
          </w:tcPr>
          <w:p>
            <w:pPr>
              <w:spacing w:after="0"/>
              <w:rPr>
                <w:sz w:val="18"/>
                <w:szCs w:val="18"/>
                <w:color w:val="auto"/>
              </w:rPr>
            </w:pPr>
          </w:p>
        </w:tc>
      </w:tr>
      <w:tr>
        <w:trPr>
          <w:trHeight w:val="273"/>
        </w:trPr>
        <w:tc>
          <w:tcPr>
            <w:tcW w:w="20" w:type="dxa"/>
            <w:vAlign w:val="bottom"/>
          </w:tcPr>
          <w:p>
            <w:pPr>
              <w:spacing w:after="0"/>
              <w:rPr>
                <w:sz w:val="23"/>
                <w:szCs w:val="23"/>
                <w:color w:val="auto"/>
              </w:rPr>
            </w:pPr>
          </w:p>
        </w:tc>
        <w:tc>
          <w:tcPr>
            <w:tcW w:w="3540" w:type="dxa"/>
            <w:vAlign w:val="bottom"/>
            <w:shd w:val="clear" w:color="auto" w:fill="CEFEE7"/>
          </w:tcPr>
          <w:p>
            <w:pPr>
              <w:spacing w:after="0"/>
              <w:rPr>
                <w:sz w:val="23"/>
                <w:szCs w:val="23"/>
                <w:color w:val="auto"/>
              </w:rPr>
            </w:pPr>
          </w:p>
        </w:tc>
        <w:tc>
          <w:tcPr>
            <w:tcW w:w="3020" w:type="dxa"/>
            <w:vAlign w:val="bottom"/>
            <w:shd w:val="clear" w:color="auto" w:fill="CEFEE7"/>
          </w:tcPr>
          <w:p>
            <w:pPr>
              <w:spacing w:after="0"/>
              <w:rPr>
                <w:sz w:val="23"/>
                <w:szCs w:val="23"/>
                <w:color w:val="auto"/>
              </w:rPr>
            </w:pPr>
          </w:p>
        </w:tc>
        <w:tc>
          <w:tcPr>
            <w:tcW w:w="1140" w:type="dxa"/>
            <w:vAlign w:val="bottom"/>
            <w:shd w:val="clear" w:color="auto" w:fill="CEFEE7"/>
          </w:tcPr>
          <w:p>
            <w:pPr>
              <w:spacing w:after="0"/>
              <w:rPr>
                <w:sz w:val="23"/>
                <w:szCs w:val="23"/>
                <w:color w:val="auto"/>
              </w:rPr>
            </w:pPr>
          </w:p>
        </w:tc>
        <w:tc>
          <w:tcPr>
            <w:tcW w:w="1020" w:type="dxa"/>
            <w:vAlign w:val="bottom"/>
            <w:shd w:val="clear" w:color="auto" w:fill="CEFEE7"/>
          </w:tcPr>
          <w:p>
            <w:pPr>
              <w:spacing w:after="0"/>
              <w:rPr>
                <w:sz w:val="23"/>
                <w:szCs w:val="23"/>
                <w:color w:val="auto"/>
              </w:rPr>
            </w:pPr>
          </w:p>
        </w:tc>
        <w:tc>
          <w:tcPr>
            <w:tcW w:w="1480" w:type="dxa"/>
            <w:vAlign w:val="bottom"/>
            <w:shd w:val="clear" w:color="auto" w:fill="CEFEE7"/>
          </w:tcPr>
          <w:p>
            <w:pPr>
              <w:spacing w:after="0"/>
              <w:rPr>
                <w:sz w:val="23"/>
                <w:szCs w:val="23"/>
                <w:color w:val="auto"/>
              </w:rPr>
            </w:pPr>
          </w:p>
        </w:tc>
        <w:tc>
          <w:tcPr>
            <w:tcW w:w="1000" w:type="dxa"/>
            <w:vAlign w:val="bottom"/>
            <w:shd w:val="clear" w:color="auto" w:fill="CEFEE7"/>
          </w:tcPr>
          <w:p>
            <w:pPr>
              <w:spacing w:after="0"/>
              <w:rPr>
                <w:sz w:val="23"/>
                <w:szCs w:val="23"/>
                <w:color w:val="auto"/>
              </w:rPr>
            </w:pPr>
          </w:p>
        </w:tc>
      </w:tr>
      <w:tr>
        <w:trPr>
          <w:trHeight w:val="281"/>
        </w:trPr>
        <w:tc>
          <w:tcPr>
            <w:tcW w:w="20" w:type="dxa"/>
            <w:vAlign w:val="bottom"/>
          </w:tcPr>
          <w:p>
            <w:pPr>
              <w:spacing w:after="0"/>
              <w:rPr>
                <w:sz w:val="24"/>
                <w:szCs w:val="24"/>
                <w:color w:val="auto"/>
              </w:rPr>
            </w:pPr>
          </w:p>
        </w:tc>
        <w:tc>
          <w:tcPr>
            <w:tcW w:w="3540" w:type="dxa"/>
            <w:vAlign w:val="bottom"/>
          </w:tcPr>
          <w:p>
            <w:pPr>
              <w:jc w:val="center"/>
              <w:ind w:right="1499"/>
              <w:spacing w:after="0"/>
              <w:rPr>
                <w:sz w:val="20"/>
                <w:szCs w:val="20"/>
                <w:color w:val="auto"/>
              </w:rPr>
            </w:pPr>
            <w:r>
              <w:rPr>
                <w:rFonts w:ascii="Arial" w:cs="Arial" w:eastAsia="Arial" w:hAnsi="Arial"/>
                <w:sz w:val="16"/>
                <w:szCs w:val="16"/>
                <w:color w:val="auto"/>
                <w:w w:val="99"/>
              </w:rPr>
              <w:t xml:space="preserve">State NOL Carryforward </w:t>
            </w:r>
            <w:r>
              <w:rPr>
                <w:rFonts w:ascii="Arial" w:cs="Arial" w:eastAsia="Arial" w:hAnsi="Arial"/>
                <w:sz w:val="21"/>
                <w:szCs w:val="21"/>
                <w:color w:val="auto"/>
                <w:w w:val="99"/>
                <w:vertAlign w:val="superscript"/>
              </w:rPr>
              <w:t>(a)</w:t>
            </w:r>
          </w:p>
        </w:tc>
        <w:tc>
          <w:tcPr>
            <w:tcW w:w="302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173,867</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2021</w:t>
            </w:r>
          </w:p>
        </w:tc>
        <w:tc>
          <w:tcPr>
            <w:tcW w:w="1480" w:type="dxa"/>
            <w:vAlign w:val="bottom"/>
          </w:tcPr>
          <w:p>
            <w:pPr>
              <w:jc w:val="center"/>
              <w:spacing w:after="0"/>
              <w:rPr>
                <w:sz w:val="20"/>
                <w:szCs w:val="20"/>
                <w:color w:val="auto"/>
              </w:rPr>
            </w:pPr>
            <w:r>
              <w:rPr>
                <w:rFonts w:ascii="Arial" w:cs="Arial" w:eastAsia="Arial" w:hAnsi="Arial"/>
                <w:sz w:val="16"/>
                <w:szCs w:val="16"/>
                <w:color w:val="auto"/>
              </w:rPr>
              <w:t>to</w:t>
            </w:r>
          </w:p>
        </w:tc>
        <w:tc>
          <w:tcPr>
            <w:tcW w:w="1000" w:type="dxa"/>
            <w:vAlign w:val="bottom"/>
          </w:tcPr>
          <w:p>
            <w:pPr>
              <w:jc w:val="right"/>
              <w:ind w:right="419"/>
              <w:spacing w:after="0"/>
              <w:rPr>
                <w:sz w:val="20"/>
                <w:szCs w:val="20"/>
                <w:color w:val="auto"/>
              </w:rPr>
            </w:pPr>
            <w:r>
              <w:rPr>
                <w:rFonts w:ascii="Arial" w:cs="Arial" w:eastAsia="Arial" w:hAnsi="Arial"/>
                <w:sz w:val="16"/>
                <w:szCs w:val="16"/>
                <w:color w:val="auto"/>
              </w:rPr>
              <w:t>2040</w:t>
            </w:r>
          </w:p>
        </w:tc>
      </w:tr>
      <w:tr>
        <w:trPr>
          <w:trHeight w:val="196"/>
        </w:trPr>
        <w:tc>
          <w:tcPr>
            <w:tcW w:w="3560" w:type="dxa"/>
            <w:vAlign w:val="bottom"/>
            <w:gridSpan w:val="2"/>
          </w:tcPr>
          <w:p>
            <w:pPr>
              <w:jc w:val="center"/>
              <w:ind w:right="1479"/>
              <w:spacing w:after="0"/>
              <w:rPr>
                <w:sz w:val="20"/>
                <w:szCs w:val="20"/>
                <w:color w:val="auto"/>
              </w:rPr>
            </w:pPr>
            <w:r>
              <w:rPr>
                <w:rFonts w:ascii="Arial" w:cs="Arial" w:eastAsia="Arial" w:hAnsi="Arial"/>
                <w:sz w:val="14"/>
                <w:szCs w:val="14"/>
                <w:color w:val="auto"/>
              </w:rPr>
              <w:t>_________________________</w:t>
            </w: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carryforward balance is reflected on the basis of apportioned tax losses to jurisdictions imposing state income taxes.</w:t>
      </w:r>
    </w:p>
    <w:p>
      <w:pPr>
        <w:spacing w:after="0" w:line="24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of December 31, 2020, we had a $1.1 million valuation allowance against the state NOL carryforwards. Our 2020 analysis of the ability to utilize such NOLs resulted in a $0.8 million increase in the valuation allowance reduced by previously reserved expiring NOL of $0.2 million, which results in an increase to tax expense of $0.8 million net of federal income tax and a decrease to the state NOL deferred tax asset of $0.2 million. The valuation allowance adjustment was primarily attributable to statutory rate reduction for years beyond 2020.</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26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following table reconciles the total amounts of unrecognized tax benefits, without interest, at the beginning and end of the period included in Other deferred credits and other liabilities on the accompanying Consolidated Balance Sheets (in thousands):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Pr>
          <w:p>
            <w:pPr>
              <w:jc w:val="right"/>
              <w:ind w:right="259"/>
              <w:spacing w:after="0"/>
              <w:rPr>
                <w:sz w:val="20"/>
                <w:szCs w:val="20"/>
                <w:color w:val="auto"/>
              </w:rPr>
            </w:pPr>
            <w:r>
              <w:rPr>
                <w:rFonts w:ascii="Arial" w:cs="Arial" w:eastAsia="Arial" w:hAnsi="Arial"/>
                <w:sz w:val="16"/>
                <w:szCs w:val="16"/>
                <w:color w:val="auto"/>
              </w:rPr>
              <w:t>Changes in Uncertain Tax</w:t>
            </w:r>
          </w:p>
        </w:tc>
      </w:tr>
      <w:tr>
        <w:trPr>
          <w:trHeight w:val="198"/>
        </w:trPr>
        <w:tc>
          <w:tcPr>
            <w:tcW w:w="8660" w:type="dxa"/>
            <w:vAlign w:val="bottom"/>
            <w:tcBorders>
              <w:bottom w:val="single" w:sz="8" w:color="CEFFE7"/>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Positions</w:t>
            </w:r>
          </w:p>
        </w:tc>
      </w:tr>
      <w:tr>
        <w:trPr>
          <w:trHeight w:val="213"/>
        </w:trPr>
        <w:tc>
          <w:tcPr>
            <w:tcW w:w="8660" w:type="dxa"/>
            <w:vAlign w:val="bottom"/>
            <w:shd w:val="clear" w:color="auto" w:fill="CEFFE7"/>
          </w:tcPr>
          <w:p>
            <w:pPr>
              <w:spacing w:after="0"/>
              <w:rPr>
                <w:sz w:val="20"/>
                <w:szCs w:val="20"/>
                <w:color w:val="auto"/>
              </w:rPr>
            </w:pPr>
            <w:r>
              <w:rPr>
                <w:rFonts w:ascii="Arial" w:cs="Arial" w:eastAsia="Arial" w:hAnsi="Arial"/>
                <w:sz w:val="16"/>
                <w:szCs w:val="16"/>
                <w:color w:val="auto"/>
              </w:rPr>
              <w:t>Beginning balance at January 1, 2018</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3,263</w:t>
            </w:r>
          </w:p>
        </w:tc>
      </w:tr>
      <w:tr>
        <w:trPr>
          <w:trHeight w:val="213"/>
        </w:trPr>
        <w:tc>
          <w:tcPr>
            <w:tcW w:w="8660" w:type="dxa"/>
            <w:vAlign w:val="bottom"/>
          </w:tcPr>
          <w:p>
            <w:pPr>
              <w:ind w:left="120"/>
              <w:spacing w:after="0"/>
              <w:rPr>
                <w:sz w:val="20"/>
                <w:szCs w:val="20"/>
                <w:color w:val="auto"/>
              </w:rPr>
            </w:pPr>
            <w:r>
              <w:rPr>
                <w:rFonts w:ascii="Arial" w:cs="Arial" w:eastAsia="Arial" w:hAnsi="Arial"/>
                <w:sz w:val="16"/>
                <w:szCs w:val="16"/>
                <w:color w:val="auto"/>
              </w:rPr>
              <w:t>Additions for prior year tax positions</w:t>
            </w:r>
          </w:p>
        </w:tc>
        <w:tc>
          <w:tcPr>
            <w:tcW w:w="2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9"/>
        </w:trPr>
        <w:tc>
          <w:tcPr>
            <w:tcW w:w="86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Reductions for prior year tax positions</w:t>
            </w:r>
          </w:p>
        </w:tc>
        <w:tc>
          <w:tcPr>
            <w:tcW w:w="220" w:type="dxa"/>
            <w:vAlign w:val="bottom"/>
            <w:shd w:val="clear" w:color="auto" w:fill="CEFFE7"/>
          </w:tcPr>
          <w:p>
            <w:pPr>
              <w:spacing w:after="0"/>
              <w:rPr>
                <w:sz w:val="19"/>
                <w:szCs w:val="19"/>
                <w:color w:val="auto"/>
              </w:rPr>
            </w:pPr>
          </w:p>
        </w:tc>
        <w:tc>
          <w:tcPr>
            <w:tcW w:w="2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(417)</w:t>
            </w:r>
          </w:p>
        </w:tc>
      </w:tr>
      <w:tr>
        <w:trPr>
          <w:trHeight w:val="213"/>
        </w:trPr>
        <w:tc>
          <w:tcPr>
            <w:tcW w:w="8660" w:type="dxa"/>
            <w:vAlign w:val="bottom"/>
          </w:tcPr>
          <w:p>
            <w:pPr>
              <w:ind w:left="120"/>
              <w:spacing w:after="0"/>
              <w:rPr>
                <w:sz w:val="20"/>
                <w:szCs w:val="20"/>
                <w:color w:val="auto"/>
              </w:rPr>
            </w:pPr>
            <w:r>
              <w:rPr>
                <w:rFonts w:ascii="Arial" w:cs="Arial" w:eastAsia="Arial" w:hAnsi="Arial"/>
                <w:sz w:val="16"/>
                <w:szCs w:val="16"/>
                <w:color w:val="auto"/>
              </w:rPr>
              <w:t>Additions for current year tax positions</w:t>
            </w:r>
          </w:p>
        </w:tc>
        <w:tc>
          <w:tcPr>
            <w:tcW w:w="2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6"/>
        </w:trPr>
        <w:tc>
          <w:tcPr>
            <w:tcW w:w="86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auto"/>
            </w:tcBorders>
            <w:shd w:val="clear" w:color="auto" w:fill="CEFFE7"/>
          </w:tcPr>
          <w:p>
            <w:pPr>
              <w:spacing w:after="0"/>
              <w:rPr>
                <w:sz w:val="18"/>
                <w:szCs w:val="18"/>
                <w:color w:val="auto"/>
              </w:rPr>
            </w:pPr>
          </w:p>
        </w:tc>
        <w:tc>
          <w:tcPr>
            <w:tcW w:w="2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660" w:type="dxa"/>
            <w:vAlign w:val="bottom"/>
          </w:tcPr>
          <w:p>
            <w:pPr>
              <w:spacing w:after="0"/>
              <w:rPr>
                <w:sz w:val="20"/>
                <w:szCs w:val="20"/>
                <w:color w:val="auto"/>
              </w:rPr>
            </w:pPr>
            <w:r>
              <w:rPr>
                <w:rFonts w:ascii="Arial" w:cs="Arial" w:eastAsia="Arial" w:hAnsi="Arial"/>
                <w:sz w:val="16"/>
                <w:szCs w:val="16"/>
                <w:color w:val="auto"/>
              </w:rPr>
              <w:t>Ending balance at December 31, 2018</w:t>
            </w:r>
          </w:p>
        </w:tc>
        <w:tc>
          <w:tcPr>
            <w:tcW w:w="2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3,583</w:t>
            </w:r>
          </w:p>
        </w:tc>
      </w:tr>
      <w:tr>
        <w:trPr>
          <w:trHeight w:val="219"/>
        </w:trPr>
        <w:tc>
          <w:tcPr>
            <w:tcW w:w="86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Additions for prior year tax positions</w:t>
            </w:r>
          </w:p>
        </w:tc>
        <w:tc>
          <w:tcPr>
            <w:tcW w:w="220" w:type="dxa"/>
            <w:vAlign w:val="bottom"/>
            <w:shd w:val="clear" w:color="auto" w:fill="CEFFE7"/>
          </w:tcPr>
          <w:p>
            <w:pPr>
              <w:spacing w:after="0"/>
              <w:rPr>
                <w:sz w:val="19"/>
                <w:szCs w:val="19"/>
                <w:color w:val="auto"/>
              </w:rPr>
            </w:pPr>
          </w:p>
        </w:tc>
        <w:tc>
          <w:tcPr>
            <w:tcW w:w="2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446</w:t>
            </w:r>
          </w:p>
        </w:tc>
      </w:tr>
      <w:tr>
        <w:trPr>
          <w:trHeight w:val="213"/>
        </w:trPr>
        <w:tc>
          <w:tcPr>
            <w:tcW w:w="8660" w:type="dxa"/>
            <w:vAlign w:val="bottom"/>
          </w:tcPr>
          <w:p>
            <w:pPr>
              <w:ind w:left="120"/>
              <w:spacing w:after="0"/>
              <w:rPr>
                <w:sz w:val="20"/>
                <w:szCs w:val="20"/>
                <w:color w:val="auto"/>
              </w:rPr>
            </w:pPr>
            <w:r>
              <w:rPr>
                <w:rFonts w:ascii="Arial" w:cs="Arial" w:eastAsia="Arial" w:hAnsi="Arial"/>
                <w:sz w:val="16"/>
                <w:szCs w:val="16"/>
                <w:color w:val="auto"/>
              </w:rPr>
              <w:t>Reductions for prior year tax positions</w:t>
            </w:r>
          </w:p>
        </w:tc>
        <w:tc>
          <w:tcPr>
            <w:tcW w:w="2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(862)</w:t>
            </w:r>
          </w:p>
        </w:tc>
      </w:tr>
      <w:tr>
        <w:trPr>
          <w:trHeight w:val="219"/>
        </w:trPr>
        <w:tc>
          <w:tcPr>
            <w:tcW w:w="86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Additions for current year tax positions</w:t>
            </w:r>
          </w:p>
        </w:tc>
        <w:tc>
          <w:tcPr>
            <w:tcW w:w="220" w:type="dxa"/>
            <w:vAlign w:val="bottom"/>
            <w:shd w:val="clear" w:color="auto" w:fill="CEFFE7"/>
          </w:tcPr>
          <w:p>
            <w:pPr>
              <w:spacing w:after="0"/>
              <w:rPr>
                <w:sz w:val="19"/>
                <w:szCs w:val="19"/>
                <w:color w:val="auto"/>
              </w:rPr>
            </w:pPr>
          </w:p>
        </w:tc>
        <w:tc>
          <w:tcPr>
            <w:tcW w:w="2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998</w:t>
            </w:r>
          </w:p>
        </w:tc>
      </w:tr>
      <w:tr>
        <w:trPr>
          <w:trHeight w:val="213"/>
        </w:trPr>
        <w:tc>
          <w:tcPr>
            <w:tcW w:w="866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660" w:type="dxa"/>
            <w:vAlign w:val="bottom"/>
            <w:shd w:val="clear" w:color="auto" w:fill="CEFFE7"/>
          </w:tcPr>
          <w:p>
            <w:pPr>
              <w:spacing w:after="0"/>
              <w:rPr>
                <w:sz w:val="20"/>
                <w:szCs w:val="20"/>
                <w:color w:val="auto"/>
              </w:rPr>
            </w:pPr>
            <w:r>
              <w:rPr>
                <w:rFonts w:ascii="Arial" w:cs="Arial" w:eastAsia="Arial" w:hAnsi="Arial"/>
                <w:sz w:val="16"/>
                <w:szCs w:val="16"/>
                <w:color w:val="auto"/>
              </w:rPr>
              <w:t>Ending balance at December 31, 2019</w:t>
            </w:r>
          </w:p>
        </w:tc>
        <w:tc>
          <w:tcPr>
            <w:tcW w:w="220" w:type="dxa"/>
            <w:vAlign w:val="bottom"/>
            <w:shd w:val="clear" w:color="auto" w:fill="CEFFE7"/>
          </w:tcPr>
          <w:p>
            <w:pPr>
              <w:spacing w:after="0"/>
              <w:rPr>
                <w:sz w:val="18"/>
                <w:szCs w:val="18"/>
                <w:color w:val="auto"/>
              </w:rPr>
            </w:pPr>
          </w:p>
        </w:tc>
        <w:tc>
          <w:tcPr>
            <w:tcW w:w="2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4,165</w:t>
            </w:r>
          </w:p>
        </w:tc>
      </w:tr>
      <w:tr>
        <w:trPr>
          <w:trHeight w:val="213"/>
        </w:trPr>
        <w:tc>
          <w:tcPr>
            <w:tcW w:w="8660" w:type="dxa"/>
            <w:vAlign w:val="bottom"/>
          </w:tcPr>
          <w:p>
            <w:pPr>
              <w:ind w:left="120"/>
              <w:spacing w:after="0"/>
              <w:rPr>
                <w:sz w:val="20"/>
                <w:szCs w:val="20"/>
                <w:color w:val="auto"/>
              </w:rPr>
            </w:pPr>
            <w:r>
              <w:rPr>
                <w:rFonts w:ascii="Arial" w:cs="Arial" w:eastAsia="Arial" w:hAnsi="Arial"/>
                <w:sz w:val="16"/>
                <w:szCs w:val="16"/>
                <w:color w:val="auto"/>
              </w:rPr>
              <w:t>Additions for prior year tax positions</w:t>
            </w:r>
          </w:p>
        </w:tc>
        <w:tc>
          <w:tcPr>
            <w:tcW w:w="2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3,788</w:t>
            </w:r>
          </w:p>
        </w:tc>
      </w:tr>
      <w:tr>
        <w:trPr>
          <w:trHeight w:val="219"/>
        </w:trPr>
        <w:tc>
          <w:tcPr>
            <w:tcW w:w="86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Reductions for prior year tax positions</w:t>
            </w:r>
          </w:p>
        </w:tc>
        <w:tc>
          <w:tcPr>
            <w:tcW w:w="220" w:type="dxa"/>
            <w:vAlign w:val="bottom"/>
            <w:shd w:val="clear" w:color="auto" w:fill="CEFFE7"/>
          </w:tcPr>
          <w:p>
            <w:pPr>
              <w:spacing w:after="0"/>
              <w:rPr>
                <w:sz w:val="19"/>
                <w:szCs w:val="19"/>
                <w:color w:val="auto"/>
              </w:rPr>
            </w:pPr>
          </w:p>
        </w:tc>
        <w:tc>
          <w:tcPr>
            <w:tcW w:w="2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(1,313)</w:t>
            </w:r>
          </w:p>
        </w:tc>
      </w:tr>
      <w:tr>
        <w:trPr>
          <w:trHeight w:val="213"/>
        </w:trPr>
        <w:tc>
          <w:tcPr>
            <w:tcW w:w="8660" w:type="dxa"/>
            <w:vAlign w:val="bottom"/>
          </w:tcPr>
          <w:p>
            <w:pPr>
              <w:ind w:left="120"/>
              <w:spacing w:after="0"/>
              <w:rPr>
                <w:sz w:val="20"/>
                <w:szCs w:val="20"/>
                <w:color w:val="auto"/>
              </w:rPr>
            </w:pPr>
            <w:r>
              <w:rPr>
                <w:rFonts w:ascii="Arial" w:cs="Arial" w:eastAsia="Arial" w:hAnsi="Arial"/>
                <w:sz w:val="16"/>
                <w:szCs w:val="16"/>
                <w:color w:val="auto"/>
              </w:rPr>
              <w:t>Additions for current year tax positions</w:t>
            </w:r>
          </w:p>
        </w:tc>
        <w:tc>
          <w:tcPr>
            <w:tcW w:w="2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1,743</w:t>
            </w:r>
          </w:p>
        </w:tc>
      </w:tr>
      <w:tr>
        <w:trPr>
          <w:trHeight w:val="216"/>
        </w:trPr>
        <w:tc>
          <w:tcPr>
            <w:tcW w:w="866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auto"/>
            </w:tcBorders>
            <w:shd w:val="clear" w:color="auto" w:fill="CEFFE7"/>
          </w:tcPr>
          <w:p>
            <w:pPr>
              <w:spacing w:after="0"/>
              <w:rPr>
                <w:sz w:val="18"/>
                <w:szCs w:val="18"/>
                <w:color w:val="auto"/>
              </w:rPr>
            </w:pPr>
          </w:p>
        </w:tc>
        <w:tc>
          <w:tcPr>
            <w:tcW w:w="2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660" w:type="dxa"/>
            <w:vAlign w:val="bottom"/>
          </w:tcPr>
          <w:p>
            <w:pPr>
              <w:spacing w:after="0"/>
              <w:rPr>
                <w:sz w:val="20"/>
                <w:szCs w:val="20"/>
                <w:color w:val="auto"/>
              </w:rPr>
            </w:pPr>
            <w:r>
              <w:rPr>
                <w:rFonts w:ascii="Arial" w:cs="Arial" w:eastAsia="Arial" w:hAnsi="Arial"/>
                <w:sz w:val="16"/>
                <w:szCs w:val="16"/>
                <w:color w:val="auto"/>
              </w:rPr>
              <w:t>Ending balance at December 31, 2020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8,383</w:t>
            </w:r>
          </w:p>
        </w:tc>
      </w:tr>
      <w:tr>
        <w:trPr>
          <w:trHeight w:val="21"/>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unrecognized tax benefits that, if recognized, would impact the effective tax rate is approximately $4.3 million.</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recognized no interest expense associated with income taxes for the years ended December 31, 2020, December 31, 2019 and December 31, 2018. We had no accrued interest (before tax effect) associated with income taxes at December 31, 2020 and December 31, 2019.</w:t>
      </w: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Company is subject to federal income tax as well as income tax in various state and local jurisdictions. Black Hills Gas, Inc. and subsidiaries, which filed a separate consolidated tax return from BHC and subsidiaries through March 31, 2018, is under examination by the IRS for 2014. BHC is no longer subject to examination for tax years prior to 2017.</w:t>
      </w:r>
    </w:p>
    <w:p>
      <w:pPr>
        <w:spacing w:after="0" w:line="228"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As of December 31, 2020, we do not have any tax positions for which it is reasonably possible that the total amount of unrecognized tax benefits will significantly increase or decrease on or before December 31, 2021.</w:t>
      </w:r>
    </w:p>
    <w:p>
      <w:pPr>
        <w:spacing w:after="0" w:line="222"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State tax credits have been generated and are available to offset future state income taxes. At December 31, 2020, we had the following state tax credit carryforwards (in thousands):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600" w:type="dxa"/>
            <w:vAlign w:val="bottom"/>
            <w:tcBorders>
              <w:bottom w:val="single" w:sz="8" w:color="auto"/>
            </w:tcBorders>
            <w:gridSpan w:val="2"/>
          </w:tcPr>
          <w:p>
            <w:pPr>
              <w:ind w:left="1760"/>
              <w:spacing w:after="0"/>
              <w:rPr>
                <w:sz w:val="20"/>
                <w:szCs w:val="20"/>
                <w:color w:val="auto"/>
              </w:rPr>
            </w:pPr>
            <w:r>
              <w:rPr>
                <w:rFonts w:ascii="Arial" w:cs="Arial" w:eastAsia="Arial" w:hAnsi="Arial"/>
                <w:sz w:val="16"/>
                <w:szCs w:val="16"/>
                <w:color w:val="auto"/>
              </w:rPr>
              <w:t>State Tax Credit Carryforwards</w:t>
            </w:r>
          </w:p>
        </w:tc>
        <w:tc>
          <w:tcPr>
            <w:tcW w:w="20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3"/>
          </w:tcPr>
          <w:p>
            <w:pPr>
              <w:jc w:val="center"/>
              <w:ind w:right="839"/>
              <w:spacing w:after="0"/>
              <w:rPr>
                <w:sz w:val="20"/>
                <w:szCs w:val="20"/>
                <w:color w:val="auto"/>
              </w:rPr>
            </w:pPr>
            <w:r>
              <w:rPr>
                <w:rFonts w:ascii="Arial" w:cs="Arial" w:eastAsia="Arial" w:hAnsi="Arial"/>
                <w:sz w:val="16"/>
                <w:szCs w:val="16"/>
                <w:color w:val="auto"/>
              </w:rPr>
              <w:t>Expiration Year</w:t>
            </w:r>
          </w:p>
        </w:tc>
      </w:tr>
      <w:tr>
        <w:trPr>
          <w:trHeight w:val="213"/>
        </w:trPr>
        <w:tc>
          <w:tcPr>
            <w:tcW w:w="2940" w:type="dxa"/>
            <w:vAlign w:val="bottom"/>
            <w:shd w:val="clear" w:color="auto" w:fill="CEFFE7"/>
          </w:tcPr>
          <w:p>
            <w:pPr>
              <w:spacing w:after="0"/>
              <w:rPr>
                <w:sz w:val="20"/>
                <w:szCs w:val="20"/>
                <w:color w:val="auto"/>
              </w:rPr>
            </w:pPr>
            <w:r>
              <w:rPr>
                <w:rFonts w:ascii="Arial" w:cs="Arial" w:eastAsia="Arial" w:hAnsi="Arial"/>
                <w:sz w:val="16"/>
                <w:szCs w:val="16"/>
                <w:color w:val="auto"/>
              </w:rPr>
              <w:t>ITC</w:t>
            </w:r>
          </w:p>
        </w:tc>
        <w:tc>
          <w:tcPr>
            <w:tcW w:w="166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EFFE7"/>
          </w:tcPr>
          <w:p>
            <w:pPr>
              <w:jc w:val="right"/>
              <w:ind w:right="919"/>
              <w:spacing w:after="0"/>
              <w:rPr>
                <w:sz w:val="20"/>
                <w:szCs w:val="20"/>
                <w:color w:val="auto"/>
              </w:rPr>
            </w:pPr>
            <w:r>
              <w:rPr>
                <w:rFonts w:ascii="Arial" w:cs="Arial" w:eastAsia="Arial" w:hAnsi="Arial"/>
                <w:sz w:val="16"/>
                <w:szCs w:val="16"/>
                <w:color w:val="auto"/>
              </w:rPr>
              <w:t>23,060</w:t>
            </w:r>
          </w:p>
        </w:tc>
        <w:tc>
          <w:tcPr>
            <w:tcW w:w="154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2023</w:t>
            </w:r>
          </w:p>
        </w:tc>
        <w:tc>
          <w:tcPr>
            <w:tcW w:w="4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to</w:t>
            </w:r>
          </w:p>
        </w:tc>
        <w:tc>
          <w:tcPr>
            <w:tcW w:w="2480" w:type="dxa"/>
            <w:vAlign w:val="bottom"/>
            <w:shd w:val="clear" w:color="auto" w:fill="CEFFE7"/>
          </w:tcPr>
          <w:p>
            <w:pPr>
              <w:jc w:val="right"/>
              <w:ind w:right="1859"/>
              <w:spacing w:after="0"/>
              <w:rPr>
                <w:sz w:val="20"/>
                <w:szCs w:val="20"/>
                <w:color w:val="auto"/>
              </w:rPr>
            </w:pPr>
            <w:r>
              <w:rPr>
                <w:rFonts w:ascii="Arial" w:cs="Arial" w:eastAsia="Arial" w:hAnsi="Arial"/>
                <w:sz w:val="16"/>
                <w:szCs w:val="16"/>
                <w:color w:val="auto"/>
              </w:rPr>
              <w:t>2041</w:t>
            </w:r>
          </w:p>
        </w:tc>
      </w:tr>
      <w:tr>
        <w:trPr>
          <w:trHeight w:val="210"/>
        </w:trPr>
        <w:tc>
          <w:tcPr>
            <w:tcW w:w="29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6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919"/>
              <w:spacing w:after="0"/>
              <w:rPr>
                <w:sz w:val="20"/>
                <w:szCs w:val="20"/>
                <w:color w:val="auto"/>
              </w:rPr>
            </w:pPr>
            <w:r>
              <w:rPr>
                <w:rFonts w:ascii="Arial" w:cs="Arial" w:eastAsia="Arial" w:hAnsi="Arial"/>
                <w:sz w:val="16"/>
                <w:szCs w:val="16"/>
                <w:color w:val="auto"/>
              </w:rPr>
              <w:t>278</w:t>
            </w:r>
          </w:p>
        </w:tc>
        <w:tc>
          <w:tcPr>
            <w:tcW w:w="4500" w:type="dxa"/>
            <w:vAlign w:val="bottom"/>
            <w:gridSpan w:val="3"/>
          </w:tcPr>
          <w:p>
            <w:pPr>
              <w:jc w:val="center"/>
              <w:ind w:right="859"/>
              <w:spacing w:after="0"/>
              <w:rPr>
                <w:sz w:val="20"/>
                <w:szCs w:val="20"/>
                <w:color w:val="auto"/>
              </w:rPr>
            </w:pPr>
            <w:r>
              <w:rPr>
                <w:rFonts w:ascii="Arial" w:cs="Arial" w:eastAsia="Arial" w:hAnsi="Arial"/>
                <w:sz w:val="16"/>
                <w:szCs w:val="16"/>
                <w:color w:val="auto"/>
              </w:rPr>
              <w:t>No expiration</w:t>
            </w:r>
          </w:p>
        </w:tc>
      </w:tr>
    </w:tbl>
    <w:p>
      <w:pPr>
        <w:spacing w:after="0" w:line="34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December 31, 2020, we had a $12.8 million valuation allowance against the state ITC carryforwards. Our 2020 analysis of the ability to utilize such ITC resulted in a $1.3 million increase in the valuation allowance, which resulted in an increase to tax expense of $1.3 million. The valuation allowance adjustment was primarily attributable to changes in forecasted future state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80" w:hanging="472"/>
        <w:spacing w:after="0"/>
        <w:tabs>
          <w:tab w:leader="none" w:pos="48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222"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Accounting standards for presentation of segments require an approach based on the way we organize the segments for making operating decisions and how the Chief Operating Decision Maker (CODM) assesses performance. The CODM assesses the performance of our segments using adjusted operating income, which recognizes intersegment revenues, costs, and assets for Colorado Electric’s PPA with Black Hills Colorado IPP on an accrual basis rather than as a finance lease. This presentation of segment information does not impact consolidated financial results.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gridSpan w:val="2"/>
          </w:tcPr>
          <w:p>
            <w:pPr>
              <w:spacing w:after="0"/>
              <w:rPr>
                <w:sz w:val="20"/>
                <w:szCs w:val="20"/>
                <w:color w:val="auto"/>
              </w:rPr>
            </w:pPr>
            <w:r>
              <w:rPr>
                <w:rFonts w:ascii="Arial" w:cs="Arial" w:eastAsia="Arial" w:hAnsi="Arial"/>
                <w:sz w:val="16"/>
                <w:szCs w:val="16"/>
                <w:color w:val="auto"/>
              </w:rPr>
              <w:t>Segment information was as follows (in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8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Assets (net of intercompany eliminations) as of December 31,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shd w:val="clear" w:color="auto" w:fill="CEFFE7"/>
          </w:tcPr>
          <w:p>
            <w:pPr>
              <w:spacing w:after="0"/>
              <w:rPr>
                <w:sz w:val="18"/>
                <w:szCs w:val="18"/>
                <w:color w:val="auto"/>
              </w:rPr>
            </w:pPr>
          </w:p>
        </w:tc>
        <w:tc>
          <w:tcPr>
            <w:tcW w:w="80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Electric Utilities</w:t>
            </w:r>
          </w:p>
        </w:tc>
        <w:tc>
          <w:tcPr>
            <w:tcW w:w="360" w:type="dxa"/>
            <w:vAlign w:val="bottom"/>
            <w:gridSpan w:val="2"/>
            <w:shd w:val="clear" w:color="auto" w:fill="CEFFE7"/>
          </w:tcPr>
          <w:p>
            <w:pPr>
              <w:jc w:val="right"/>
              <w:ind w:right="2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3,120,928</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2,900,983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80" w:type="dxa"/>
            <w:vAlign w:val="bottom"/>
          </w:tcPr>
          <w:p>
            <w:pPr>
              <w:ind w:left="100"/>
              <w:spacing w:after="0"/>
              <w:rPr>
                <w:sz w:val="20"/>
                <w:szCs w:val="20"/>
                <w:color w:val="auto"/>
              </w:rPr>
            </w:pPr>
            <w:r>
              <w:rPr>
                <w:rFonts w:ascii="Arial" w:cs="Arial" w:eastAsia="Arial" w:hAnsi="Arial"/>
                <w:sz w:val="16"/>
                <w:szCs w:val="16"/>
                <w:color w:val="auto"/>
              </w:rPr>
              <w:t>Gas Utilities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4,376,204</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4,032,339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EFFE7"/>
          </w:tcPr>
          <w:p>
            <w:pPr>
              <w:spacing w:after="0"/>
              <w:rPr>
                <w:sz w:val="19"/>
                <w:szCs w:val="19"/>
                <w:color w:val="auto"/>
              </w:rPr>
            </w:pPr>
          </w:p>
        </w:tc>
        <w:tc>
          <w:tcPr>
            <w:tcW w:w="80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Power Generation</w:t>
            </w:r>
          </w:p>
        </w:tc>
        <w:tc>
          <w:tcPr>
            <w:tcW w:w="2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404,220</w:t>
            </w:r>
          </w:p>
        </w:tc>
        <w:tc>
          <w:tcPr>
            <w:tcW w:w="38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417,715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80" w:type="dxa"/>
            <w:vAlign w:val="bottom"/>
          </w:tcPr>
          <w:p>
            <w:pPr>
              <w:ind w:left="100"/>
              <w:spacing w:after="0"/>
              <w:rPr>
                <w:sz w:val="20"/>
                <w:szCs w:val="20"/>
                <w:color w:val="auto"/>
              </w:rPr>
            </w:pPr>
            <w:r>
              <w:rPr>
                <w:rFonts w:ascii="Arial" w:cs="Arial" w:eastAsia="Arial" w:hAnsi="Arial"/>
                <w:sz w:val="16"/>
                <w:szCs w:val="16"/>
                <w:color w:val="auto"/>
              </w:rPr>
              <w:t>Mining</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77,085</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EFFE7"/>
          </w:tcPr>
          <w:p>
            <w:pPr>
              <w:spacing w:after="0"/>
              <w:rPr>
                <w:sz w:val="18"/>
                <w:szCs w:val="18"/>
                <w:color w:val="auto"/>
              </w:rPr>
            </w:pPr>
          </w:p>
        </w:tc>
        <w:tc>
          <w:tcPr>
            <w:tcW w:w="80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Corporate and Other</w:t>
            </w:r>
          </w:p>
        </w:tc>
        <w:tc>
          <w:tcPr>
            <w:tcW w:w="20" w:type="dxa"/>
            <w:vAlign w:val="bottom"/>
            <w:tcBorders>
              <w:bottom w:val="single" w:sz="8" w:color="auto"/>
            </w:tcBorders>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110,349</w:t>
            </w:r>
          </w:p>
        </w:tc>
        <w:tc>
          <w:tcPr>
            <w:tcW w:w="38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130,245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8,088,786</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for the years ended December 31,</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 w:type="dxa"/>
            <w:vAlign w:val="bottom"/>
          </w:tcPr>
          <w:p>
            <w:pPr>
              <w:spacing w:after="0"/>
              <w:rPr>
                <w:sz w:val="24"/>
                <w:szCs w:val="24"/>
                <w:color w:val="auto"/>
              </w:rPr>
            </w:pPr>
          </w:p>
        </w:tc>
        <w:tc>
          <w:tcPr>
            <w:tcW w:w="80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80" w:type="dxa"/>
            <w:vAlign w:val="bottom"/>
            <w:shd w:val="clear" w:color="auto" w:fill="CEFEE7"/>
          </w:tcPr>
          <w:p>
            <w:pPr>
              <w:ind w:left="120"/>
              <w:spacing w:after="0"/>
              <w:rPr>
                <w:sz w:val="20"/>
                <w:szCs w:val="20"/>
                <w:color w:val="auto"/>
              </w:rPr>
            </w:pPr>
            <w:r>
              <w:rPr>
                <w:rFonts w:ascii="Arial" w:cs="Arial" w:eastAsia="Arial" w:hAnsi="Arial"/>
                <w:sz w:val="16"/>
                <w:szCs w:val="16"/>
                <w:color w:val="auto"/>
              </w:rPr>
              <w:t>Electric Utilities</w:t>
            </w:r>
          </w:p>
        </w:tc>
        <w:tc>
          <w:tcPr>
            <w:tcW w:w="360" w:type="dxa"/>
            <w:vAlign w:val="bottom"/>
            <w:gridSpan w:val="2"/>
            <w:shd w:val="clear" w:color="auto" w:fill="CEFEE7"/>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271,104</w:t>
            </w:r>
          </w:p>
        </w:tc>
        <w:tc>
          <w:tcPr>
            <w:tcW w:w="380" w:type="dxa"/>
            <w:vAlign w:val="bottom"/>
            <w:shd w:val="clear" w:color="auto" w:fill="CEFEE7"/>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222,911</w:t>
            </w:r>
          </w:p>
        </w:tc>
        <w:tc>
          <w:tcPr>
            <w:tcW w:w="20" w:type="dxa"/>
            <w:vAlign w:val="bottom"/>
            <w:shd w:val="clear" w:color="auto" w:fill="CEFE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80" w:type="dxa"/>
            <w:vAlign w:val="bottom"/>
          </w:tcPr>
          <w:p>
            <w:pPr>
              <w:ind w:left="120"/>
              <w:spacing w:after="0"/>
              <w:rPr>
                <w:sz w:val="20"/>
                <w:szCs w:val="20"/>
                <w:color w:val="auto"/>
              </w:rPr>
            </w:pPr>
            <w:r>
              <w:rPr>
                <w:rFonts w:ascii="Arial" w:cs="Arial" w:eastAsia="Arial" w:hAnsi="Arial"/>
                <w:sz w:val="16"/>
                <w:szCs w:val="16"/>
                <w:color w:val="auto"/>
              </w:rPr>
              <w:t>Gas Utilities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449,209</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shd w:val="clear" w:color="auto" w:fill="CEFEE7"/>
          </w:tcPr>
          <w:p>
            <w:pPr>
              <w:ind w:left="120"/>
              <w:spacing w:after="0"/>
              <w:rPr>
                <w:sz w:val="20"/>
                <w:szCs w:val="20"/>
                <w:color w:val="auto"/>
              </w:rPr>
            </w:pPr>
            <w:r>
              <w:rPr>
                <w:rFonts w:ascii="Arial" w:cs="Arial" w:eastAsia="Arial" w:hAnsi="Arial"/>
                <w:sz w:val="16"/>
                <w:szCs w:val="16"/>
                <w:color w:val="auto"/>
              </w:rPr>
              <w:t>Power Generation</w:t>
            </w:r>
          </w:p>
        </w:tc>
        <w:tc>
          <w:tcPr>
            <w:tcW w:w="20" w:type="dxa"/>
            <w:vAlign w:val="bottom"/>
            <w:shd w:val="clear" w:color="auto" w:fill="CEFEE7"/>
          </w:tcPr>
          <w:p>
            <w:pPr>
              <w:spacing w:after="0"/>
              <w:rPr>
                <w:sz w:val="19"/>
                <w:szCs w:val="19"/>
                <w:color w:val="auto"/>
              </w:rPr>
            </w:pPr>
          </w:p>
        </w:tc>
        <w:tc>
          <w:tcPr>
            <w:tcW w:w="340" w:type="dxa"/>
            <w:vAlign w:val="bottom"/>
            <w:shd w:val="clear" w:color="auto" w:fill="CEFEE7"/>
          </w:tcPr>
          <w:p>
            <w:pPr>
              <w:spacing w:after="0"/>
              <w:rPr>
                <w:sz w:val="19"/>
                <w:szCs w:val="19"/>
                <w:color w:val="auto"/>
              </w:rPr>
            </w:pPr>
          </w:p>
        </w:tc>
        <w:tc>
          <w:tcPr>
            <w:tcW w:w="1160" w:type="dxa"/>
            <w:vAlign w:val="bottom"/>
            <w:shd w:val="clear" w:color="auto" w:fill="CEFEE7"/>
          </w:tcPr>
          <w:p>
            <w:pPr>
              <w:jc w:val="right"/>
              <w:spacing w:after="0"/>
              <w:rPr>
                <w:sz w:val="20"/>
                <w:szCs w:val="20"/>
                <w:color w:val="auto"/>
              </w:rPr>
            </w:pPr>
            <w:r>
              <w:rPr>
                <w:rFonts w:ascii="Arial" w:cs="Arial" w:eastAsia="Arial" w:hAnsi="Arial"/>
                <w:sz w:val="16"/>
                <w:szCs w:val="16"/>
                <w:color w:val="auto"/>
              </w:rPr>
              <w:t>9,329</w:t>
            </w:r>
          </w:p>
        </w:tc>
        <w:tc>
          <w:tcPr>
            <w:tcW w:w="380" w:type="dxa"/>
            <w:vAlign w:val="bottom"/>
            <w:shd w:val="clear" w:color="auto" w:fill="CEFEE7"/>
          </w:tcPr>
          <w:p>
            <w:pPr>
              <w:spacing w:after="0"/>
              <w:rPr>
                <w:sz w:val="19"/>
                <w:szCs w:val="19"/>
                <w:color w:val="auto"/>
              </w:rPr>
            </w:pPr>
          </w:p>
        </w:tc>
        <w:tc>
          <w:tcPr>
            <w:tcW w:w="1180" w:type="dxa"/>
            <w:vAlign w:val="bottom"/>
            <w:shd w:val="clear" w:color="auto" w:fill="CEFEE7"/>
          </w:tcPr>
          <w:p>
            <w:pPr>
              <w:jc w:val="right"/>
              <w:spacing w:after="0"/>
              <w:rPr>
                <w:sz w:val="20"/>
                <w:szCs w:val="20"/>
                <w:color w:val="auto"/>
              </w:rPr>
            </w:pPr>
            <w:r>
              <w:rPr>
                <w:rFonts w:ascii="Arial" w:cs="Arial" w:eastAsia="Arial" w:hAnsi="Arial"/>
                <w:sz w:val="16"/>
                <w:szCs w:val="16"/>
                <w:color w:val="auto"/>
              </w:rPr>
              <w:t>85,346</w:t>
            </w:r>
          </w:p>
        </w:tc>
        <w:tc>
          <w:tcPr>
            <w:tcW w:w="20" w:type="dxa"/>
            <w:vAlign w:val="bottom"/>
            <w:shd w:val="clear" w:color="auto" w:fill="CEFE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80" w:type="dxa"/>
            <w:vAlign w:val="bottom"/>
          </w:tcPr>
          <w:p>
            <w:pPr>
              <w:ind w:left="120"/>
              <w:spacing w:after="0"/>
              <w:rPr>
                <w:sz w:val="20"/>
                <w:szCs w:val="20"/>
                <w:color w:val="auto"/>
              </w:rPr>
            </w:pPr>
            <w:r>
              <w:rPr>
                <w:rFonts w:ascii="Arial" w:cs="Arial" w:eastAsia="Arial" w:hAnsi="Arial"/>
                <w:sz w:val="16"/>
                <w:szCs w:val="16"/>
                <w:color w:val="auto"/>
              </w:rPr>
              <w:t>Mining</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8,250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80" w:type="dxa"/>
            <w:vAlign w:val="bottom"/>
            <w:shd w:val="clear" w:color="auto" w:fill="CEFEE7"/>
          </w:tcPr>
          <w:p>
            <w:pPr>
              <w:ind w:left="120"/>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EFEE7"/>
          </w:tcPr>
          <w:p>
            <w:pPr>
              <w:spacing w:after="0"/>
              <w:rPr>
                <w:sz w:val="18"/>
                <w:szCs w:val="18"/>
                <w:color w:val="auto"/>
              </w:rPr>
            </w:pPr>
          </w:p>
        </w:tc>
        <w:tc>
          <w:tcPr>
            <w:tcW w:w="340" w:type="dxa"/>
            <w:vAlign w:val="bottom"/>
            <w:tcBorders>
              <w:bottom w:val="single" w:sz="8" w:color="auto"/>
            </w:tcBorders>
            <w:shd w:val="clear" w:color="auto" w:fill="CEFEE7"/>
          </w:tcPr>
          <w:p>
            <w:pPr>
              <w:spacing w:after="0"/>
              <w:rPr>
                <w:sz w:val="18"/>
                <w:szCs w:val="18"/>
                <w:color w:val="auto"/>
              </w:rPr>
            </w:pPr>
          </w:p>
        </w:tc>
        <w:tc>
          <w:tcPr>
            <w:tcW w:w="116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17,500</w:t>
            </w:r>
          </w:p>
        </w:tc>
        <w:tc>
          <w:tcPr>
            <w:tcW w:w="380" w:type="dxa"/>
            <w:vAlign w:val="bottom"/>
            <w:tcBorders>
              <w:bottom w:val="single" w:sz="8" w:color="auto"/>
            </w:tcBorders>
            <w:shd w:val="clear" w:color="auto" w:fill="CEFEE7"/>
          </w:tcPr>
          <w:p>
            <w:pPr>
              <w:spacing w:after="0"/>
              <w:rPr>
                <w:sz w:val="18"/>
                <w:szCs w:val="18"/>
                <w:color w:val="auto"/>
              </w:rPr>
            </w:pPr>
          </w:p>
        </w:tc>
        <w:tc>
          <w:tcPr>
            <w:tcW w:w="118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20,702</w:t>
            </w:r>
          </w:p>
        </w:tc>
        <w:tc>
          <w:tcPr>
            <w:tcW w:w="20" w:type="dxa"/>
            <w:vAlign w:val="bottom"/>
            <w:tcBorders>
              <w:bottom w:val="single" w:sz="8" w:color="auto"/>
            </w:tcBorders>
            <w:shd w:val="clear" w:color="auto" w:fill="CEFEE7"/>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6"/>
                <w:szCs w:val="16"/>
                <w:color w:val="auto"/>
              </w:rPr>
              <w:t>Total capital expenditures</w:t>
            </w: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755,392</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849,755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the Supplemental Cash Flow Information to the </w:t>
      </w:r>
      <w:hyperlink w:anchor="page69">
        <w:r>
          <w:rPr>
            <w:rFonts w:ascii="Arial" w:cs="Arial" w:eastAsia="Arial" w:hAnsi="Arial"/>
            <w:sz w:val="14"/>
            <w:szCs w:val="14"/>
            <w:u w:val="single" w:color="auto"/>
            <w:color w:val="0000FF"/>
          </w:rPr>
          <w:t>Consolidated Statement of Cash Flows</w:t>
        </w:r>
      </w:hyperlink>
      <w:r>
        <w:rPr>
          <w:rFonts w:ascii="Arial" w:cs="Arial" w:eastAsia="Arial" w:hAnsi="Arial"/>
          <w:sz w:val="14"/>
          <w:szCs w:val="14"/>
          <w:color w:val="auto"/>
        </w:rPr>
        <w:t>.</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8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Plant and Equipment as of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r>
      <w:tr>
        <w:trPr>
          <w:trHeight w:val="213"/>
        </w:trPr>
        <w:tc>
          <w:tcPr>
            <w:tcW w:w="81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Electric Utilities</w:t>
            </w:r>
          </w:p>
        </w:tc>
        <w:tc>
          <w:tcPr>
            <w:tcW w:w="36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3,248,480</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3,059,135</w:t>
            </w:r>
          </w:p>
        </w:tc>
      </w:tr>
      <w:tr>
        <w:trPr>
          <w:trHeight w:val="213"/>
        </w:trPr>
        <w:tc>
          <w:tcPr>
            <w:tcW w:w="8100" w:type="dxa"/>
            <w:vAlign w:val="bottom"/>
          </w:tcPr>
          <w:p>
            <w:pPr>
              <w:ind w:left="120"/>
              <w:spacing w:after="0"/>
              <w:rPr>
                <w:sz w:val="20"/>
                <w:szCs w:val="20"/>
                <w:color w:val="auto"/>
              </w:rPr>
            </w:pPr>
            <w:r>
              <w:rPr>
                <w:rFonts w:ascii="Arial" w:cs="Arial" w:eastAsia="Arial" w:hAnsi="Arial"/>
                <w:sz w:val="16"/>
                <w:szCs w:val="16"/>
                <w:color w:val="auto"/>
              </w:rPr>
              <w:t>Gas Utilities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3,312,613</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2,981,498</w:t>
            </w:r>
          </w:p>
        </w:tc>
      </w:tr>
      <w:tr>
        <w:trPr>
          <w:trHeight w:val="219"/>
        </w:trPr>
        <w:tc>
          <w:tcPr>
            <w:tcW w:w="81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Power Generation</w:t>
            </w:r>
          </w:p>
        </w:tc>
        <w:tc>
          <w:tcPr>
            <w:tcW w:w="36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534,803</w:t>
            </w:r>
          </w:p>
        </w:tc>
        <w:tc>
          <w:tcPr>
            <w:tcW w:w="36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534,518</w:t>
            </w:r>
          </w:p>
        </w:tc>
      </w:tr>
      <w:tr>
        <w:trPr>
          <w:trHeight w:val="213"/>
        </w:trPr>
        <w:tc>
          <w:tcPr>
            <w:tcW w:w="8100" w:type="dxa"/>
            <w:vAlign w:val="bottom"/>
          </w:tcPr>
          <w:p>
            <w:pPr>
              <w:ind w:left="120"/>
              <w:spacing w:after="0"/>
              <w:rPr>
                <w:sz w:val="20"/>
                <w:szCs w:val="20"/>
                <w:color w:val="auto"/>
              </w:rPr>
            </w:pPr>
            <w:r>
              <w:rPr>
                <w:rFonts w:ascii="Arial" w:cs="Arial" w:eastAsia="Arial" w:hAnsi="Arial"/>
                <w:sz w:val="16"/>
                <w:szCs w:val="16"/>
                <w:color w:val="auto"/>
              </w:rPr>
              <w:t>Mining</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187,540</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180,473</w:t>
            </w:r>
          </w:p>
        </w:tc>
      </w:tr>
      <w:tr>
        <w:trPr>
          <w:trHeight w:val="216"/>
        </w:trPr>
        <w:tc>
          <w:tcPr>
            <w:tcW w:w="81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Corporate and Other</w:t>
            </w:r>
          </w:p>
        </w:tc>
        <w:tc>
          <w:tcPr>
            <w:tcW w:w="36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22,094</w:t>
            </w:r>
          </w:p>
        </w:tc>
        <w:tc>
          <w:tcPr>
            <w:tcW w:w="36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29,055</w:t>
            </w: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Total property, plant and equipment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7,305,530</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6,784,679</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Consolidating Income Statement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96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2020</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color w:val="auto"/>
              </w:rPr>
              <w:t>Electric Utilities</w:t>
            </w:r>
          </w:p>
        </w:tc>
        <w:tc>
          <w:tcPr>
            <w:tcW w:w="12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Gas Utilities</w:t>
            </w:r>
          </w:p>
        </w:tc>
        <w:tc>
          <w:tcPr>
            <w:tcW w:w="140" w:type="dxa"/>
            <w:vAlign w:val="bottom"/>
          </w:tcPr>
          <w:p>
            <w:pPr>
              <w:spacing w:after="0"/>
              <w:rPr>
                <w:sz w:val="12"/>
                <w:szCs w:val="12"/>
                <w:color w:val="auto"/>
              </w:rPr>
            </w:pPr>
          </w:p>
        </w:tc>
        <w:tc>
          <w:tcPr>
            <w:tcW w:w="880" w:type="dxa"/>
            <w:vAlign w:val="bottom"/>
          </w:tcPr>
          <w:p>
            <w:pPr>
              <w:jc w:val="right"/>
              <w:ind w:right="208"/>
              <w:spacing w:after="0" w:line="147" w:lineRule="exact"/>
              <w:rPr>
                <w:sz w:val="20"/>
                <w:szCs w:val="20"/>
                <w:color w:val="auto"/>
              </w:rPr>
            </w:pPr>
            <w:r>
              <w:rPr>
                <w:rFonts w:ascii="Arial" w:cs="Arial" w:eastAsia="Arial" w:hAnsi="Arial"/>
                <w:sz w:val="14"/>
                <w:szCs w:val="14"/>
                <w:color w:val="auto"/>
              </w:rPr>
              <w:t>Power</w:t>
            </w:r>
          </w:p>
        </w:tc>
        <w:tc>
          <w:tcPr>
            <w:tcW w:w="22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color w:val="auto"/>
              </w:rPr>
              <w:t>Mining</w:t>
            </w:r>
          </w:p>
        </w:tc>
        <w:tc>
          <w:tcPr>
            <w:tcW w:w="160" w:type="dxa"/>
            <w:vAlign w:val="bottom"/>
          </w:tcPr>
          <w:p>
            <w:pPr>
              <w:spacing w:after="0"/>
              <w:rPr>
                <w:sz w:val="12"/>
                <w:szCs w:val="12"/>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color w:val="auto"/>
              </w:rPr>
              <w:t>Corporate</w:t>
            </w:r>
          </w:p>
        </w:tc>
        <w:tc>
          <w:tcPr>
            <w:tcW w:w="1160" w:type="dxa"/>
            <w:vAlign w:val="bottom"/>
            <w:gridSpan w:val="2"/>
          </w:tcPr>
          <w:p>
            <w:pPr>
              <w:jc w:val="right"/>
              <w:ind w:right="28"/>
              <w:spacing w:after="0" w:line="147" w:lineRule="exact"/>
              <w:rPr>
                <w:sz w:val="20"/>
                <w:szCs w:val="20"/>
                <w:color w:val="auto"/>
              </w:rPr>
            </w:pPr>
            <w:r>
              <w:rPr>
                <w:rFonts w:ascii="Arial" w:cs="Arial" w:eastAsia="Arial" w:hAnsi="Arial"/>
                <w:sz w:val="14"/>
                <w:szCs w:val="14"/>
                <w:color w:val="auto"/>
              </w:rPr>
              <w:t>Inter-Company</w:t>
            </w:r>
          </w:p>
        </w:tc>
        <w:tc>
          <w:tcPr>
            <w:tcW w:w="20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Generation</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Eliminations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Revenue -</w:t>
            </w:r>
          </w:p>
        </w:tc>
        <w:tc>
          <w:tcPr>
            <w:tcW w:w="260" w:type="dxa"/>
            <w:vAlign w:val="bottom"/>
            <w:shd w:val="clear" w:color="auto" w:fill="CEFFE7"/>
          </w:tcPr>
          <w:p>
            <w:pPr>
              <w:spacing w:after="0"/>
              <w:rPr>
                <w:sz w:val="16"/>
                <w:szCs w:val="16"/>
                <w:color w:val="auto"/>
              </w:rPr>
            </w:pPr>
          </w:p>
        </w:tc>
        <w:tc>
          <w:tcPr>
            <w:tcW w:w="74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c>
          <w:tcPr>
            <w:tcW w:w="14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00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687,929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959,696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6,090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27,089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1,680,804</w:t>
            </w:r>
          </w:p>
        </w:tc>
        <w:tc>
          <w:tcPr>
            <w:tcW w:w="0" w:type="dxa"/>
            <w:vAlign w:val="bottom"/>
          </w:tcPr>
          <w:p>
            <w:pPr>
              <w:spacing w:after="0"/>
              <w:rPr>
                <w:sz w:val="1"/>
                <w:szCs w:val="1"/>
                <w:color w:val="auto"/>
              </w:rPr>
            </w:pPr>
          </w:p>
        </w:tc>
      </w:tr>
      <w:tr>
        <w:trPr>
          <w:trHeight w:val="189"/>
        </w:trPr>
        <w:tc>
          <w:tcPr>
            <w:tcW w:w="396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260" w:type="dxa"/>
            <w:vAlign w:val="bottom"/>
            <w:tcBorders>
              <w:bottom w:val="single" w:sz="8" w:color="auto"/>
            </w:tcBorders>
            <w:shd w:val="clear" w:color="auto" w:fill="CEFFE7"/>
          </w:tcPr>
          <w:p>
            <w:pPr>
              <w:spacing w:after="0"/>
              <w:rPr>
                <w:sz w:val="16"/>
                <w:szCs w:val="16"/>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2,201</w:t>
            </w:r>
          </w:p>
        </w:tc>
        <w:tc>
          <w:tcPr>
            <w:tcW w:w="120" w:type="dxa"/>
            <w:vAlign w:val="bottom"/>
            <w:tcBorders>
              <w:bottom w:val="single" w:sz="8" w:color="auto"/>
            </w:tcBorders>
            <w:shd w:val="clear" w:color="auto" w:fill="CEFFE7"/>
          </w:tcPr>
          <w:p>
            <w:pPr>
              <w:spacing w:after="0"/>
              <w:rPr>
                <w:sz w:val="16"/>
                <w:szCs w:val="16"/>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9,962</w:t>
            </w:r>
          </w:p>
        </w:tc>
        <w:tc>
          <w:tcPr>
            <w:tcW w:w="140" w:type="dxa"/>
            <w:vAlign w:val="bottom"/>
            <w:tcBorders>
              <w:bottom w:val="single" w:sz="8" w:color="auto"/>
            </w:tcBorders>
            <w:shd w:val="clear" w:color="auto" w:fill="CEFFE7"/>
          </w:tcPr>
          <w:p>
            <w:pPr>
              <w:spacing w:after="0"/>
              <w:rPr>
                <w:sz w:val="16"/>
                <w:szCs w:val="16"/>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1,566</w:t>
            </w:r>
          </w:p>
        </w:tc>
        <w:tc>
          <w:tcPr>
            <w:tcW w:w="22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2,408</w:t>
            </w:r>
          </w:p>
        </w:tc>
        <w:tc>
          <w:tcPr>
            <w:tcW w:w="16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6"/>
                <w:szCs w:val="16"/>
                <w:color w:val="auto"/>
              </w:rPr>
            </w:pPr>
          </w:p>
        </w:tc>
        <w:tc>
          <w:tcPr>
            <w:tcW w:w="8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16,137</w:t>
            </w:r>
          </w:p>
        </w:tc>
        <w:tc>
          <w:tcPr>
            <w:tcW w:w="0" w:type="dxa"/>
            <w:vAlign w:val="bottom"/>
          </w:tcPr>
          <w:p>
            <w:pPr>
              <w:spacing w:after="0"/>
              <w:rPr>
                <w:sz w:val="1"/>
                <w:szCs w:val="1"/>
                <w:color w:val="auto"/>
              </w:rPr>
            </w:pPr>
          </w:p>
        </w:tc>
      </w:tr>
      <w:tr>
        <w:trPr>
          <w:trHeight w:val="183"/>
        </w:trPr>
        <w:tc>
          <w:tcPr>
            <w:tcW w:w="3960" w:type="dxa"/>
            <w:vAlign w:val="bottom"/>
            <w:tcBorders>
              <w:bottom w:val="single" w:sz="8" w:color="CEFFE7"/>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690,130</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969,658</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7,656</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29,497</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1,696,941</w:t>
            </w:r>
          </w:p>
        </w:tc>
        <w:tc>
          <w:tcPr>
            <w:tcW w:w="0" w:type="dxa"/>
            <w:vAlign w:val="bottom"/>
          </w:tcPr>
          <w:p>
            <w:pPr>
              <w:spacing w:after="0"/>
              <w:rPr>
                <w:sz w:val="1"/>
                <w:szCs w:val="1"/>
                <w:color w:val="auto"/>
              </w:rPr>
            </w:pPr>
          </w:p>
        </w:tc>
      </w:tr>
      <w:tr>
        <w:trPr>
          <w:trHeight w:val="169"/>
        </w:trPr>
        <w:tc>
          <w:tcPr>
            <w:tcW w:w="3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Inter-company operating revenue -</w:t>
            </w:r>
          </w:p>
        </w:tc>
        <w:tc>
          <w:tcPr>
            <w:tcW w:w="260" w:type="dxa"/>
            <w:vAlign w:val="bottom"/>
            <w:shd w:val="clear" w:color="auto" w:fill="CEFFE7"/>
          </w:tcPr>
          <w:p>
            <w:pPr>
              <w:spacing w:after="0"/>
              <w:rPr>
                <w:sz w:val="14"/>
                <w:szCs w:val="14"/>
                <w:color w:val="auto"/>
              </w:rPr>
            </w:pPr>
          </w:p>
        </w:tc>
        <w:tc>
          <w:tcPr>
            <w:tcW w:w="740" w:type="dxa"/>
            <w:vAlign w:val="bottom"/>
            <w:shd w:val="clear" w:color="auto" w:fill="CEFFE7"/>
          </w:tcPr>
          <w:p>
            <w:pPr>
              <w:spacing w:after="0"/>
              <w:rPr>
                <w:sz w:val="14"/>
                <w:szCs w:val="14"/>
                <w:color w:val="auto"/>
              </w:rPr>
            </w:pPr>
          </w:p>
        </w:tc>
        <w:tc>
          <w:tcPr>
            <w:tcW w:w="120" w:type="dxa"/>
            <w:vAlign w:val="bottom"/>
            <w:shd w:val="clear" w:color="auto" w:fill="CEFFE7"/>
          </w:tcPr>
          <w:p>
            <w:pPr>
              <w:spacing w:after="0"/>
              <w:rPr>
                <w:sz w:val="14"/>
                <w:szCs w:val="14"/>
                <w:color w:val="auto"/>
              </w:rPr>
            </w:pPr>
          </w:p>
        </w:tc>
        <w:tc>
          <w:tcPr>
            <w:tcW w:w="880" w:type="dxa"/>
            <w:vAlign w:val="bottom"/>
            <w:shd w:val="clear" w:color="auto" w:fill="CEFFE7"/>
          </w:tcPr>
          <w:p>
            <w:pPr>
              <w:spacing w:after="0"/>
              <w:rPr>
                <w:sz w:val="14"/>
                <w:szCs w:val="14"/>
                <w:color w:val="auto"/>
              </w:rPr>
            </w:pPr>
          </w:p>
        </w:tc>
        <w:tc>
          <w:tcPr>
            <w:tcW w:w="140" w:type="dxa"/>
            <w:vAlign w:val="bottom"/>
            <w:shd w:val="clear" w:color="auto" w:fill="CEFFE7"/>
          </w:tcPr>
          <w:p>
            <w:pPr>
              <w:spacing w:after="0"/>
              <w:rPr>
                <w:sz w:val="14"/>
                <w:szCs w:val="14"/>
                <w:color w:val="auto"/>
              </w:rPr>
            </w:pPr>
          </w:p>
        </w:tc>
        <w:tc>
          <w:tcPr>
            <w:tcW w:w="880" w:type="dxa"/>
            <w:vAlign w:val="bottom"/>
            <w:shd w:val="clear" w:color="auto" w:fill="CEFFE7"/>
          </w:tcPr>
          <w:p>
            <w:pPr>
              <w:spacing w:after="0"/>
              <w:rPr>
                <w:sz w:val="14"/>
                <w:szCs w:val="14"/>
                <w:color w:val="auto"/>
              </w:rPr>
            </w:pPr>
          </w:p>
        </w:tc>
        <w:tc>
          <w:tcPr>
            <w:tcW w:w="220" w:type="dxa"/>
            <w:vAlign w:val="bottom"/>
            <w:shd w:val="clear" w:color="auto" w:fill="CEFFE7"/>
          </w:tcPr>
          <w:p>
            <w:pPr>
              <w:spacing w:after="0"/>
              <w:rPr>
                <w:sz w:val="14"/>
                <w:szCs w:val="14"/>
                <w:color w:val="auto"/>
              </w:rPr>
            </w:pPr>
          </w:p>
        </w:tc>
        <w:tc>
          <w:tcPr>
            <w:tcW w:w="780" w:type="dxa"/>
            <w:vAlign w:val="bottom"/>
            <w:shd w:val="clear" w:color="auto" w:fill="CEFFE7"/>
          </w:tcPr>
          <w:p>
            <w:pPr>
              <w:spacing w:after="0"/>
              <w:rPr>
                <w:sz w:val="14"/>
                <w:szCs w:val="14"/>
                <w:color w:val="auto"/>
              </w:rPr>
            </w:pPr>
          </w:p>
        </w:tc>
        <w:tc>
          <w:tcPr>
            <w:tcW w:w="16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160" w:type="dxa"/>
            <w:vAlign w:val="bottom"/>
            <w:shd w:val="clear" w:color="auto" w:fill="CEFFE7"/>
          </w:tcPr>
          <w:p>
            <w:pPr>
              <w:spacing w:after="0"/>
              <w:rPr>
                <w:sz w:val="14"/>
                <w:szCs w:val="14"/>
                <w:color w:val="auto"/>
              </w:rPr>
            </w:pPr>
          </w:p>
        </w:tc>
        <w:tc>
          <w:tcPr>
            <w:tcW w:w="100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82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23,914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4,724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97,169</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31,478</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(157,452)</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6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260" w:type="dxa"/>
            <w:vAlign w:val="bottom"/>
            <w:tcBorders>
              <w:bottom w:val="single" w:sz="8" w:color="auto"/>
            </w:tcBorders>
            <w:shd w:val="clear" w:color="auto" w:fill="CEFFE7"/>
          </w:tcPr>
          <w:p>
            <w:pPr>
              <w:spacing w:after="0"/>
              <w:rPr>
                <w:sz w:val="16"/>
                <w:szCs w:val="16"/>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6"/>
                <w:szCs w:val="16"/>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288</w:t>
            </w:r>
          </w:p>
        </w:tc>
        <w:tc>
          <w:tcPr>
            <w:tcW w:w="140" w:type="dxa"/>
            <w:vAlign w:val="bottom"/>
            <w:tcBorders>
              <w:bottom w:val="single" w:sz="8" w:color="auto"/>
            </w:tcBorders>
            <w:shd w:val="clear" w:color="auto" w:fill="CEFFE7"/>
          </w:tcPr>
          <w:p>
            <w:pPr>
              <w:spacing w:after="0"/>
              <w:rPr>
                <w:sz w:val="16"/>
                <w:szCs w:val="16"/>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222</w:t>
            </w:r>
          </w:p>
        </w:tc>
        <w:tc>
          <w:tcPr>
            <w:tcW w:w="22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352,976</w:t>
            </w:r>
          </w:p>
        </w:tc>
        <w:tc>
          <w:tcPr>
            <w:tcW w:w="16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(353,586)</w:t>
            </w:r>
          </w:p>
        </w:tc>
        <w:tc>
          <w:tcPr>
            <w:tcW w:w="200" w:type="dxa"/>
            <w:vAlign w:val="bottom"/>
            <w:tcBorders>
              <w:bottom w:val="single" w:sz="8" w:color="auto"/>
            </w:tcBorders>
            <w:shd w:val="clear" w:color="auto" w:fill="CEFFE7"/>
          </w:tcPr>
          <w:p>
            <w:pPr>
              <w:spacing w:after="0"/>
              <w:rPr>
                <w:sz w:val="16"/>
                <w:szCs w:val="16"/>
                <w:color w:val="auto"/>
              </w:rPr>
            </w:pPr>
          </w:p>
        </w:tc>
        <w:tc>
          <w:tcPr>
            <w:tcW w:w="8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60" w:type="dxa"/>
            <w:vAlign w:val="bottom"/>
            <w:tcBorders>
              <w:bottom w:val="single" w:sz="8" w:color="CEFFE7"/>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23,914</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5,012</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97,391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31,578</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353,143</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(511,038)</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60" w:type="dxa"/>
            <w:vAlign w:val="bottom"/>
            <w:shd w:val="clear" w:color="auto" w:fill="CEFFE7"/>
          </w:tcPr>
          <w:p>
            <w:pPr>
              <w:ind w:left="14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714,044</w:t>
            </w:r>
          </w:p>
        </w:tc>
        <w:tc>
          <w:tcPr>
            <w:tcW w:w="120" w:type="dxa"/>
            <w:vAlign w:val="bottom"/>
            <w:tcBorders>
              <w:bottom w:val="single" w:sz="8" w:color="auto"/>
            </w:tcBorders>
            <w:shd w:val="clear" w:color="auto" w:fill="CEFFE7"/>
          </w:tcPr>
          <w:p>
            <w:pPr>
              <w:spacing w:after="0"/>
              <w:rPr>
                <w:sz w:val="15"/>
                <w:szCs w:val="15"/>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974,670</w:t>
            </w:r>
          </w:p>
        </w:tc>
        <w:tc>
          <w:tcPr>
            <w:tcW w:w="140" w:type="dxa"/>
            <w:vAlign w:val="bottom"/>
            <w:tcBorders>
              <w:bottom w:val="single" w:sz="8" w:color="auto"/>
            </w:tcBorders>
            <w:shd w:val="clear" w:color="auto" w:fill="CEFFE7"/>
          </w:tcPr>
          <w:p>
            <w:pPr>
              <w:spacing w:after="0"/>
              <w:rPr>
                <w:sz w:val="15"/>
                <w:szCs w:val="15"/>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105,047</w:t>
            </w:r>
          </w:p>
        </w:tc>
        <w:tc>
          <w:tcPr>
            <w:tcW w:w="22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61,075</w:t>
            </w:r>
          </w:p>
        </w:tc>
        <w:tc>
          <w:tcPr>
            <w:tcW w:w="160" w:type="dxa"/>
            <w:vAlign w:val="bottom"/>
            <w:tcBorders>
              <w:bottom w:val="single" w:sz="8" w:color="auto"/>
            </w:tcBorders>
            <w:shd w:val="clear" w:color="auto" w:fill="CEFFE7"/>
          </w:tcPr>
          <w:p>
            <w:pPr>
              <w:spacing w:after="0"/>
              <w:rPr>
                <w:sz w:val="15"/>
                <w:szCs w:val="15"/>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353,143</w:t>
            </w:r>
          </w:p>
        </w:tc>
        <w:tc>
          <w:tcPr>
            <w:tcW w:w="160" w:type="dxa"/>
            <w:vAlign w:val="bottom"/>
            <w:tcBorders>
              <w:bottom w:val="single" w:sz="8" w:color="auto"/>
            </w:tcBorders>
            <w:shd w:val="clear" w:color="auto" w:fill="CEFFE7"/>
          </w:tcPr>
          <w:p>
            <w:pPr>
              <w:spacing w:after="0"/>
              <w:rPr>
                <w:sz w:val="15"/>
                <w:szCs w:val="15"/>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(511,038)</w:t>
            </w:r>
          </w:p>
        </w:tc>
        <w:tc>
          <w:tcPr>
            <w:tcW w:w="200" w:type="dxa"/>
            <w:vAlign w:val="bottom"/>
            <w:tcBorders>
              <w:bottom w:val="single" w:sz="8" w:color="auto"/>
            </w:tcBorders>
            <w:shd w:val="clear" w:color="auto" w:fill="CEFFE7"/>
          </w:tcPr>
          <w:p>
            <w:pPr>
              <w:spacing w:after="0"/>
              <w:rPr>
                <w:sz w:val="15"/>
                <w:szCs w:val="15"/>
                <w:color w:val="auto"/>
              </w:rPr>
            </w:pPr>
          </w:p>
        </w:tc>
        <w:tc>
          <w:tcPr>
            <w:tcW w:w="8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1,696,941</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Fuel, purchased power and cost of natural gas sold</w:t>
            </w:r>
          </w:p>
        </w:tc>
        <w:tc>
          <w:tcPr>
            <w:tcW w:w="260" w:type="dxa"/>
            <w:vAlign w:val="bottom"/>
            <w:shd w:val="clear" w:color="auto" w:fill="CEFFE7"/>
          </w:tcPr>
          <w:p>
            <w:pPr>
              <w:spacing w:after="0"/>
              <w:rPr>
                <w:sz w:val="16"/>
                <w:szCs w:val="16"/>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267,045</w:t>
            </w:r>
          </w:p>
        </w:tc>
        <w:tc>
          <w:tcPr>
            <w:tcW w:w="120" w:type="dxa"/>
            <w:vAlign w:val="bottom"/>
            <w:shd w:val="clear" w:color="auto" w:fill="CEFFE7"/>
          </w:tcPr>
          <w:p>
            <w:pPr>
              <w:spacing w:after="0"/>
              <w:rPr>
                <w:sz w:val="16"/>
                <w:szCs w:val="16"/>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354,645</w:t>
            </w:r>
          </w:p>
        </w:tc>
        <w:tc>
          <w:tcPr>
            <w:tcW w:w="140" w:type="dxa"/>
            <w:vAlign w:val="bottom"/>
            <w:shd w:val="clear" w:color="auto" w:fill="CEFFE7"/>
          </w:tcPr>
          <w:p>
            <w:pPr>
              <w:spacing w:after="0"/>
              <w:rPr>
                <w:sz w:val="16"/>
                <w:szCs w:val="16"/>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8,993</w:t>
            </w:r>
          </w:p>
        </w:tc>
        <w:tc>
          <w:tcPr>
            <w:tcW w:w="22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83</w:t>
            </w:r>
          </w:p>
        </w:tc>
        <w:tc>
          <w:tcPr>
            <w:tcW w:w="160" w:type="dxa"/>
            <w:vAlign w:val="bottom"/>
            <w:shd w:val="clear" w:color="auto" w:fill="CEFFE7"/>
          </w:tcPr>
          <w:p>
            <w:pPr>
              <w:spacing w:after="0"/>
              <w:rPr>
                <w:sz w:val="16"/>
                <w:szCs w:val="16"/>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(138,362)</w:t>
            </w: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492,404</w:t>
            </w: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4"/>
                <w:szCs w:val="14"/>
                <w:color w:val="auto"/>
              </w:rPr>
              <w:t>Operations and maintenance, including taxes</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196,794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303,577</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33,695</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39,033</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284,501</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(305,823)</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551,777</w:t>
            </w:r>
          </w:p>
        </w:tc>
        <w:tc>
          <w:tcPr>
            <w:tcW w:w="0" w:type="dxa"/>
            <w:vAlign w:val="bottom"/>
          </w:tcPr>
          <w:p>
            <w:pPr>
              <w:spacing w:after="0"/>
              <w:rPr>
                <w:sz w:val="1"/>
                <w:szCs w:val="1"/>
                <w:color w:val="auto"/>
              </w:rPr>
            </w:pPr>
          </w:p>
        </w:tc>
      </w:tr>
      <w:tr>
        <w:trPr>
          <w:trHeight w:val="189"/>
        </w:trPr>
        <w:tc>
          <w:tcPr>
            <w:tcW w:w="3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Borders>
              <w:bottom w:val="single" w:sz="8" w:color="auto"/>
            </w:tcBorders>
            <w:shd w:val="clear" w:color="auto" w:fill="CEFFE7"/>
          </w:tcPr>
          <w:p>
            <w:pPr>
              <w:spacing w:after="0"/>
              <w:rPr>
                <w:sz w:val="16"/>
                <w:szCs w:val="16"/>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94,150</w:t>
            </w:r>
          </w:p>
        </w:tc>
        <w:tc>
          <w:tcPr>
            <w:tcW w:w="120" w:type="dxa"/>
            <w:vAlign w:val="bottom"/>
            <w:tcBorders>
              <w:bottom w:val="single" w:sz="8" w:color="auto"/>
            </w:tcBorders>
            <w:shd w:val="clear" w:color="auto" w:fill="CEFFE7"/>
          </w:tcPr>
          <w:p>
            <w:pPr>
              <w:spacing w:after="0"/>
              <w:rPr>
                <w:sz w:val="16"/>
                <w:szCs w:val="16"/>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100,559</w:t>
            </w:r>
          </w:p>
        </w:tc>
        <w:tc>
          <w:tcPr>
            <w:tcW w:w="140" w:type="dxa"/>
            <w:vAlign w:val="bottom"/>
            <w:tcBorders>
              <w:bottom w:val="single" w:sz="8" w:color="auto"/>
            </w:tcBorders>
            <w:shd w:val="clear" w:color="auto" w:fill="CEFFE7"/>
          </w:tcPr>
          <w:p>
            <w:pPr>
              <w:spacing w:after="0"/>
              <w:rPr>
                <w:sz w:val="16"/>
                <w:szCs w:val="16"/>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20,247</w:t>
            </w:r>
          </w:p>
        </w:tc>
        <w:tc>
          <w:tcPr>
            <w:tcW w:w="22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9,235</w:t>
            </w:r>
          </w:p>
        </w:tc>
        <w:tc>
          <w:tcPr>
            <w:tcW w:w="16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25,150</w:t>
            </w:r>
          </w:p>
        </w:tc>
        <w:tc>
          <w:tcPr>
            <w:tcW w:w="16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(24,884)</w:t>
            </w:r>
          </w:p>
        </w:tc>
        <w:tc>
          <w:tcPr>
            <w:tcW w:w="200" w:type="dxa"/>
            <w:vAlign w:val="bottom"/>
            <w:tcBorders>
              <w:bottom w:val="single" w:sz="8" w:color="auto"/>
            </w:tcBorders>
            <w:shd w:val="clear" w:color="auto" w:fill="CEFFE7"/>
          </w:tcPr>
          <w:p>
            <w:pPr>
              <w:spacing w:after="0"/>
              <w:rPr>
                <w:sz w:val="16"/>
                <w:szCs w:val="16"/>
                <w:color w:val="auto"/>
              </w:rPr>
            </w:pPr>
          </w:p>
        </w:tc>
        <w:tc>
          <w:tcPr>
            <w:tcW w:w="8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224,457</w:t>
            </w:r>
          </w:p>
        </w:tc>
        <w:tc>
          <w:tcPr>
            <w:tcW w:w="0" w:type="dxa"/>
            <w:vAlign w:val="bottom"/>
          </w:tcPr>
          <w:p>
            <w:pPr>
              <w:spacing w:after="0"/>
              <w:rPr>
                <w:sz w:val="1"/>
                <w:szCs w:val="1"/>
                <w:color w:val="auto"/>
              </w:rPr>
            </w:pPr>
          </w:p>
        </w:tc>
      </w:tr>
      <w:tr>
        <w:trPr>
          <w:trHeight w:val="183"/>
        </w:trPr>
        <w:tc>
          <w:tcPr>
            <w:tcW w:w="396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Adjusted operating income (loss)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42,112</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(41,969)</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428,303</w:t>
            </w:r>
          </w:p>
        </w:tc>
        <w:tc>
          <w:tcPr>
            <w:tcW w:w="0" w:type="dxa"/>
            <w:vAlign w:val="bottom"/>
          </w:tcPr>
          <w:p>
            <w:pPr>
              <w:spacing w:after="0"/>
              <w:rPr>
                <w:sz w:val="1"/>
                <w:szCs w:val="1"/>
                <w:color w:val="auto"/>
              </w:rPr>
            </w:pPr>
          </w:p>
        </w:tc>
      </w:tr>
      <w:tr>
        <w:trPr>
          <w:trHeight w:val="196"/>
        </w:trPr>
        <w:tc>
          <w:tcPr>
            <w:tcW w:w="396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740" w:type="dxa"/>
            <w:vAlign w:val="bottom"/>
            <w:shd w:val="clear" w:color="auto" w:fill="CEFFE7"/>
          </w:tcPr>
          <w:p>
            <w:pPr>
              <w:spacing w:after="0"/>
              <w:rPr>
                <w:sz w:val="17"/>
                <w:szCs w:val="17"/>
                <w:color w:val="auto"/>
              </w:rPr>
            </w:pPr>
          </w:p>
        </w:tc>
        <w:tc>
          <w:tcPr>
            <w:tcW w:w="12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0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(143,470)</w:t>
            </w:r>
          </w:p>
        </w:tc>
        <w:tc>
          <w:tcPr>
            <w:tcW w:w="0" w:type="dxa"/>
            <w:vAlign w:val="bottom"/>
          </w:tcPr>
          <w:p>
            <w:pPr>
              <w:spacing w:after="0"/>
              <w:rPr>
                <w:sz w:val="1"/>
                <w:szCs w:val="1"/>
                <w:color w:val="auto"/>
              </w:rPr>
            </w:pPr>
          </w:p>
        </w:tc>
      </w:tr>
      <w:tr>
        <w:trPr>
          <w:trHeight w:val="189"/>
        </w:trPr>
        <w:tc>
          <w:tcPr>
            <w:tcW w:w="3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Impairment of investment</w:t>
            </w:r>
          </w:p>
        </w:tc>
        <w:tc>
          <w:tcPr>
            <w:tcW w:w="260" w:type="dxa"/>
            <w:vAlign w:val="bottom"/>
            <w:shd w:val="clear" w:color="auto" w:fill="CEFFE7"/>
          </w:tcPr>
          <w:p>
            <w:pPr>
              <w:spacing w:after="0"/>
              <w:rPr>
                <w:sz w:val="16"/>
                <w:szCs w:val="16"/>
                <w:color w:val="auto"/>
              </w:rPr>
            </w:pPr>
          </w:p>
        </w:tc>
        <w:tc>
          <w:tcPr>
            <w:tcW w:w="74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c>
          <w:tcPr>
            <w:tcW w:w="14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00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(6,859)</w:t>
            </w: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189"/>
        </w:trPr>
        <w:tc>
          <w:tcPr>
            <w:tcW w:w="3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EFFE7"/>
          </w:tcPr>
          <w:p>
            <w:pPr>
              <w:spacing w:after="0"/>
              <w:rPr>
                <w:sz w:val="16"/>
                <w:szCs w:val="16"/>
                <w:color w:val="auto"/>
              </w:rPr>
            </w:pPr>
          </w:p>
        </w:tc>
        <w:tc>
          <w:tcPr>
            <w:tcW w:w="74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c>
          <w:tcPr>
            <w:tcW w:w="14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000" w:type="dxa"/>
            <w:vAlign w:val="bottom"/>
            <w:shd w:val="clear" w:color="auto" w:fill="CEFFE7"/>
          </w:tcPr>
          <w:p>
            <w:pPr>
              <w:spacing w:after="0"/>
              <w:rPr>
                <w:sz w:val="16"/>
                <w:szCs w:val="16"/>
                <w:color w:val="auto"/>
              </w:rPr>
            </w:pPr>
          </w:p>
        </w:tc>
        <w:tc>
          <w:tcPr>
            <w:tcW w:w="200" w:type="dxa"/>
            <w:vAlign w:val="bottom"/>
            <w:tcBorders>
              <w:bottom w:val="single" w:sz="8" w:color="auto"/>
            </w:tcBorders>
            <w:shd w:val="clear" w:color="auto" w:fill="CEFFE7"/>
          </w:tcPr>
          <w:p>
            <w:pPr>
              <w:spacing w:after="0"/>
              <w:rPr>
                <w:sz w:val="16"/>
                <w:szCs w:val="16"/>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(32,918)</w:t>
            </w:r>
          </w:p>
        </w:tc>
        <w:tc>
          <w:tcPr>
            <w:tcW w:w="0" w:type="dxa"/>
            <w:vAlign w:val="bottom"/>
          </w:tcPr>
          <w:p>
            <w:pPr>
              <w:spacing w:after="0"/>
              <w:rPr>
                <w:sz w:val="1"/>
                <w:szCs w:val="1"/>
                <w:color w:val="auto"/>
              </w:rPr>
            </w:pPr>
          </w:p>
        </w:tc>
      </w:tr>
      <w:tr>
        <w:trPr>
          <w:trHeight w:val="183"/>
        </w:trPr>
        <w:tc>
          <w:tcPr>
            <w:tcW w:w="396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Income from continuing operations</w:t>
            </w:r>
          </w:p>
        </w:tc>
        <w:tc>
          <w:tcPr>
            <w:tcW w:w="260" w:type="dxa"/>
            <w:vAlign w:val="bottom"/>
            <w:tcBorders>
              <w:bottom w:val="single" w:sz="8" w:color="CEFFE7"/>
            </w:tcBorders>
          </w:tcPr>
          <w:p>
            <w:pPr>
              <w:spacing w:after="0"/>
              <w:rPr>
                <w:sz w:val="15"/>
                <w:szCs w:val="15"/>
                <w:color w:val="auto"/>
              </w:rPr>
            </w:pPr>
          </w:p>
        </w:tc>
        <w:tc>
          <w:tcPr>
            <w:tcW w:w="740" w:type="dxa"/>
            <w:vAlign w:val="bottom"/>
            <w:tcBorders>
              <w:bottom w:val="single" w:sz="8" w:color="CEFFE7"/>
            </w:tcBorders>
          </w:tcPr>
          <w:p>
            <w:pPr>
              <w:spacing w:after="0"/>
              <w:rPr>
                <w:sz w:val="15"/>
                <w:szCs w:val="15"/>
                <w:color w:val="auto"/>
              </w:rPr>
            </w:pPr>
          </w:p>
        </w:tc>
        <w:tc>
          <w:tcPr>
            <w:tcW w:w="120" w:type="dxa"/>
            <w:vAlign w:val="bottom"/>
            <w:tcBorders>
              <w:bottom w:val="single" w:sz="8" w:color="CEFFE7"/>
            </w:tcBorders>
          </w:tcPr>
          <w:p>
            <w:pPr>
              <w:spacing w:after="0"/>
              <w:rPr>
                <w:sz w:val="15"/>
                <w:szCs w:val="15"/>
                <w:color w:val="auto"/>
              </w:rPr>
            </w:pPr>
          </w:p>
        </w:tc>
        <w:tc>
          <w:tcPr>
            <w:tcW w:w="880" w:type="dxa"/>
            <w:vAlign w:val="bottom"/>
            <w:tcBorders>
              <w:bottom w:val="single" w:sz="8" w:color="CEFFE7"/>
            </w:tcBorders>
          </w:tcPr>
          <w:p>
            <w:pPr>
              <w:spacing w:after="0"/>
              <w:rPr>
                <w:sz w:val="15"/>
                <w:szCs w:val="15"/>
                <w:color w:val="auto"/>
              </w:rPr>
            </w:pPr>
          </w:p>
        </w:tc>
        <w:tc>
          <w:tcPr>
            <w:tcW w:w="140" w:type="dxa"/>
            <w:vAlign w:val="bottom"/>
            <w:tcBorders>
              <w:bottom w:val="single" w:sz="8" w:color="CEFFE7"/>
            </w:tcBorders>
          </w:tcPr>
          <w:p>
            <w:pPr>
              <w:spacing w:after="0"/>
              <w:rPr>
                <w:sz w:val="15"/>
                <w:szCs w:val="15"/>
                <w:color w:val="auto"/>
              </w:rPr>
            </w:pPr>
          </w:p>
        </w:tc>
        <w:tc>
          <w:tcPr>
            <w:tcW w:w="880" w:type="dxa"/>
            <w:vAlign w:val="bottom"/>
            <w:tcBorders>
              <w:bottom w:val="single" w:sz="8" w:color="CEFFE7"/>
            </w:tcBorders>
          </w:tcPr>
          <w:p>
            <w:pPr>
              <w:spacing w:after="0"/>
              <w:rPr>
                <w:sz w:val="15"/>
                <w:szCs w:val="15"/>
                <w:color w:val="auto"/>
              </w:rPr>
            </w:pPr>
          </w:p>
        </w:tc>
        <w:tc>
          <w:tcPr>
            <w:tcW w:w="220" w:type="dxa"/>
            <w:vAlign w:val="bottom"/>
            <w:tcBorders>
              <w:bottom w:val="single" w:sz="8" w:color="CEFFE7"/>
            </w:tcBorders>
          </w:tcPr>
          <w:p>
            <w:pPr>
              <w:spacing w:after="0"/>
              <w:rPr>
                <w:sz w:val="15"/>
                <w:szCs w:val="15"/>
                <w:color w:val="auto"/>
              </w:rPr>
            </w:pPr>
          </w:p>
        </w:tc>
        <w:tc>
          <w:tcPr>
            <w:tcW w:w="78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86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1000" w:type="dxa"/>
            <w:vAlign w:val="bottom"/>
            <w:tcBorders>
              <w:bottom w:val="single" w:sz="8" w:color="CEFFE7"/>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242,763</w:t>
            </w:r>
          </w:p>
        </w:tc>
        <w:tc>
          <w:tcPr>
            <w:tcW w:w="0" w:type="dxa"/>
            <w:vAlign w:val="bottom"/>
          </w:tcPr>
          <w:p>
            <w:pPr>
              <w:spacing w:after="0"/>
              <w:rPr>
                <w:sz w:val="1"/>
                <w:szCs w:val="1"/>
                <w:color w:val="auto"/>
              </w:rPr>
            </w:pPr>
          </w:p>
        </w:tc>
      </w:tr>
      <w:tr>
        <w:trPr>
          <w:trHeight w:val="183"/>
        </w:trPr>
        <w:tc>
          <w:tcPr>
            <w:tcW w:w="3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(Loss) from discontinued operations, net of tax</w:t>
            </w:r>
          </w:p>
        </w:tc>
        <w:tc>
          <w:tcPr>
            <w:tcW w:w="260" w:type="dxa"/>
            <w:vAlign w:val="bottom"/>
            <w:shd w:val="clear" w:color="auto" w:fill="CEFFE7"/>
          </w:tcPr>
          <w:p>
            <w:pPr>
              <w:spacing w:after="0"/>
              <w:rPr>
                <w:sz w:val="15"/>
                <w:szCs w:val="15"/>
                <w:color w:val="auto"/>
              </w:rPr>
            </w:pPr>
          </w:p>
        </w:tc>
        <w:tc>
          <w:tcPr>
            <w:tcW w:w="7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88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000" w:type="dxa"/>
            <w:vAlign w:val="bottom"/>
            <w:shd w:val="clear" w:color="auto" w:fill="CEFFE7"/>
          </w:tcPr>
          <w:p>
            <w:pPr>
              <w:spacing w:after="0"/>
              <w:rPr>
                <w:sz w:val="15"/>
                <w:szCs w:val="15"/>
                <w:color w:val="auto"/>
              </w:rPr>
            </w:pPr>
          </w:p>
        </w:tc>
        <w:tc>
          <w:tcPr>
            <w:tcW w:w="200" w:type="dxa"/>
            <w:vAlign w:val="bottom"/>
            <w:tcBorders>
              <w:bottom w:val="single" w:sz="8" w:color="auto"/>
            </w:tcBorders>
            <w:shd w:val="clear" w:color="auto" w:fill="CEFFE7"/>
          </w:tcPr>
          <w:p>
            <w:pPr>
              <w:spacing w:after="0"/>
              <w:rPr>
                <w:sz w:val="15"/>
                <w:szCs w:val="15"/>
                <w:color w:val="auto"/>
              </w:rPr>
            </w:pPr>
          </w:p>
        </w:tc>
        <w:tc>
          <w:tcPr>
            <w:tcW w:w="8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6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CEFFE7"/>
            </w:tcBorders>
          </w:tcPr>
          <w:p>
            <w:pPr>
              <w:spacing w:after="0"/>
              <w:rPr>
                <w:sz w:val="15"/>
                <w:szCs w:val="15"/>
                <w:color w:val="auto"/>
              </w:rPr>
            </w:pPr>
          </w:p>
        </w:tc>
        <w:tc>
          <w:tcPr>
            <w:tcW w:w="740" w:type="dxa"/>
            <w:vAlign w:val="bottom"/>
            <w:tcBorders>
              <w:bottom w:val="single" w:sz="8" w:color="CEFFE7"/>
            </w:tcBorders>
          </w:tcPr>
          <w:p>
            <w:pPr>
              <w:spacing w:after="0"/>
              <w:rPr>
                <w:sz w:val="15"/>
                <w:szCs w:val="15"/>
                <w:color w:val="auto"/>
              </w:rPr>
            </w:pPr>
          </w:p>
        </w:tc>
        <w:tc>
          <w:tcPr>
            <w:tcW w:w="120" w:type="dxa"/>
            <w:vAlign w:val="bottom"/>
            <w:tcBorders>
              <w:bottom w:val="single" w:sz="8" w:color="CEFFE7"/>
            </w:tcBorders>
          </w:tcPr>
          <w:p>
            <w:pPr>
              <w:spacing w:after="0"/>
              <w:rPr>
                <w:sz w:val="15"/>
                <w:szCs w:val="15"/>
                <w:color w:val="auto"/>
              </w:rPr>
            </w:pPr>
          </w:p>
        </w:tc>
        <w:tc>
          <w:tcPr>
            <w:tcW w:w="880" w:type="dxa"/>
            <w:vAlign w:val="bottom"/>
            <w:tcBorders>
              <w:bottom w:val="single" w:sz="8" w:color="CEFFE7"/>
            </w:tcBorders>
          </w:tcPr>
          <w:p>
            <w:pPr>
              <w:spacing w:after="0"/>
              <w:rPr>
                <w:sz w:val="15"/>
                <w:szCs w:val="15"/>
                <w:color w:val="auto"/>
              </w:rPr>
            </w:pPr>
          </w:p>
        </w:tc>
        <w:tc>
          <w:tcPr>
            <w:tcW w:w="140" w:type="dxa"/>
            <w:vAlign w:val="bottom"/>
            <w:tcBorders>
              <w:bottom w:val="single" w:sz="8" w:color="CEFFE7"/>
            </w:tcBorders>
          </w:tcPr>
          <w:p>
            <w:pPr>
              <w:spacing w:after="0"/>
              <w:rPr>
                <w:sz w:val="15"/>
                <w:szCs w:val="15"/>
                <w:color w:val="auto"/>
              </w:rPr>
            </w:pPr>
          </w:p>
        </w:tc>
        <w:tc>
          <w:tcPr>
            <w:tcW w:w="880" w:type="dxa"/>
            <w:vAlign w:val="bottom"/>
            <w:tcBorders>
              <w:bottom w:val="single" w:sz="8" w:color="CEFFE7"/>
            </w:tcBorders>
          </w:tcPr>
          <w:p>
            <w:pPr>
              <w:spacing w:after="0"/>
              <w:rPr>
                <w:sz w:val="15"/>
                <w:szCs w:val="15"/>
                <w:color w:val="auto"/>
              </w:rPr>
            </w:pPr>
          </w:p>
        </w:tc>
        <w:tc>
          <w:tcPr>
            <w:tcW w:w="220" w:type="dxa"/>
            <w:vAlign w:val="bottom"/>
            <w:tcBorders>
              <w:bottom w:val="single" w:sz="8" w:color="CEFFE7"/>
            </w:tcBorders>
          </w:tcPr>
          <w:p>
            <w:pPr>
              <w:spacing w:after="0"/>
              <w:rPr>
                <w:sz w:val="15"/>
                <w:szCs w:val="15"/>
                <w:color w:val="auto"/>
              </w:rPr>
            </w:pPr>
          </w:p>
        </w:tc>
        <w:tc>
          <w:tcPr>
            <w:tcW w:w="78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86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1000" w:type="dxa"/>
            <w:vAlign w:val="bottom"/>
            <w:tcBorders>
              <w:bottom w:val="single" w:sz="8" w:color="CEFFE7"/>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242,763</w:t>
            </w:r>
          </w:p>
        </w:tc>
        <w:tc>
          <w:tcPr>
            <w:tcW w:w="0" w:type="dxa"/>
            <w:vAlign w:val="bottom"/>
          </w:tcPr>
          <w:p>
            <w:pPr>
              <w:spacing w:after="0"/>
              <w:rPr>
                <w:sz w:val="1"/>
                <w:szCs w:val="1"/>
                <w:color w:val="auto"/>
              </w:rPr>
            </w:pPr>
          </w:p>
        </w:tc>
      </w:tr>
      <w:tr>
        <w:trPr>
          <w:trHeight w:val="183"/>
        </w:trPr>
        <w:tc>
          <w:tcPr>
            <w:tcW w:w="3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EFFE7"/>
          </w:tcPr>
          <w:p>
            <w:pPr>
              <w:spacing w:after="0"/>
              <w:rPr>
                <w:sz w:val="15"/>
                <w:szCs w:val="15"/>
                <w:color w:val="auto"/>
              </w:rPr>
            </w:pPr>
          </w:p>
        </w:tc>
        <w:tc>
          <w:tcPr>
            <w:tcW w:w="7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88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000" w:type="dxa"/>
            <w:vAlign w:val="bottom"/>
            <w:shd w:val="clear" w:color="auto" w:fill="CEFFE7"/>
          </w:tcPr>
          <w:p>
            <w:pPr>
              <w:spacing w:after="0"/>
              <w:rPr>
                <w:sz w:val="15"/>
                <w:szCs w:val="15"/>
                <w:color w:val="auto"/>
              </w:rPr>
            </w:pPr>
          </w:p>
        </w:tc>
        <w:tc>
          <w:tcPr>
            <w:tcW w:w="200" w:type="dxa"/>
            <w:vAlign w:val="bottom"/>
            <w:tcBorders>
              <w:bottom w:val="single" w:sz="8" w:color="auto"/>
            </w:tcBorders>
            <w:shd w:val="clear" w:color="auto" w:fill="CEFFE7"/>
          </w:tcPr>
          <w:p>
            <w:pPr>
              <w:spacing w:after="0"/>
              <w:rPr>
                <w:sz w:val="15"/>
                <w:szCs w:val="15"/>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(15,155)</w:t>
            </w:r>
          </w:p>
        </w:tc>
        <w:tc>
          <w:tcPr>
            <w:tcW w:w="0" w:type="dxa"/>
            <w:vAlign w:val="bottom"/>
          </w:tcPr>
          <w:p>
            <w:pPr>
              <w:spacing w:after="0"/>
              <w:rPr>
                <w:sz w:val="1"/>
                <w:szCs w:val="1"/>
                <w:color w:val="auto"/>
              </w:rPr>
            </w:pPr>
          </w:p>
        </w:tc>
      </w:tr>
      <w:tr>
        <w:trPr>
          <w:trHeight w:val="183"/>
        </w:trPr>
        <w:tc>
          <w:tcPr>
            <w:tcW w:w="3960" w:type="dxa"/>
            <w:vAlign w:val="bottom"/>
          </w:tcPr>
          <w:p>
            <w:pPr>
              <w:ind w:left="140"/>
              <w:spacing w:after="0"/>
              <w:rPr>
                <w:sz w:val="20"/>
                <w:szCs w:val="20"/>
                <w:color w:val="auto"/>
              </w:rPr>
            </w:pPr>
            <w:r>
              <w:rPr>
                <w:rFonts w:ascii="Arial" w:cs="Arial" w:eastAsia="Arial" w:hAnsi="Arial"/>
                <w:sz w:val="14"/>
                <w:szCs w:val="14"/>
                <w:color w:val="auto"/>
              </w:rPr>
              <w:t>Net income available for common stock</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227,608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Consolidating Income Statement</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2019</w:t>
            </w:r>
          </w:p>
        </w:tc>
        <w:tc>
          <w:tcPr>
            <w:tcW w:w="180" w:type="dxa"/>
            <w:vAlign w:val="bottom"/>
          </w:tcPr>
          <w:p>
            <w:pPr>
              <w:spacing w:after="0"/>
              <w:rPr>
                <w:sz w:val="12"/>
                <w:szCs w:val="12"/>
                <w:color w:val="auto"/>
              </w:rPr>
            </w:pPr>
          </w:p>
        </w:tc>
        <w:tc>
          <w:tcPr>
            <w:tcW w:w="780" w:type="dxa"/>
            <w:vAlign w:val="bottom"/>
          </w:tcPr>
          <w:p>
            <w:pPr>
              <w:jc w:val="right"/>
              <w:ind w:right="168"/>
              <w:spacing w:after="0" w:line="147" w:lineRule="exact"/>
              <w:rPr>
                <w:sz w:val="20"/>
                <w:szCs w:val="20"/>
                <w:color w:val="auto"/>
              </w:rPr>
            </w:pPr>
            <w:r>
              <w:rPr>
                <w:rFonts w:ascii="Arial" w:cs="Arial" w:eastAsia="Arial" w:hAnsi="Arial"/>
                <w:sz w:val="14"/>
                <w:szCs w:val="14"/>
                <w:color w:val="auto"/>
              </w:rPr>
              <w:t>Electric</w:t>
            </w:r>
          </w:p>
        </w:tc>
        <w:tc>
          <w:tcPr>
            <w:tcW w:w="12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Gas Utilities</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Power Generation</w:t>
            </w:r>
          </w:p>
        </w:tc>
        <w:tc>
          <w:tcPr>
            <w:tcW w:w="200" w:type="dxa"/>
            <w:vAlign w:val="bottom"/>
          </w:tcPr>
          <w:p>
            <w:pPr>
              <w:spacing w:after="0"/>
              <w:rPr>
                <w:sz w:val="12"/>
                <w:szCs w:val="12"/>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rPr>
              <w:t>Mining</w:t>
            </w:r>
          </w:p>
        </w:tc>
        <w:tc>
          <w:tcPr>
            <w:tcW w:w="16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Corporate</w:t>
            </w:r>
          </w:p>
        </w:tc>
        <w:tc>
          <w:tcPr>
            <w:tcW w:w="160" w:type="dxa"/>
            <w:vAlign w:val="bottom"/>
          </w:tcPr>
          <w:p>
            <w:pPr>
              <w:spacing w:after="0"/>
              <w:rPr>
                <w:sz w:val="12"/>
                <w:szCs w:val="12"/>
                <w:color w:val="auto"/>
              </w:rPr>
            </w:pPr>
          </w:p>
        </w:tc>
        <w:tc>
          <w:tcPr>
            <w:tcW w:w="1400" w:type="dxa"/>
            <w:vAlign w:val="bottom"/>
            <w:gridSpan w:val="2"/>
          </w:tcPr>
          <w:p>
            <w:pPr>
              <w:jc w:val="center"/>
              <w:ind w:right="320"/>
              <w:spacing w:after="0" w:line="147" w:lineRule="exact"/>
              <w:rPr>
                <w:sz w:val="20"/>
                <w:szCs w:val="20"/>
                <w:color w:val="auto"/>
              </w:rPr>
            </w:pPr>
            <w:r>
              <w:rPr>
                <w:rFonts w:ascii="Arial" w:cs="Arial" w:eastAsia="Arial" w:hAnsi="Arial"/>
                <w:sz w:val="14"/>
                <w:szCs w:val="14"/>
                <w:color w:val="auto"/>
              </w:rPr>
              <w:t>Inter-Company</w:t>
            </w: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Utilities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Eliminations</w:t>
            </w: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Revenue -</w:t>
            </w:r>
          </w:p>
        </w:tc>
        <w:tc>
          <w:tcPr>
            <w:tcW w:w="18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40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6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8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684,445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1,007,187</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7,580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27,180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ind w:left="1020"/>
              <w:spacing w:after="0"/>
              <w:rPr>
                <w:sz w:val="20"/>
                <w:szCs w:val="20"/>
                <w:color w:val="auto"/>
              </w:rPr>
            </w:pPr>
            <w:r>
              <w:rPr>
                <w:rFonts w:ascii="Arial" w:cs="Arial" w:eastAsia="Arial" w:hAnsi="Arial"/>
                <w:sz w:val="14"/>
                <w:szCs w:val="14"/>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1,726,392</w:t>
            </w:r>
          </w:p>
        </w:tc>
        <w:tc>
          <w:tcPr>
            <w:tcW w:w="0" w:type="dxa"/>
            <w:vAlign w:val="bottom"/>
          </w:tcPr>
          <w:p>
            <w:pPr>
              <w:spacing w:after="0"/>
              <w:rPr>
                <w:sz w:val="1"/>
                <w:szCs w:val="1"/>
                <w:color w:val="auto"/>
              </w:rPr>
            </w:pPr>
          </w:p>
        </w:tc>
      </w:tr>
      <w:tr>
        <w:trPr>
          <w:trHeight w:val="189"/>
        </w:trPr>
        <w:tc>
          <w:tcPr>
            <w:tcW w:w="368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18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5,191</w:t>
            </w:r>
          </w:p>
        </w:tc>
        <w:tc>
          <w:tcPr>
            <w:tcW w:w="12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384</w:t>
            </w:r>
          </w:p>
        </w:tc>
        <w:tc>
          <w:tcPr>
            <w:tcW w:w="40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1,859</w:t>
            </w:r>
          </w:p>
        </w:tc>
        <w:tc>
          <w:tcPr>
            <w:tcW w:w="200" w:type="dxa"/>
            <w:vAlign w:val="bottom"/>
            <w:tcBorders>
              <w:bottom w:val="single" w:sz="8" w:color="auto"/>
            </w:tcBorders>
            <w:shd w:val="clear" w:color="auto" w:fill="CEFFE7"/>
          </w:tcPr>
          <w:p>
            <w:pPr>
              <w:spacing w:after="0"/>
              <w:rPr>
                <w:sz w:val="16"/>
                <w:szCs w:val="16"/>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1,074</w:t>
            </w:r>
          </w:p>
        </w:tc>
        <w:tc>
          <w:tcPr>
            <w:tcW w:w="160" w:type="dxa"/>
            <w:vAlign w:val="bottom"/>
            <w:tcBorders>
              <w:bottom w:val="single" w:sz="8" w:color="auto"/>
            </w:tcBorders>
            <w:shd w:val="clear" w:color="auto" w:fill="CEFFE7"/>
          </w:tcPr>
          <w:p>
            <w:pPr>
              <w:spacing w:after="0"/>
              <w:rPr>
                <w:sz w:val="16"/>
                <w:szCs w:val="16"/>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shd w:val="clear" w:color="auto" w:fill="CEFFE7"/>
          </w:tcPr>
          <w:p>
            <w:pPr>
              <w:ind w:left="10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8,508</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EFFE7"/>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689,636</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1,007,571</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9,439</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28,254</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1,734,900</w:t>
            </w:r>
          </w:p>
        </w:tc>
        <w:tc>
          <w:tcPr>
            <w:tcW w:w="0" w:type="dxa"/>
            <w:vAlign w:val="bottom"/>
          </w:tcPr>
          <w:p>
            <w:pPr>
              <w:spacing w:after="0"/>
              <w:rPr>
                <w:sz w:val="1"/>
                <w:szCs w:val="1"/>
                <w:color w:val="auto"/>
              </w:rPr>
            </w:pPr>
          </w:p>
        </w:tc>
      </w:tr>
      <w:tr>
        <w:trPr>
          <w:trHeight w:val="169"/>
        </w:trPr>
        <w:tc>
          <w:tcPr>
            <w:tcW w:w="368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Inter-company operating revenue -</w:t>
            </w:r>
          </w:p>
        </w:tc>
        <w:tc>
          <w:tcPr>
            <w:tcW w:w="180" w:type="dxa"/>
            <w:vAlign w:val="bottom"/>
            <w:shd w:val="clear" w:color="auto" w:fill="CEFFE7"/>
          </w:tcPr>
          <w:p>
            <w:pPr>
              <w:spacing w:after="0"/>
              <w:rPr>
                <w:sz w:val="14"/>
                <w:szCs w:val="14"/>
                <w:color w:val="auto"/>
              </w:rPr>
            </w:pPr>
          </w:p>
        </w:tc>
        <w:tc>
          <w:tcPr>
            <w:tcW w:w="780" w:type="dxa"/>
            <w:vAlign w:val="bottom"/>
            <w:shd w:val="clear" w:color="auto" w:fill="CEFFE7"/>
          </w:tcPr>
          <w:p>
            <w:pPr>
              <w:spacing w:after="0"/>
              <w:rPr>
                <w:sz w:val="14"/>
                <w:szCs w:val="14"/>
                <w:color w:val="auto"/>
              </w:rPr>
            </w:pPr>
          </w:p>
        </w:tc>
        <w:tc>
          <w:tcPr>
            <w:tcW w:w="12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40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760" w:type="dxa"/>
            <w:vAlign w:val="bottom"/>
            <w:shd w:val="clear" w:color="auto" w:fill="CEFFE7"/>
          </w:tcPr>
          <w:p>
            <w:pPr>
              <w:spacing w:after="0"/>
              <w:rPr>
                <w:sz w:val="14"/>
                <w:szCs w:val="14"/>
                <w:color w:val="auto"/>
              </w:rPr>
            </w:pPr>
          </w:p>
        </w:tc>
        <w:tc>
          <w:tcPr>
            <w:tcW w:w="160" w:type="dxa"/>
            <w:vAlign w:val="bottom"/>
            <w:shd w:val="clear" w:color="auto" w:fill="CEFFE7"/>
          </w:tcPr>
          <w:p>
            <w:pPr>
              <w:spacing w:after="0"/>
              <w:rPr>
                <w:sz w:val="14"/>
                <w:szCs w:val="14"/>
                <w:color w:val="auto"/>
              </w:rPr>
            </w:pPr>
          </w:p>
        </w:tc>
        <w:tc>
          <w:tcPr>
            <w:tcW w:w="840" w:type="dxa"/>
            <w:vAlign w:val="bottom"/>
            <w:shd w:val="clear" w:color="auto" w:fill="CEFFE7"/>
          </w:tcPr>
          <w:p>
            <w:pPr>
              <w:spacing w:after="0"/>
              <w:rPr>
                <w:sz w:val="14"/>
                <w:szCs w:val="14"/>
                <w:color w:val="auto"/>
              </w:rPr>
            </w:pPr>
          </w:p>
        </w:tc>
        <w:tc>
          <w:tcPr>
            <w:tcW w:w="16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80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23,116</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2,459</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91,577</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32,053</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(149,435)</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18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242</w:t>
            </w:r>
          </w:p>
        </w:tc>
        <w:tc>
          <w:tcPr>
            <w:tcW w:w="200" w:type="dxa"/>
            <w:vAlign w:val="bottom"/>
            <w:tcBorders>
              <w:bottom w:val="single" w:sz="8" w:color="auto"/>
            </w:tcBorders>
            <w:shd w:val="clear" w:color="auto" w:fill="CEFFE7"/>
          </w:tcPr>
          <w:p>
            <w:pPr>
              <w:spacing w:after="0"/>
              <w:rPr>
                <w:sz w:val="16"/>
                <w:szCs w:val="16"/>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1,322</w:t>
            </w:r>
          </w:p>
        </w:tc>
        <w:tc>
          <w:tcPr>
            <w:tcW w:w="160" w:type="dxa"/>
            <w:vAlign w:val="bottom"/>
            <w:tcBorders>
              <w:bottom w:val="single" w:sz="8" w:color="auto"/>
            </w:tcBorders>
            <w:shd w:val="clear" w:color="auto" w:fill="CEFFE7"/>
          </w:tcPr>
          <w:p>
            <w:pPr>
              <w:spacing w:after="0"/>
              <w:rPr>
                <w:sz w:val="16"/>
                <w:szCs w:val="16"/>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343,975</w:t>
            </w:r>
          </w:p>
        </w:tc>
        <w:tc>
          <w:tcPr>
            <w:tcW w:w="160" w:type="dxa"/>
            <w:vAlign w:val="bottom"/>
            <w:tcBorders>
              <w:bottom w:val="single" w:sz="8" w:color="auto"/>
            </w:tcBorders>
            <w:shd w:val="clear" w:color="auto" w:fill="CEFFE7"/>
          </w:tcPr>
          <w:p>
            <w:pPr>
              <w:spacing w:after="0"/>
              <w:rPr>
                <w:sz w:val="16"/>
                <w:szCs w:val="16"/>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(345,539)</w:t>
            </w:r>
          </w:p>
        </w:tc>
        <w:tc>
          <w:tcPr>
            <w:tcW w:w="18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EFFE7"/>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23,116</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2,459</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91,819</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33,375</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344,205</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(494,974)</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shd w:val="clear" w:color="auto" w:fill="CEFFE7"/>
          </w:tcPr>
          <w:p>
            <w:pPr>
              <w:ind w:left="20"/>
              <w:spacing w:after="0"/>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712,752</w:t>
            </w:r>
          </w:p>
        </w:tc>
        <w:tc>
          <w:tcPr>
            <w:tcW w:w="120" w:type="dxa"/>
            <w:vAlign w:val="bottom"/>
            <w:tcBorders>
              <w:bottom w:val="single" w:sz="8" w:color="auto"/>
            </w:tcBorders>
            <w:shd w:val="clear" w:color="auto" w:fill="CEFFE7"/>
          </w:tcPr>
          <w:p>
            <w:pPr>
              <w:spacing w:after="0"/>
              <w:rPr>
                <w:sz w:val="15"/>
                <w:szCs w:val="15"/>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1,010,030</w:t>
            </w:r>
          </w:p>
        </w:tc>
        <w:tc>
          <w:tcPr>
            <w:tcW w:w="400" w:type="dxa"/>
            <w:vAlign w:val="bottom"/>
            <w:tcBorders>
              <w:bottom w:val="single" w:sz="8" w:color="auto"/>
            </w:tcBorders>
            <w:shd w:val="clear" w:color="auto" w:fill="CEFFE7"/>
          </w:tcPr>
          <w:p>
            <w:pPr>
              <w:spacing w:after="0"/>
              <w:rPr>
                <w:sz w:val="15"/>
                <w:szCs w:val="15"/>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101,258</w:t>
            </w:r>
          </w:p>
        </w:tc>
        <w:tc>
          <w:tcPr>
            <w:tcW w:w="200" w:type="dxa"/>
            <w:vAlign w:val="bottom"/>
            <w:tcBorders>
              <w:bottom w:val="single" w:sz="8" w:color="auto"/>
            </w:tcBorders>
            <w:shd w:val="clear" w:color="auto" w:fill="CEFFE7"/>
          </w:tcPr>
          <w:p>
            <w:pPr>
              <w:spacing w:after="0"/>
              <w:rPr>
                <w:sz w:val="15"/>
                <w:szCs w:val="15"/>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61,629</w:t>
            </w:r>
          </w:p>
        </w:tc>
        <w:tc>
          <w:tcPr>
            <w:tcW w:w="160" w:type="dxa"/>
            <w:vAlign w:val="bottom"/>
            <w:tcBorders>
              <w:bottom w:val="single" w:sz="8" w:color="auto"/>
            </w:tcBorders>
            <w:shd w:val="clear" w:color="auto" w:fill="CEFFE7"/>
          </w:tcPr>
          <w:p>
            <w:pPr>
              <w:spacing w:after="0"/>
              <w:rPr>
                <w:sz w:val="15"/>
                <w:szCs w:val="15"/>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344,205</w:t>
            </w:r>
          </w:p>
        </w:tc>
        <w:tc>
          <w:tcPr>
            <w:tcW w:w="160" w:type="dxa"/>
            <w:vAlign w:val="bottom"/>
            <w:tcBorders>
              <w:bottom w:val="single" w:sz="8" w:color="auto"/>
            </w:tcBorders>
            <w:shd w:val="clear" w:color="auto" w:fill="CEFFE7"/>
          </w:tcPr>
          <w:p>
            <w:pPr>
              <w:spacing w:after="0"/>
              <w:rPr>
                <w:sz w:val="15"/>
                <w:szCs w:val="15"/>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(494,974)</w:t>
            </w:r>
          </w:p>
        </w:tc>
        <w:tc>
          <w:tcPr>
            <w:tcW w:w="180" w:type="dxa"/>
            <w:vAlign w:val="bottom"/>
            <w:tcBorders>
              <w:bottom w:val="single" w:sz="8" w:color="auto"/>
            </w:tcBorders>
            <w:shd w:val="clear" w:color="auto" w:fill="CEFFE7"/>
          </w:tcPr>
          <w:p>
            <w:pPr>
              <w:spacing w:after="0"/>
              <w:rPr>
                <w:sz w:val="15"/>
                <w:szCs w:val="15"/>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1,734,900</w:t>
            </w: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EFFE7"/>
          </w:tcPr>
          <w:p>
            <w:pPr>
              <w:ind w:left="20"/>
              <w:spacing w:after="0"/>
              <w:rPr>
                <w:sz w:val="20"/>
                <w:szCs w:val="20"/>
                <w:color w:val="auto"/>
              </w:rPr>
            </w:pPr>
            <w:r>
              <w:rPr>
                <w:rFonts w:ascii="Arial" w:cs="Arial" w:eastAsia="Arial" w:hAnsi="Arial"/>
                <w:sz w:val="14"/>
                <w:szCs w:val="14"/>
                <w:color w:val="auto"/>
              </w:rPr>
              <w:t>Fuel, purchased power and cost of natural gas sold</w:t>
            </w:r>
          </w:p>
        </w:tc>
        <w:tc>
          <w:tcPr>
            <w:tcW w:w="18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268,297</w:t>
            </w:r>
          </w:p>
        </w:tc>
        <w:tc>
          <w:tcPr>
            <w:tcW w:w="120" w:type="dxa"/>
            <w:vAlign w:val="bottom"/>
            <w:shd w:val="clear" w:color="auto" w:fill="CEFFE7"/>
          </w:tcPr>
          <w:p>
            <w:pPr>
              <w:spacing w:after="0"/>
              <w:rPr>
                <w:sz w:val="16"/>
                <w:szCs w:val="16"/>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425,898</w:t>
            </w:r>
          </w:p>
        </w:tc>
        <w:tc>
          <w:tcPr>
            <w:tcW w:w="400" w:type="dxa"/>
            <w:vAlign w:val="bottom"/>
            <w:shd w:val="clear" w:color="auto" w:fill="CEFFE7"/>
          </w:tcPr>
          <w:p>
            <w:pPr>
              <w:spacing w:after="0"/>
              <w:rPr>
                <w:sz w:val="16"/>
                <w:szCs w:val="16"/>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9,059</w:t>
            </w:r>
          </w:p>
        </w:tc>
        <w:tc>
          <w:tcPr>
            <w:tcW w:w="200" w:type="dxa"/>
            <w:vAlign w:val="bottom"/>
            <w:shd w:val="clear" w:color="auto" w:fill="CEFFE7"/>
          </w:tcPr>
          <w:p>
            <w:pPr>
              <w:spacing w:after="0"/>
              <w:rPr>
                <w:sz w:val="16"/>
                <w:szCs w:val="16"/>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268</w:t>
            </w:r>
          </w:p>
        </w:tc>
        <w:tc>
          <w:tcPr>
            <w:tcW w:w="160" w:type="dxa"/>
            <w:vAlign w:val="bottom"/>
            <w:shd w:val="clear" w:color="auto" w:fill="CEFFE7"/>
          </w:tcPr>
          <w:p>
            <w:pPr>
              <w:spacing w:after="0"/>
              <w:rPr>
                <w:sz w:val="16"/>
                <w:szCs w:val="16"/>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(132,693)</w:t>
            </w: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570,829</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rPr>
                <w:sz w:val="20"/>
                <w:szCs w:val="20"/>
                <w:color w:val="auto"/>
              </w:rPr>
            </w:pPr>
            <w:r>
              <w:rPr>
                <w:rFonts w:ascii="Arial" w:cs="Arial" w:eastAsia="Arial" w:hAnsi="Arial"/>
                <w:sz w:val="14"/>
                <w:szCs w:val="14"/>
                <w:color w:val="auto"/>
              </w:rPr>
              <w:t>Operations and maintenance, including taxes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195,581</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301,844</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28,429</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40,032</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286,799</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(303,776)</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548,909</w:t>
            </w:r>
          </w:p>
        </w:tc>
        <w:tc>
          <w:tcPr>
            <w:tcW w:w="0" w:type="dxa"/>
            <w:vAlign w:val="bottom"/>
          </w:tcPr>
          <w:p>
            <w:pPr>
              <w:spacing w:after="0"/>
              <w:rPr>
                <w:sz w:val="1"/>
                <w:szCs w:val="1"/>
                <w:color w:val="auto"/>
              </w:rPr>
            </w:pPr>
          </w:p>
        </w:tc>
      </w:tr>
      <w:tr>
        <w:trPr>
          <w:trHeight w:val="189"/>
        </w:trPr>
        <w:tc>
          <w:tcPr>
            <w:tcW w:w="3680" w:type="dxa"/>
            <w:vAlign w:val="bottom"/>
            <w:shd w:val="clear" w:color="auto" w:fill="CEFEE7"/>
          </w:tcPr>
          <w:p>
            <w:pPr>
              <w:ind w:left="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88,577</w:t>
            </w:r>
          </w:p>
        </w:tc>
        <w:tc>
          <w:tcPr>
            <w:tcW w:w="12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92,317</w:t>
            </w:r>
          </w:p>
        </w:tc>
        <w:tc>
          <w:tcPr>
            <w:tcW w:w="40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18,991</w:t>
            </w:r>
          </w:p>
        </w:tc>
        <w:tc>
          <w:tcPr>
            <w:tcW w:w="200" w:type="dxa"/>
            <w:vAlign w:val="bottom"/>
            <w:tcBorders>
              <w:bottom w:val="single" w:sz="8" w:color="auto"/>
            </w:tcBorders>
            <w:shd w:val="clear" w:color="auto" w:fill="CEFFE7"/>
          </w:tcPr>
          <w:p>
            <w:pPr>
              <w:spacing w:after="0"/>
              <w:rPr>
                <w:sz w:val="16"/>
                <w:szCs w:val="16"/>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8,970</w:t>
            </w:r>
          </w:p>
        </w:tc>
        <w:tc>
          <w:tcPr>
            <w:tcW w:w="160" w:type="dxa"/>
            <w:vAlign w:val="bottom"/>
            <w:tcBorders>
              <w:bottom w:val="single" w:sz="8" w:color="auto"/>
            </w:tcBorders>
            <w:shd w:val="clear" w:color="auto" w:fill="CEFFE7"/>
          </w:tcPr>
          <w:p>
            <w:pPr>
              <w:spacing w:after="0"/>
              <w:rPr>
                <w:sz w:val="16"/>
                <w:szCs w:val="16"/>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22,065</w:t>
            </w:r>
          </w:p>
        </w:tc>
        <w:tc>
          <w:tcPr>
            <w:tcW w:w="160" w:type="dxa"/>
            <w:vAlign w:val="bottom"/>
            <w:tcBorders>
              <w:bottom w:val="single" w:sz="8" w:color="auto"/>
            </w:tcBorders>
            <w:shd w:val="clear" w:color="auto" w:fill="CEFFE7"/>
          </w:tcPr>
          <w:p>
            <w:pPr>
              <w:spacing w:after="0"/>
              <w:rPr>
                <w:sz w:val="16"/>
                <w:szCs w:val="16"/>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(21,800)</w:t>
            </w:r>
          </w:p>
        </w:tc>
        <w:tc>
          <w:tcPr>
            <w:tcW w:w="18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209,120</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Adjusted operating income (loss)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160,297</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189,971</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44,779</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12,627</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35,073</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(36,705)</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406,042</w:t>
            </w:r>
          </w:p>
        </w:tc>
        <w:tc>
          <w:tcPr>
            <w:tcW w:w="0" w:type="dxa"/>
            <w:vAlign w:val="bottom"/>
          </w:tcPr>
          <w:p>
            <w:pPr>
              <w:spacing w:after="0"/>
              <w:rPr>
                <w:sz w:val="1"/>
                <w:szCs w:val="1"/>
                <w:color w:val="auto"/>
              </w:rPr>
            </w:pPr>
          </w:p>
        </w:tc>
      </w:tr>
      <w:tr>
        <w:trPr>
          <w:trHeight w:val="250"/>
        </w:trPr>
        <w:tc>
          <w:tcPr>
            <w:tcW w:w="368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780" w:type="dxa"/>
            <w:vAlign w:val="bottom"/>
            <w:shd w:val="clear" w:color="auto" w:fill="CEFFE7"/>
          </w:tcPr>
          <w:p>
            <w:pPr>
              <w:spacing w:after="0"/>
              <w:rPr>
                <w:sz w:val="21"/>
                <w:szCs w:val="21"/>
                <w:color w:val="auto"/>
              </w:rPr>
            </w:pPr>
          </w:p>
        </w:tc>
        <w:tc>
          <w:tcPr>
            <w:tcW w:w="120" w:type="dxa"/>
            <w:vAlign w:val="bottom"/>
            <w:shd w:val="clear" w:color="auto" w:fill="CEFFE7"/>
          </w:tcPr>
          <w:p>
            <w:pPr>
              <w:spacing w:after="0"/>
              <w:rPr>
                <w:sz w:val="21"/>
                <w:szCs w:val="21"/>
                <w:color w:val="auto"/>
              </w:rPr>
            </w:pPr>
          </w:p>
        </w:tc>
        <w:tc>
          <w:tcPr>
            <w:tcW w:w="860" w:type="dxa"/>
            <w:vAlign w:val="bottom"/>
            <w:shd w:val="clear" w:color="auto" w:fill="CEFFE7"/>
          </w:tcPr>
          <w:p>
            <w:pPr>
              <w:spacing w:after="0"/>
              <w:rPr>
                <w:sz w:val="21"/>
                <w:szCs w:val="21"/>
                <w:color w:val="auto"/>
              </w:rPr>
            </w:pPr>
          </w:p>
        </w:tc>
        <w:tc>
          <w:tcPr>
            <w:tcW w:w="400" w:type="dxa"/>
            <w:vAlign w:val="bottom"/>
            <w:shd w:val="clear" w:color="auto" w:fill="CEFFE7"/>
          </w:tcPr>
          <w:p>
            <w:pPr>
              <w:spacing w:after="0"/>
              <w:rPr>
                <w:sz w:val="21"/>
                <w:szCs w:val="21"/>
                <w:color w:val="auto"/>
              </w:rPr>
            </w:pPr>
          </w:p>
        </w:tc>
        <w:tc>
          <w:tcPr>
            <w:tcW w:w="860" w:type="dxa"/>
            <w:vAlign w:val="bottom"/>
            <w:shd w:val="clear" w:color="auto" w:fill="CEFFE7"/>
          </w:tcPr>
          <w:p>
            <w:pPr>
              <w:spacing w:after="0"/>
              <w:rPr>
                <w:sz w:val="21"/>
                <w:szCs w:val="21"/>
                <w:color w:val="auto"/>
              </w:rPr>
            </w:pPr>
          </w:p>
        </w:tc>
        <w:tc>
          <w:tcPr>
            <w:tcW w:w="200" w:type="dxa"/>
            <w:vAlign w:val="bottom"/>
            <w:shd w:val="clear" w:color="auto" w:fill="CEFFE7"/>
          </w:tcPr>
          <w:p>
            <w:pPr>
              <w:spacing w:after="0"/>
              <w:rPr>
                <w:sz w:val="21"/>
                <w:szCs w:val="21"/>
                <w:color w:val="auto"/>
              </w:rPr>
            </w:pPr>
          </w:p>
        </w:tc>
        <w:tc>
          <w:tcPr>
            <w:tcW w:w="76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84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122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80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(137,659)</w:t>
            </w:r>
          </w:p>
        </w:tc>
        <w:tc>
          <w:tcPr>
            <w:tcW w:w="0" w:type="dxa"/>
            <w:vAlign w:val="bottom"/>
          </w:tcPr>
          <w:p>
            <w:pPr>
              <w:spacing w:after="0"/>
              <w:rPr>
                <w:sz w:val="1"/>
                <w:szCs w:val="1"/>
                <w:color w:val="auto"/>
              </w:rPr>
            </w:pPr>
          </w:p>
        </w:tc>
      </w:tr>
      <w:tr>
        <w:trPr>
          <w:trHeight w:val="189"/>
        </w:trPr>
        <w:tc>
          <w:tcPr>
            <w:tcW w:w="3680" w:type="dxa"/>
            <w:vAlign w:val="bottom"/>
            <w:shd w:val="clear" w:color="auto" w:fill="CEFFE7"/>
          </w:tcPr>
          <w:p>
            <w:pPr>
              <w:ind w:left="20"/>
              <w:spacing w:after="0"/>
              <w:rPr>
                <w:sz w:val="20"/>
                <w:szCs w:val="20"/>
                <w:color w:val="auto"/>
              </w:rPr>
            </w:pPr>
            <w:r>
              <w:rPr>
                <w:rFonts w:ascii="Arial" w:cs="Arial" w:eastAsia="Arial" w:hAnsi="Arial"/>
                <w:sz w:val="14"/>
                <w:szCs w:val="14"/>
                <w:color w:val="auto"/>
              </w:rPr>
              <w:t>Impairment of investment</w:t>
            </w:r>
          </w:p>
        </w:tc>
        <w:tc>
          <w:tcPr>
            <w:tcW w:w="18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40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6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8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(19,741)</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89"/>
        </w:trPr>
        <w:tc>
          <w:tcPr>
            <w:tcW w:w="368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Income tax benefit (expense)</w:t>
            </w:r>
          </w:p>
        </w:tc>
        <w:tc>
          <w:tcPr>
            <w:tcW w:w="18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2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40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6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84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18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(29,580)</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Income from continuing operations</w:t>
            </w:r>
          </w:p>
        </w:tc>
        <w:tc>
          <w:tcPr>
            <w:tcW w:w="180" w:type="dxa"/>
            <w:vAlign w:val="bottom"/>
            <w:tcBorders>
              <w:bottom w:val="single" w:sz="8" w:color="CEFFE7"/>
            </w:tcBorders>
          </w:tcPr>
          <w:p>
            <w:pPr>
              <w:spacing w:after="0"/>
              <w:rPr>
                <w:sz w:val="15"/>
                <w:szCs w:val="15"/>
                <w:color w:val="auto"/>
              </w:rPr>
            </w:pPr>
          </w:p>
        </w:tc>
        <w:tc>
          <w:tcPr>
            <w:tcW w:w="780" w:type="dxa"/>
            <w:vAlign w:val="bottom"/>
            <w:tcBorders>
              <w:bottom w:val="single" w:sz="8" w:color="CEFFE7"/>
            </w:tcBorders>
          </w:tcPr>
          <w:p>
            <w:pPr>
              <w:spacing w:after="0"/>
              <w:rPr>
                <w:sz w:val="15"/>
                <w:szCs w:val="15"/>
                <w:color w:val="auto"/>
              </w:rPr>
            </w:pPr>
          </w:p>
        </w:tc>
        <w:tc>
          <w:tcPr>
            <w:tcW w:w="120" w:type="dxa"/>
            <w:vAlign w:val="bottom"/>
            <w:tcBorders>
              <w:bottom w:val="single" w:sz="8" w:color="CEFFE7"/>
            </w:tcBorders>
          </w:tcPr>
          <w:p>
            <w:pPr>
              <w:spacing w:after="0"/>
              <w:rPr>
                <w:sz w:val="15"/>
                <w:szCs w:val="15"/>
                <w:color w:val="auto"/>
              </w:rPr>
            </w:pPr>
          </w:p>
        </w:tc>
        <w:tc>
          <w:tcPr>
            <w:tcW w:w="860" w:type="dxa"/>
            <w:vAlign w:val="bottom"/>
            <w:tcBorders>
              <w:bottom w:val="single" w:sz="8" w:color="CEFFE7"/>
            </w:tcBorders>
          </w:tcPr>
          <w:p>
            <w:pPr>
              <w:spacing w:after="0"/>
              <w:rPr>
                <w:sz w:val="15"/>
                <w:szCs w:val="15"/>
                <w:color w:val="auto"/>
              </w:rPr>
            </w:pPr>
          </w:p>
        </w:tc>
        <w:tc>
          <w:tcPr>
            <w:tcW w:w="400" w:type="dxa"/>
            <w:vAlign w:val="bottom"/>
            <w:tcBorders>
              <w:bottom w:val="single" w:sz="8" w:color="CEFFE7"/>
            </w:tcBorders>
          </w:tcPr>
          <w:p>
            <w:pPr>
              <w:spacing w:after="0"/>
              <w:rPr>
                <w:sz w:val="15"/>
                <w:szCs w:val="15"/>
                <w:color w:val="auto"/>
              </w:rPr>
            </w:pPr>
          </w:p>
        </w:tc>
        <w:tc>
          <w:tcPr>
            <w:tcW w:w="860" w:type="dxa"/>
            <w:vAlign w:val="bottom"/>
            <w:tcBorders>
              <w:bottom w:val="single" w:sz="8" w:color="CEFFE7"/>
            </w:tcBorders>
          </w:tcPr>
          <w:p>
            <w:pPr>
              <w:spacing w:after="0"/>
              <w:rPr>
                <w:sz w:val="15"/>
                <w:szCs w:val="15"/>
                <w:color w:val="auto"/>
              </w:rPr>
            </w:pPr>
          </w:p>
        </w:tc>
        <w:tc>
          <w:tcPr>
            <w:tcW w:w="200" w:type="dxa"/>
            <w:vAlign w:val="bottom"/>
            <w:tcBorders>
              <w:bottom w:val="single" w:sz="8" w:color="CEFFE7"/>
            </w:tcBorders>
          </w:tcPr>
          <w:p>
            <w:pPr>
              <w:spacing w:after="0"/>
              <w:rPr>
                <w:sz w:val="15"/>
                <w:szCs w:val="15"/>
                <w:color w:val="auto"/>
              </w:rPr>
            </w:pPr>
          </w:p>
        </w:tc>
        <w:tc>
          <w:tcPr>
            <w:tcW w:w="76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84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1220" w:type="dxa"/>
            <w:vAlign w:val="bottom"/>
            <w:tcBorders>
              <w:bottom w:val="single" w:sz="8" w:color="CEFFE7"/>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213,322</w:t>
            </w:r>
          </w:p>
        </w:tc>
        <w:tc>
          <w:tcPr>
            <w:tcW w:w="0" w:type="dxa"/>
            <w:vAlign w:val="bottom"/>
          </w:tcPr>
          <w:p>
            <w:pPr>
              <w:spacing w:after="0"/>
              <w:rPr>
                <w:sz w:val="1"/>
                <w:szCs w:val="1"/>
                <w:color w:val="auto"/>
              </w:rPr>
            </w:pPr>
          </w:p>
        </w:tc>
      </w:tr>
      <w:tr>
        <w:trPr>
          <w:trHeight w:val="183"/>
        </w:trPr>
        <w:tc>
          <w:tcPr>
            <w:tcW w:w="3680" w:type="dxa"/>
            <w:vAlign w:val="bottom"/>
            <w:shd w:val="clear" w:color="auto" w:fill="CEFFE7"/>
          </w:tcPr>
          <w:p>
            <w:pPr>
              <w:ind w:left="20"/>
              <w:spacing w:after="0"/>
              <w:rPr>
                <w:sz w:val="20"/>
                <w:szCs w:val="20"/>
                <w:color w:val="auto"/>
              </w:rPr>
            </w:pPr>
            <w:r>
              <w:rPr>
                <w:rFonts w:ascii="Arial" w:cs="Arial" w:eastAsia="Arial" w:hAnsi="Arial"/>
                <w:sz w:val="14"/>
                <w:szCs w:val="14"/>
                <w:color w:val="auto"/>
              </w:rPr>
              <w:t>(Loss) from discontinued operations, net of tax</w:t>
            </w:r>
          </w:p>
        </w:tc>
        <w:tc>
          <w:tcPr>
            <w:tcW w:w="18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40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c>
          <w:tcPr>
            <w:tcW w:w="180" w:type="dxa"/>
            <w:vAlign w:val="bottom"/>
            <w:tcBorders>
              <w:bottom w:val="single" w:sz="8" w:color="auto"/>
            </w:tcBorders>
            <w:shd w:val="clear" w:color="auto" w:fill="CEFFE7"/>
          </w:tcPr>
          <w:p>
            <w:pPr>
              <w:spacing w:after="0"/>
              <w:rPr>
                <w:sz w:val="15"/>
                <w:szCs w:val="15"/>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CEFFE7"/>
            </w:tcBorders>
          </w:tcPr>
          <w:p>
            <w:pPr>
              <w:spacing w:after="0"/>
              <w:rPr>
                <w:sz w:val="15"/>
                <w:szCs w:val="15"/>
                <w:color w:val="auto"/>
              </w:rPr>
            </w:pPr>
          </w:p>
        </w:tc>
        <w:tc>
          <w:tcPr>
            <w:tcW w:w="780" w:type="dxa"/>
            <w:vAlign w:val="bottom"/>
            <w:tcBorders>
              <w:bottom w:val="single" w:sz="8" w:color="CEFFE7"/>
            </w:tcBorders>
          </w:tcPr>
          <w:p>
            <w:pPr>
              <w:spacing w:after="0"/>
              <w:rPr>
                <w:sz w:val="15"/>
                <w:szCs w:val="15"/>
                <w:color w:val="auto"/>
              </w:rPr>
            </w:pPr>
          </w:p>
        </w:tc>
        <w:tc>
          <w:tcPr>
            <w:tcW w:w="120" w:type="dxa"/>
            <w:vAlign w:val="bottom"/>
            <w:tcBorders>
              <w:bottom w:val="single" w:sz="8" w:color="CEFFE7"/>
            </w:tcBorders>
          </w:tcPr>
          <w:p>
            <w:pPr>
              <w:spacing w:after="0"/>
              <w:rPr>
                <w:sz w:val="15"/>
                <w:szCs w:val="15"/>
                <w:color w:val="auto"/>
              </w:rPr>
            </w:pPr>
          </w:p>
        </w:tc>
        <w:tc>
          <w:tcPr>
            <w:tcW w:w="860" w:type="dxa"/>
            <w:vAlign w:val="bottom"/>
            <w:tcBorders>
              <w:bottom w:val="single" w:sz="8" w:color="CEFFE7"/>
            </w:tcBorders>
          </w:tcPr>
          <w:p>
            <w:pPr>
              <w:spacing w:after="0"/>
              <w:rPr>
                <w:sz w:val="15"/>
                <w:szCs w:val="15"/>
                <w:color w:val="auto"/>
              </w:rPr>
            </w:pPr>
          </w:p>
        </w:tc>
        <w:tc>
          <w:tcPr>
            <w:tcW w:w="400" w:type="dxa"/>
            <w:vAlign w:val="bottom"/>
            <w:tcBorders>
              <w:bottom w:val="single" w:sz="8" w:color="CEFFE7"/>
            </w:tcBorders>
          </w:tcPr>
          <w:p>
            <w:pPr>
              <w:spacing w:after="0"/>
              <w:rPr>
                <w:sz w:val="15"/>
                <w:szCs w:val="15"/>
                <w:color w:val="auto"/>
              </w:rPr>
            </w:pPr>
          </w:p>
        </w:tc>
        <w:tc>
          <w:tcPr>
            <w:tcW w:w="860" w:type="dxa"/>
            <w:vAlign w:val="bottom"/>
            <w:tcBorders>
              <w:bottom w:val="single" w:sz="8" w:color="CEFFE7"/>
            </w:tcBorders>
          </w:tcPr>
          <w:p>
            <w:pPr>
              <w:spacing w:after="0"/>
              <w:rPr>
                <w:sz w:val="15"/>
                <w:szCs w:val="15"/>
                <w:color w:val="auto"/>
              </w:rPr>
            </w:pPr>
          </w:p>
        </w:tc>
        <w:tc>
          <w:tcPr>
            <w:tcW w:w="200" w:type="dxa"/>
            <w:vAlign w:val="bottom"/>
            <w:tcBorders>
              <w:bottom w:val="single" w:sz="8" w:color="CEFFE7"/>
            </w:tcBorders>
          </w:tcPr>
          <w:p>
            <w:pPr>
              <w:spacing w:after="0"/>
              <w:rPr>
                <w:sz w:val="15"/>
                <w:szCs w:val="15"/>
                <w:color w:val="auto"/>
              </w:rPr>
            </w:pPr>
          </w:p>
        </w:tc>
        <w:tc>
          <w:tcPr>
            <w:tcW w:w="76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84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1220" w:type="dxa"/>
            <w:vAlign w:val="bottom"/>
            <w:tcBorders>
              <w:bottom w:val="single" w:sz="8" w:color="CEFFE7"/>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213,322</w:t>
            </w:r>
          </w:p>
        </w:tc>
        <w:tc>
          <w:tcPr>
            <w:tcW w:w="0" w:type="dxa"/>
            <w:vAlign w:val="bottom"/>
          </w:tcPr>
          <w:p>
            <w:pPr>
              <w:spacing w:after="0"/>
              <w:rPr>
                <w:sz w:val="1"/>
                <w:szCs w:val="1"/>
                <w:color w:val="auto"/>
              </w:rPr>
            </w:pPr>
          </w:p>
        </w:tc>
      </w:tr>
      <w:tr>
        <w:trPr>
          <w:trHeight w:val="183"/>
        </w:trPr>
        <w:tc>
          <w:tcPr>
            <w:tcW w:w="368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18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40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6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c>
          <w:tcPr>
            <w:tcW w:w="180" w:type="dxa"/>
            <w:vAlign w:val="bottom"/>
            <w:tcBorders>
              <w:bottom w:val="single" w:sz="8" w:color="auto"/>
            </w:tcBorders>
            <w:shd w:val="clear" w:color="auto" w:fill="CEFFE7"/>
          </w:tcPr>
          <w:p>
            <w:pPr>
              <w:spacing w:after="0"/>
              <w:rPr>
                <w:sz w:val="15"/>
                <w:szCs w:val="15"/>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(14,012)</w:t>
            </w:r>
          </w:p>
        </w:tc>
        <w:tc>
          <w:tcPr>
            <w:tcW w:w="0" w:type="dxa"/>
            <w:vAlign w:val="bottom"/>
          </w:tcPr>
          <w:p>
            <w:pPr>
              <w:spacing w:after="0"/>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4"/>
                <w:szCs w:val="14"/>
                <w:color w:val="auto"/>
              </w:rPr>
              <w:t>Net income available for common stock</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199,310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Consolidating Income Statement</w:t>
            </w: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70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2018</w:t>
            </w:r>
          </w:p>
        </w:tc>
        <w:tc>
          <w:tcPr>
            <w:tcW w:w="180" w:type="dxa"/>
            <w:vAlign w:val="bottom"/>
          </w:tcPr>
          <w:p>
            <w:pPr>
              <w:spacing w:after="0"/>
              <w:rPr>
                <w:sz w:val="12"/>
                <w:szCs w:val="12"/>
                <w:color w:val="auto"/>
              </w:rPr>
            </w:pPr>
          </w:p>
        </w:tc>
        <w:tc>
          <w:tcPr>
            <w:tcW w:w="78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Electric</w:t>
            </w:r>
          </w:p>
        </w:tc>
        <w:tc>
          <w:tcPr>
            <w:tcW w:w="140" w:type="dxa"/>
            <w:vAlign w:val="bottom"/>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Gas Utilities</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Power Generation</w:t>
            </w:r>
          </w:p>
        </w:tc>
        <w:tc>
          <w:tcPr>
            <w:tcW w:w="20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color w:val="auto"/>
              </w:rPr>
              <w:t>Mining</w:t>
            </w:r>
          </w:p>
        </w:tc>
        <w:tc>
          <w:tcPr>
            <w:tcW w:w="160" w:type="dxa"/>
            <w:vAlign w:val="bottom"/>
          </w:tcPr>
          <w:p>
            <w:pPr>
              <w:spacing w:after="0"/>
              <w:rPr>
                <w:sz w:val="12"/>
                <w:szCs w:val="12"/>
                <w:color w:val="auto"/>
              </w:rPr>
            </w:pPr>
          </w:p>
        </w:tc>
        <w:tc>
          <w:tcPr>
            <w:tcW w:w="1000" w:type="dxa"/>
            <w:vAlign w:val="bottom"/>
            <w:vMerge w:val="restart"/>
          </w:tcPr>
          <w:p>
            <w:pPr>
              <w:jc w:val="right"/>
              <w:ind w:right="248"/>
              <w:spacing w:after="0"/>
              <w:rPr>
                <w:sz w:val="20"/>
                <w:szCs w:val="20"/>
                <w:color w:val="auto"/>
              </w:rPr>
            </w:pPr>
            <w:r>
              <w:rPr>
                <w:rFonts w:ascii="Arial" w:cs="Arial" w:eastAsia="Arial" w:hAnsi="Arial"/>
                <w:sz w:val="14"/>
                <w:szCs w:val="14"/>
                <w:color w:val="auto"/>
              </w:rPr>
              <w:t>Corporate</w:t>
            </w:r>
          </w:p>
        </w:tc>
        <w:tc>
          <w:tcPr>
            <w:tcW w:w="140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rPr>
              <w:t>Inter-Company</w:t>
            </w: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Utilities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rPr>
              <w:t>Eliminations</w:t>
            </w: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Revenue -</w:t>
            </w:r>
          </w:p>
        </w:tc>
        <w:tc>
          <w:tcPr>
            <w:tcW w:w="18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4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400" w:type="dxa"/>
            <w:vAlign w:val="bottom"/>
            <w:shd w:val="clear" w:color="auto" w:fill="CEFFE7"/>
          </w:tcPr>
          <w:p>
            <w:pPr>
              <w:spacing w:after="0"/>
              <w:rPr>
                <w:sz w:val="16"/>
                <w:szCs w:val="16"/>
                <w:color w:val="auto"/>
              </w:rPr>
            </w:pPr>
          </w:p>
        </w:tc>
        <w:tc>
          <w:tcPr>
            <w:tcW w:w="84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00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Contracts with customers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686,272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1,022,828</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5,833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33,609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c>
          <w:tcPr>
            <w:tcW w:w="1400" w:type="dxa"/>
            <w:vAlign w:val="bottom"/>
            <w:gridSpan w:val="2"/>
          </w:tcPr>
          <w:p>
            <w:pPr>
              <w:ind w:left="1000"/>
              <w:spacing w:after="0"/>
              <w:rPr>
                <w:sz w:val="20"/>
                <w:szCs w:val="20"/>
                <w:color w:val="auto"/>
              </w:rPr>
            </w:pPr>
            <w:r>
              <w:rPr>
                <w:rFonts w:ascii="Arial" w:cs="Arial" w:eastAsia="Arial" w:hAnsi="Arial"/>
                <w:sz w:val="14"/>
                <w:szCs w:val="14"/>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1,748,542</w:t>
            </w:r>
          </w:p>
        </w:tc>
        <w:tc>
          <w:tcPr>
            <w:tcW w:w="0" w:type="dxa"/>
            <w:vAlign w:val="bottom"/>
          </w:tcPr>
          <w:p>
            <w:pPr>
              <w:spacing w:after="0"/>
              <w:rPr>
                <w:sz w:val="1"/>
                <w:szCs w:val="1"/>
                <w:color w:val="auto"/>
              </w:rPr>
            </w:pPr>
          </w:p>
        </w:tc>
      </w:tr>
      <w:tr>
        <w:trPr>
          <w:trHeight w:val="189"/>
        </w:trPr>
        <w:tc>
          <w:tcPr>
            <w:tcW w:w="370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revenues</w:t>
            </w:r>
          </w:p>
        </w:tc>
        <w:tc>
          <w:tcPr>
            <w:tcW w:w="18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2,427</w:t>
            </w:r>
          </w:p>
        </w:tc>
        <w:tc>
          <w:tcPr>
            <w:tcW w:w="14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955</w:t>
            </w:r>
          </w:p>
        </w:tc>
        <w:tc>
          <w:tcPr>
            <w:tcW w:w="400" w:type="dxa"/>
            <w:vAlign w:val="bottom"/>
            <w:tcBorders>
              <w:bottom w:val="single" w:sz="8" w:color="auto"/>
            </w:tcBorders>
            <w:shd w:val="clear" w:color="auto" w:fill="CEFFE7"/>
          </w:tcPr>
          <w:p>
            <w:pPr>
              <w:spacing w:after="0"/>
              <w:rPr>
                <w:sz w:val="16"/>
                <w:szCs w:val="16"/>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1,413</w:t>
            </w:r>
          </w:p>
        </w:tc>
        <w:tc>
          <w:tcPr>
            <w:tcW w:w="20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931</w:t>
            </w:r>
          </w:p>
        </w:tc>
        <w:tc>
          <w:tcPr>
            <w:tcW w:w="16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shd w:val="clear" w:color="auto" w:fill="CEFFE7"/>
          </w:tcPr>
          <w:p>
            <w:pPr>
              <w:ind w:left="10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5,726</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CEFFE7"/>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688,699</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1,023,783</w:t>
            </w: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7,246</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34,540</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1,754,268</w:t>
            </w:r>
          </w:p>
        </w:tc>
        <w:tc>
          <w:tcPr>
            <w:tcW w:w="0" w:type="dxa"/>
            <w:vAlign w:val="bottom"/>
          </w:tcPr>
          <w:p>
            <w:pPr>
              <w:spacing w:after="0"/>
              <w:rPr>
                <w:sz w:val="1"/>
                <w:szCs w:val="1"/>
                <w:color w:val="auto"/>
              </w:rPr>
            </w:pPr>
          </w:p>
        </w:tc>
      </w:tr>
      <w:tr>
        <w:trPr>
          <w:trHeight w:val="169"/>
        </w:trPr>
        <w:tc>
          <w:tcPr>
            <w:tcW w:w="37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Inter-company operating revenue -</w:t>
            </w:r>
          </w:p>
        </w:tc>
        <w:tc>
          <w:tcPr>
            <w:tcW w:w="180" w:type="dxa"/>
            <w:vAlign w:val="bottom"/>
            <w:shd w:val="clear" w:color="auto" w:fill="CEFFE7"/>
          </w:tcPr>
          <w:p>
            <w:pPr>
              <w:spacing w:after="0"/>
              <w:rPr>
                <w:sz w:val="14"/>
                <w:szCs w:val="14"/>
                <w:color w:val="auto"/>
              </w:rPr>
            </w:pPr>
          </w:p>
        </w:tc>
        <w:tc>
          <w:tcPr>
            <w:tcW w:w="780" w:type="dxa"/>
            <w:vAlign w:val="bottom"/>
            <w:shd w:val="clear" w:color="auto" w:fill="CEFFE7"/>
          </w:tcPr>
          <w:p>
            <w:pPr>
              <w:spacing w:after="0"/>
              <w:rPr>
                <w:sz w:val="14"/>
                <w:szCs w:val="14"/>
                <w:color w:val="auto"/>
              </w:rPr>
            </w:pPr>
          </w:p>
        </w:tc>
        <w:tc>
          <w:tcPr>
            <w:tcW w:w="14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400" w:type="dxa"/>
            <w:vAlign w:val="bottom"/>
            <w:shd w:val="clear" w:color="auto" w:fill="CEFFE7"/>
          </w:tcPr>
          <w:p>
            <w:pPr>
              <w:spacing w:after="0"/>
              <w:rPr>
                <w:sz w:val="14"/>
                <w:szCs w:val="14"/>
                <w:color w:val="auto"/>
              </w:rPr>
            </w:pPr>
          </w:p>
        </w:tc>
        <w:tc>
          <w:tcPr>
            <w:tcW w:w="84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780" w:type="dxa"/>
            <w:vAlign w:val="bottom"/>
            <w:shd w:val="clear" w:color="auto" w:fill="CEFFE7"/>
          </w:tcPr>
          <w:p>
            <w:pPr>
              <w:spacing w:after="0"/>
              <w:rPr>
                <w:sz w:val="14"/>
                <w:szCs w:val="14"/>
                <w:color w:val="auto"/>
              </w:rPr>
            </w:pPr>
          </w:p>
        </w:tc>
        <w:tc>
          <w:tcPr>
            <w:tcW w:w="160" w:type="dxa"/>
            <w:vAlign w:val="bottom"/>
            <w:shd w:val="clear" w:color="auto" w:fill="CEFFE7"/>
          </w:tcPr>
          <w:p>
            <w:pPr>
              <w:spacing w:after="0"/>
              <w:rPr>
                <w:sz w:val="14"/>
                <w:szCs w:val="14"/>
                <w:color w:val="auto"/>
              </w:rPr>
            </w:pPr>
          </w:p>
        </w:tc>
        <w:tc>
          <w:tcPr>
            <w:tcW w:w="100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80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40"/>
              <w:spacing w:after="0"/>
              <w:rPr>
                <w:sz w:val="20"/>
                <w:szCs w:val="20"/>
                <w:color w:val="auto"/>
              </w:rPr>
            </w:pPr>
            <w:r>
              <w:rPr>
                <w:rFonts w:ascii="Arial" w:cs="Arial" w:eastAsia="Arial" w:hAnsi="Arial"/>
                <w:sz w:val="14"/>
                <w:szCs w:val="14"/>
                <w:color w:val="auto"/>
              </w:rPr>
              <w:t>Contracts with customers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22,752</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1,524</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84,959</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32,194</w:t>
            </w:r>
          </w:p>
        </w:tc>
        <w:tc>
          <w:tcPr>
            <w:tcW w:w="16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148</w:t>
            </w:r>
          </w:p>
        </w:tc>
        <w:tc>
          <w:tcPr>
            <w:tcW w:w="1220" w:type="dxa"/>
            <w:vAlign w:val="bottom"/>
          </w:tcPr>
          <w:p>
            <w:pPr>
              <w:jc w:val="right"/>
              <w:spacing w:after="0"/>
              <w:rPr>
                <w:sz w:val="20"/>
                <w:szCs w:val="20"/>
                <w:color w:val="auto"/>
              </w:rPr>
            </w:pPr>
            <w:r>
              <w:rPr>
                <w:rFonts w:ascii="Arial" w:cs="Arial" w:eastAsia="Arial" w:hAnsi="Arial"/>
                <w:sz w:val="14"/>
                <w:szCs w:val="14"/>
                <w:color w:val="auto"/>
              </w:rPr>
              <w:t>(141,577)</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0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revenues</w:t>
            </w:r>
          </w:p>
        </w:tc>
        <w:tc>
          <w:tcPr>
            <w:tcW w:w="18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EFFE7"/>
          </w:tcPr>
          <w:p>
            <w:pPr>
              <w:spacing w:after="0"/>
              <w:rPr>
                <w:sz w:val="16"/>
                <w:szCs w:val="16"/>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246</w:t>
            </w:r>
          </w:p>
        </w:tc>
        <w:tc>
          <w:tcPr>
            <w:tcW w:w="20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1,299</w:t>
            </w:r>
          </w:p>
        </w:tc>
        <w:tc>
          <w:tcPr>
            <w:tcW w:w="16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379,775</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(381,320)</w:t>
            </w:r>
          </w:p>
        </w:tc>
        <w:tc>
          <w:tcPr>
            <w:tcW w:w="18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CEFFE7"/>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22,752</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1,524</w:t>
            </w: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85,205</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33,493</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379,923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(522,897)</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700" w:type="dxa"/>
            <w:vAlign w:val="bottom"/>
            <w:shd w:val="clear" w:color="auto" w:fill="CEFFE7"/>
          </w:tcPr>
          <w:p>
            <w:pPr>
              <w:ind w:left="20"/>
              <w:spacing w:after="0"/>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711,451</w:t>
            </w:r>
          </w:p>
        </w:tc>
        <w:tc>
          <w:tcPr>
            <w:tcW w:w="140" w:type="dxa"/>
            <w:vAlign w:val="bottom"/>
            <w:tcBorders>
              <w:bottom w:val="single" w:sz="8" w:color="auto"/>
            </w:tcBorders>
            <w:shd w:val="clear" w:color="auto" w:fill="CEFFE7"/>
          </w:tcPr>
          <w:p>
            <w:pPr>
              <w:spacing w:after="0"/>
              <w:rPr>
                <w:sz w:val="15"/>
                <w:szCs w:val="15"/>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1,025,307</w:t>
            </w:r>
          </w:p>
        </w:tc>
        <w:tc>
          <w:tcPr>
            <w:tcW w:w="400" w:type="dxa"/>
            <w:vAlign w:val="bottom"/>
            <w:tcBorders>
              <w:bottom w:val="single" w:sz="8" w:color="auto"/>
            </w:tcBorders>
            <w:shd w:val="clear" w:color="auto" w:fill="CEFFE7"/>
          </w:tcPr>
          <w:p>
            <w:pPr>
              <w:spacing w:after="0"/>
              <w:rPr>
                <w:sz w:val="15"/>
                <w:szCs w:val="15"/>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92,451</w:t>
            </w:r>
          </w:p>
        </w:tc>
        <w:tc>
          <w:tcPr>
            <w:tcW w:w="20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68,033</w:t>
            </w:r>
          </w:p>
        </w:tc>
        <w:tc>
          <w:tcPr>
            <w:tcW w:w="160" w:type="dxa"/>
            <w:vAlign w:val="bottom"/>
            <w:tcBorders>
              <w:bottom w:val="single" w:sz="8" w:color="auto"/>
            </w:tcBorders>
            <w:shd w:val="clear" w:color="auto" w:fill="CEFFE7"/>
          </w:tcPr>
          <w:p>
            <w:pPr>
              <w:spacing w:after="0"/>
              <w:rPr>
                <w:sz w:val="15"/>
                <w:szCs w:val="15"/>
                <w:color w:val="auto"/>
              </w:rPr>
            </w:pPr>
          </w:p>
        </w:tc>
        <w:tc>
          <w:tcPr>
            <w:tcW w:w="100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379,923</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(522,897)</w:t>
            </w:r>
          </w:p>
        </w:tc>
        <w:tc>
          <w:tcPr>
            <w:tcW w:w="180" w:type="dxa"/>
            <w:vAlign w:val="bottom"/>
            <w:tcBorders>
              <w:bottom w:val="single" w:sz="8" w:color="auto"/>
            </w:tcBorders>
            <w:shd w:val="clear" w:color="auto" w:fill="CEFFE7"/>
          </w:tcPr>
          <w:p>
            <w:pPr>
              <w:spacing w:after="0"/>
              <w:rPr>
                <w:sz w:val="15"/>
                <w:szCs w:val="15"/>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1,754,268</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EFFE7"/>
          </w:tcPr>
          <w:p>
            <w:pPr>
              <w:ind w:left="20"/>
              <w:spacing w:after="0"/>
              <w:rPr>
                <w:sz w:val="20"/>
                <w:szCs w:val="20"/>
                <w:color w:val="auto"/>
              </w:rPr>
            </w:pPr>
            <w:r>
              <w:rPr>
                <w:rFonts w:ascii="Arial" w:cs="Arial" w:eastAsia="Arial" w:hAnsi="Arial"/>
                <w:sz w:val="14"/>
                <w:szCs w:val="14"/>
                <w:color w:val="auto"/>
              </w:rPr>
              <w:t>Fuel, purchased power and cost of natural gas sold</w:t>
            </w:r>
          </w:p>
        </w:tc>
        <w:tc>
          <w:tcPr>
            <w:tcW w:w="18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283,840</w:t>
            </w:r>
          </w:p>
        </w:tc>
        <w:tc>
          <w:tcPr>
            <w:tcW w:w="140" w:type="dxa"/>
            <w:vAlign w:val="bottom"/>
            <w:shd w:val="clear" w:color="auto" w:fill="CEFFE7"/>
          </w:tcPr>
          <w:p>
            <w:pPr>
              <w:spacing w:after="0"/>
              <w:rPr>
                <w:sz w:val="16"/>
                <w:szCs w:val="16"/>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462,153</w:t>
            </w:r>
          </w:p>
        </w:tc>
        <w:tc>
          <w:tcPr>
            <w:tcW w:w="400" w:type="dxa"/>
            <w:vAlign w:val="bottom"/>
            <w:shd w:val="clear" w:color="auto" w:fill="CEFFE7"/>
          </w:tcPr>
          <w:p>
            <w:pPr>
              <w:spacing w:after="0"/>
              <w:rPr>
                <w:sz w:val="16"/>
                <w:szCs w:val="16"/>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8,592</w:t>
            </w:r>
          </w:p>
        </w:tc>
        <w:tc>
          <w:tcPr>
            <w:tcW w:w="20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6"/>
                <w:szCs w:val="16"/>
                <w:color w:val="auto"/>
              </w:rPr>
            </w:pPr>
          </w:p>
        </w:tc>
        <w:tc>
          <w:tcPr>
            <w:tcW w:w="1000" w:type="dxa"/>
            <w:vAlign w:val="bottom"/>
            <w:shd w:val="clear" w:color="auto" w:fill="CEFFE7"/>
          </w:tcPr>
          <w:p>
            <w:pPr>
              <w:jc w:val="right"/>
              <w:ind w:right="148"/>
              <w:spacing w:after="0"/>
              <w:rPr>
                <w:sz w:val="20"/>
                <w:szCs w:val="20"/>
                <w:color w:val="auto"/>
              </w:rPr>
            </w:pPr>
            <w:r>
              <w:rPr>
                <w:rFonts w:ascii="Arial" w:cs="Arial" w:eastAsia="Arial" w:hAnsi="Arial"/>
                <w:sz w:val="14"/>
                <w:szCs w:val="14"/>
                <w:color w:val="auto"/>
              </w:rPr>
              <w:t>44</w:t>
            </w:r>
          </w:p>
        </w:tc>
        <w:tc>
          <w:tcPr>
            <w:tcW w:w="1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(129,019)</w:t>
            </w: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625,610</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Operations and maintenance, including taxes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186,175</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291,481</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25,135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43,728</w:t>
            </w:r>
          </w:p>
        </w:tc>
        <w:tc>
          <w:tcPr>
            <w:tcW w:w="16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324,916</w:t>
            </w:r>
          </w:p>
        </w:tc>
        <w:tc>
          <w:tcPr>
            <w:tcW w:w="1220" w:type="dxa"/>
            <w:vAlign w:val="bottom"/>
          </w:tcPr>
          <w:p>
            <w:pPr>
              <w:jc w:val="right"/>
              <w:spacing w:after="0"/>
              <w:rPr>
                <w:sz w:val="20"/>
                <w:szCs w:val="20"/>
                <w:color w:val="auto"/>
              </w:rPr>
            </w:pPr>
            <w:r>
              <w:rPr>
                <w:rFonts w:ascii="Arial" w:cs="Arial" w:eastAsia="Arial" w:hAnsi="Arial"/>
                <w:sz w:val="14"/>
                <w:szCs w:val="14"/>
                <w:color w:val="auto"/>
              </w:rPr>
              <w:t>(336,142)</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535,293</w:t>
            </w:r>
          </w:p>
        </w:tc>
        <w:tc>
          <w:tcPr>
            <w:tcW w:w="0" w:type="dxa"/>
            <w:vAlign w:val="bottom"/>
          </w:tcPr>
          <w:p>
            <w:pPr>
              <w:spacing w:after="0"/>
              <w:rPr>
                <w:sz w:val="1"/>
                <w:szCs w:val="1"/>
                <w:color w:val="auto"/>
              </w:rPr>
            </w:pPr>
          </w:p>
        </w:tc>
      </w:tr>
      <w:tr>
        <w:trPr>
          <w:trHeight w:val="189"/>
        </w:trPr>
        <w:tc>
          <w:tcPr>
            <w:tcW w:w="3700" w:type="dxa"/>
            <w:vAlign w:val="bottom"/>
            <w:shd w:val="clear" w:color="auto" w:fill="CEFFE7"/>
          </w:tcPr>
          <w:p>
            <w:pPr>
              <w:ind w:left="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85,567</w:t>
            </w:r>
          </w:p>
        </w:tc>
        <w:tc>
          <w:tcPr>
            <w:tcW w:w="140" w:type="dxa"/>
            <w:vAlign w:val="bottom"/>
            <w:tcBorders>
              <w:bottom w:val="single" w:sz="8" w:color="auto"/>
            </w:tcBorders>
            <w:shd w:val="clear" w:color="auto" w:fill="CEFFE7"/>
          </w:tcPr>
          <w:p>
            <w:pPr>
              <w:spacing w:after="0"/>
              <w:rPr>
                <w:sz w:val="16"/>
                <w:szCs w:val="16"/>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86,434</w:t>
            </w:r>
          </w:p>
        </w:tc>
        <w:tc>
          <w:tcPr>
            <w:tcW w:w="400" w:type="dxa"/>
            <w:vAlign w:val="bottom"/>
            <w:tcBorders>
              <w:bottom w:val="single" w:sz="8" w:color="auto"/>
            </w:tcBorders>
            <w:shd w:val="clear" w:color="auto" w:fill="CEFFE7"/>
          </w:tcPr>
          <w:p>
            <w:pPr>
              <w:spacing w:after="0"/>
              <w:rPr>
                <w:sz w:val="16"/>
                <w:szCs w:val="16"/>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16,110</w:t>
            </w:r>
          </w:p>
        </w:tc>
        <w:tc>
          <w:tcPr>
            <w:tcW w:w="20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7,965</w:t>
            </w:r>
          </w:p>
        </w:tc>
        <w:tc>
          <w:tcPr>
            <w:tcW w:w="160" w:type="dxa"/>
            <w:vAlign w:val="bottom"/>
            <w:tcBorders>
              <w:bottom w:val="single" w:sz="8" w:color="auto"/>
            </w:tcBorders>
            <w:shd w:val="clear" w:color="auto" w:fill="CEFFE7"/>
          </w:tcPr>
          <w:p>
            <w:pPr>
              <w:spacing w:after="0"/>
              <w:rPr>
                <w:sz w:val="16"/>
                <w:szCs w:val="16"/>
                <w:color w:val="auto"/>
              </w:rPr>
            </w:pPr>
          </w:p>
        </w:tc>
        <w:tc>
          <w:tcPr>
            <w:tcW w:w="100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21,161</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(20,909)</w:t>
            </w:r>
          </w:p>
        </w:tc>
        <w:tc>
          <w:tcPr>
            <w:tcW w:w="18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196,328</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Adjusted operating income (loss)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155,869</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185,239</w:t>
            </w: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42,614</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16,340</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33,802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(36,827)</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397,037</w:t>
            </w:r>
          </w:p>
        </w:tc>
        <w:tc>
          <w:tcPr>
            <w:tcW w:w="0" w:type="dxa"/>
            <w:vAlign w:val="bottom"/>
          </w:tcPr>
          <w:p>
            <w:pPr>
              <w:spacing w:after="0"/>
              <w:rPr>
                <w:sz w:val="1"/>
                <w:szCs w:val="1"/>
                <w:color w:val="auto"/>
              </w:rPr>
            </w:pPr>
          </w:p>
        </w:tc>
      </w:tr>
      <w:tr>
        <w:trPr>
          <w:trHeight w:val="196"/>
        </w:trPr>
        <w:tc>
          <w:tcPr>
            <w:tcW w:w="370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60" w:type="dxa"/>
            <w:vAlign w:val="bottom"/>
            <w:shd w:val="clear" w:color="auto" w:fill="CEFFE7"/>
          </w:tcPr>
          <w:p>
            <w:pPr>
              <w:spacing w:after="0"/>
              <w:rPr>
                <w:sz w:val="17"/>
                <w:szCs w:val="17"/>
                <w:color w:val="auto"/>
              </w:rPr>
            </w:pPr>
          </w:p>
        </w:tc>
        <w:tc>
          <w:tcPr>
            <w:tcW w:w="40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00" w:type="dxa"/>
            <w:vAlign w:val="bottom"/>
            <w:shd w:val="clear" w:color="auto" w:fill="CEFFE7"/>
          </w:tcPr>
          <w:p>
            <w:pPr>
              <w:spacing w:after="0"/>
              <w:rPr>
                <w:sz w:val="17"/>
                <w:szCs w:val="17"/>
                <w:color w:val="auto"/>
              </w:rPr>
            </w:pPr>
          </w:p>
        </w:tc>
        <w:tc>
          <w:tcPr>
            <w:tcW w:w="122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(139,975)</w:t>
            </w:r>
          </w:p>
        </w:tc>
        <w:tc>
          <w:tcPr>
            <w:tcW w:w="0" w:type="dxa"/>
            <w:vAlign w:val="bottom"/>
          </w:tcPr>
          <w:p>
            <w:pPr>
              <w:spacing w:after="0"/>
              <w:rPr>
                <w:sz w:val="1"/>
                <w:szCs w:val="1"/>
                <w:color w:val="auto"/>
              </w:rPr>
            </w:pPr>
          </w:p>
        </w:tc>
      </w:tr>
      <w:tr>
        <w:trPr>
          <w:trHeight w:val="189"/>
        </w:trPr>
        <w:tc>
          <w:tcPr>
            <w:tcW w:w="370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4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400" w:type="dxa"/>
            <w:vAlign w:val="bottom"/>
            <w:shd w:val="clear" w:color="auto" w:fill="CEFFE7"/>
          </w:tcPr>
          <w:p>
            <w:pPr>
              <w:spacing w:after="0"/>
              <w:rPr>
                <w:sz w:val="16"/>
                <w:szCs w:val="16"/>
                <w:color w:val="auto"/>
              </w:rPr>
            </w:pPr>
          </w:p>
        </w:tc>
        <w:tc>
          <w:tcPr>
            <w:tcW w:w="84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78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1000" w:type="dxa"/>
            <w:vAlign w:val="bottom"/>
            <w:shd w:val="clear" w:color="auto" w:fill="CEFFE7"/>
          </w:tcPr>
          <w:p>
            <w:pPr>
              <w:spacing w:after="0"/>
              <w:rPr>
                <w:sz w:val="16"/>
                <w:szCs w:val="16"/>
                <w:color w:val="auto"/>
              </w:rPr>
            </w:pPr>
          </w:p>
        </w:tc>
        <w:tc>
          <w:tcPr>
            <w:tcW w:w="1220" w:type="dxa"/>
            <w:vAlign w:val="bottom"/>
            <w:shd w:val="clear" w:color="auto" w:fill="CEFFE7"/>
          </w:tcPr>
          <w:p>
            <w:pPr>
              <w:spacing w:after="0"/>
              <w:rPr>
                <w:sz w:val="16"/>
                <w:szCs w:val="16"/>
                <w:color w:val="auto"/>
              </w:rPr>
            </w:pP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Income tax benefit (expense)</w:t>
            </w:r>
          </w:p>
        </w:tc>
        <w:tc>
          <w:tcPr>
            <w:tcW w:w="180" w:type="dxa"/>
            <w:vAlign w:val="bottom"/>
            <w:tcBorders>
              <w:bottom w:val="single" w:sz="8" w:color="CEFFE7"/>
            </w:tcBorders>
          </w:tcPr>
          <w:p>
            <w:pPr>
              <w:spacing w:after="0"/>
              <w:rPr>
                <w:sz w:val="16"/>
                <w:szCs w:val="16"/>
                <w:color w:val="auto"/>
              </w:rPr>
            </w:pPr>
          </w:p>
        </w:tc>
        <w:tc>
          <w:tcPr>
            <w:tcW w:w="780" w:type="dxa"/>
            <w:vAlign w:val="bottom"/>
            <w:tcBorders>
              <w:bottom w:val="single" w:sz="8" w:color="CEFFE7"/>
            </w:tcBorders>
          </w:tcPr>
          <w:p>
            <w:pPr>
              <w:spacing w:after="0"/>
              <w:rPr>
                <w:sz w:val="16"/>
                <w:szCs w:val="16"/>
                <w:color w:val="auto"/>
              </w:rPr>
            </w:pPr>
          </w:p>
        </w:tc>
        <w:tc>
          <w:tcPr>
            <w:tcW w:w="140" w:type="dxa"/>
            <w:vAlign w:val="bottom"/>
            <w:tcBorders>
              <w:bottom w:val="single" w:sz="8" w:color="CEFFE7"/>
            </w:tcBorders>
          </w:tcPr>
          <w:p>
            <w:pPr>
              <w:spacing w:after="0"/>
              <w:rPr>
                <w:sz w:val="16"/>
                <w:szCs w:val="16"/>
                <w:color w:val="auto"/>
              </w:rPr>
            </w:pPr>
          </w:p>
        </w:tc>
        <w:tc>
          <w:tcPr>
            <w:tcW w:w="860" w:type="dxa"/>
            <w:vAlign w:val="bottom"/>
            <w:tcBorders>
              <w:bottom w:val="single" w:sz="8" w:color="CEFFE7"/>
            </w:tcBorders>
          </w:tcPr>
          <w:p>
            <w:pPr>
              <w:spacing w:after="0"/>
              <w:rPr>
                <w:sz w:val="16"/>
                <w:szCs w:val="16"/>
                <w:color w:val="auto"/>
              </w:rPr>
            </w:pPr>
          </w:p>
        </w:tc>
        <w:tc>
          <w:tcPr>
            <w:tcW w:w="400" w:type="dxa"/>
            <w:vAlign w:val="bottom"/>
            <w:tcBorders>
              <w:bottom w:val="single" w:sz="8" w:color="CEFFE7"/>
            </w:tcBorders>
          </w:tcPr>
          <w:p>
            <w:pPr>
              <w:spacing w:after="0"/>
              <w:rPr>
                <w:sz w:val="16"/>
                <w:szCs w:val="16"/>
                <w:color w:val="auto"/>
              </w:rPr>
            </w:pPr>
          </w:p>
        </w:tc>
        <w:tc>
          <w:tcPr>
            <w:tcW w:w="840" w:type="dxa"/>
            <w:vAlign w:val="bottom"/>
            <w:tcBorders>
              <w:bottom w:val="single" w:sz="8" w:color="CEFFE7"/>
            </w:tcBorders>
          </w:tcPr>
          <w:p>
            <w:pPr>
              <w:spacing w:after="0"/>
              <w:rPr>
                <w:sz w:val="16"/>
                <w:szCs w:val="16"/>
                <w:color w:val="auto"/>
              </w:rPr>
            </w:pPr>
          </w:p>
        </w:tc>
        <w:tc>
          <w:tcPr>
            <w:tcW w:w="200" w:type="dxa"/>
            <w:vAlign w:val="bottom"/>
            <w:tcBorders>
              <w:bottom w:val="single" w:sz="8" w:color="CEFFE7"/>
            </w:tcBorders>
          </w:tcPr>
          <w:p>
            <w:pPr>
              <w:spacing w:after="0"/>
              <w:rPr>
                <w:sz w:val="16"/>
                <w:szCs w:val="16"/>
                <w:color w:val="auto"/>
              </w:rPr>
            </w:pPr>
          </w:p>
        </w:tc>
        <w:tc>
          <w:tcPr>
            <w:tcW w:w="780" w:type="dxa"/>
            <w:vAlign w:val="bottom"/>
            <w:tcBorders>
              <w:bottom w:val="single" w:sz="8" w:color="CEFFE7"/>
            </w:tcBorders>
          </w:tcPr>
          <w:p>
            <w:pPr>
              <w:spacing w:after="0"/>
              <w:rPr>
                <w:sz w:val="16"/>
                <w:szCs w:val="16"/>
                <w:color w:val="auto"/>
              </w:rPr>
            </w:pPr>
          </w:p>
        </w:tc>
        <w:tc>
          <w:tcPr>
            <w:tcW w:w="160" w:type="dxa"/>
            <w:vAlign w:val="bottom"/>
            <w:tcBorders>
              <w:bottom w:val="single" w:sz="8" w:color="CEFFE7"/>
            </w:tcBorders>
          </w:tcPr>
          <w:p>
            <w:pPr>
              <w:spacing w:after="0"/>
              <w:rPr>
                <w:sz w:val="16"/>
                <w:szCs w:val="16"/>
                <w:color w:val="auto"/>
              </w:rPr>
            </w:pPr>
          </w:p>
        </w:tc>
        <w:tc>
          <w:tcPr>
            <w:tcW w:w="1000" w:type="dxa"/>
            <w:vAlign w:val="bottom"/>
            <w:tcBorders>
              <w:bottom w:val="single" w:sz="8" w:color="CEFFE7"/>
            </w:tcBorders>
          </w:tcPr>
          <w:p>
            <w:pPr>
              <w:spacing w:after="0"/>
              <w:rPr>
                <w:sz w:val="16"/>
                <w:szCs w:val="16"/>
                <w:color w:val="auto"/>
              </w:rPr>
            </w:pPr>
          </w:p>
        </w:tc>
        <w:tc>
          <w:tcPr>
            <w:tcW w:w="1220" w:type="dxa"/>
            <w:vAlign w:val="bottom"/>
            <w:tcBorders>
              <w:bottom w:val="single" w:sz="8" w:color="CEFFE7"/>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23,667</w:t>
            </w:r>
          </w:p>
        </w:tc>
        <w:tc>
          <w:tcPr>
            <w:tcW w:w="0" w:type="dxa"/>
            <w:vAlign w:val="bottom"/>
          </w:tcPr>
          <w:p>
            <w:pPr>
              <w:spacing w:after="0"/>
              <w:rPr>
                <w:sz w:val="1"/>
                <w:szCs w:val="1"/>
                <w:color w:val="auto"/>
              </w:rPr>
            </w:pPr>
          </w:p>
        </w:tc>
      </w:tr>
      <w:tr>
        <w:trPr>
          <w:trHeight w:val="183"/>
        </w:trPr>
        <w:tc>
          <w:tcPr>
            <w:tcW w:w="3700" w:type="dxa"/>
            <w:vAlign w:val="bottom"/>
            <w:shd w:val="clear" w:color="auto" w:fill="CEFFE7"/>
          </w:tcPr>
          <w:p>
            <w:pPr>
              <w:ind w:left="140"/>
              <w:spacing w:after="0"/>
              <w:rPr>
                <w:sz w:val="20"/>
                <w:szCs w:val="20"/>
                <w:color w:val="auto"/>
              </w:rPr>
            </w:pPr>
            <w:r>
              <w:rPr>
                <w:rFonts w:ascii="Arial" w:cs="Arial" w:eastAsia="Arial" w:hAnsi="Arial"/>
                <w:sz w:val="14"/>
                <w:szCs w:val="14"/>
                <w:color w:val="auto"/>
              </w:rPr>
              <w:t>Income from continuing operations</w:t>
            </w:r>
          </w:p>
        </w:tc>
        <w:tc>
          <w:tcPr>
            <w:tcW w:w="18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40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00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c>
          <w:tcPr>
            <w:tcW w:w="180" w:type="dxa"/>
            <w:vAlign w:val="bottom"/>
            <w:tcBorders>
              <w:bottom w:val="single" w:sz="8" w:color="auto"/>
            </w:tcBorders>
            <w:shd w:val="clear" w:color="auto" w:fill="CEFFE7"/>
          </w:tcPr>
          <w:p>
            <w:pPr>
              <w:spacing w:after="0"/>
              <w:rPr>
                <w:sz w:val="15"/>
                <w:szCs w:val="15"/>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279,549</w:t>
            </w:r>
          </w:p>
        </w:tc>
        <w:tc>
          <w:tcPr>
            <w:tcW w:w="0" w:type="dxa"/>
            <w:vAlign w:val="bottom"/>
          </w:tcPr>
          <w:p>
            <w:pPr>
              <w:spacing w:after="0"/>
              <w:rPr>
                <w:sz w:val="1"/>
                <w:szCs w:val="1"/>
                <w:color w:val="auto"/>
              </w:rPr>
            </w:pPr>
          </w:p>
        </w:tc>
      </w:tr>
      <w:tr>
        <w:trPr>
          <w:trHeight w:val="182"/>
        </w:trPr>
        <w:tc>
          <w:tcPr>
            <w:tcW w:w="37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(Loss) from discontinued operations, net of tax</w:t>
            </w:r>
          </w:p>
        </w:tc>
        <w:tc>
          <w:tcPr>
            <w:tcW w:w="180" w:type="dxa"/>
            <w:vAlign w:val="bottom"/>
            <w:tcBorders>
              <w:bottom w:val="single" w:sz="8" w:color="CEFFE7"/>
            </w:tcBorders>
          </w:tcPr>
          <w:p>
            <w:pPr>
              <w:spacing w:after="0"/>
              <w:rPr>
                <w:sz w:val="15"/>
                <w:szCs w:val="15"/>
                <w:color w:val="auto"/>
              </w:rPr>
            </w:pPr>
          </w:p>
        </w:tc>
        <w:tc>
          <w:tcPr>
            <w:tcW w:w="780" w:type="dxa"/>
            <w:vAlign w:val="bottom"/>
            <w:tcBorders>
              <w:bottom w:val="single" w:sz="8" w:color="CEFFE7"/>
            </w:tcBorders>
          </w:tcPr>
          <w:p>
            <w:pPr>
              <w:spacing w:after="0"/>
              <w:rPr>
                <w:sz w:val="15"/>
                <w:szCs w:val="15"/>
                <w:color w:val="auto"/>
              </w:rPr>
            </w:pPr>
          </w:p>
        </w:tc>
        <w:tc>
          <w:tcPr>
            <w:tcW w:w="140" w:type="dxa"/>
            <w:vAlign w:val="bottom"/>
            <w:tcBorders>
              <w:bottom w:val="single" w:sz="8" w:color="CEFFE7"/>
            </w:tcBorders>
          </w:tcPr>
          <w:p>
            <w:pPr>
              <w:spacing w:after="0"/>
              <w:rPr>
                <w:sz w:val="15"/>
                <w:szCs w:val="15"/>
                <w:color w:val="auto"/>
              </w:rPr>
            </w:pPr>
          </w:p>
        </w:tc>
        <w:tc>
          <w:tcPr>
            <w:tcW w:w="860" w:type="dxa"/>
            <w:vAlign w:val="bottom"/>
            <w:tcBorders>
              <w:bottom w:val="single" w:sz="8" w:color="CEFFE7"/>
            </w:tcBorders>
          </w:tcPr>
          <w:p>
            <w:pPr>
              <w:spacing w:after="0"/>
              <w:rPr>
                <w:sz w:val="15"/>
                <w:szCs w:val="15"/>
                <w:color w:val="auto"/>
              </w:rPr>
            </w:pPr>
          </w:p>
        </w:tc>
        <w:tc>
          <w:tcPr>
            <w:tcW w:w="400" w:type="dxa"/>
            <w:vAlign w:val="bottom"/>
            <w:tcBorders>
              <w:bottom w:val="single" w:sz="8" w:color="CEFFE7"/>
            </w:tcBorders>
          </w:tcPr>
          <w:p>
            <w:pPr>
              <w:spacing w:after="0"/>
              <w:rPr>
                <w:sz w:val="15"/>
                <w:szCs w:val="15"/>
                <w:color w:val="auto"/>
              </w:rPr>
            </w:pPr>
          </w:p>
        </w:tc>
        <w:tc>
          <w:tcPr>
            <w:tcW w:w="840" w:type="dxa"/>
            <w:vAlign w:val="bottom"/>
            <w:tcBorders>
              <w:bottom w:val="single" w:sz="8" w:color="CEFFE7"/>
            </w:tcBorders>
          </w:tcPr>
          <w:p>
            <w:pPr>
              <w:spacing w:after="0"/>
              <w:rPr>
                <w:sz w:val="15"/>
                <w:szCs w:val="15"/>
                <w:color w:val="auto"/>
              </w:rPr>
            </w:pPr>
          </w:p>
        </w:tc>
        <w:tc>
          <w:tcPr>
            <w:tcW w:w="200" w:type="dxa"/>
            <w:vAlign w:val="bottom"/>
            <w:tcBorders>
              <w:bottom w:val="single" w:sz="8" w:color="CEFFE7"/>
            </w:tcBorders>
          </w:tcPr>
          <w:p>
            <w:pPr>
              <w:spacing w:after="0"/>
              <w:rPr>
                <w:sz w:val="15"/>
                <w:szCs w:val="15"/>
                <w:color w:val="auto"/>
              </w:rPr>
            </w:pPr>
          </w:p>
        </w:tc>
        <w:tc>
          <w:tcPr>
            <w:tcW w:w="78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1000" w:type="dxa"/>
            <w:vAlign w:val="bottom"/>
            <w:tcBorders>
              <w:bottom w:val="single" w:sz="8" w:color="CEFFE7"/>
            </w:tcBorders>
          </w:tcPr>
          <w:p>
            <w:pPr>
              <w:spacing w:after="0"/>
              <w:rPr>
                <w:sz w:val="15"/>
                <w:szCs w:val="15"/>
                <w:color w:val="auto"/>
              </w:rPr>
            </w:pPr>
          </w:p>
        </w:tc>
        <w:tc>
          <w:tcPr>
            <w:tcW w:w="1220" w:type="dxa"/>
            <w:vAlign w:val="bottom"/>
            <w:tcBorders>
              <w:bottom w:val="single" w:sz="8" w:color="CEFFE7"/>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(6,887)</w:t>
            </w:r>
          </w:p>
        </w:tc>
        <w:tc>
          <w:tcPr>
            <w:tcW w:w="0" w:type="dxa"/>
            <w:vAlign w:val="bottom"/>
          </w:tcPr>
          <w:p>
            <w:pPr>
              <w:spacing w:after="0"/>
              <w:rPr>
                <w:sz w:val="1"/>
                <w:szCs w:val="1"/>
                <w:color w:val="auto"/>
              </w:rPr>
            </w:pPr>
          </w:p>
        </w:tc>
      </w:tr>
      <w:tr>
        <w:trPr>
          <w:trHeight w:val="183"/>
        </w:trPr>
        <w:tc>
          <w:tcPr>
            <w:tcW w:w="3700" w:type="dxa"/>
            <w:vAlign w:val="bottom"/>
            <w:shd w:val="clear" w:color="auto" w:fill="CEFFE7"/>
          </w:tcPr>
          <w:p>
            <w:pPr>
              <w:ind w:left="14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40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100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c>
          <w:tcPr>
            <w:tcW w:w="180" w:type="dxa"/>
            <w:vAlign w:val="bottom"/>
            <w:tcBorders>
              <w:bottom w:val="single" w:sz="8" w:color="auto"/>
            </w:tcBorders>
            <w:shd w:val="clear" w:color="auto" w:fill="CEFFE7"/>
          </w:tcPr>
          <w:p>
            <w:pPr>
              <w:spacing w:after="0"/>
              <w:rPr>
                <w:sz w:val="15"/>
                <w:szCs w:val="15"/>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272,662</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180" w:type="dxa"/>
            <w:vAlign w:val="bottom"/>
            <w:tcBorders>
              <w:bottom w:val="single" w:sz="8" w:color="CEFFE7"/>
            </w:tcBorders>
          </w:tcPr>
          <w:p>
            <w:pPr>
              <w:spacing w:after="0"/>
              <w:rPr>
                <w:sz w:val="15"/>
                <w:szCs w:val="15"/>
                <w:color w:val="auto"/>
              </w:rPr>
            </w:pPr>
          </w:p>
        </w:tc>
        <w:tc>
          <w:tcPr>
            <w:tcW w:w="780" w:type="dxa"/>
            <w:vAlign w:val="bottom"/>
            <w:tcBorders>
              <w:bottom w:val="single" w:sz="8" w:color="CEFFE7"/>
            </w:tcBorders>
          </w:tcPr>
          <w:p>
            <w:pPr>
              <w:spacing w:after="0"/>
              <w:rPr>
                <w:sz w:val="15"/>
                <w:szCs w:val="15"/>
                <w:color w:val="auto"/>
              </w:rPr>
            </w:pPr>
          </w:p>
        </w:tc>
        <w:tc>
          <w:tcPr>
            <w:tcW w:w="140" w:type="dxa"/>
            <w:vAlign w:val="bottom"/>
            <w:tcBorders>
              <w:bottom w:val="single" w:sz="8" w:color="CEFFE7"/>
            </w:tcBorders>
          </w:tcPr>
          <w:p>
            <w:pPr>
              <w:spacing w:after="0"/>
              <w:rPr>
                <w:sz w:val="15"/>
                <w:szCs w:val="15"/>
                <w:color w:val="auto"/>
              </w:rPr>
            </w:pPr>
          </w:p>
        </w:tc>
        <w:tc>
          <w:tcPr>
            <w:tcW w:w="860" w:type="dxa"/>
            <w:vAlign w:val="bottom"/>
            <w:tcBorders>
              <w:bottom w:val="single" w:sz="8" w:color="CEFFE7"/>
            </w:tcBorders>
          </w:tcPr>
          <w:p>
            <w:pPr>
              <w:spacing w:after="0"/>
              <w:rPr>
                <w:sz w:val="15"/>
                <w:szCs w:val="15"/>
                <w:color w:val="auto"/>
              </w:rPr>
            </w:pPr>
          </w:p>
        </w:tc>
        <w:tc>
          <w:tcPr>
            <w:tcW w:w="400" w:type="dxa"/>
            <w:vAlign w:val="bottom"/>
            <w:tcBorders>
              <w:bottom w:val="single" w:sz="8" w:color="CEFFE7"/>
            </w:tcBorders>
          </w:tcPr>
          <w:p>
            <w:pPr>
              <w:spacing w:after="0"/>
              <w:rPr>
                <w:sz w:val="15"/>
                <w:szCs w:val="15"/>
                <w:color w:val="auto"/>
              </w:rPr>
            </w:pPr>
          </w:p>
        </w:tc>
        <w:tc>
          <w:tcPr>
            <w:tcW w:w="840" w:type="dxa"/>
            <w:vAlign w:val="bottom"/>
            <w:tcBorders>
              <w:bottom w:val="single" w:sz="8" w:color="CEFFE7"/>
            </w:tcBorders>
          </w:tcPr>
          <w:p>
            <w:pPr>
              <w:spacing w:after="0"/>
              <w:rPr>
                <w:sz w:val="15"/>
                <w:szCs w:val="15"/>
                <w:color w:val="auto"/>
              </w:rPr>
            </w:pPr>
          </w:p>
        </w:tc>
        <w:tc>
          <w:tcPr>
            <w:tcW w:w="200" w:type="dxa"/>
            <w:vAlign w:val="bottom"/>
            <w:tcBorders>
              <w:bottom w:val="single" w:sz="8" w:color="CEFFE7"/>
            </w:tcBorders>
          </w:tcPr>
          <w:p>
            <w:pPr>
              <w:spacing w:after="0"/>
              <w:rPr>
                <w:sz w:val="15"/>
                <w:szCs w:val="15"/>
                <w:color w:val="auto"/>
              </w:rPr>
            </w:pPr>
          </w:p>
        </w:tc>
        <w:tc>
          <w:tcPr>
            <w:tcW w:w="780" w:type="dxa"/>
            <w:vAlign w:val="bottom"/>
            <w:tcBorders>
              <w:bottom w:val="single" w:sz="8" w:color="CEFFE7"/>
            </w:tcBorders>
          </w:tcPr>
          <w:p>
            <w:pPr>
              <w:spacing w:after="0"/>
              <w:rPr>
                <w:sz w:val="15"/>
                <w:szCs w:val="15"/>
                <w:color w:val="auto"/>
              </w:rPr>
            </w:pPr>
          </w:p>
        </w:tc>
        <w:tc>
          <w:tcPr>
            <w:tcW w:w="160" w:type="dxa"/>
            <w:vAlign w:val="bottom"/>
            <w:tcBorders>
              <w:bottom w:val="single" w:sz="8" w:color="CEFFE7"/>
            </w:tcBorders>
          </w:tcPr>
          <w:p>
            <w:pPr>
              <w:spacing w:after="0"/>
              <w:rPr>
                <w:sz w:val="15"/>
                <w:szCs w:val="15"/>
                <w:color w:val="auto"/>
              </w:rPr>
            </w:pPr>
          </w:p>
        </w:tc>
        <w:tc>
          <w:tcPr>
            <w:tcW w:w="1000" w:type="dxa"/>
            <w:vAlign w:val="bottom"/>
            <w:tcBorders>
              <w:bottom w:val="single" w:sz="8" w:color="CEFFE7"/>
            </w:tcBorders>
          </w:tcPr>
          <w:p>
            <w:pPr>
              <w:spacing w:after="0"/>
              <w:rPr>
                <w:sz w:val="15"/>
                <w:szCs w:val="15"/>
                <w:color w:val="auto"/>
              </w:rPr>
            </w:pPr>
          </w:p>
        </w:tc>
        <w:tc>
          <w:tcPr>
            <w:tcW w:w="1220" w:type="dxa"/>
            <w:vAlign w:val="bottom"/>
            <w:tcBorders>
              <w:bottom w:val="single" w:sz="8" w:color="CEFFE7"/>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(14,220)</w:t>
            </w:r>
          </w:p>
        </w:tc>
        <w:tc>
          <w:tcPr>
            <w:tcW w:w="0" w:type="dxa"/>
            <w:vAlign w:val="bottom"/>
          </w:tcPr>
          <w:p>
            <w:pPr>
              <w:spacing w:after="0"/>
              <w:rPr>
                <w:sz w:val="1"/>
                <w:szCs w:val="1"/>
                <w:color w:val="auto"/>
              </w:rPr>
            </w:pPr>
          </w:p>
        </w:tc>
      </w:tr>
      <w:tr>
        <w:trPr>
          <w:trHeight w:val="203"/>
        </w:trPr>
        <w:tc>
          <w:tcPr>
            <w:tcW w:w="3700" w:type="dxa"/>
            <w:vAlign w:val="bottom"/>
            <w:shd w:val="clear" w:color="auto" w:fill="CEFFE7"/>
          </w:tcPr>
          <w:p>
            <w:pPr>
              <w:ind w:left="140"/>
              <w:spacing w:after="0"/>
              <w:rPr>
                <w:sz w:val="20"/>
                <w:szCs w:val="20"/>
                <w:color w:val="auto"/>
              </w:rPr>
            </w:pPr>
            <w:r>
              <w:rPr>
                <w:rFonts w:ascii="Arial" w:cs="Arial" w:eastAsia="Arial" w:hAnsi="Arial"/>
                <w:sz w:val="14"/>
                <w:szCs w:val="14"/>
                <w:color w:val="auto"/>
              </w:rPr>
              <w:t>Net income available for common stock</w:t>
            </w:r>
          </w:p>
        </w:tc>
        <w:tc>
          <w:tcPr>
            <w:tcW w:w="18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60" w:type="dxa"/>
            <w:vAlign w:val="bottom"/>
            <w:shd w:val="clear" w:color="auto" w:fill="CEFFE7"/>
          </w:tcPr>
          <w:p>
            <w:pPr>
              <w:spacing w:after="0"/>
              <w:rPr>
                <w:sz w:val="17"/>
                <w:szCs w:val="17"/>
                <w:color w:val="auto"/>
              </w:rPr>
            </w:pPr>
          </w:p>
        </w:tc>
        <w:tc>
          <w:tcPr>
            <w:tcW w:w="40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00" w:type="dxa"/>
            <w:vAlign w:val="bottom"/>
            <w:shd w:val="clear" w:color="auto" w:fill="CEFFE7"/>
          </w:tcPr>
          <w:p>
            <w:pPr>
              <w:spacing w:after="0"/>
              <w:rPr>
                <w:sz w:val="17"/>
                <w:szCs w:val="17"/>
                <w:color w:val="auto"/>
              </w:rPr>
            </w:pPr>
          </w:p>
        </w:tc>
        <w:tc>
          <w:tcPr>
            <w:tcW w:w="1400" w:type="dxa"/>
            <w:vAlign w:val="bottom"/>
            <w:gridSpan w:val="2"/>
            <w:shd w:val="clear" w:color="auto" w:fill="CEFFE7"/>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258,442</w:t>
            </w:r>
          </w:p>
        </w:tc>
        <w:tc>
          <w:tcPr>
            <w:tcW w:w="0" w:type="dxa"/>
            <w:vAlign w:val="bottom"/>
          </w:tcPr>
          <w:p>
            <w:pPr>
              <w:spacing w:after="0"/>
              <w:rPr>
                <w:sz w:val="1"/>
                <w:szCs w:val="1"/>
                <w:color w:val="auto"/>
              </w:rPr>
            </w:pPr>
          </w:p>
        </w:tc>
      </w:tr>
      <w:tr>
        <w:trPr>
          <w:trHeight w:val="20"/>
        </w:trPr>
        <w:tc>
          <w:tcPr>
            <w:tcW w:w="37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tcBorders>
          </w:tcPr>
          <w:p>
            <w:pPr>
              <w:spacing w:after="0" w:line="20" w:lineRule="exact"/>
              <w:rPr>
                <w:sz w:val="1"/>
                <w:szCs w:val="1"/>
                <w:color w:val="auto"/>
              </w:rPr>
            </w:pPr>
          </w:p>
        </w:tc>
        <w:tc>
          <w:tcPr>
            <w:tcW w:w="400" w:type="dxa"/>
            <w:vAlign w:val="bottom"/>
            <w:tcBorders>
              <w:top w:val="single" w:sz="8" w:color="CEFFE7"/>
            </w:tcBorders>
          </w:tcPr>
          <w:p>
            <w:pPr>
              <w:spacing w:after="0" w:line="20" w:lineRule="exact"/>
              <w:rPr>
                <w:sz w:val="1"/>
                <w:szCs w:val="1"/>
                <w:color w:val="auto"/>
              </w:rPr>
            </w:pPr>
          </w:p>
        </w:tc>
        <w:tc>
          <w:tcPr>
            <w:tcW w:w="84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tcBorders>
          </w:tcPr>
          <w:p>
            <w:pPr>
              <w:spacing w:after="0" w:line="20" w:lineRule="exact"/>
              <w:rPr>
                <w:sz w:val="1"/>
                <w:szCs w:val="1"/>
                <w:color w:val="auto"/>
              </w:rPr>
            </w:pPr>
          </w:p>
        </w:tc>
        <w:tc>
          <w:tcPr>
            <w:tcW w:w="122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80" w:hanging="472"/>
        <w:spacing w:after="0"/>
        <w:tabs>
          <w:tab w:leader="none" w:pos="48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w:t>
      </w:r>
    </w:p>
    <w:p>
      <w:pPr>
        <w:spacing w:after="0" w:line="255" w:lineRule="exact"/>
        <w:rPr>
          <w:sz w:val="20"/>
          <w:szCs w:val="20"/>
          <w:color w:val="auto"/>
        </w:rPr>
      </w:pPr>
    </w:p>
    <w:p>
      <w:pPr>
        <w:ind w:right="420"/>
        <w:spacing w:after="0" w:line="237"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significant increase in heating and energy demand and contributed to unforeseeable and unprecedented market prices for natural gas and electricity.</w:t>
      </w:r>
    </w:p>
    <w:p>
      <w:pPr>
        <w:spacing w:after="0" w:line="23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Utilities have regulatory mechanisms to recover the increased energy costs from this record-breaking cold weather event. However, given the extraordinary impact of these higher costs to our customers, we expect our regulators to undertake a heightened review. We are engaged with our regulators to identify appropriate recovery periods over which to recover costs associated with this event as we continue to address the impacts to our customers’ bills.</w:t>
      </w:r>
    </w:p>
    <w:p>
      <w:pPr>
        <w:spacing w:after="0" w:line="215"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As a result of this historic event, our natural gas purchases increased by approximately $600 million compared to forecasted base load for the month of February. This amount is a preliminary estimate through February 24, 2021, and does not include certain pipeline transportation charges that remain subject to settlement and payable in late March 2021. To fund February natural gas purchases and pipeline transportation charges and provide additional liquidity, we entered into a nine-month Credit Agreement on February 24, 2021, that provides for an $800 million unsecured term loan facility. The term loan, which matures on November 23, 2021, has an interest rate based on LIBOR plus 75 basis points, carries no prepayment penalty and is subject to the same covenant requirements as our Revolving Credit Facility. We expect to repay a portion of this term loan prior to maturity and refinance the remaining portion in longer-term debt. In the event we are unable to refinance the remaining obligation under the $800 million term loan, we believe it is probable that our current plans to manage liquidity would be sufficient to meet our obligations.</w:t>
      </w:r>
    </w:p>
    <w:p>
      <w:pPr>
        <w:spacing w:after="0" w:line="238" w:lineRule="exact"/>
        <w:rPr>
          <w:sz w:val="20"/>
          <w:szCs w:val="20"/>
          <w:color w:val="auto"/>
        </w:rPr>
      </w:pPr>
    </w:p>
    <w:p>
      <w:pPr>
        <w:ind w:right="30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Except as described above and the </w:t>
      </w:r>
      <w:hyperlink w:anchor="page81">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disclosures surrounding Colorado Gas’ and Nebraska Gas’ jurisdictional consolidation and rate reviews, there have been no events subsequent to December 31, 2020 which would require recognition in the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2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(Exchange Act)) as of December 31, 2020. Based on their evaluation, they have concluded that our disclosure controls and procedures are effective.</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quarter ended December 31, 2020, there were no changes in the Company’s internal control over financial reporting (as defined in Rule 13a-15(f) under the Exchange Act) that have materially affected, or are reasonably likely to materially affect, the Company’s internal control over financial reporting.</w:t>
      </w:r>
    </w:p>
    <w:p>
      <w:pPr>
        <w:spacing w:after="0" w:line="22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Management’s Report on Internal Control over Financial Reporting is presented on Page </w:t>
      </w:r>
      <w:hyperlink w:anchor="page62">
        <w:r>
          <w:rPr>
            <w:rFonts w:ascii="Arial" w:cs="Arial" w:eastAsia="Arial" w:hAnsi="Arial"/>
            <w:sz w:val="16"/>
            <w:szCs w:val="16"/>
            <w:u w:val="single" w:color="auto"/>
            <w:color w:val="0000FF"/>
          </w:rPr>
          <w:t>62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77" w:lineRule="exact"/>
        <w:rPr>
          <w:sz w:val="20"/>
          <w:szCs w:val="20"/>
          <w:color w:val="auto"/>
        </w:rPr>
      </w:pPr>
    </w:p>
    <w:p>
      <w:pPr>
        <w:ind w:right="38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Information required under this item with respect to directors and information required by Items 401, 405, 406, 407(c)(3), 407(d)(4) and 407(d)(5) of Regulation S-K, is set forth in the Proxy Statement for our 2021 Annual Meeting of Shareholders, which is incorporated herein by reference. Information about our Executive Officers is reported in </w:t>
      </w:r>
      <w:hyperlink w:anchor="page31">
        <w:r>
          <w:rPr>
            <w:rFonts w:ascii="Arial" w:cs="Arial" w:eastAsia="Arial" w:hAnsi="Arial"/>
            <w:sz w:val="16"/>
            <w:szCs w:val="16"/>
            <w:u w:val="single" w:color="auto"/>
            <w:color w:val="0000FF"/>
          </w:rPr>
          <w:t>Part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77"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Information required under this item is set forth in the Proxy Statement for our 2021 Annual Meeting of Shareholders, which is incorporated herein by reference.</w:t>
      </w:r>
    </w:p>
    <w:p>
      <w:pPr>
        <w:spacing w:after="0" w:line="198" w:lineRule="exact"/>
        <w:rPr>
          <w:sz w:val="20"/>
          <w:szCs w:val="20"/>
          <w:color w:val="auto"/>
        </w:rPr>
      </w:pPr>
    </w:p>
    <w:p>
      <w:pPr>
        <w:ind w:left="1300" w:right="180" w:hanging="1295"/>
        <w:spacing w:after="0" w:line="287"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0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Information regarding the security ownership of certain beneficial owners and management is set forth in the Proxy Statement for our 2021 Annual Meeting of Shareholders, which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6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following table includes information as of December 31, 2020 with respect to our equity compensation plans. These plans include the 2005 Omnibus Incentive Plan and 2015 Omnibus Incentive Plan.</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3420" w:type="dxa"/>
            <w:vAlign w:val="bottom"/>
            <w:gridSpan w:val="2"/>
          </w:tcPr>
          <w:p>
            <w:pPr>
              <w:jc w:val="right"/>
              <w:spacing w:after="0"/>
              <w:rPr>
                <w:sz w:val="20"/>
                <w:szCs w:val="20"/>
                <w:color w:val="auto"/>
              </w:rPr>
            </w:pPr>
            <w:r>
              <w:rPr>
                <w:rFonts w:ascii="Arial" w:cs="Arial" w:eastAsia="Arial" w:hAnsi="Arial"/>
                <w:sz w:val="16"/>
                <w:szCs w:val="16"/>
                <w:color w:val="auto"/>
              </w:rPr>
              <w:t>Equity Compensation Plan Information</w:t>
            </w:r>
          </w:p>
        </w:tc>
        <w:tc>
          <w:tcPr>
            <w:tcW w:w="1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560" w:type="dxa"/>
            <w:vAlign w:val="bottom"/>
          </w:tcPr>
          <w:p>
            <w:pPr>
              <w:jc w:val="center"/>
              <w:spacing w:after="0"/>
              <w:rPr>
                <w:sz w:val="20"/>
                <w:szCs w:val="20"/>
                <w:color w:val="auto"/>
              </w:rPr>
            </w:pPr>
            <w:r>
              <w:rPr>
                <w:rFonts w:ascii="Arial" w:cs="Arial" w:eastAsia="Arial" w:hAnsi="Arial"/>
                <w:sz w:val="16"/>
                <w:szCs w:val="16"/>
                <w:color w:val="auto"/>
              </w:rPr>
              <w:t>Number of securities remaining</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60" w:type="dxa"/>
            <w:vAlign w:val="bottom"/>
          </w:tcPr>
          <w:p>
            <w:pPr>
              <w:jc w:val="center"/>
              <w:spacing w:after="0" w:line="162" w:lineRule="exact"/>
              <w:rPr>
                <w:sz w:val="20"/>
                <w:szCs w:val="20"/>
                <w:color w:val="auto"/>
              </w:rPr>
            </w:pPr>
            <w:r>
              <w:rPr>
                <w:rFonts w:ascii="Arial" w:cs="Arial" w:eastAsia="Arial" w:hAnsi="Arial"/>
                <w:sz w:val="16"/>
                <w:szCs w:val="16"/>
                <w:color w:val="auto"/>
              </w:rPr>
              <w:t>available for future issuance under</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540" w:type="dxa"/>
            <w:vAlign w:val="bottom"/>
          </w:tcPr>
          <w:p>
            <w:pPr>
              <w:jc w:val="center"/>
              <w:spacing w:after="0" w:line="162" w:lineRule="exact"/>
              <w:rPr>
                <w:sz w:val="20"/>
                <w:szCs w:val="20"/>
                <w:color w:val="auto"/>
              </w:rPr>
            </w:pPr>
            <w:r>
              <w:rPr>
                <w:rFonts w:ascii="Arial" w:cs="Arial" w:eastAsia="Arial" w:hAnsi="Arial"/>
                <w:sz w:val="16"/>
                <w:szCs w:val="16"/>
                <w:color w:val="auto"/>
              </w:rPr>
              <w:t>Number of securities to be issued</w:t>
            </w:r>
          </w:p>
        </w:tc>
        <w:tc>
          <w:tcPr>
            <w:tcW w:w="250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Weighted-average exercise price</w:t>
            </w:r>
          </w:p>
        </w:tc>
        <w:tc>
          <w:tcPr>
            <w:tcW w:w="2560" w:type="dxa"/>
            <w:vAlign w:val="bottom"/>
          </w:tcPr>
          <w:p>
            <w:pPr>
              <w:jc w:val="center"/>
              <w:spacing w:after="0" w:line="162" w:lineRule="exact"/>
              <w:rPr>
                <w:sz w:val="20"/>
                <w:szCs w:val="20"/>
                <w:color w:val="auto"/>
              </w:rPr>
            </w:pPr>
            <w:r>
              <w:rPr>
                <w:rFonts w:ascii="Arial" w:cs="Arial" w:eastAsia="Arial" w:hAnsi="Arial"/>
                <w:sz w:val="16"/>
                <w:szCs w:val="16"/>
                <w:color w:val="auto"/>
              </w:rPr>
              <w:t>equity compensation plans</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540" w:type="dxa"/>
            <w:vAlign w:val="bottom"/>
          </w:tcPr>
          <w:p>
            <w:pPr>
              <w:jc w:val="center"/>
              <w:spacing w:after="0" w:line="162" w:lineRule="exact"/>
              <w:rPr>
                <w:sz w:val="20"/>
                <w:szCs w:val="20"/>
                <w:color w:val="auto"/>
              </w:rPr>
            </w:pPr>
            <w:r>
              <w:rPr>
                <w:rFonts w:ascii="Arial" w:cs="Arial" w:eastAsia="Arial" w:hAnsi="Arial"/>
                <w:sz w:val="16"/>
                <w:szCs w:val="16"/>
                <w:color w:val="auto"/>
              </w:rPr>
              <w:t>upon exercise of outstanding</w:t>
            </w:r>
          </w:p>
        </w:tc>
        <w:tc>
          <w:tcPr>
            <w:tcW w:w="250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of outstanding options, warrants</w:t>
            </w:r>
          </w:p>
        </w:tc>
        <w:tc>
          <w:tcPr>
            <w:tcW w:w="2560" w:type="dxa"/>
            <w:vAlign w:val="bottom"/>
          </w:tcPr>
          <w:p>
            <w:pPr>
              <w:jc w:val="center"/>
              <w:spacing w:after="0" w:line="162" w:lineRule="exact"/>
              <w:rPr>
                <w:sz w:val="20"/>
                <w:szCs w:val="20"/>
                <w:color w:val="auto"/>
              </w:rPr>
            </w:pPr>
            <w:r>
              <w:rPr>
                <w:rFonts w:ascii="Arial" w:cs="Arial" w:eastAsia="Arial" w:hAnsi="Arial"/>
                <w:sz w:val="16"/>
                <w:szCs w:val="16"/>
                <w:color w:val="auto"/>
              </w:rPr>
              <w:t>(excluding securities reflected in</w:t>
            </w:r>
          </w:p>
        </w:tc>
        <w:tc>
          <w:tcPr>
            <w:tcW w:w="0" w:type="dxa"/>
            <w:vAlign w:val="bottom"/>
          </w:tcPr>
          <w:p>
            <w:pPr>
              <w:spacing w:after="0"/>
              <w:rPr>
                <w:sz w:val="1"/>
                <w:szCs w:val="1"/>
                <w:color w:val="auto"/>
              </w:rPr>
            </w:pPr>
          </w:p>
        </w:tc>
      </w:tr>
      <w:tr>
        <w:trPr>
          <w:trHeight w:val="198"/>
        </w:trPr>
        <w:tc>
          <w:tcPr>
            <w:tcW w:w="3580" w:type="dxa"/>
            <w:vAlign w:val="bottom"/>
            <w:tcBorders>
              <w:bottom w:val="single" w:sz="8" w:color="auto"/>
            </w:tcBorders>
          </w:tcPr>
          <w:p>
            <w:pPr>
              <w:ind w:left="1280"/>
              <w:spacing w:after="0"/>
              <w:rPr>
                <w:sz w:val="20"/>
                <w:szCs w:val="20"/>
                <w:color w:val="auto"/>
              </w:rPr>
            </w:pPr>
            <w:r>
              <w:rPr>
                <w:rFonts w:ascii="Arial" w:cs="Arial" w:eastAsia="Arial" w:hAnsi="Arial"/>
                <w:sz w:val="16"/>
                <w:szCs w:val="16"/>
                <w:color w:val="auto"/>
              </w:rPr>
              <w:t>Plan category</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options, warrants and rights</w:t>
            </w:r>
          </w:p>
        </w:tc>
        <w:tc>
          <w:tcPr>
            <w:tcW w:w="8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799"/>
              <w:spacing w:after="0"/>
              <w:rPr>
                <w:sz w:val="20"/>
                <w:szCs w:val="20"/>
                <w:color w:val="auto"/>
              </w:rPr>
            </w:pPr>
            <w:r>
              <w:rPr>
                <w:rFonts w:ascii="Arial" w:cs="Arial" w:eastAsia="Arial" w:hAnsi="Arial"/>
                <w:sz w:val="16"/>
                <w:szCs w:val="16"/>
                <w:color w:val="auto"/>
                <w:w w:val="99"/>
              </w:rPr>
              <w:t>and rights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column (a))</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rPr>
              <w:t>(a)</w:t>
            </w:r>
          </w:p>
        </w:tc>
        <w:tc>
          <w:tcPr>
            <w:tcW w:w="880" w:type="dxa"/>
            <w:vAlign w:val="bottom"/>
          </w:tcPr>
          <w:p>
            <w:pPr>
              <w:spacing w:after="0"/>
              <w:rPr>
                <w:sz w:val="18"/>
                <w:szCs w:val="18"/>
                <w:color w:val="auto"/>
              </w:rPr>
            </w:pPr>
          </w:p>
        </w:tc>
        <w:tc>
          <w:tcPr>
            <w:tcW w:w="1620" w:type="dxa"/>
            <w:vAlign w:val="bottom"/>
          </w:tcPr>
          <w:p>
            <w:pPr>
              <w:jc w:val="center"/>
              <w:ind w:right="779"/>
              <w:spacing w:after="0"/>
              <w:rPr>
                <w:sz w:val="20"/>
                <w:szCs w:val="20"/>
                <w:color w:val="auto"/>
              </w:rPr>
            </w:pPr>
            <w:r>
              <w:rPr>
                <w:rFonts w:ascii="Arial" w:cs="Arial" w:eastAsia="Arial" w:hAnsi="Arial"/>
                <w:sz w:val="16"/>
                <w:szCs w:val="16"/>
                <w:color w:val="auto"/>
              </w:rPr>
              <w:t>(b)</w:t>
            </w:r>
          </w:p>
        </w:tc>
        <w:tc>
          <w:tcPr>
            <w:tcW w:w="2560" w:type="dxa"/>
            <w:vAlign w:val="bottom"/>
          </w:tcPr>
          <w:p>
            <w:pPr>
              <w:jc w:val="center"/>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180"/>
        </w:trPr>
        <w:tc>
          <w:tcPr>
            <w:tcW w:w="3580" w:type="dxa"/>
            <w:vAlign w:val="bottom"/>
            <w:shd w:val="clear" w:color="auto" w:fill="CEFFE7"/>
          </w:tcPr>
          <w:p>
            <w:pPr>
              <w:spacing w:after="0" w:line="181" w:lineRule="exact"/>
              <w:rPr>
                <w:sz w:val="20"/>
                <w:szCs w:val="20"/>
                <w:color w:val="auto"/>
              </w:rPr>
            </w:pPr>
            <w:r>
              <w:rPr>
                <w:rFonts w:ascii="Arial" w:cs="Arial" w:eastAsia="Arial" w:hAnsi="Arial"/>
                <w:sz w:val="16"/>
                <w:szCs w:val="16"/>
                <w:color w:val="auto"/>
              </w:rPr>
              <w:t>Equity compensation plans approved by security</w:t>
            </w:r>
          </w:p>
        </w:tc>
        <w:tc>
          <w:tcPr>
            <w:tcW w:w="2540" w:type="dxa"/>
            <w:vAlign w:val="bottom"/>
            <w:vMerge w:val="restart"/>
            <w:shd w:val="clear" w:color="auto" w:fill="CEFFE7"/>
          </w:tcPr>
          <w:p>
            <w:pPr>
              <w:jc w:val="right"/>
              <w:ind w:right="159"/>
              <w:spacing w:after="0"/>
              <w:rPr>
                <w:sz w:val="20"/>
                <w:szCs w:val="20"/>
                <w:color w:val="auto"/>
              </w:rPr>
            </w:pPr>
            <w:r>
              <w:rPr>
                <w:rFonts w:ascii="Arial" w:cs="Arial" w:eastAsia="Arial" w:hAnsi="Arial"/>
                <w:sz w:val="16"/>
                <w:szCs w:val="16"/>
                <w:color w:val="auto"/>
              </w:rPr>
              <w:t xml:space="preserve">154,354 </w:t>
            </w:r>
            <w:r>
              <w:rPr>
                <w:rFonts w:ascii="Arial" w:cs="Arial" w:eastAsia="Arial" w:hAnsi="Arial"/>
                <w:sz w:val="21"/>
                <w:szCs w:val="21"/>
                <w:color w:val="auto"/>
                <w:vertAlign w:val="superscript"/>
              </w:rPr>
              <w:t>(1)</w:t>
            </w:r>
          </w:p>
        </w:tc>
        <w:tc>
          <w:tcPr>
            <w:tcW w:w="880" w:type="dxa"/>
            <w:vAlign w:val="bottom"/>
            <w:shd w:val="clear" w:color="auto" w:fill="CEFFE7"/>
          </w:tcPr>
          <w:p>
            <w:pPr>
              <w:spacing w:after="0"/>
              <w:rPr>
                <w:sz w:val="15"/>
                <w:szCs w:val="15"/>
                <w:color w:val="auto"/>
              </w:rPr>
            </w:pPr>
          </w:p>
        </w:tc>
        <w:tc>
          <w:tcPr>
            <w:tcW w:w="162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 xml:space="preserve">54.29 </w:t>
            </w:r>
            <w:r>
              <w:rPr>
                <w:rFonts w:ascii="Arial" w:cs="Arial" w:eastAsia="Arial" w:hAnsi="Arial"/>
                <w:sz w:val="21"/>
                <w:szCs w:val="21"/>
                <w:color w:val="auto"/>
                <w:vertAlign w:val="superscript"/>
              </w:rPr>
              <w:t>(1)</w:t>
            </w:r>
          </w:p>
        </w:tc>
        <w:tc>
          <w:tcPr>
            <w:tcW w:w="2560" w:type="dxa"/>
            <w:vAlign w:val="bottom"/>
            <w:vMerge w:val="restart"/>
            <w:shd w:val="clear" w:color="auto" w:fill="CEFFE7"/>
          </w:tcPr>
          <w:p>
            <w:pPr>
              <w:jc w:val="right"/>
              <w:ind w:right="119"/>
              <w:spacing w:after="0"/>
              <w:rPr>
                <w:sz w:val="20"/>
                <w:szCs w:val="20"/>
                <w:color w:val="auto"/>
              </w:rPr>
            </w:pPr>
            <w:r>
              <w:rPr>
                <w:rFonts w:ascii="Arial" w:cs="Arial" w:eastAsia="Arial" w:hAnsi="Arial"/>
                <w:sz w:val="16"/>
                <w:szCs w:val="16"/>
                <w:color w:val="auto"/>
              </w:rPr>
              <w:t xml:space="preserve">561,073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01"/>
        </w:trPr>
        <w:tc>
          <w:tcPr>
            <w:tcW w:w="3580" w:type="dxa"/>
            <w:vAlign w:val="bottom"/>
            <w:shd w:val="clear" w:color="auto" w:fill="CEFFE7"/>
          </w:tcPr>
          <w:p>
            <w:pPr>
              <w:spacing w:after="0"/>
              <w:rPr>
                <w:sz w:val="20"/>
                <w:szCs w:val="20"/>
                <w:color w:val="auto"/>
              </w:rPr>
            </w:pPr>
            <w:r>
              <w:rPr>
                <w:rFonts w:ascii="Arial" w:cs="Arial" w:eastAsia="Arial" w:hAnsi="Arial"/>
                <w:sz w:val="16"/>
                <w:szCs w:val="16"/>
                <w:color w:val="auto"/>
              </w:rPr>
              <w:t>holders</w:t>
            </w:r>
          </w:p>
        </w:tc>
        <w:tc>
          <w:tcPr>
            <w:tcW w:w="2540" w:type="dxa"/>
            <w:vAlign w:val="bottom"/>
            <w:vMerge w:val="continue"/>
            <w:shd w:val="clear" w:color="auto" w:fill="CEFFE7"/>
          </w:tcPr>
          <w:p>
            <w:pPr>
              <w:spacing w:after="0"/>
              <w:rPr>
                <w:sz w:val="17"/>
                <w:szCs w:val="17"/>
                <w:color w:val="auto"/>
              </w:rPr>
            </w:pPr>
          </w:p>
        </w:tc>
        <w:tc>
          <w:tcPr>
            <w:tcW w:w="88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w:t>
            </w:r>
          </w:p>
        </w:tc>
        <w:tc>
          <w:tcPr>
            <w:tcW w:w="1620" w:type="dxa"/>
            <w:vAlign w:val="bottom"/>
            <w:vMerge w:val="continue"/>
            <w:shd w:val="clear" w:color="auto" w:fill="CEFFE7"/>
          </w:tcPr>
          <w:p>
            <w:pPr>
              <w:spacing w:after="0"/>
              <w:rPr>
                <w:sz w:val="17"/>
                <w:szCs w:val="17"/>
                <w:color w:val="auto"/>
              </w:rPr>
            </w:pPr>
          </w:p>
        </w:tc>
        <w:tc>
          <w:tcPr>
            <w:tcW w:w="2560" w:type="dxa"/>
            <w:vAlign w:val="bottom"/>
            <w:vMerge w:val="continue"/>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580" w:type="dxa"/>
            <w:vAlign w:val="bottom"/>
          </w:tcPr>
          <w:p>
            <w:pPr>
              <w:spacing w:after="0" w:line="178" w:lineRule="exact"/>
              <w:rPr>
                <w:sz w:val="20"/>
                <w:szCs w:val="20"/>
                <w:color w:val="auto"/>
              </w:rPr>
            </w:pPr>
            <w:r>
              <w:rPr>
                <w:rFonts w:ascii="Arial" w:cs="Arial" w:eastAsia="Arial" w:hAnsi="Arial"/>
                <w:sz w:val="16"/>
                <w:szCs w:val="16"/>
                <w:color w:val="auto"/>
              </w:rPr>
              <w:t>Equity compensation plans not approved by</w:t>
            </w:r>
          </w:p>
        </w:tc>
        <w:tc>
          <w:tcPr>
            <w:tcW w:w="2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80" w:type="dxa"/>
            <w:vAlign w:val="bottom"/>
            <w:tcBorders>
              <w:bottom w:val="single" w:sz="8" w:color="CEFFE7"/>
            </w:tcBorders>
          </w:tcPr>
          <w:p>
            <w:pPr>
              <w:spacing w:after="0"/>
              <w:rPr>
                <w:sz w:val="20"/>
                <w:szCs w:val="20"/>
                <w:color w:val="auto"/>
              </w:rPr>
            </w:pPr>
            <w:r>
              <w:rPr>
                <w:rFonts w:ascii="Arial" w:cs="Arial" w:eastAsia="Arial" w:hAnsi="Arial"/>
                <w:sz w:val="16"/>
                <w:szCs w:val="16"/>
                <w:color w:val="auto"/>
              </w:rPr>
              <w:t>security holders</w:t>
            </w:r>
          </w:p>
        </w:tc>
        <w:tc>
          <w:tcPr>
            <w:tcW w:w="2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2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5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Total</w:t>
            </w:r>
          </w:p>
        </w:tc>
        <w:tc>
          <w:tcPr>
            <w:tcW w:w="2540" w:type="dxa"/>
            <w:vAlign w:val="bottom"/>
            <w:tcBorders>
              <w:bottom w:val="single" w:sz="8" w:color="auto"/>
            </w:tcBorders>
            <w:shd w:val="clear" w:color="auto" w:fill="CEFFE7"/>
          </w:tcPr>
          <w:p>
            <w:pPr>
              <w:jc w:val="right"/>
              <w:ind w:right="379"/>
              <w:spacing w:after="0"/>
              <w:rPr>
                <w:sz w:val="20"/>
                <w:szCs w:val="20"/>
                <w:color w:val="auto"/>
              </w:rPr>
            </w:pPr>
            <w:r>
              <w:rPr>
                <w:rFonts w:ascii="Arial" w:cs="Arial" w:eastAsia="Arial" w:hAnsi="Arial"/>
                <w:sz w:val="16"/>
                <w:szCs w:val="16"/>
                <w:color w:val="auto"/>
              </w:rPr>
              <w:t>154,354</w:t>
            </w:r>
          </w:p>
        </w:tc>
        <w:tc>
          <w:tcPr>
            <w:tcW w:w="880" w:type="dxa"/>
            <w:vAlign w:val="bottom"/>
            <w:tcBorders>
              <w:bottom w:val="single" w:sz="8" w:color="auto"/>
            </w:tcBorders>
            <w:shd w:val="clear" w:color="auto" w:fill="CEFFE7"/>
          </w:tcPr>
          <w:p>
            <w:pPr>
              <w:jc w:val="right"/>
              <w:ind w:right="3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54.29</w:t>
            </w:r>
          </w:p>
        </w:tc>
        <w:tc>
          <w:tcPr>
            <w:tcW w:w="2560" w:type="dxa"/>
            <w:vAlign w:val="bottom"/>
            <w:tcBorders>
              <w:bottom w:val="single" w:sz="8" w:color="auto"/>
            </w:tcBorders>
            <w:shd w:val="clear" w:color="auto" w:fill="CEFFE7"/>
          </w:tcPr>
          <w:p>
            <w:pPr>
              <w:jc w:val="right"/>
              <w:ind w:right="339"/>
              <w:spacing w:after="0"/>
              <w:rPr>
                <w:sz w:val="20"/>
                <w:szCs w:val="20"/>
                <w:color w:val="auto"/>
              </w:rPr>
            </w:pPr>
            <w:r>
              <w:rPr>
                <w:rFonts w:ascii="Arial" w:cs="Arial" w:eastAsia="Arial" w:hAnsi="Arial"/>
                <w:sz w:val="16"/>
                <w:szCs w:val="16"/>
                <w:color w:val="auto"/>
              </w:rPr>
              <w:t>561,073</w:t>
            </w:r>
          </w:p>
        </w:tc>
        <w:tc>
          <w:tcPr>
            <w:tcW w:w="0" w:type="dxa"/>
            <w:vAlign w:val="bottom"/>
          </w:tcPr>
          <w:p>
            <w:pPr>
              <w:spacing w:after="0"/>
              <w:rPr>
                <w:sz w:val="1"/>
                <w:szCs w:val="1"/>
                <w:color w:val="auto"/>
              </w:rPr>
            </w:pPr>
          </w:p>
        </w:tc>
      </w:tr>
      <w:tr>
        <w:trPr>
          <w:trHeight w:val="20"/>
        </w:trPr>
        <w:tc>
          <w:tcPr>
            <w:tcW w:w="3580" w:type="dxa"/>
            <w:vAlign w:val="bottom"/>
            <w:tcBorders>
              <w:top w:val="single" w:sz="8" w:color="CEFFE7"/>
            </w:tcBorders>
          </w:tcPr>
          <w:p>
            <w:pPr>
              <w:spacing w:after="0" w:line="20" w:lineRule="exact"/>
              <w:rPr>
                <w:sz w:val="1"/>
                <w:szCs w:val="1"/>
                <w:color w:val="auto"/>
              </w:rPr>
            </w:pPr>
          </w:p>
        </w:tc>
        <w:tc>
          <w:tcPr>
            <w:tcW w:w="254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620" w:type="dxa"/>
            <w:vAlign w:val="bottom"/>
            <w:tcBorders>
              <w:top w:val="single" w:sz="8" w:color="CEFFE7"/>
              <w:bottom w:val="single" w:sz="8" w:color="auto"/>
            </w:tcBorders>
          </w:tcPr>
          <w:p>
            <w:pPr>
              <w:spacing w:after="0" w:line="20" w:lineRule="exact"/>
              <w:rPr>
                <w:sz w:val="1"/>
                <w:szCs w:val="1"/>
                <w:color w:val="auto"/>
              </w:rPr>
            </w:pPr>
          </w:p>
        </w:tc>
        <w:tc>
          <w:tcPr>
            <w:tcW w:w="25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1" w:lineRule="exact"/>
        <w:rPr>
          <w:sz w:val="20"/>
          <w:szCs w:val="20"/>
          <w:color w:val="auto"/>
        </w:rPr>
      </w:pPr>
    </w:p>
    <w:p>
      <w:pPr>
        <w:ind w:left="340" w:right="160" w:hanging="332"/>
        <w:spacing w:after="0" w:line="242" w:lineRule="auto"/>
        <w:tabs>
          <w:tab w:leader="none" w:pos="352"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149,354 full value awards outstanding as of December 31, 2020, comprised of restricted stock units, performance shares, short-term incentive plan (STIP) units and Director common stock units. The weighted average exercise price does not include the restricted stock units, performance shares, STIP or common stock units. In addition, 195,875 shares of unvested restricted stock were outstanding as of December 31, 2020, which are not included in the above table because they have already been issued.</w:t>
      </w:r>
    </w:p>
    <w:p>
      <w:pPr>
        <w:spacing w:after="0" w:line="160" w:lineRule="exact"/>
        <w:rPr>
          <w:rFonts w:ascii="Arial" w:cs="Arial" w:eastAsia="Arial" w:hAnsi="Arial"/>
          <w:sz w:val="14"/>
          <w:szCs w:val="14"/>
          <w:color w:val="auto"/>
        </w:rPr>
      </w:pPr>
    </w:p>
    <w:p>
      <w:pPr>
        <w:ind w:left="340" w:right="240" w:hanging="332"/>
        <w:spacing w:after="0" w:line="258" w:lineRule="auto"/>
        <w:tabs>
          <w:tab w:leader="none" w:pos="295" w:val="left"/>
        </w:tabs>
        <w:numPr>
          <w:ilvl w:val="0"/>
          <w:numId w:val="95"/>
        </w:numPr>
        <w:rPr>
          <w:rFonts w:ascii="Arial" w:cs="Arial" w:eastAsia="Arial" w:hAnsi="Arial"/>
          <w:sz w:val="14"/>
          <w:szCs w:val="14"/>
          <w:color w:val="auto"/>
        </w:rPr>
      </w:pPr>
      <w:r>
        <w:rPr>
          <w:rFonts w:ascii="Arial" w:cs="Arial" w:eastAsia="Arial" w:hAnsi="Arial"/>
          <w:sz w:val="14"/>
          <w:szCs w:val="14"/>
          <w:color w:val="auto"/>
        </w:rPr>
        <w:t>Shares available for issuance are from the 2015 Omnibus Incentive Plan. The 2015 Omnibus Incentive Plan permits the grant of stock options, stock appreciation rights, restricted stock, restricted stock units, performance shares, performance units, cash-based awards and other stock based awards.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7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Information regarding certain relationships and related transactions and director independence is set forth in the Proxy Statement for our 2021 Annual Meeting of Shareholders, which is incorporated herein by reference.</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77"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Information regarding principal accounting fees and services is set forth in the Proxy Statement for our 2021 Annual Meeting to Shareholders,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57" w:lineRule="exact"/>
        <w:rPr>
          <w:sz w:val="20"/>
          <w:szCs w:val="20"/>
          <w:color w:val="auto"/>
        </w:rPr>
      </w:pPr>
    </w:p>
    <w:p>
      <w:pPr>
        <w:ind w:left="440" w:hanging="432"/>
        <w:spacing w:after="0"/>
        <w:tabs>
          <w:tab w:leader="none" w:pos="44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filed as part of this report</w:t>
      </w:r>
    </w:p>
    <w:p>
      <w:pPr>
        <w:spacing w:after="0" w:line="248"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Financial Statements</w:t>
      </w:r>
    </w:p>
    <w:p>
      <w:pPr>
        <w:spacing w:after="0" w:line="26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Financial statements required under this item are included in </w:t>
      </w:r>
      <w:hyperlink w:anchor="page61">
        <w:r>
          <w:rPr>
            <w:rFonts w:ascii="Arial" w:cs="Arial" w:eastAsia="Arial" w:hAnsi="Arial"/>
            <w:sz w:val="16"/>
            <w:szCs w:val="16"/>
            <w:u w:val="single" w:color="auto"/>
            <w:color w:val="0000FF"/>
          </w:rPr>
          <w:t>Item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Part II</w:t>
      </w:r>
    </w:p>
    <w:p>
      <w:pPr>
        <w:spacing w:after="0" w:line="228"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Schedules</w:t>
      </w:r>
    </w:p>
    <w:p>
      <w:pPr>
        <w:spacing w:after="0" w:line="268" w:lineRule="exact"/>
        <w:rPr>
          <w:sz w:val="20"/>
          <w:szCs w:val="20"/>
          <w:color w:val="auto"/>
        </w:rPr>
      </w:pPr>
    </w:p>
    <w:p>
      <w:pPr>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All other schedules have been omitted because of the absence of the conditions under which they are required or because the required information is included in our consolidated financial statements and notes thereto. Consolidated valuation and qualifying accounts are detailed within </w:t>
      </w:r>
      <w:hyperlink w:anchor="page72">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w:t>
      </w: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6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 Items constituting a board of director or management compensatory plan are designated by a cross (†).</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Number</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020" w:type="dxa"/>
            <w:vAlign w:val="bottom"/>
            <w:tcBorders>
              <w:bottom w:val="single" w:sz="8" w:color="auto"/>
            </w:tcBorders>
            <w:gridSpan w:val="10"/>
          </w:tcPr>
          <w:p>
            <w:pPr>
              <w:ind w:left="1640"/>
              <w:spacing w:after="0"/>
              <w:rPr>
                <w:sz w:val="20"/>
                <w:szCs w:val="20"/>
                <w:color w:val="auto"/>
              </w:rPr>
            </w:pPr>
            <w:r>
              <w:rPr>
                <w:rFonts w:ascii="Arial" w:cs="Arial" w:eastAsia="Arial" w:hAnsi="Arial"/>
                <w:sz w:val="16"/>
                <w:szCs w:val="16"/>
                <w:b w:val="1"/>
                <w:bCs w:val="1"/>
                <w:color w:val="auto"/>
              </w:rPr>
              <w:t>Description</w:t>
            </w:r>
          </w:p>
        </w:tc>
      </w:tr>
      <w:tr>
        <w:trPr>
          <w:trHeight w:val="91"/>
        </w:trPr>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75"/>
        </w:trPr>
        <w:tc>
          <w:tcPr>
            <w:tcW w:w="1320" w:type="dxa"/>
            <w:vAlign w:val="bottom"/>
            <w:tcBorders>
              <w:bottom w:val="single" w:sz="8" w:color="CEFEE7"/>
            </w:tcBorders>
            <w:shd w:val="clear" w:color="auto" w:fill="CEFEE7"/>
          </w:tcPr>
          <w:p>
            <w:pPr>
              <w:ind w:left="20"/>
              <w:spacing w:after="0" w:line="175" w:lineRule="exact"/>
              <w:rPr>
                <w:sz w:val="20"/>
                <w:szCs w:val="20"/>
                <w:color w:val="auto"/>
              </w:rPr>
            </w:pPr>
            <w:r>
              <w:rPr>
                <w:rFonts w:ascii="Arial" w:cs="Arial" w:eastAsia="Arial" w:hAnsi="Arial"/>
                <w:sz w:val="16"/>
                <w:szCs w:val="16"/>
                <w:color w:val="auto"/>
              </w:rPr>
              <w:t>2.1</w:t>
            </w:r>
          </w:p>
        </w:tc>
        <w:tc>
          <w:tcPr>
            <w:tcW w:w="9140" w:type="dxa"/>
            <w:vAlign w:val="bottom"/>
            <w:tcBorders>
              <w:bottom w:val="single" w:sz="8" w:color="0000FF"/>
            </w:tcBorders>
            <w:gridSpan w:val="6"/>
            <w:shd w:val="clear" w:color="auto" w:fill="CEFEE7"/>
          </w:tcPr>
          <w:p>
            <w:pPr>
              <w:spacing w:after="0" w:line="175" w:lineRule="exact"/>
              <w:rPr>
                <w:rFonts w:ascii="Arial" w:cs="Arial" w:eastAsia="Arial" w:hAnsi="Arial"/>
                <w:sz w:val="16"/>
                <w:szCs w:val="16"/>
                <w:color w:val="0000FF"/>
              </w:rPr>
            </w:pPr>
            <w:hyperlink r:id="rId169">
              <w:r>
                <w:rPr>
                  <w:rFonts w:ascii="Arial" w:cs="Arial" w:eastAsia="Arial" w:hAnsi="Arial"/>
                  <w:sz w:val="16"/>
                  <w:szCs w:val="16"/>
                  <w:color w:val="0000FF"/>
                </w:rPr>
                <w:t>Purchase and Sale Agreement by and among Alinda Gas Delaware LLC, Alinda Infrastructure Fund I, L.P. and Aircraft Services</w:t>
              </w:r>
            </w:hyperlink>
          </w:p>
        </w:tc>
        <w:tc>
          <w:tcPr>
            <w:tcW w:w="740" w:type="dxa"/>
            <w:vAlign w:val="bottom"/>
            <w:tcBorders>
              <w:bottom w:val="single" w:sz="8" w:color="CEFEE7"/>
            </w:tcBorders>
            <w:gridSpan w:val="8"/>
            <w:shd w:val="clear" w:color="auto" w:fill="CEFEE7"/>
          </w:tcPr>
          <w:p>
            <w:pPr>
              <w:spacing w:after="0"/>
              <w:rPr>
                <w:sz w:val="15"/>
                <w:szCs w:val="15"/>
                <w:color w:val="auto"/>
              </w:rPr>
            </w:pPr>
          </w:p>
        </w:tc>
      </w:tr>
      <w:tr>
        <w:trPr>
          <w:trHeight w:val="142"/>
        </w:trPr>
        <w:tc>
          <w:tcPr>
            <w:tcW w:w="1320" w:type="dxa"/>
            <w:vAlign w:val="bottom"/>
            <w:shd w:val="clear" w:color="auto" w:fill="CEFEE7"/>
          </w:tcPr>
          <w:p>
            <w:pPr>
              <w:spacing w:after="0"/>
              <w:rPr>
                <w:sz w:val="12"/>
                <w:szCs w:val="12"/>
                <w:color w:val="auto"/>
              </w:rPr>
            </w:pPr>
          </w:p>
        </w:tc>
        <w:tc>
          <w:tcPr>
            <w:tcW w:w="9880" w:type="dxa"/>
            <w:vAlign w:val="bottom"/>
            <w:gridSpan w:val="14"/>
            <w:shd w:val="clear" w:color="auto" w:fill="CEFEE7"/>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Corporation, as Sellers, and Black Hills Utility Holdings, Inc., as Buyer, dated as of July 12, 2015 (filed as Exhibit 2.1 to the Registrant’s</w:t>
              </w:r>
            </w:hyperlink>
          </w:p>
        </w:tc>
      </w:tr>
      <w:tr>
        <w:trPr>
          <w:trHeight w:val="163"/>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2360" w:type="dxa"/>
            <w:vAlign w:val="bottom"/>
            <w:tcBorders>
              <w:top w:val="single" w:sz="8" w:color="0000FF"/>
              <w:bottom w:val="single" w:sz="8" w:color="0000FF"/>
            </w:tcBorders>
            <w:gridSpan w:val="3"/>
            <w:shd w:val="clear" w:color="auto" w:fill="CEFEE7"/>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Form 8-K filed on July 14, 2015).</w:t>
              </w:r>
            </w:hyperlink>
          </w:p>
        </w:tc>
        <w:tc>
          <w:tcPr>
            <w:tcW w:w="7300" w:type="dxa"/>
            <w:vAlign w:val="bottom"/>
            <w:tcBorders>
              <w:top w:val="single" w:sz="8" w:color="0000FF"/>
              <w:bottom w:val="single" w:sz="8" w:color="CEFEE7"/>
            </w:tcBorders>
            <w:gridSpan w:val="7"/>
            <w:shd w:val="clear" w:color="auto" w:fill="CEFEE7"/>
          </w:tcPr>
          <w:p>
            <w:pPr>
              <w:spacing w:after="0"/>
              <w:rPr>
                <w:sz w:val="14"/>
                <w:szCs w:val="14"/>
                <w:color w:val="auto"/>
              </w:rPr>
            </w:pPr>
          </w:p>
        </w:tc>
        <w:tc>
          <w:tcPr>
            <w:tcW w:w="4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100" w:type="dxa"/>
            <w:vAlign w:val="bottom"/>
            <w:tcBorders>
              <w:top w:val="single" w:sz="8" w:color="CEFEE7"/>
              <w:bottom w:val="single" w:sz="8" w:color="CEFEE7"/>
            </w:tcBorders>
            <w:shd w:val="clear" w:color="auto" w:fill="CEFEE7"/>
          </w:tcPr>
          <w:p>
            <w:pPr>
              <w:spacing w:after="0"/>
              <w:rPr>
                <w:sz w:val="14"/>
                <w:szCs w:val="14"/>
                <w:color w:val="auto"/>
              </w:rPr>
            </w:pPr>
          </w:p>
        </w:tc>
        <w:tc>
          <w:tcPr>
            <w:tcW w:w="60" w:type="dxa"/>
            <w:vAlign w:val="bottom"/>
            <w:tcBorders>
              <w:top w:val="single" w:sz="8" w:color="CEFEE7"/>
              <w:bottom w:val="single" w:sz="8" w:color="CEFEE7"/>
            </w:tcBorders>
            <w:shd w:val="clear" w:color="auto" w:fill="CEFEE7"/>
          </w:tcPr>
          <w:p>
            <w:pPr>
              <w:spacing w:after="0"/>
              <w:rPr>
                <w:sz w:val="14"/>
                <w:szCs w:val="14"/>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2.2</w:t>
            </w:r>
          </w:p>
        </w:tc>
        <w:tc>
          <w:tcPr>
            <w:tcW w:w="9400" w:type="dxa"/>
            <w:vAlign w:val="bottom"/>
            <w:tcBorders>
              <w:bottom w:val="single" w:sz="8" w:color="0000FF"/>
            </w:tcBorders>
            <w:gridSpan w:val="7"/>
          </w:tcPr>
          <w:p>
            <w:pPr>
              <w:spacing w:after="0" w:line="175" w:lineRule="exact"/>
              <w:rPr>
                <w:rFonts w:ascii="Arial" w:cs="Arial" w:eastAsia="Arial" w:hAnsi="Arial"/>
                <w:sz w:val="16"/>
                <w:szCs w:val="16"/>
                <w:color w:val="0000FF"/>
              </w:rPr>
            </w:pPr>
            <w:hyperlink r:id="rId170">
              <w:r>
                <w:rPr>
                  <w:rFonts w:ascii="Arial" w:cs="Arial" w:eastAsia="Arial" w:hAnsi="Arial"/>
                  <w:sz w:val="16"/>
                  <w:szCs w:val="16"/>
                  <w:color w:val="0000FF"/>
                </w:rPr>
                <w:t>First Amendment to Purchase and Sale Agreement effective December 10, 2015, by and among, Alinda Gas Delaware LLC, Alinda</w:t>
              </w:r>
            </w:hyperlink>
          </w:p>
        </w:tc>
        <w:tc>
          <w:tcPr>
            <w:tcW w:w="480" w:type="dxa"/>
            <w:vAlign w:val="bottom"/>
            <w:gridSpan w:val="7"/>
          </w:tcPr>
          <w:p>
            <w:pPr>
              <w:spacing w:after="0"/>
              <w:rPr>
                <w:sz w:val="15"/>
                <w:szCs w:val="15"/>
                <w:color w:val="auto"/>
              </w:rPr>
            </w:pPr>
          </w:p>
        </w:tc>
      </w:tr>
      <w:tr>
        <w:trPr>
          <w:trHeight w:val="142"/>
        </w:trPr>
        <w:tc>
          <w:tcPr>
            <w:tcW w:w="1320" w:type="dxa"/>
            <w:vAlign w:val="bottom"/>
          </w:tcPr>
          <w:p>
            <w:pPr>
              <w:spacing w:after="0"/>
              <w:rPr>
                <w:sz w:val="12"/>
                <w:szCs w:val="12"/>
                <w:color w:val="auto"/>
              </w:rPr>
            </w:pPr>
          </w:p>
        </w:tc>
        <w:tc>
          <w:tcPr>
            <w:tcW w:w="9880" w:type="dxa"/>
            <w:vAlign w:val="bottom"/>
            <w:gridSpan w:val="14"/>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Infrastructure Fund I, L.P. and Aircraft Services Corporation, as Sellers, and Black Hills Utility Holdings, Inc., as Buyer (filed as Exhibit 2.2</w:t>
              </w:r>
            </w:hyperlink>
          </w:p>
        </w:tc>
      </w:tr>
      <w:tr>
        <w:trPr>
          <w:trHeight w:val="142"/>
        </w:trPr>
        <w:tc>
          <w:tcPr>
            <w:tcW w:w="1320" w:type="dxa"/>
            <w:vAlign w:val="bottom"/>
          </w:tcPr>
          <w:p>
            <w:pPr>
              <w:spacing w:after="0"/>
              <w:rPr>
                <w:sz w:val="12"/>
                <w:szCs w:val="12"/>
                <w:color w:val="auto"/>
              </w:rPr>
            </w:pPr>
          </w:p>
        </w:tc>
        <w:tc>
          <w:tcPr>
            <w:tcW w:w="98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to the Registrant’s Form 10-K for 2015).</w:t>
              </w:r>
            </w:hyperlink>
          </w:p>
        </w:tc>
        <w:tc>
          <w:tcPr>
            <w:tcW w:w="6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2.3</w:t>
            </w:r>
          </w:p>
        </w:tc>
        <w:tc>
          <w:tcPr>
            <w:tcW w:w="9880" w:type="dxa"/>
            <w:vAlign w:val="bottom"/>
            <w:gridSpan w:val="14"/>
            <w:shd w:val="clear" w:color="auto" w:fill="CEFEE7"/>
          </w:tcPr>
          <w:p>
            <w:pPr>
              <w:spacing w:after="0" w:line="175" w:lineRule="exact"/>
              <w:rPr>
                <w:rFonts w:ascii="Arial" w:cs="Arial" w:eastAsia="Arial" w:hAnsi="Arial"/>
                <w:sz w:val="16"/>
                <w:szCs w:val="16"/>
                <w:color w:val="0000FF"/>
              </w:rPr>
            </w:pPr>
            <w:hyperlink r:id="rId171">
              <w:r>
                <w:rPr>
                  <w:rFonts w:ascii="Arial" w:cs="Arial" w:eastAsia="Arial" w:hAnsi="Arial"/>
                  <w:sz w:val="16"/>
                  <w:szCs w:val="16"/>
                  <w:color w:val="0000FF"/>
                </w:rPr>
                <w:t>Option Agreement, by and among, Aircraft Services Corporation, as ASC, SourceGas Holdings LLC, as the Company and Black Hills</w:t>
              </w:r>
            </w:hyperlink>
          </w:p>
        </w:tc>
      </w:tr>
      <w:tr>
        <w:trPr>
          <w:trHeight w:val="163"/>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7320" w:type="dxa"/>
            <w:vAlign w:val="bottom"/>
            <w:tcBorders>
              <w:top w:val="single" w:sz="8" w:color="0000FF"/>
              <w:bottom w:val="single" w:sz="8" w:color="0000FF"/>
            </w:tcBorders>
            <w:gridSpan w:val="5"/>
            <w:shd w:val="clear" w:color="auto" w:fill="CEFEE7"/>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Utility Holdings, Inc., as Buyer (filed as Exhibit 2.2 to the Registrant’s Form 8-K filed on July 14, 2015).</w:t>
              </w:r>
            </w:hyperlink>
          </w:p>
        </w:tc>
        <w:tc>
          <w:tcPr>
            <w:tcW w:w="2220" w:type="dxa"/>
            <w:vAlign w:val="bottom"/>
            <w:tcBorders>
              <w:top w:val="single" w:sz="8" w:color="0000FF"/>
              <w:bottom w:val="single" w:sz="8" w:color="CEFEE7"/>
            </w:tcBorders>
            <w:gridSpan w:val="3"/>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14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160" w:type="dxa"/>
            <w:vAlign w:val="bottom"/>
            <w:tcBorders>
              <w:top w:val="single" w:sz="8" w:color="CEFEE7"/>
              <w:bottom w:val="single" w:sz="8" w:color="CEFEE7"/>
            </w:tcBorders>
            <w:gridSpan w:val="2"/>
            <w:shd w:val="clear" w:color="auto" w:fill="CEFEE7"/>
          </w:tcPr>
          <w:p>
            <w:pPr>
              <w:spacing w:after="0"/>
              <w:rPr>
                <w:sz w:val="14"/>
                <w:szCs w:val="14"/>
                <w:color w:val="auto"/>
              </w:rPr>
            </w:pPr>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3.1</w:t>
            </w:r>
          </w:p>
        </w:tc>
        <w:tc>
          <w:tcPr>
            <w:tcW w:w="9880" w:type="dxa"/>
            <w:vAlign w:val="bottom"/>
            <w:gridSpan w:val="14"/>
          </w:tcPr>
          <w:p>
            <w:pPr>
              <w:spacing w:after="0"/>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Restated Articles of Incorporation of the Registrant (filed as Exhibit 3 to the Registrant’s Form 8-K filed on February 5, 2018).</w:t>
              </w:r>
            </w:hyperlink>
          </w:p>
        </w:tc>
      </w:tr>
      <w:tr>
        <w:trPr>
          <w:trHeight w:val="178"/>
        </w:trPr>
        <w:tc>
          <w:tcPr>
            <w:tcW w:w="1320" w:type="dxa"/>
            <w:vAlign w:val="bottom"/>
            <w:shd w:val="clear" w:color="auto" w:fill="CEFEE7"/>
          </w:tcPr>
          <w:p>
            <w:pPr>
              <w:ind w:left="20"/>
              <w:spacing w:after="0" w:line="178" w:lineRule="exact"/>
              <w:rPr>
                <w:sz w:val="20"/>
                <w:szCs w:val="20"/>
                <w:color w:val="auto"/>
              </w:rPr>
            </w:pPr>
            <w:r>
              <w:rPr>
                <w:rFonts w:ascii="Arial" w:cs="Arial" w:eastAsia="Arial" w:hAnsi="Arial"/>
                <w:sz w:val="16"/>
                <w:szCs w:val="16"/>
                <w:color w:val="auto"/>
              </w:rPr>
              <w:t>3.2</w:t>
            </w:r>
          </w:p>
        </w:tc>
        <w:tc>
          <w:tcPr>
            <w:tcW w:w="9880" w:type="dxa"/>
            <w:vAlign w:val="bottom"/>
            <w:gridSpan w:val="14"/>
            <w:shd w:val="clear" w:color="auto" w:fill="CEFEE7"/>
          </w:tcPr>
          <w:p>
            <w:pPr>
              <w:spacing w:after="0" w:line="178" w:lineRule="exact"/>
              <w:rPr>
                <w:rFonts w:ascii="Arial" w:cs="Arial" w:eastAsia="Arial" w:hAnsi="Arial"/>
                <w:sz w:val="16"/>
                <w:szCs w:val="16"/>
                <w:color w:val="0000FF"/>
              </w:rPr>
            </w:pPr>
            <w:hyperlink r:id="rId173">
              <w:r>
                <w:rPr>
                  <w:rFonts w:ascii="Arial" w:cs="Arial" w:eastAsia="Arial" w:hAnsi="Arial"/>
                  <w:sz w:val="16"/>
                  <w:szCs w:val="16"/>
                  <w:color w:val="0000FF"/>
                </w:rPr>
                <w:t>Amended and Restated Bylaws of the Registrant dated April 24, 2017 (filed as Exhibit 3 to the Registrant’s Form 8-K filed on April 28,</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1140" w:type="dxa"/>
            <w:vAlign w:val="bottom"/>
            <w:tcBorders>
              <w:top w:val="single" w:sz="8" w:color="0000FF"/>
            </w:tcBorders>
            <w:gridSpan w:val="2"/>
            <w:shd w:val="clear" w:color="auto" w:fill="CEFEE7"/>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2017).</w:t>
              </w:r>
            </w:hyperlink>
          </w:p>
        </w:tc>
        <w:tc>
          <w:tcPr>
            <w:tcW w:w="1220" w:type="dxa"/>
            <w:vAlign w:val="bottom"/>
            <w:tcBorders>
              <w:top w:val="single" w:sz="8" w:color="0000FF"/>
            </w:tcBorders>
            <w:shd w:val="clear" w:color="auto" w:fill="CEFEE7"/>
          </w:tcPr>
          <w:p>
            <w:pPr>
              <w:spacing w:after="0"/>
              <w:rPr>
                <w:sz w:val="12"/>
                <w:szCs w:val="12"/>
                <w:color w:val="auto"/>
              </w:rPr>
            </w:pPr>
          </w:p>
        </w:tc>
        <w:tc>
          <w:tcPr>
            <w:tcW w:w="500" w:type="dxa"/>
            <w:vAlign w:val="bottom"/>
            <w:tcBorders>
              <w:top w:val="single" w:sz="8" w:color="0000FF"/>
            </w:tcBorders>
            <w:shd w:val="clear" w:color="auto" w:fill="CEFEE7"/>
          </w:tcPr>
          <w:p>
            <w:pPr>
              <w:spacing w:after="0"/>
              <w:rPr>
                <w:sz w:val="12"/>
                <w:szCs w:val="12"/>
                <w:color w:val="auto"/>
              </w:rPr>
            </w:pPr>
          </w:p>
        </w:tc>
        <w:tc>
          <w:tcPr>
            <w:tcW w:w="4460" w:type="dxa"/>
            <w:vAlign w:val="bottom"/>
            <w:tcBorders>
              <w:top w:val="single" w:sz="8" w:color="0000FF"/>
            </w:tcBorders>
            <w:shd w:val="clear" w:color="auto" w:fill="CEFEE7"/>
          </w:tcPr>
          <w:p>
            <w:pPr>
              <w:spacing w:after="0"/>
              <w:rPr>
                <w:sz w:val="12"/>
                <w:szCs w:val="12"/>
                <w:color w:val="auto"/>
              </w:rPr>
            </w:pPr>
          </w:p>
        </w:tc>
        <w:tc>
          <w:tcPr>
            <w:tcW w:w="1820" w:type="dxa"/>
            <w:vAlign w:val="bottom"/>
            <w:tcBorders>
              <w:top w:val="single" w:sz="8" w:color="0000FF"/>
            </w:tcBorders>
            <w:shd w:val="clear" w:color="auto" w:fill="CEFEE7"/>
          </w:tcPr>
          <w:p>
            <w:pPr>
              <w:spacing w:after="0"/>
              <w:rPr>
                <w:sz w:val="12"/>
                <w:szCs w:val="12"/>
                <w:color w:val="auto"/>
              </w:rPr>
            </w:pPr>
          </w:p>
        </w:tc>
        <w:tc>
          <w:tcPr>
            <w:tcW w:w="260" w:type="dxa"/>
            <w:vAlign w:val="bottom"/>
            <w:tcBorders>
              <w:top w:val="single" w:sz="8" w:color="0000FF"/>
            </w:tcBorders>
            <w:shd w:val="clear" w:color="auto" w:fill="CEFEE7"/>
          </w:tcPr>
          <w:p>
            <w:pPr>
              <w:spacing w:after="0"/>
              <w:rPr>
                <w:sz w:val="12"/>
                <w:szCs w:val="12"/>
                <w:color w:val="auto"/>
              </w:rPr>
            </w:pPr>
          </w:p>
        </w:tc>
        <w:tc>
          <w:tcPr>
            <w:tcW w:w="14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10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100" w:type="dxa"/>
            <w:vAlign w:val="bottom"/>
            <w:tcBorders>
              <w:top w:val="single" w:sz="8" w:color="CEFEE7"/>
            </w:tcBorders>
            <w:shd w:val="clear" w:color="auto" w:fill="CEFEE7"/>
          </w:tcPr>
          <w:p>
            <w:pPr>
              <w:spacing w:after="0"/>
              <w:rPr>
                <w:sz w:val="12"/>
                <w:szCs w:val="12"/>
                <w:color w:val="auto"/>
              </w:rPr>
            </w:pPr>
          </w:p>
        </w:tc>
        <w:tc>
          <w:tcPr>
            <w:tcW w:w="60" w:type="dxa"/>
            <w:vAlign w:val="bottom"/>
            <w:tcBorders>
              <w:top w:val="single" w:sz="8" w:color="CEFEE7"/>
            </w:tcBorders>
            <w:shd w:val="clear" w:color="auto" w:fill="CEFEE7"/>
          </w:tcPr>
          <w:p>
            <w:pPr>
              <w:spacing w:after="0"/>
              <w:rPr>
                <w:sz w:val="12"/>
                <w:szCs w:val="12"/>
                <w:color w:val="auto"/>
              </w:rPr>
            </w:pPr>
          </w:p>
        </w:tc>
      </w:tr>
      <w:tr>
        <w:trPr>
          <w:trHeight w:val="20"/>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0000FF"/>
            </w:tcBorders>
            <w:shd w:val="clear" w:color="auto" w:fill="CEFEE7"/>
          </w:tcPr>
          <w:p>
            <w:pPr>
              <w:spacing w:after="0" w:line="20" w:lineRule="exact"/>
              <w:rPr>
                <w:sz w:val="1"/>
                <w:szCs w:val="1"/>
                <w:color w:val="auto"/>
              </w:rPr>
            </w:pPr>
          </w:p>
        </w:tc>
        <w:tc>
          <w:tcPr>
            <w:tcW w:w="680" w:type="dxa"/>
            <w:vAlign w:val="bottom"/>
            <w:tcBorders>
              <w:top w:val="single" w:sz="8" w:color="CEFEE7"/>
            </w:tcBorders>
            <w:shd w:val="clear" w:color="auto" w:fill="CEFEE7"/>
          </w:tcPr>
          <w:p>
            <w:pPr>
              <w:spacing w:after="0" w:line="20" w:lineRule="exact"/>
              <w:rPr>
                <w:sz w:val="1"/>
                <w:szCs w:val="1"/>
                <w:color w:val="auto"/>
              </w:rPr>
            </w:pPr>
          </w:p>
        </w:tc>
        <w:tc>
          <w:tcPr>
            <w:tcW w:w="1220" w:type="dxa"/>
            <w:vAlign w:val="bottom"/>
            <w:tcBorders>
              <w:top w:val="single" w:sz="8" w:color="CEFEE7"/>
            </w:tcBorders>
            <w:shd w:val="clear" w:color="auto" w:fill="CEFEE7"/>
          </w:tcPr>
          <w:p>
            <w:pPr>
              <w:spacing w:after="0" w:line="20" w:lineRule="exact"/>
              <w:rPr>
                <w:sz w:val="1"/>
                <w:szCs w:val="1"/>
                <w:color w:val="auto"/>
              </w:rPr>
            </w:pPr>
          </w:p>
        </w:tc>
        <w:tc>
          <w:tcPr>
            <w:tcW w:w="500" w:type="dxa"/>
            <w:vAlign w:val="bottom"/>
            <w:tcBorders>
              <w:top w:val="single" w:sz="8" w:color="CEFEE7"/>
            </w:tcBorders>
            <w:shd w:val="clear" w:color="auto" w:fill="CEFEE7"/>
          </w:tcPr>
          <w:p>
            <w:pPr>
              <w:spacing w:after="0" w:line="20" w:lineRule="exact"/>
              <w:rPr>
                <w:sz w:val="1"/>
                <w:szCs w:val="1"/>
                <w:color w:val="auto"/>
              </w:rPr>
            </w:pPr>
          </w:p>
        </w:tc>
        <w:tc>
          <w:tcPr>
            <w:tcW w:w="4460" w:type="dxa"/>
            <w:vAlign w:val="bottom"/>
            <w:tcBorders>
              <w:top w:val="single" w:sz="8" w:color="CEFEE7"/>
            </w:tcBorders>
            <w:shd w:val="clear" w:color="auto" w:fill="CEFEE7"/>
          </w:tcPr>
          <w:p>
            <w:pPr>
              <w:spacing w:after="0" w:line="20" w:lineRule="exact"/>
              <w:rPr>
                <w:sz w:val="1"/>
                <w:szCs w:val="1"/>
                <w:color w:val="auto"/>
              </w:rPr>
            </w:pPr>
          </w:p>
        </w:tc>
        <w:tc>
          <w:tcPr>
            <w:tcW w:w="1820" w:type="dxa"/>
            <w:vAlign w:val="bottom"/>
            <w:tcBorders>
              <w:top w:val="single" w:sz="8" w:color="CEFEE7"/>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1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10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10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4.1</w:t>
            </w:r>
          </w:p>
        </w:tc>
        <w:tc>
          <w:tcPr>
            <w:tcW w:w="9880" w:type="dxa"/>
            <w:vAlign w:val="bottom"/>
            <w:gridSpan w:val="14"/>
          </w:tcPr>
          <w:p>
            <w:pPr>
              <w:spacing w:after="0" w:line="175" w:lineRule="exact"/>
              <w:rPr>
                <w:rFonts w:ascii="Arial" w:cs="Arial" w:eastAsia="Arial" w:hAnsi="Arial"/>
                <w:sz w:val="16"/>
                <w:szCs w:val="16"/>
                <w:color w:val="0000FF"/>
              </w:rPr>
            </w:pPr>
            <w:hyperlink r:id="rId174">
              <w:r>
                <w:rPr>
                  <w:rFonts w:ascii="Arial" w:cs="Arial" w:eastAsia="Arial" w:hAnsi="Arial"/>
                  <w:sz w:val="16"/>
                  <w:szCs w:val="16"/>
                  <w:color w:val="0000FF"/>
                </w:rPr>
                <w:t>Indenture dated as of May 21, 2003 between the Registrant and Wells Fargo Bank, National Association (as successor to LaSalle Bank</w:t>
              </w:r>
            </w:hyperlink>
          </w:p>
        </w:tc>
      </w:tr>
      <w:tr>
        <w:trPr>
          <w:trHeight w:val="183"/>
        </w:trPr>
        <w:tc>
          <w:tcPr>
            <w:tcW w:w="1320" w:type="dxa"/>
            <w:vAlign w:val="bottom"/>
          </w:tcPr>
          <w:p>
            <w:pPr>
              <w:spacing w:after="0"/>
              <w:rPr>
                <w:sz w:val="15"/>
                <w:szCs w:val="15"/>
                <w:color w:val="auto"/>
              </w:rPr>
            </w:pPr>
          </w:p>
        </w:tc>
        <w:tc>
          <w:tcPr>
            <w:tcW w:w="9700" w:type="dxa"/>
            <w:vAlign w:val="bottom"/>
            <w:tcBorders>
              <w:top w:val="single" w:sz="8" w:color="0000FF"/>
            </w:tcBorders>
            <w:gridSpan w:val="11"/>
          </w:tcPr>
          <w:p>
            <w:pPr>
              <w:spacing w:after="0" w:line="183" w:lineRule="exact"/>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National Association), as Trustee (filed as Exhibit 4.1 to the Registrant’s Form 10-Q for the quarterly period ended June 30, 2003).</w:t>
              </w:r>
            </w:hyperlink>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4.1.1</w:t>
            </w:r>
          </w:p>
        </w:tc>
        <w:tc>
          <w:tcPr>
            <w:tcW w:w="9880" w:type="dxa"/>
            <w:vAlign w:val="bottom"/>
            <w:gridSpan w:val="14"/>
            <w:shd w:val="clear" w:color="auto" w:fill="CEFEE7"/>
          </w:tcPr>
          <w:p>
            <w:pPr>
              <w:spacing w:after="0" w:line="175" w:lineRule="exact"/>
              <w:rPr>
                <w:rFonts w:ascii="Arial" w:cs="Arial" w:eastAsia="Arial" w:hAnsi="Arial"/>
                <w:sz w:val="16"/>
                <w:szCs w:val="16"/>
                <w:color w:val="0000FF"/>
              </w:rPr>
            </w:pPr>
            <w:hyperlink r:id="rId175">
              <w:r>
                <w:rPr>
                  <w:rFonts w:ascii="Arial" w:cs="Arial" w:eastAsia="Arial" w:hAnsi="Arial"/>
                  <w:sz w:val="16"/>
                  <w:szCs w:val="16"/>
                  <w:color w:val="0000FF"/>
                </w:rPr>
                <w:t>First Supplemental Indenture dated as of May 21, 2003 (filed as Exhibit 4.2 to the Registrant’s Form 10-Q for the quarterly period ended</w:t>
              </w:r>
            </w:hyperlink>
          </w:p>
        </w:tc>
      </w:tr>
      <w:tr>
        <w:trPr>
          <w:trHeight w:val="163"/>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1140" w:type="dxa"/>
            <w:vAlign w:val="bottom"/>
            <w:tcBorders>
              <w:top w:val="single" w:sz="8" w:color="0000FF"/>
              <w:bottom w:val="single" w:sz="8" w:color="0000FF"/>
            </w:tcBorders>
            <w:gridSpan w:val="2"/>
            <w:shd w:val="clear" w:color="auto" w:fill="CEFEE7"/>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June 30, 2003).</w:t>
              </w:r>
            </w:hyperlink>
          </w:p>
        </w:tc>
        <w:tc>
          <w:tcPr>
            <w:tcW w:w="8580" w:type="dxa"/>
            <w:vAlign w:val="bottom"/>
            <w:tcBorders>
              <w:top w:val="single" w:sz="8" w:color="0000FF"/>
              <w:bottom w:val="single" w:sz="8" w:color="CEFEE7"/>
            </w:tcBorders>
            <w:gridSpan w:val="10"/>
            <w:shd w:val="clear" w:color="auto" w:fill="CEFEE7"/>
          </w:tcPr>
          <w:p>
            <w:pPr>
              <w:spacing w:after="0"/>
              <w:rPr>
                <w:sz w:val="14"/>
                <w:szCs w:val="14"/>
                <w:color w:val="auto"/>
              </w:rPr>
            </w:pPr>
          </w:p>
        </w:tc>
        <w:tc>
          <w:tcPr>
            <w:tcW w:w="160" w:type="dxa"/>
            <w:vAlign w:val="bottom"/>
            <w:tcBorders>
              <w:top w:val="single" w:sz="8" w:color="CEFEE7"/>
              <w:bottom w:val="single" w:sz="8" w:color="CEFEE7"/>
            </w:tcBorders>
            <w:gridSpan w:val="2"/>
            <w:shd w:val="clear" w:color="auto" w:fill="CEFEE7"/>
          </w:tcPr>
          <w:p>
            <w:pPr>
              <w:spacing w:after="0"/>
              <w:rPr>
                <w:sz w:val="14"/>
                <w:szCs w:val="14"/>
                <w:color w:val="auto"/>
              </w:rPr>
            </w:pPr>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4.1.2</w:t>
            </w:r>
          </w:p>
        </w:tc>
        <w:tc>
          <w:tcPr>
            <w:tcW w:w="9880" w:type="dxa"/>
            <w:vAlign w:val="bottom"/>
            <w:gridSpan w:val="14"/>
          </w:tcPr>
          <w:p>
            <w:pPr>
              <w:spacing w:after="0"/>
              <w:rPr>
                <w:rFonts w:ascii="Arial" w:cs="Arial" w:eastAsia="Arial" w:hAnsi="Arial"/>
                <w:sz w:val="16"/>
                <w:szCs w:val="16"/>
                <w:u w:val="single" w:color="auto"/>
                <w:color w:val="0000FF"/>
              </w:rPr>
            </w:pPr>
            <w:hyperlink r:id="rId176">
              <w:r>
                <w:rPr>
                  <w:rFonts w:ascii="Arial" w:cs="Arial" w:eastAsia="Arial" w:hAnsi="Arial"/>
                  <w:sz w:val="16"/>
                  <w:szCs w:val="16"/>
                  <w:u w:val="single" w:color="auto"/>
                  <w:color w:val="0000FF"/>
                </w:rPr>
                <w:t>Second Supplemental Indenture dated as of May 14, 2009 (filed as Exhibit 4 to the Registrant’s Form 8-K filed on May 14, 2009).</w:t>
              </w:r>
            </w:hyperlink>
          </w:p>
        </w:tc>
      </w:tr>
      <w:tr>
        <w:trPr>
          <w:trHeight w:val="219"/>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4.1.3</w:t>
            </w:r>
          </w:p>
        </w:tc>
        <w:tc>
          <w:tcPr>
            <w:tcW w:w="9880" w:type="dxa"/>
            <w:vAlign w:val="bottom"/>
            <w:gridSpan w:val="14"/>
            <w:shd w:val="clear" w:color="auto" w:fill="CEFEE7"/>
          </w:tcPr>
          <w:p>
            <w:pPr>
              <w:spacing w:after="0"/>
              <w:rPr>
                <w:rFonts w:ascii="Arial" w:cs="Arial" w:eastAsia="Arial" w:hAnsi="Arial"/>
                <w:sz w:val="16"/>
                <w:szCs w:val="16"/>
                <w:u w:val="single" w:color="auto"/>
                <w:color w:val="0000FF"/>
              </w:rPr>
            </w:pPr>
            <w:hyperlink r:id="rId177">
              <w:r>
                <w:rPr>
                  <w:rFonts w:ascii="Arial" w:cs="Arial" w:eastAsia="Arial" w:hAnsi="Arial"/>
                  <w:sz w:val="16"/>
                  <w:szCs w:val="16"/>
                  <w:u w:val="single" w:color="auto"/>
                  <w:color w:val="0000FF"/>
                </w:rPr>
                <w:t>Third Supplemental Indenture dated as of July 16, 2010 (filed as Exhibit 4 to Registrant’s Form 8-K filed on July 15, 2010).</w:t>
              </w:r>
            </w:hyperlink>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4.1.4</w:t>
            </w:r>
          </w:p>
        </w:tc>
        <w:tc>
          <w:tcPr>
            <w:tcW w:w="9880" w:type="dxa"/>
            <w:vAlign w:val="bottom"/>
            <w:gridSpan w:val="14"/>
          </w:tcPr>
          <w:p>
            <w:pPr>
              <w:spacing w:after="0" w:line="175" w:lineRule="exact"/>
              <w:rPr>
                <w:rFonts w:ascii="Arial" w:cs="Arial" w:eastAsia="Arial" w:hAnsi="Arial"/>
                <w:sz w:val="16"/>
                <w:szCs w:val="16"/>
                <w:color w:val="0000FF"/>
              </w:rPr>
            </w:pPr>
            <w:hyperlink r:id="rId178">
              <w:r>
                <w:rPr>
                  <w:rFonts w:ascii="Arial" w:cs="Arial" w:eastAsia="Arial" w:hAnsi="Arial"/>
                  <w:sz w:val="16"/>
                  <w:szCs w:val="16"/>
                  <w:color w:val="0000FF"/>
                </w:rPr>
                <w:t>Fourth Supplemental Indenture dated as of November 19, 2013 (filed as Exhibit 4 to the Registrant’s Form 8-K filed on November 18,</w:t>
              </w:r>
            </w:hyperlink>
          </w:p>
        </w:tc>
      </w:tr>
      <w:tr>
        <w:trPr>
          <w:trHeight w:val="142"/>
        </w:trPr>
        <w:tc>
          <w:tcPr>
            <w:tcW w:w="1320" w:type="dxa"/>
            <w:vAlign w:val="bottom"/>
          </w:tcPr>
          <w:p>
            <w:pPr>
              <w:spacing w:after="0"/>
              <w:rPr>
                <w:sz w:val="12"/>
                <w:szCs w:val="12"/>
                <w:color w:val="auto"/>
              </w:rPr>
            </w:pPr>
          </w:p>
        </w:tc>
        <w:tc>
          <w:tcPr>
            <w:tcW w:w="114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2013).</w:t>
              </w:r>
            </w:hyperlink>
          </w:p>
        </w:tc>
        <w:tc>
          <w:tcPr>
            <w:tcW w:w="12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44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4.1.5</w:t>
            </w:r>
          </w:p>
        </w:tc>
        <w:tc>
          <w:tcPr>
            <w:tcW w:w="9880" w:type="dxa"/>
            <w:vAlign w:val="bottom"/>
            <w:gridSpan w:val="14"/>
            <w:shd w:val="clear" w:color="auto" w:fill="CEFEE7"/>
          </w:tcPr>
          <w:p>
            <w:pPr>
              <w:spacing w:after="0"/>
              <w:rPr>
                <w:rFonts w:ascii="Arial" w:cs="Arial" w:eastAsia="Arial" w:hAnsi="Arial"/>
                <w:sz w:val="16"/>
                <w:szCs w:val="16"/>
                <w:u w:val="single" w:color="auto"/>
                <w:color w:val="0000FF"/>
              </w:rPr>
            </w:pPr>
            <w:hyperlink r:id="rId179">
              <w:r>
                <w:rPr>
                  <w:rFonts w:ascii="Arial" w:cs="Arial" w:eastAsia="Arial" w:hAnsi="Arial"/>
                  <w:sz w:val="16"/>
                  <w:szCs w:val="16"/>
                  <w:u w:val="single" w:color="auto"/>
                  <w:color w:val="0000FF"/>
                </w:rPr>
                <w:t>Fifth Supplemental Indenture dated as of January 13, 2016 (filed as Exhibit 4.1 to the Registrant’s Form 8-K filed on January 13, 2016).</w:t>
              </w:r>
            </w:hyperlink>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4.1.6</w:t>
            </w:r>
          </w:p>
        </w:tc>
        <w:tc>
          <w:tcPr>
            <w:tcW w:w="9880" w:type="dxa"/>
            <w:vAlign w:val="bottom"/>
            <w:gridSpan w:val="14"/>
          </w:tcPr>
          <w:p>
            <w:pPr>
              <w:spacing w:after="0"/>
              <w:rPr>
                <w:rFonts w:ascii="Arial" w:cs="Arial" w:eastAsia="Arial" w:hAnsi="Arial"/>
                <w:sz w:val="16"/>
                <w:szCs w:val="16"/>
                <w:u w:val="single" w:color="auto"/>
                <w:color w:val="0000FF"/>
              </w:rPr>
            </w:pPr>
            <w:hyperlink r:id="rId180">
              <w:r>
                <w:rPr>
                  <w:rFonts w:ascii="Arial" w:cs="Arial" w:eastAsia="Arial" w:hAnsi="Arial"/>
                  <w:sz w:val="16"/>
                  <w:szCs w:val="16"/>
                  <w:u w:val="single" w:color="auto"/>
                  <w:color w:val="0000FF"/>
                </w:rPr>
                <w:t>Sixth Supplemental Indenture dated as of August 19, 2016 (filed as Exhibit 4.1 to the Registrant’s Form 8-K filed on August 19, 2016).</w:t>
              </w:r>
            </w:hyperlink>
          </w:p>
        </w:tc>
      </w:tr>
      <w:tr>
        <w:trPr>
          <w:trHeight w:val="219"/>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4.1.7</w:t>
            </w:r>
          </w:p>
        </w:tc>
        <w:tc>
          <w:tcPr>
            <w:tcW w:w="9880" w:type="dxa"/>
            <w:vAlign w:val="bottom"/>
            <w:gridSpan w:val="14"/>
            <w:shd w:val="clear" w:color="auto" w:fill="CEFEE7"/>
          </w:tcPr>
          <w:p>
            <w:pPr>
              <w:spacing w:after="0"/>
              <w:rPr>
                <w:rFonts w:ascii="Arial" w:cs="Arial" w:eastAsia="Arial" w:hAnsi="Arial"/>
                <w:sz w:val="16"/>
                <w:szCs w:val="16"/>
                <w:u w:val="single" w:color="auto"/>
                <w:color w:val="0000FF"/>
              </w:rPr>
            </w:pPr>
            <w:hyperlink r:id="rId181">
              <w:r>
                <w:rPr>
                  <w:rFonts w:ascii="Arial" w:cs="Arial" w:eastAsia="Arial" w:hAnsi="Arial"/>
                  <w:sz w:val="16"/>
                  <w:szCs w:val="16"/>
                  <w:u w:val="single" w:color="auto"/>
                  <w:color w:val="0000FF"/>
                </w:rPr>
                <w:t>Seventh Supplemental Indenture dated as of August 17, 2018 (filed as Exhibit 4.2 to the Registrant’s Form 8-K filed on August 17, 2018).</w:t>
              </w:r>
            </w:hyperlink>
          </w:p>
        </w:tc>
      </w:tr>
      <w:tr>
        <w:trPr>
          <w:trHeight w:val="210"/>
        </w:trPr>
        <w:tc>
          <w:tcPr>
            <w:tcW w:w="1320" w:type="dxa"/>
            <w:vAlign w:val="bottom"/>
          </w:tcPr>
          <w:p>
            <w:pPr>
              <w:ind w:left="20"/>
              <w:spacing w:after="0"/>
              <w:rPr>
                <w:sz w:val="20"/>
                <w:szCs w:val="20"/>
                <w:color w:val="auto"/>
              </w:rPr>
            </w:pPr>
            <w:r>
              <w:rPr>
                <w:rFonts w:ascii="Arial" w:cs="Arial" w:eastAsia="Arial" w:hAnsi="Arial"/>
                <w:sz w:val="16"/>
                <w:szCs w:val="16"/>
                <w:color w:val="auto"/>
              </w:rPr>
              <w:t>4.1.8</w:t>
            </w:r>
          </w:p>
        </w:tc>
        <w:tc>
          <w:tcPr>
            <w:tcW w:w="9880" w:type="dxa"/>
            <w:vAlign w:val="bottom"/>
            <w:gridSpan w:val="14"/>
          </w:tcPr>
          <w:p>
            <w:pPr>
              <w:spacing w:after="0"/>
              <w:rPr>
                <w:rFonts w:ascii="Arial" w:cs="Arial" w:eastAsia="Arial" w:hAnsi="Arial"/>
                <w:sz w:val="16"/>
                <w:szCs w:val="16"/>
                <w:u w:val="single" w:color="auto"/>
                <w:color w:val="0000FF"/>
              </w:rPr>
            </w:pPr>
            <w:hyperlink r:id="rId182">
              <w:r>
                <w:rPr>
                  <w:rFonts w:ascii="Arial" w:cs="Arial" w:eastAsia="Arial" w:hAnsi="Arial"/>
                  <w:sz w:val="16"/>
                  <w:szCs w:val="16"/>
                  <w:u w:val="single" w:color="auto"/>
                  <w:color w:val="0000FF"/>
                </w:rPr>
                <w:t>Eighth Supplemental Indenture dated as of October 3, 2019 (filed as Exhibit 4.1 to the Registrant’s Form 8-K filed on October 4, 2019).</w:t>
              </w:r>
            </w:hyperlink>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4.1.9</w:t>
            </w:r>
          </w:p>
        </w:tc>
        <w:tc>
          <w:tcPr>
            <w:tcW w:w="9900" w:type="dxa"/>
            <w:vAlign w:val="bottom"/>
            <w:gridSpan w:val="36"/>
            <w:shd w:val="clear" w:color="auto" w:fill="CEFEE7"/>
          </w:tcPr>
          <w:p>
            <w:pPr>
              <w:spacing w:after="0"/>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Ninth Supplemental Indenture dated as of June 17, 2020 (filed as Exhibit 4.1 to the Registrant’s Form 8-K filed on June 17, 2020).</w:t>
              </w:r>
            </w:hyperlink>
          </w:p>
        </w:tc>
      </w:tr>
      <w:tr>
        <w:trPr>
          <w:trHeight w:val="176"/>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4.2</w:t>
            </w:r>
          </w:p>
        </w:tc>
        <w:tc>
          <w:tcPr>
            <w:tcW w:w="9900" w:type="dxa"/>
            <w:vAlign w:val="bottom"/>
            <w:gridSpan w:val="36"/>
          </w:tcPr>
          <w:p>
            <w:pPr>
              <w:spacing w:after="0" w:line="175" w:lineRule="exact"/>
              <w:rPr>
                <w:rFonts w:ascii="Arial" w:cs="Arial" w:eastAsia="Arial" w:hAnsi="Arial"/>
                <w:sz w:val="16"/>
                <w:szCs w:val="16"/>
                <w:color w:val="0000FF"/>
              </w:rPr>
            </w:pPr>
            <w:hyperlink r:id="rId185">
              <w:r>
                <w:rPr>
                  <w:rFonts w:ascii="Arial" w:cs="Arial" w:eastAsia="Arial" w:hAnsi="Arial"/>
                  <w:sz w:val="16"/>
                  <w:szCs w:val="16"/>
                  <w:color w:val="0000FF"/>
                </w:rPr>
                <w:t>Restated and Amended Indenture of Mortgage and Deed of Trust of Black Hills Corporation (now called Black Hills Power, Inc.) dated as</w:t>
              </w:r>
            </w:hyperlink>
          </w:p>
        </w:tc>
      </w:tr>
      <w:tr>
        <w:trPr>
          <w:trHeight w:val="142"/>
        </w:trPr>
        <w:tc>
          <w:tcPr>
            <w:tcW w:w="13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31"/>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of September 1, 1999 (filed as Exhibit 4.19 to the Registrant’s Post-Effective Amendment No. 1 to the Registrant’s Registration Statement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9860" w:type="dxa"/>
            <w:vAlign w:val="bottom"/>
            <w:gridSpan w:val="34"/>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on Form S-3 (No. 333-150669)).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4.2.1</w:t>
            </w:r>
          </w:p>
        </w:tc>
        <w:tc>
          <w:tcPr>
            <w:tcW w:w="9900" w:type="dxa"/>
            <w:vAlign w:val="bottom"/>
            <w:gridSpan w:val="36"/>
            <w:shd w:val="clear" w:color="auto" w:fill="CEFEE7"/>
          </w:tcPr>
          <w:p>
            <w:pPr>
              <w:spacing w:after="0" w:line="175" w:lineRule="exact"/>
              <w:rPr>
                <w:rFonts w:ascii="Arial" w:cs="Arial" w:eastAsia="Arial" w:hAnsi="Arial"/>
                <w:sz w:val="16"/>
                <w:szCs w:val="16"/>
                <w:color w:val="0000FF"/>
              </w:rPr>
            </w:pPr>
            <w:hyperlink r:id="rId186">
              <w:r>
                <w:rPr>
                  <w:rFonts w:ascii="Arial" w:cs="Arial" w:eastAsia="Arial" w:hAnsi="Arial"/>
                  <w:sz w:val="16"/>
                  <w:szCs w:val="16"/>
                  <w:color w:val="0000FF"/>
                </w:rPr>
                <w:t>First Supplemental Indenture, dated as of August 13, 2002, between Black Hills Power, Inc. and The Bank of New York Mellon (as</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300" w:type="dxa"/>
            <w:vAlign w:val="bottom"/>
            <w:tcBorders>
              <w:top w:val="single" w:sz="8" w:color="0000FF"/>
            </w:tcBorders>
            <w:gridSpan w:val="16"/>
            <w:shd w:val="clear" w:color="auto" w:fill="CEFEE7"/>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successor to JPMorgan Chase Bank), as Trustee (filed as Exhibit 4.20 to the Registrant’s Post-Effective Amendment No. 1 to the</w:t>
              </w:r>
            </w:hyperlink>
          </w:p>
        </w:tc>
        <w:tc>
          <w:tcPr>
            <w:tcW w:w="8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r>
      <w:tr>
        <w:trPr>
          <w:trHeight w:val="163"/>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4920" w:type="dxa"/>
            <w:vAlign w:val="bottom"/>
            <w:tcBorders>
              <w:top w:val="single" w:sz="8" w:color="0000FF"/>
              <w:bottom w:val="single" w:sz="8" w:color="0000FF"/>
            </w:tcBorders>
            <w:gridSpan w:val="13"/>
            <w:shd w:val="clear" w:color="auto" w:fill="CEFEE7"/>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Registrant’s Registration Statement on Form S</w:t>
              </w:r>
              <w:r>
                <w:rPr>
                  <w:rFonts w:ascii="MS PGothic" w:cs="MS PGothic" w:eastAsia="MS PGothic" w:hAnsi="MS PGothic"/>
                  <w:sz w:val="16"/>
                  <w:szCs w:val="16"/>
                  <w:color w:val="0000FF"/>
                </w:rPr>
                <w:t>‑</w:t>
              </w:r>
              <w:r>
                <w:rPr>
                  <w:rFonts w:ascii="Arial" w:cs="Arial" w:eastAsia="Arial" w:hAnsi="Arial"/>
                  <w:sz w:val="16"/>
                  <w:szCs w:val="16"/>
                  <w:color w:val="0000FF"/>
                </w:rPr>
                <w:t>3 (No. 333</w:t>
              </w:r>
              <w:r>
                <w:rPr>
                  <w:rFonts w:ascii="MS PGothic" w:cs="MS PGothic" w:eastAsia="MS PGothic" w:hAnsi="MS PGothic"/>
                  <w:sz w:val="16"/>
                  <w:szCs w:val="16"/>
                  <w:color w:val="0000FF"/>
                </w:rPr>
                <w:t>‑</w:t>
              </w:r>
              <w:r>
                <w:rPr>
                  <w:rFonts w:ascii="Arial" w:cs="Arial" w:eastAsia="Arial" w:hAnsi="Arial"/>
                  <w:sz w:val="16"/>
                  <w:szCs w:val="16"/>
                  <w:color w:val="0000FF"/>
                </w:rPr>
                <w:t>150669)).</w:t>
              </w:r>
            </w:hyperlink>
          </w:p>
        </w:tc>
        <w:tc>
          <w:tcPr>
            <w:tcW w:w="4300" w:type="dxa"/>
            <w:vAlign w:val="bottom"/>
            <w:tcBorders>
              <w:top w:val="single" w:sz="8" w:color="0000FF"/>
              <w:bottom w:val="single" w:sz="8" w:color="CEFEE7"/>
            </w:tcBorders>
            <w:gridSpan w:val="2"/>
            <w:shd w:val="clear" w:color="auto" w:fill="CEFEE7"/>
          </w:tcPr>
          <w:p>
            <w:pPr>
              <w:spacing w:after="0"/>
              <w:rPr>
                <w:sz w:val="14"/>
                <w:szCs w:val="14"/>
                <w:color w:val="auto"/>
              </w:rPr>
            </w:pPr>
          </w:p>
        </w:tc>
        <w:tc>
          <w:tcPr>
            <w:tcW w:w="16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8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8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r>
      <w:tr>
        <w:trPr>
          <w:trHeight w:val="176"/>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4.2.2</w:t>
            </w:r>
          </w:p>
        </w:tc>
        <w:tc>
          <w:tcPr>
            <w:tcW w:w="9900" w:type="dxa"/>
            <w:vAlign w:val="bottom"/>
            <w:gridSpan w:val="36"/>
          </w:tcPr>
          <w:p>
            <w:pPr>
              <w:spacing w:after="0" w:line="175" w:lineRule="exact"/>
              <w:rPr>
                <w:rFonts w:ascii="Arial" w:cs="Arial" w:eastAsia="Arial" w:hAnsi="Arial"/>
                <w:sz w:val="16"/>
                <w:szCs w:val="16"/>
                <w:color w:val="0000FF"/>
              </w:rPr>
            </w:pPr>
            <w:hyperlink r:id="rId187">
              <w:r>
                <w:rPr>
                  <w:rFonts w:ascii="Arial" w:cs="Arial" w:eastAsia="Arial" w:hAnsi="Arial"/>
                  <w:sz w:val="16"/>
                  <w:szCs w:val="16"/>
                  <w:color w:val="0000FF"/>
                </w:rPr>
                <w:t>Second Supplemental Indenture, dated as of October 27, 2009, between Black Hills Power, Inc. and The Bank of New York Mellon (filed</w:t>
              </w:r>
            </w:hyperlink>
          </w:p>
        </w:tc>
      </w:tr>
      <w:tr>
        <w:trPr>
          <w:trHeight w:val="142"/>
        </w:trPr>
        <w:tc>
          <w:tcPr>
            <w:tcW w:w="1320" w:type="dxa"/>
            <w:vAlign w:val="bottom"/>
          </w:tcPr>
          <w:p>
            <w:pPr>
              <w:spacing w:after="0"/>
              <w:rPr>
                <w:sz w:val="12"/>
                <w:szCs w:val="12"/>
                <w:color w:val="auto"/>
              </w:rPr>
            </w:pPr>
          </w:p>
        </w:tc>
        <w:tc>
          <w:tcPr>
            <w:tcW w:w="97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as Exhibit 4.21 to the Registrant’s Post-Effective Amendment No. 2 to the Registrant’s Registration Statement on Form S-3 (No. 333-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7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187">
              <w:r>
                <w:rPr>
                  <w:rFonts w:ascii="Arial" w:cs="Arial" w:eastAsia="Arial" w:hAnsi="Arial"/>
                  <w:sz w:val="16"/>
                  <w:szCs w:val="16"/>
                  <w:color w:val="0000FF"/>
                  <w:w w:val="99"/>
                </w:rPr>
                <w:t>150669)</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40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4.2.3</w:t>
            </w:r>
          </w:p>
        </w:tc>
        <w:tc>
          <w:tcPr>
            <w:tcW w:w="9900" w:type="dxa"/>
            <w:vAlign w:val="bottom"/>
            <w:gridSpan w:val="36"/>
            <w:shd w:val="clear" w:color="auto" w:fill="CEFEE7"/>
          </w:tcPr>
          <w:p>
            <w:pPr>
              <w:spacing w:after="0" w:line="175" w:lineRule="exact"/>
              <w:rPr>
                <w:rFonts w:ascii="Arial" w:cs="Arial" w:eastAsia="Arial" w:hAnsi="Arial"/>
                <w:sz w:val="16"/>
                <w:szCs w:val="16"/>
                <w:color w:val="0000FF"/>
              </w:rPr>
            </w:pPr>
            <w:hyperlink r:id="rId188">
              <w:r>
                <w:rPr>
                  <w:rFonts w:ascii="Arial" w:cs="Arial" w:eastAsia="Arial" w:hAnsi="Arial"/>
                  <w:sz w:val="16"/>
                  <w:szCs w:val="16"/>
                  <w:color w:val="0000FF"/>
                </w:rPr>
                <w:t>Third Supplemental Indenture, dated as of October 1, 2014, between Black Hills Power, Inc. and The Bank of New York Mellon (filed as</w:t>
              </w:r>
            </w:hyperlink>
          </w:p>
        </w:tc>
      </w:tr>
      <w:tr>
        <w:trPr>
          <w:trHeight w:val="163"/>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4800" w:type="dxa"/>
            <w:vAlign w:val="bottom"/>
            <w:tcBorders>
              <w:top w:val="single" w:sz="8" w:color="0000FF"/>
              <w:bottom w:val="single" w:sz="8" w:color="0000FF"/>
            </w:tcBorders>
            <w:gridSpan w:val="12"/>
            <w:shd w:val="clear" w:color="auto" w:fill="CEFEE7"/>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Exhibit 10.1 to the Registrant’s Form 8-K filed on October 2, 2014).</w:t>
              </w:r>
            </w:hyperlink>
          </w:p>
        </w:tc>
        <w:tc>
          <w:tcPr>
            <w:tcW w:w="4900" w:type="dxa"/>
            <w:vAlign w:val="bottom"/>
            <w:tcBorders>
              <w:top w:val="single" w:sz="8" w:color="0000FF"/>
              <w:bottom w:val="single" w:sz="8" w:color="CEFEE7"/>
            </w:tcBorders>
            <w:gridSpan w:val="15"/>
            <w:shd w:val="clear" w:color="auto" w:fill="CEFEE7"/>
          </w:tcPr>
          <w:p>
            <w:pPr>
              <w:spacing w:after="0"/>
              <w:rPr>
                <w:sz w:val="14"/>
                <w:szCs w:val="14"/>
                <w:color w:val="auto"/>
              </w:rPr>
            </w:pPr>
          </w:p>
        </w:tc>
        <w:tc>
          <w:tcPr>
            <w:tcW w:w="4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4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4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4.3</w:t>
            </w:r>
          </w:p>
        </w:tc>
        <w:tc>
          <w:tcPr>
            <w:tcW w:w="9900" w:type="dxa"/>
            <w:vAlign w:val="bottom"/>
            <w:gridSpan w:val="36"/>
          </w:tcPr>
          <w:p>
            <w:pPr>
              <w:spacing w:after="0" w:line="175" w:lineRule="exact"/>
              <w:rPr>
                <w:rFonts w:ascii="Arial" w:cs="Arial" w:eastAsia="Arial" w:hAnsi="Arial"/>
                <w:sz w:val="16"/>
                <w:szCs w:val="16"/>
                <w:color w:val="0000FF"/>
              </w:rPr>
            </w:pPr>
            <w:hyperlink r:id="rId189">
              <w:r>
                <w:rPr>
                  <w:rFonts w:ascii="Arial" w:cs="Arial" w:eastAsia="Arial" w:hAnsi="Arial"/>
                  <w:sz w:val="16"/>
                  <w:szCs w:val="16"/>
                  <w:color w:val="0000FF"/>
                </w:rPr>
                <w:t>Restated Indenture of Mortgage, Deed of Trust, Security Agreement and Financing Statement, amended and restated as of November</w:t>
              </w:r>
            </w:hyperlink>
          </w:p>
        </w:tc>
      </w:tr>
      <w:tr>
        <w:trPr>
          <w:trHeight w:val="142"/>
        </w:trPr>
        <w:tc>
          <w:tcPr>
            <w:tcW w:w="1320" w:type="dxa"/>
            <w:vAlign w:val="bottom"/>
          </w:tcPr>
          <w:p>
            <w:pPr>
              <w:spacing w:after="0"/>
              <w:rPr>
                <w:sz w:val="12"/>
                <w:szCs w:val="12"/>
                <w:color w:val="auto"/>
              </w:rPr>
            </w:pPr>
          </w:p>
        </w:tc>
        <w:tc>
          <w:tcPr>
            <w:tcW w:w="962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20, 2007, between Cheyenne Light, Fuel and Power Company and Wells Fargo Bank, National Association (filed as Exhibit 10.2 to the</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9640" w:type="dxa"/>
            <w:vAlign w:val="bottom"/>
            <w:gridSpan w:val="24"/>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Registrant’s Form 8-K filed on October 2,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4.3.1</w:t>
            </w:r>
          </w:p>
        </w:tc>
        <w:tc>
          <w:tcPr>
            <w:tcW w:w="9900" w:type="dxa"/>
            <w:vAlign w:val="bottom"/>
            <w:gridSpan w:val="36"/>
            <w:shd w:val="clear" w:color="auto" w:fill="CEFEE7"/>
          </w:tcPr>
          <w:p>
            <w:pPr>
              <w:spacing w:after="0" w:line="175" w:lineRule="exact"/>
              <w:rPr>
                <w:rFonts w:ascii="Arial" w:cs="Arial" w:eastAsia="Arial" w:hAnsi="Arial"/>
                <w:sz w:val="16"/>
                <w:szCs w:val="16"/>
                <w:color w:val="0000FF"/>
              </w:rPr>
            </w:pPr>
            <w:hyperlink r:id="rId190">
              <w:r>
                <w:rPr>
                  <w:rFonts w:ascii="Arial" w:cs="Arial" w:eastAsia="Arial" w:hAnsi="Arial"/>
                  <w:sz w:val="16"/>
                  <w:szCs w:val="16"/>
                  <w:color w:val="0000FF"/>
                </w:rPr>
                <w:t>First Supplemental Indenture, dated as of September 3, 2009, between Cheyenne Light, Fuel and Power Company and Wells Fargo</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480" w:type="dxa"/>
            <w:vAlign w:val="bottom"/>
            <w:tcBorders>
              <w:top w:val="single" w:sz="8" w:color="0000FF"/>
            </w:tcBorders>
            <w:gridSpan w:val="19"/>
            <w:shd w:val="clear" w:color="auto" w:fill="CEFEE7"/>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Bank, National Association (filed as Exhibit 10.3 to the Registrant’s Form 8-K filed on October 2, 2014).</w:t>
              </w:r>
            </w:hyperlink>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140" w:type="dxa"/>
            <w:vAlign w:val="bottom"/>
            <w:tcBorders>
              <w:top w:val="single" w:sz="8" w:color="CEFEE7"/>
            </w:tcBorders>
            <w:gridSpan w:val="4"/>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60" w:type="dxa"/>
            <w:vAlign w:val="bottom"/>
            <w:tcBorders>
              <w:top w:val="single" w:sz="8" w:color="CEFEE7"/>
            </w:tcBorders>
            <w:gridSpan w:val="2"/>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r>
      <w:tr>
        <w:trPr>
          <w:trHeight w:val="20"/>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400" w:type="dxa"/>
            <w:vAlign w:val="bottom"/>
            <w:tcBorders>
              <w:top w:val="single" w:sz="8" w:color="0000FF"/>
            </w:tcBorders>
            <w:shd w:val="clear" w:color="auto" w:fill="CEFEE7"/>
          </w:tcPr>
          <w:p>
            <w:pPr>
              <w:spacing w:after="0" w:line="20" w:lineRule="exact"/>
              <w:rPr>
                <w:sz w:val="1"/>
                <w:szCs w:val="1"/>
                <w:color w:val="auto"/>
              </w:rPr>
            </w:pPr>
          </w:p>
        </w:tc>
        <w:tc>
          <w:tcPr>
            <w:tcW w:w="1220" w:type="dxa"/>
            <w:vAlign w:val="bottom"/>
            <w:tcBorders>
              <w:top w:val="single" w:sz="8" w:color="0000FF"/>
            </w:tcBorders>
            <w:shd w:val="clear" w:color="auto" w:fill="CEFEE7"/>
          </w:tcPr>
          <w:p>
            <w:pPr>
              <w:spacing w:after="0" w:line="20" w:lineRule="exact"/>
              <w:rPr>
                <w:sz w:val="1"/>
                <w:szCs w:val="1"/>
                <w:color w:val="auto"/>
              </w:rPr>
            </w:pPr>
          </w:p>
        </w:tc>
        <w:tc>
          <w:tcPr>
            <w:tcW w:w="80" w:type="dxa"/>
            <w:vAlign w:val="bottom"/>
            <w:tcBorders>
              <w:top w:val="single" w:sz="8" w:color="0000FF"/>
            </w:tcBorders>
            <w:shd w:val="clear" w:color="auto" w:fill="CEFEE7"/>
          </w:tcPr>
          <w:p>
            <w:pPr>
              <w:spacing w:after="0" w:line="20" w:lineRule="exact"/>
              <w:rPr>
                <w:sz w:val="1"/>
                <w:szCs w:val="1"/>
                <w:color w:val="auto"/>
              </w:rPr>
            </w:pPr>
          </w:p>
        </w:tc>
        <w:tc>
          <w:tcPr>
            <w:tcW w:w="160" w:type="dxa"/>
            <w:vAlign w:val="bottom"/>
            <w:tcBorders>
              <w:top w:val="single" w:sz="8" w:color="0000FF"/>
            </w:tcBorders>
            <w:shd w:val="clear" w:color="auto" w:fill="CEFEE7"/>
          </w:tcPr>
          <w:p>
            <w:pPr>
              <w:spacing w:after="0" w:line="20" w:lineRule="exact"/>
              <w:rPr>
                <w:sz w:val="1"/>
                <w:szCs w:val="1"/>
                <w:color w:val="auto"/>
              </w:rPr>
            </w:pPr>
          </w:p>
        </w:tc>
        <w:tc>
          <w:tcPr>
            <w:tcW w:w="66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20" w:type="dxa"/>
            <w:vAlign w:val="bottom"/>
            <w:tcBorders>
              <w:top w:val="single" w:sz="8" w:color="0000FF"/>
            </w:tcBorders>
            <w:shd w:val="clear" w:color="auto" w:fill="CEFEE7"/>
          </w:tcPr>
          <w:p>
            <w:pPr>
              <w:spacing w:after="0" w:line="20" w:lineRule="exact"/>
              <w:rPr>
                <w:sz w:val="1"/>
                <w:szCs w:val="1"/>
                <w:color w:val="auto"/>
              </w:rPr>
            </w:pPr>
          </w:p>
        </w:tc>
        <w:tc>
          <w:tcPr>
            <w:tcW w:w="300" w:type="dxa"/>
            <w:vAlign w:val="bottom"/>
            <w:tcBorders>
              <w:top w:val="single" w:sz="8" w:color="0000FF"/>
            </w:tcBorders>
            <w:shd w:val="clear" w:color="auto" w:fill="CEFEE7"/>
          </w:tcPr>
          <w:p>
            <w:pPr>
              <w:spacing w:after="0" w:line="20" w:lineRule="exact"/>
              <w:rPr>
                <w:sz w:val="1"/>
                <w:szCs w:val="1"/>
                <w:color w:val="auto"/>
              </w:rPr>
            </w:pPr>
          </w:p>
        </w:tc>
        <w:tc>
          <w:tcPr>
            <w:tcW w:w="980" w:type="dxa"/>
            <w:vAlign w:val="bottom"/>
            <w:tcBorders>
              <w:top w:val="single" w:sz="8" w:color="0000FF"/>
            </w:tcBorders>
            <w:shd w:val="clear" w:color="auto" w:fill="CEFEE7"/>
          </w:tcPr>
          <w:p>
            <w:pPr>
              <w:spacing w:after="0" w:line="20" w:lineRule="exact"/>
              <w:rPr>
                <w:sz w:val="1"/>
                <w:szCs w:val="1"/>
                <w:color w:val="auto"/>
              </w:rPr>
            </w:pPr>
          </w:p>
        </w:tc>
        <w:tc>
          <w:tcPr>
            <w:tcW w:w="40" w:type="dxa"/>
            <w:vAlign w:val="bottom"/>
            <w:tcBorders>
              <w:top w:val="single" w:sz="8" w:color="0000FF"/>
            </w:tcBorders>
            <w:shd w:val="clear" w:color="auto" w:fill="CEFEE7"/>
          </w:tcPr>
          <w:p>
            <w:pPr>
              <w:spacing w:after="0" w:line="20" w:lineRule="exact"/>
              <w:rPr>
                <w:sz w:val="1"/>
                <w:szCs w:val="1"/>
                <w:color w:val="auto"/>
              </w:rPr>
            </w:pPr>
          </w:p>
        </w:tc>
        <w:tc>
          <w:tcPr>
            <w:tcW w:w="120" w:type="dxa"/>
            <w:vAlign w:val="bottom"/>
            <w:tcBorders>
              <w:top w:val="single" w:sz="8" w:color="0000FF"/>
            </w:tcBorders>
            <w:shd w:val="clear" w:color="auto" w:fill="CEFEE7"/>
          </w:tcPr>
          <w:p>
            <w:pPr>
              <w:spacing w:after="0" w:line="20" w:lineRule="exact"/>
              <w:rPr>
                <w:sz w:val="1"/>
                <w:szCs w:val="1"/>
                <w:color w:val="auto"/>
              </w:rPr>
            </w:pPr>
          </w:p>
        </w:tc>
        <w:tc>
          <w:tcPr>
            <w:tcW w:w="2460" w:type="dxa"/>
            <w:vAlign w:val="bottom"/>
            <w:tcBorders>
              <w:top w:val="single" w:sz="8" w:color="0000FF"/>
            </w:tcBorders>
            <w:shd w:val="clear" w:color="auto" w:fill="CEFEE7"/>
          </w:tcPr>
          <w:p>
            <w:pPr>
              <w:spacing w:after="0" w:line="20" w:lineRule="exact"/>
              <w:rPr>
                <w:sz w:val="1"/>
                <w:szCs w:val="1"/>
                <w:color w:val="auto"/>
              </w:rPr>
            </w:pPr>
          </w:p>
        </w:tc>
        <w:tc>
          <w:tcPr>
            <w:tcW w:w="184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4.3.2</w:t>
            </w:r>
          </w:p>
        </w:tc>
        <w:tc>
          <w:tcPr>
            <w:tcW w:w="9900" w:type="dxa"/>
            <w:vAlign w:val="bottom"/>
            <w:gridSpan w:val="36"/>
          </w:tcPr>
          <w:p>
            <w:pPr>
              <w:spacing w:after="0" w:line="175" w:lineRule="exact"/>
              <w:rPr>
                <w:rFonts w:ascii="Arial" w:cs="Arial" w:eastAsia="Arial" w:hAnsi="Arial"/>
                <w:sz w:val="16"/>
                <w:szCs w:val="16"/>
                <w:color w:val="0000FF"/>
              </w:rPr>
            </w:pPr>
            <w:hyperlink r:id="rId191">
              <w:r>
                <w:rPr>
                  <w:rFonts w:ascii="Arial" w:cs="Arial" w:eastAsia="Arial" w:hAnsi="Arial"/>
                  <w:sz w:val="16"/>
                  <w:szCs w:val="16"/>
                  <w:color w:val="0000FF"/>
                </w:rPr>
                <w:t>Second Supplemental Indenture, dated as of October 1, 2014, between Cheyenne Light, Fuel and Power Company and Wells Fargo</w:t>
              </w:r>
            </w:hyperlink>
          </w:p>
        </w:tc>
      </w:tr>
      <w:tr>
        <w:trPr>
          <w:trHeight w:val="142"/>
        </w:trPr>
        <w:tc>
          <w:tcPr>
            <w:tcW w:w="1320" w:type="dxa"/>
            <w:vAlign w:val="bottom"/>
          </w:tcPr>
          <w:p>
            <w:pPr>
              <w:spacing w:after="0"/>
              <w:rPr>
                <w:sz w:val="12"/>
                <w:szCs w:val="12"/>
                <w:color w:val="auto"/>
              </w:rPr>
            </w:pPr>
          </w:p>
        </w:tc>
        <w:tc>
          <w:tcPr>
            <w:tcW w:w="95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Bank, National Association (filed as Exhibit 10.4 to the Registrant’s Form 8-K filed on October 2, 2014).</w:t>
              </w:r>
            </w:hyperlink>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4.4</w:t>
            </w:r>
          </w:p>
        </w:tc>
        <w:tc>
          <w:tcPr>
            <w:tcW w:w="9900" w:type="dxa"/>
            <w:vAlign w:val="bottom"/>
            <w:gridSpan w:val="36"/>
            <w:shd w:val="clear" w:color="auto" w:fill="CEFEE7"/>
          </w:tcPr>
          <w:p>
            <w:pPr>
              <w:spacing w:after="0"/>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Form of Stock Certificate for Common Stock, Par Value $1.00 Per Share (filed as Exhibit 4.2 to the Registrant’s Form 10-K for 2000).</w:t>
              </w:r>
            </w:hyperlink>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4.5</w:t>
            </w:r>
          </w:p>
        </w:tc>
        <w:tc>
          <w:tcPr>
            <w:tcW w:w="9900" w:type="dxa"/>
            <w:vAlign w:val="bottom"/>
            <w:gridSpan w:val="36"/>
          </w:tcPr>
          <w:p>
            <w:pPr>
              <w:spacing w:after="0"/>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Description of Securities (filed as Exhibit 4.5 to the Registrant's Form 10-K for 2019)</w:t>
              </w:r>
            </w:hyperlink>
          </w:p>
        </w:tc>
      </w:tr>
      <w:tr>
        <w:trPr>
          <w:trHeight w:val="178"/>
        </w:trPr>
        <w:tc>
          <w:tcPr>
            <w:tcW w:w="1320" w:type="dxa"/>
            <w:vAlign w:val="bottom"/>
            <w:shd w:val="clear" w:color="auto" w:fill="CEFEE7"/>
          </w:tcPr>
          <w:p>
            <w:pPr>
              <w:ind w:left="20"/>
              <w:spacing w:after="0" w:line="178" w:lineRule="exact"/>
              <w:rPr>
                <w:sz w:val="20"/>
                <w:szCs w:val="20"/>
                <w:color w:val="auto"/>
              </w:rPr>
            </w:pPr>
            <w:r>
              <w:rPr>
                <w:rFonts w:ascii="Arial" w:cs="Arial" w:eastAsia="Arial" w:hAnsi="Arial"/>
                <w:sz w:val="16"/>
                <w:szCs w:val="16"/>
                <w:color w:val="auto"/>
              </w:rPr>
              <w:t>10.1†</w:t>
            </w:r>
          </w:p>
        </w:tc>
        <w:tc>
          <w:tcPr>
            <w:tcW w:w="9900" w:type="dxa"/>
            <w:vAlign w:val="bottom"/>
            <w:gridSpan w:val="36"/>
            <w:shd w:val="clear" w:color="auto" w:fill="CEFEE7"/>
          </w:tcPr>
          <w:p>
            <w:pPr>
              <w:spacing w:after="0" w:line="178" w:lineRule="exact"/>
              <w:rPr>
                <w:rFonts w:ascii="Arial" w:cs="Arial" w:eastAsia="Arial" w:hAnsi="Arial"/>
                <w:sz w:val="16"/>
                <w:szCs w:val="16"/>
                <w:color w:val="0000FF"/>
              </w:rPr>
            </w:pPr>
            <w:hyperlink r:id="rId194">
              <w:r>
                <w:rPr>
                  <w:rFonts w:ascii="Arial" w:cs="Arial" w:eastAsia="Arial" w:hAnsi="Arial"/>
                  <w:sz w:val="16"/>
                  <w:szCs w:val="16"/>
                  <w:color w:val="0000FF"/>
                </w:rPr>
                <w:t>Amended and Restated Pension Equalization Plan of Black Hills Corporation dated November 6, 2001 (filed as Exhibit 10.11 to the</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380" w:type="dxa"/>
            <w:vAlign w:val="bottom"/>
            <w:tcBorders>
              <w:top w:val="single" w:sz="8" w:color="0000FF"/>
            </w:tcBorders>
            <w:gridSpan w:val="17"/>
            <w:shd w:val="clear" w:color="auto" w:fill="CEFEE7"/>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Registrant’s Form 10-K/A for 2001).</w:t>
              </w:r>
            </w:hyperlink>
          </w:p>
        </w:tc>
        <w:tc>
          <w:tcPr>
            <w:tcW w:w="20" w:type="dxa"/>
            <w:vAlign w:val="bottom"/>
            <w:tcBorders>
              <w:top w:val="single" w:sz="8" w:color="CEFEE7"/>
            </w:tcBorders>
            <w:shd w:val="clear" w:color="auto" w:fill="CEFEE7"/>
          </w:tcPr>
          <w:p>
            <w:pPr>
              <w:spacing w:after="0"/>
              <w:rPr>
                <w:sz w:val="12"/>
                <w:szCs w:val="12"/>
                <w:color w:val="auto"/>
              </w:rPr>
            </w:pPr>
          </w:p>
        </w:tc>
        <w:tc>
          <w:tcPr>
            <w:tcW w:w="120" w:type="dxa"/>
            <w:vAlign w:val="bottom"/>
            <w:tcBorders>
              <w:top w:val="single" w:sz="8" w:color="CEFEE7"/>
            </w:tcBorders>
            <w:gridSpan w:val="3"/>
            <w:shd w:val="clear" w:color="auto" w:fill="CEFEE7"/>
          </w:tcPr>
          <w:p>
            <w:pPr>
              <w:spacing w:after="0"/>
              <w:rPr>
                <w:sz w:val="12"/>
                <w:szCs w:val="12"/>
                <w:color w:val="auto"/>
              </w:rPr>
            </w:pPr>
          </w:p>
        </w:tc>
        <w:tc>
          <w:tcPr>
            <w:tcW w:w="140" w:type="dxa"/>
            <w:vAlign w:val="bottom"/>
            <w:tcBorders>
              <w:top w:val="single" w:sz="8" w:color="CEFEE7"/>
            </w:tcBorders>
            <w:gridSpan w:val="4"/>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60" w:type="dxa"/>
            <w:vAlign w:val="bottom"/>
            <w:tcBorders>
              <w:top w:val="single" w:sz="8" w:color="CEFEE7"/>
            </w:tcBorders>
            <w:gridSpan w:val="2"/>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r>
      <w:tr>
        <w:trPr>
          <w:trHeight w:val="21"/>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400" w:type="dxa"/>
            <w:vAlign w:val="bottom"/>
            <w:tcBorders>
              <w:top w:val="single" w:sz="8" w:color="0000FF"/>
            </w:tcBorders>
            <w:shd w:val="clear" w:color="auto" w:fill="CEFEE7"/>
          </w:tcPr>
          <w:p>
            <w:pPr>
              <w:spacing w:after="0" w:line="20" w:lineRule="exact"/>
              <w:rPr>
                <w:sz w:val="1"/>
                <w:szCs w:val="1"/>
                <w:color w:val="auto"/>
              </w:rPr>
            </w:pPr>
          </w:p>
        </w:tc>
        <w:tc>
          <w:tcPr>
            <w:tcW w:w="1220" w:type="dxa"/>
            <w:vAlign w:val="bottom"/>
            <w:tcBorders>
              <w:top w:val="single" w:sz="8" w:color="0000FF"/>
            </w:tcBorders>
            <w:shd w:val="clear" w:color="auto" w:fill="CEFEE7"/>
          </w:tcPr>
          <w:p>
            <w:pPr>
              <w:spacing w:after="0" w:line="20" w:lineRule="exact"/>
              <w:rPr>
                <w:sz w:val="1"/>
                <w:szCs w:val="1"/>
                <w:color w:val="auto"/>
              </w:rPr>
            </w:pPr>
          </w:p>
        </w:tc>
        <w:tc>
          <w:tcPr>
            <w:tcW w:w="80" w:type="dxa"/>
            <w:vAlign w:val="bottom"/>
            <w:tcBorders>
              <w:top w:val="single" w:sz="8" w:color="0000FF"/>
            </w:tcBorders>
            <w:shd w:val="clear" w:color="auto" w:fill="CEFEE7"/>
          </w:tcPr>
          <w:p>
            <w:pPr>
              <w:spacing w:after="0" w:line="20" w:lineRule="exact"/>
              <w:rPr>
                <w:sz w:val="1"/>
                <w:szCs w:val="1"/>
                <w:color w:val="auto"/>
              </w:rPr>
            </w:pPr>
          </w:p>
        </w:tc>
        <w:tc>
          <w:tcPr>
            <w:tcW w:w="160" w:type="dxa"/>
            <w:vAlign w:val="bottom"/>
            <w:tcBorders>
              <w:top w:val="single" w:sz="8" w:color="0000FF"/>
            </w:tcBorders>
            <w:shd w:val="clear" w:color="auto" w:fill="CEFEE7"/>
          </w:tcPr>
          <w:p>
            <w:pPr>
              <w:spacing w:after="0" w:line="20" w:lineRule="exact"/>
              <w:rPr>
                <w:sz w:val="1"/>
                <w:szCs w:val="1"/>
                <w:color w:val="auto"/>
              </w:rPr>
            </w:pPr>
          </w:p>
        </w:tc>
        <w:tc>
          <w:tcPr>
            <w:tcW w:w="66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9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460" w:type="dxa"/>
            <w:vAlign w:val="bottom"/>
            <w:tcBorders>
              <w:top w:val="single" w:sz="8" w:color="CEFEE7"/>
            </w:tcBorders>
            <w:shd w:val="clear" w:color="auto" w:fill="CEFEE7"/>
          </w:tcPr>
          <w:p>
            <w:pPr>
              <w:spacing w:after="0" w:line="20" w:lineRule="exact"/>
              <w:rPr>
                <w:sz w:val="1"/>
                <w:szCs w:val="1"/>
                <w:color w:val="auto"/>
              </w:rPr>
            </w:pPr>
          </w:p>
        </w:tc>
        <w:tc>
          <w:tcPr>
            <w:tcW w:w="184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10.1.1†</w:t>
            </w:r>
          </w:p>
        </w:tc>
        <w:tc>
          <w:tcPr>
            <w:tcW w:w="9900" w:type="dxa"/>
            <w:vAlign w:val="bottom"/>
            <w:gridSpan w:val="36"/>
          </w:tcPr>
          <w:p>
            <w:pPr>
              <w:spacing w:after="0"/>
              <w:rPr>
                <w:rFonts w:ascii="Arial" w:cs="Arial" w:eastAsia="Arial" w:hAnsi="Arial"/>
                <w:sz w:val="16"/>
                <w:szCs w:val="16"/>
                <w:color w:val="0000FF"/>
              </w:rPr>
            </w:pPr>
            <w:hyperlink r:id="rId195">
              <w:r>
                <w:rPr>
                  <w:rFonts w:ascii="Arial" w:cs="Arial" w:eastAsia="Arial" w:hAnsi="Arial"/>
                  <w:sz w:val="16"/>
                  <w:szCs w:val="16"/>
                  <w:u w:val="single" w:color="auto"/>
                  <w:color w:val="0000FF"/>
                </w:rPr>
                <w:t>First Amendment to Pension Equalization Plan (filed as Exhibit 10.10 to the Registrant’s Form 10-K for 2002)</w:t>
              </w:r>
              <w:r>
                <w:rPr>
                  <w:rFonts w:ascii="Arial" w:cs="Arial" w:eastAsia="Arial" w:hAnsi="Arial"/>
                  <w:sz w:val="16"/>
                  <w:szCs w:val="16"/>
                  <w:color w:val="0000FF"/>
                </w:rPr>
                <w:t>.</w:t>
              </w:r>
            </w:hyperlink>
          </w:p>
        </w:tc>
      </w:tr>
      <w:tr>
        <w:trPr>
          <w:trHeight w:val="179"/>
        </w:trPr>
        <w:tc>
          <w:tcPr>
            <w:tcW w:w="1320" w:type="dxa"/>
            <w:vAlign w:val="bottom"/>
            <w:shd w:val="clear" w:color="auto" w:fill="CEFEE7"/>
          </w:tcPr>
          <w:p>
            <w:pPr>
              <w:ind w:left="20"/>
              <w:spacing w:after="0" w:line="178" w:lineRule="exact"/>
              <w:rPr>
                <w:sz w:val="20"/>
                <w:szCs w:val="20"/>
                <w:color w:val="auto"/>
              </w:rPr>
            </w:pPr>
            <w:r>
              <w:rPr>
                <w:rFonts w:ascii="Arial" w:cs="Arial" w:eastAsia="Arial" w:hAnsi="Arial"/>
                <w:sz w:val="16"/>
                <w:szCs w:val="16"/>
                <w:color w:val="auto"/>
              </w:rPr>
              <w:t>10.1.2†</w:t>
            </w:r>
          </w:p>
        </w:tc>
        <w:tc>
          <w:tcPr>
            <w:tcW w:w="9900" w:type="dxa"/>
            <w:vAlign w:val="bottom"/>
            <w:gridSpan w:val="36"/>
            <w:shd w:val="clear" w:color="auto" w:fill="CEFEE7"/>
          </w:tcPr>
          <w:p>
            <w:pPr>
              <w:spacing w:after="0" w:line="178" w:lineRule="exact"/>
              <w:rPr>
                <w:rFonts w:ascii="Arial" w:cs="Arial" w:eastAsia="Arial" w:hAnsi="Arial"/>
                <w:sz w:val="16"/>
                <w:szCs w:val="16"/>
                <w:color w:val="0000FF"/>
              </w:rPr>
            </w:pPr>
            <w:hyperlink r:id="rId196">
              <w:r>
                <w:rPr>
                  <w:rFonts w:ascii="Arial" w:cs="Arial" w:eastAsia="Arial" w:hAnsi="Arial"/>
                  <w:sz w:val="16"/>
                  <w:szCs w:val="16"/>
                  <w:color w:val="0000FF"/>
                </w:rPr>
                <w:t>Grandfather Amendment to the Amended and Restated Pension Equalization Plan of Black Hills Corporation (filed as Exhibit 10.2 to the</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740" w:type="dxa"/>
            <w:vAlign w:val="bottom"/>
            <w:tcBorders>
              <w:top w:val="single" w:sz="8" w:color="0000FF"/>
            </w:tcBorders>
            <w:gridSpan w:val="28"/>
            <w:shd w:val="clear" w:color="auto" w:fill="CEFEE7"/>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Registrant’s Form 10-K for 2008).</w:t>
              </w:r>
            </w:hyperlink>
          </w:p>
        </w:tc>
        <w:tc>
          <w:tcPr>
            <w:tcW w:w="40" w:type="dxa"/>
            <w:vAlign w:val="bottom"/>
            <w:tcBorders>
              <w:top w:val="single" w:sz="8" w:color="CEFEE7"/>
            </w:tcBorders>
            <w:gridSpan w:val="2"/>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r>
      <w:tr>
        <w:trPr>
          <w:trHeight w:val="21"/>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400" w:type="dxa"/>
            <w:vAlign w:val="bottom"/>
            <w:tcBorders>
              <w:top w:val="single" w:sz="8" w:color="0000FF"/>
            </w:tcBorders>
            <w:shd w:val="clear" w:color="auto" w:fill="CEFEE7"/>
          </w:tcPr>
          <w:p>
            <w:pPr>
              <w:spacing w:after="0" w:line="20" w:lineRule="exact"/>
              <w:rPr>
                <w:sz w:val="1"/>
                <w:szCs w:val="1"/>
                <w:color w:val="auto"/>
              </w:rPr>
            </w:pPr>
          </w:p>
        </w:tc>
        <w:tc>
          <w:tcPr>
            <w:tcW w:w="1220" w:type="dxa"/>
            <w:vAlign w:val="bottom"/>
            <w:tcBorders>
              <w:top w:val="single" w:sz="8" w:color="0000FF"/>
            </w:tcBorders>
            <w:shd w:val="clear" w:color="auto" w:fill="CEFEE7"/>
          </w:tcPr>
          <w:p>
            <w:pPr>
              <w:spacing w:after="0" w:line="20" w:lineRule="exact"/>
              <w:rPr>
                <w:sz w:val="1"/>
                <w:szCs w:val="1"/>
                <w:color w:val="auto"/>
              </w:rPr>
            </w:pPr>
          </w:p>
        </w:tc>
        <w:tc>
          <w:tcPr>
            <w:tcW w:w="80" w:type="dxa"/>
            <w:vAlign w:val="bottom"/>
            <w:tcBorders>
              <w:top w:val="single" w:sz="8" w:color="0000FF"/>
            </w:tcBorders>
            <w:shd w:val="clear" w:color="auto" w:fill="CEFEE7"/>
          </w:tcPr>
          <w:p>
            <w:pPr>
              <w:spacing w:after="0" w:line="20" w:lineRule="exact"/>
              <w:rPr>
                <w:sz w:val="1"/>
                <w:szCs w:val="1"/>
                <w:color w:val="auto"/>
              </w:rPr>
            </w:pPr>
          </w:p>
        </w:tc>
        <w:tc>
          <w:tcPr>
            <w:tcW w:w="160" w:type="dxa"/>
            <w:vAlign w:val="bottom"/>
            <w:tcBorders>
              <w:top w:val="single" w:sz="8" w:color="CEFEE7"/>
            </w:tcBorders>
            <w:shd w:val="clear" w:color="auto" w:fill="CEFEE7"/>
          </w:tcPr>
          <w:p>
            <w:pPr>
              <w:spacing w:after="0" w:line="20" w:lineRule="exact"/>
              <w:rPr>
                <w:sz w:val="1"/>
                <w:szCs w:val="1"/>
                <w:color w:val="auto"/>
              </w:rPr>
            </w:pPr>
          </w:p>
        </w:tc>
        <w:tc>
          <w:tcPr>
            <w:tcW w:w="66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9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460" w:type="dxa"/>
            <w:vAlign w:val="bottom"/>
            <w:tcBorders>
              <w:top w:val="single" w:sz="8" w:color="CEFEE7"/>
            </w:tcBorders>
            <w:shd w:val="clear" w:color="auto" w:fill="CEFEE7"/>
          </w:tcPr>
          <w:p>
            <w:pPr>
              <w:spacing w:after="0" w:line="20" w:lineRule="exact"/>
              <w:rPr>
                <w:sz w:val="1"/>
                <w:szCs w:val="1"/>
                <w:color w:val="auto"/>
              </w:rPr>
            </w:pPr>
          </w:p>
        </w:tc>
        <w:tc>
          <w:tcPr>
            <w:tcW w:w="184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10.2†</w:t>
            </w:r>
          </w:p>
        </w:tc>
        <w:tc>
          <w:tcPr>
            <w:tcW w:w="9900" w:type="dxa"/>
            <w:vAlign w:val="bottom"/>
            <w:gridSpan w:val="36"/>
          </w:tcPr>
          <w:p>
            <w:pPr>
              <w:spacing w:after="0"/>
              <w:rPr>
                <w:rFonts w:ascii="Arial" w:cs="Arial" w:eastAsia="Arial" w:hAnsi="Arial"/>
                <w:sz w:val="16"/>
                <w:szCs w:val="16"/>
                <w:u w:val="single" w:color="auto"/>
                <w:color w:val="0000FF"/>
              </w:rPr>
            </w:pPr>
            <w:hyperlink r:id="rId197">
              <w:r>
                <w:rPr>
                  <w:rFonts w:ascii="Arial" w:cs="Arial" w:eastAsia="Arial" w:hAnsi="Arial"/>
                  <w:sz w:val="16"/>
                  <w:szCs w:val="16"/>
                  <w:u w:val="single" w:color="auto"/>
                  <w:color w:val="0000FF"/>
                </w:rPr>
                <w:t>2005 Pension Equalization Plan of Black Hills Corporation (filed as Exhibit 10.3 to the Registrant’s Form 10-K for 2008).</w:t>
              </w:r>
            </w:hyperlink>
          </w:p>
        </w:tc>
      </w:tr>
      <w:tr>
        <w:trPr>
          <w:trHeight w:val="219"/>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10.3†</w:t>
            </w:r>
          </w:p>
        </w:tc>
        <w:tc>
          <w:tcPr>
            <w:tcW w:w="9900" w:type="dxa"/>
            <w:vAlign w:val="bottom"/>
            <w:gridSpan w:val="36"/>
            <w:shd w:val="clear" w:color="auto" w:fill="CEFEE7"/>
          </w:tcPr>
          <w:p>
            <w:pPr>
              <w:spacing w:after="0"/>
              <w:rPr>
                <w:rFonts w:ascii="Arial" w:cs="Arial" w:eastAsia="Arial" w:hAnsi="Arial"/>
                <w:sz w:val="16"/>
                <w:szCs w:val="16"/>
                <w:u w:val="single" w:color="auto"/>
                <w:color w:val="0000FF"/>
              </w:rPr>
            </w:pPr>
            <w:hyperlink r:id="rId198">
              <w:r>
                <w:rPr>
                  <w:rFonts w:ascii="Arial" w:cs="Arial" w:eastAsia="Arial" w:hAnsi="Arial"/>
                  <w:sz w:val="16"/>
                  <w:szCs w:val="16"/>
                  <w:u w:val="single" w:color="auto"/>
                  <w:color w:val="0000FF"/>
                </w:rPr>
                <w:t>Restoration Plan of Black Hills Corporation (filed as Exhibit 10.5 to the Registrant’s Form 10-K for 2008).</w:t>
              </w:r>
            </w:hyperlink>
          </w:p>
        </w:tc>
      </w:tr>
      <w:tr>
        <w:trPr>
          <w:trHeight w:val="176"/>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10.3.1†</w:t>
            </w:r>
          </w:p>
        </w:tc>
        <w:tc>
          <w:tcPr>
            <w:tcW w:w="9900" w:type="dxa"/>
            <w:vAlign w:val="bottom"/>
            <w:gridSpan w:val="36"/>
          </w:tcPr>
          <w:p>
            <w:pPr>
              <w:spacing w:after="0" w:line="175" w:lineRule="exact"/>
              <w:rPr>
                <w:rFonts w:ascii="Arial" w:cs="Arial" w:eastAsia="Arial" w:hAnsi="Arial"/>
                <w:sz w:val="16"/>
                <w:szCs w:val="16"/>
                <w:color w:val="0000FF"/>
              </w:rPr>
            </w:pPr>
            <w:hyperlink r:id="rId199">
              <w:r>
                <w:rPr>
                  <w:rFonts w:ascii="Arial" w:cs="Arial" w:eastAsia="Arial" w:hAnsi="Arial"/>
                  <w:sz w:val="16"/>
                  <w:szCs w:val="16"/>
                  <w:color w:val="0000FF"/>
                </w:rPr>
                <w:t>First Amendment to the Restoration Plan of Black Hills Corporation dated July 24, 2011 (filed as Exhibit 10.2 to the Registrant’s Form 10-</w:t>
              </w:r>
            </w:hyperlink>
          </w:p>
        </w:tc>
      </w:tr>
      <w:tr>
        <w:trPr>
          <w:trHeight w:val="142"/>
        </w:trPr>
        <w:tc>
          <w:tcPr>
            <w:tcW w:w="1320" w:type="dxa"/>
            <w:vAlign w:val="bottom"/>
          </w:tcPr>
          <w:p>
            <w:pPr>
              <w:spacing w:after="0"/>
              <w:rPr>
                <w:sz w:val="12"/>
                <w:szCs w:val="12"/>
                <w:color w:val="auto"/>
              </w:rPr>
            </w:pPr>
          </w:p>
        </w:tc>
        <w:tc>
          <w:tcPr>
            <w:tcW w:w="98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Q for the quarterly period ended June 30, 2011).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10.4†</w:t>
            </w:r>
          </w:p>
        </w:tc>
        <w:tc>
          <w:tcPr>
            <w:tcW w:w="9900" w:type="dxa"/>
            <w:vAlign w:val="bottom"/>
            <w:gridSpan w:val="36"/>
            <w:shd w:val="clear" w:color="auto" w:fill="CEFEE7"/>
          </w:tcPr>
          <w:p>
            <w:pPr>
              <w:spacing w:after="0" w:line="175" w:lineRule="exact"/>
              <w:rPr>
                <w:rFonts w:ascii="Arial" w:cs="Arial" w:eastAsia="Arial" w:hAnsi="Arial"/>
                <w:sz w:val="16"/>
                <w:szCs w:val="16"/>
                <w:color w:val="0000FF"/>
              </w:rPr>
            </w:pPr>
            <w:hyperlink r:id="rId200">
              <w:r>
                <w:rPr>
                  <w:rFonts w:ascii="Arial" w:cs="Arial" w:eastAsia="Arial" w:hAnsi="Arial"/>
                  <w:sz w:val="16"/>
                  <w:szCs w:val="16"/>
                  <w:color w:val="0000FF"/>
                </w:rPr>
                <w:t>Black Hills Corporation Non-qualified Deferred Compensation Plan as Amended and Restated effective January 1, 2011 (filed as Exhibit</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780" w:type="dxa"/>
            <w:vAlign w:val="bottom"/>
            <w:tcBorders>
              <w:top w:val="single" w:sz="8" w:color="0000FF"/>
            </w:tcBorders>
            <w:gridSpan w:val="30"/>
            <w:shd w:val="clear" w:color="auto" w:fill="CEFEE7"/>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10.</w:t>
              </w:r>
              <w:r>
                <w:rPr>
                  <w:rFonts w:ascii="Arial" w:cs="Arial" w:eastAsia="Arial" w:hAnsi="Arial"/>
                  <w:sz w:val="16"/>
                  <w:szCs w:val="16"/>
                  <w:u w:val="single" w:color="auto"/>
                  <w:color w:val="0000FF"/>
                </w:rPr>
                <w:t>4</w:t>
              </w:r>
              <w:r>
                <w:rPr>
                  <w:rFonts w:ascii="Arial" w:cs="Arial" w:eastAsia="Arial" w:hAnsi="Arial"/>
                  <w:sz w:val="16"/>
                  <w:szCs w:val="16"/>
                  <w:color w:val="0000FF"/>
                </w:rPr>
                <w:t xml:space="preserve"> to the Registrant’s Form 10-K for 2010).</w:t>
              </w:r>
            </w:hyperlink>
          </w:p>
        </w:tc>
        <w:tc>
          <w:tcPr>
            <w:tcW w:w="40" w:type="dxa"/>
            <w:vAlign w:val="bottom"/>
            <w:tcBorders>
              <w:top w:val="single" w:sz="8" w:color="CEFEE7"/>
            </w:tcBorders>
            <w:gridSpan w:val="2"/>
            <w:shd w:val="clear" w:color="auto" w:fill="CEFEE7"/>
          </w:tcPr>
          <w:p>
            <w:pPr>
              <w:spacing w:after="0"/>
              <w:rPr>
                <w:sz w:val="12"/>
                <w:szCs w:val="12"/>
                <w:color w:val="auto"/>
              </w:rPr>
            </w:pPr>
          </w:p>
        </w:tc>
        <w:tc>
          <w:tcPr>
            <w:tcW w:w="60" w:type="dxa"/>
            <w:vAlign w:val="bottom"/>
            <w:tcBorders>
              <w:top w:val="single" w:sz="8" w:color="CEFEE7"/>
            </w:tcBorders>
            <w:gridSpan w:val="3"/>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r>
      <w:tr>
        <w:trPr>
          <w:trHeight w:val="20"/>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400" w:type="dxa"/>
            <w:vAlign w:val="bottom"/>
            <w:tcBorders>
              <w:top w:val="single" w:sz="8" w:color="0000FF"/>
            </w:tcBorders>
            <w:shd w:val="clear" w:color="auto" w:fill="CEFEE7"/>
          </w:tcPr>
          <w:p>
            <w:pPr>
              <w:spacing w:after="0" w:line="20" w:lineRule="exact"/>
              <w:rPr>
                <w:sz w:val="1"/>
                <w:szCs w:val="1"/>
                <w:color w:val="auto"/>
              </w:rPr>
            </w:pPr>
          </w:p>
        </w:tc>
        <w:tc>
          <w:tcPr>
            <w:tcW w:w="1220" w:type="dxa"/>
            <w:vAlign w:val="bottom"/>
            <w:tcBorders>
              <w:top w:val="single" w:sz="8" w:color="0000FF"/>
            </w:tcBorders>
            <w:shd w:val="clear" w:color="auto" w:fill="CEFEE7"/>
          </w:tcPr>
          <w:p>
            <w:pPr>
              <w:spacing w:after="0" w:line="20" w:lineRule="exact"/>
              <w:rPr>
                <w:sz w:val="1"/>
                <w:szCs w:val="1"/>
                <w:color w:val="auto"/>
              </w:rPr>
            </w:pPr>
          </w:p>
        </w:tc>
        <w:tc>
          <w:tcPr>
            <w:tcW w:w="80" w:type="dxa"/>
            <w:vAlign w:val="bottom"/>
            <w:tcBorders>
              <w:top w:val="single" w:sz="8" w:color="0000FF"/>
            </w:tcBorders>
            <w:shd w:val="clear" w:color="auto" w:fill="CEFEE7"/>
          </w:tcPr>
          <w:p>
            <w:pPr>
              <w:spacing w:after="0" w:line="20" w:lineRule="exact"/>
              <w:rPr>
                <w:sz w:val="1"/>
                <w:szCs w:val="1"/>
                <w:color w:val="auto"/>
              </w:rPr>
            </w:pPr>
          </w:p>
        </w:tc>
        <w:tc>
          <w:tcPr>
            <w:tcW w:w="160" w:type="dxa"/>
            <w:vAlign w:val="bottom"/>
            <w:tcBorders>
              <w:top w:val="single" w:sz="8" w:color="0000FF"/>
            </w:tcBorders>
            <w:shd w:val="clear" w:color="auto" w:fill="CEFEE7"/>
          </w:tcPr>
          <w:p>
            <w:pPr>
              <w:spacing w:after="0" w:line="20" w:lineRule="exact"/>
              <w:rPr>
                <w:sz w:val="1"/>
                <w:szCs w:val="1"/>
                <w:color w:val="auto"/>
              </w:rPr>
            </w:pPr>
          </w:p>
        </w:tc>
        <w:tc>
          <w:tcPr>
            <w:tcW w:w="66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9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460" w:type="dxa"/>
            <w:vAlign w:val="bottom"/>
            <w:tcBorders>
              <w:top w:val="single" w:sz="8" w:color="CEFEE7"/>
            </w:tcBorders>
            <w:shd w:val="clear" w:color="auto" w:fill="CEFEE7"/>
          </w:tcPr>
          <w:p>
            <w:pPr>
              <w:spacing w:after="0" w:line="20" w:lineRule="exact"/>
              <w:rPr>
                <w:sz w:val="1"/>
                <w:szCs w:val="1"/>
                <w:color w:val="auto"/>
              </w:rPr>
            </w:pPr>
          </w:p>
        </w:tc>
        <w:tc>
          <w:tcPr>
            <w:tcW w:w="184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10.4.1†</w:t>
            </w:r>
          </w:p>
        </w:tc>
        <w:tc>
          <w:tcPr>
            <w:tcW w:w="9900" w:type="dxa"/>
            <w:vAlign w:val="bottom"/>
            <w:gridSpan w:val="36"/>
          </w:tcPr>
          <w:p>
            <w:pPr>
              <w:spacing w:after="0" w:line="175" w:lineRule="exact"/>
              <w:rPr>
                <w:rFonts w:ascii="Arial" w:cs="Arial" w:eastAsia="Arial" w:hAnsi="Arial"/>
                <w:sz w:val="16"/>
                <w:szCs w:val="16"/>
                <w:color w:val="0000FF"/>
              </w:rPr>
            </w:pPr>
            <w:hyperlink r:id="rId201">
              <w:r>
                <w:rPr>
                  <w:rFonts w:ascii="Arial" w:cs="Arial" w:eastAsia="Arial" w:hAnsi="Arial"/>
                  <w:sz w:val="16"/>
                  <w:szCs w:val="16"/>
                  <w:color w:val="0000FF"/>
                </w:rPr>
                <w:t>First Amendment to the Black Hills Corporation Nonqualified Deferred Compensation Plan as Amended and Restated effective January 1,</w:t>
              </w:r>
            </w:hyperlink>
          </w:p>
        </w:tc>
      </w:tr>
      <w:tr>
        <w:trPr>
          <w:trHeight w:val="142"/>
        </w:trPr>
        <w:tc>
          <w:tcPr>
            <w:tcW w:w="1320" w:type="dxa"/>
            <w:vAlign w:val="bottom"/>
          </w:tcPr>
          <w:p>
            <w:pPr>
              <w:spacing w:after="0"/>
              <w:rPr>
                <w:sz w:val="12"/>
                <w:szCs w:val="12"/>
                <w:color w:val="auto"/>
              </w:rPr>
            </w:pPr>
          </w:p>
        </w:tc>
        <w:tc>
          <w:tcPr>
            <w:tcW w:w="98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2011 (filed as Exhibit 10.5 to the Registrant’s Form 10-K for 2018).</w:t>
              </w:r>
            </w:hyperlink>
          </w:p>
        </w:tc>
        <w:tc>
          <w:tcPr>
            <w:tcW w:w="20" w:type="dxa"/>
            <w:vAlign w:val="bottom"/>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10.5†</w:t>
            </w:r>
          </w:p>
        </w:tc>
        <w:tc>
          <w:tcPr>
            <w:tcW w:w="9900" w:type="dxa"/>
            <w:vAlign w:val="bottom"/>
            <w:gridSpan w:val="36"/>
            <w:shd w:val="clear" w:color="auto" w:fill="CEFEE7"/>
          </w:tcPr>
          <w:p>
            <w:pPr>
              <w:spacing w:after="0" w:line="175" w:lineRule="exact"/>
              <w:rPr>
                <w:rFonts w:ascii="Arial" w:cs="Arial" w:eastAsia="Arial" w:hAnsi="Arial"/>
                <w:sz w:val="16"/>
                <w:szCs w:val="16"/>
                <w:color w:val="0000FF"/>
              </w:rPr>
            </w:pPr>
            <w:hyperlink r:id="rId202">
              <w:r>
                <w:rPr>
                  <w:rFonts w:ascii="Arial" w:cs="Arial" w:eastAsia="Arial" w:hAnsi="Arial"/>
                  <w:sz w:val="16"/>
                  <w:szCs w:val="16"/>
                  <w:color w:val="0000FF"/>
                </w:rPr>
                <w:t>Black Hills Corporation Post-2018 Nonqualified Deferred Compensation Plan (filed as Exhibit 10.6 to the Registrant’s Form 10-K for</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700" w:type="dxa"/>
            <w:vAlign w:val="bottom"/>
            <w:tcBorders>
              <w:top w:val="single" w:sz="8" w:color="0000FF"/>
            </w:tcBorders>
            <w:gridSpan w:val="2"/>
            <w:shd w:val="clear" w:color="auto" w:fill="CEFEE7"/>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2018).</w:t>
              </w:r>
            </w:hyperlink>
          </w:p>
        </w:tc>
        <w:tc>
          <w:tcPr>
            <w:tcW w:w="400" w:type="dxa"/>
            <w:vAlign w:val="bottom"/>
            <w:tcBorders>
              <w:top w:val="single" w:sz="8" w:color="0000FF"/>
            </w:tcBorders>
            <w:shd w:val="clear" w:color="auto" w:fill="CEFEE7"/>
          </w:tcPr>
          <w:p>
            <w:pPr>
              <w:spacing w:after="0"/>
              <w:rPr>
                <w:sz w:val="12"/>
                <w:szCs w:val="12"/>
                <w:color w:val="auto"/>
              </w:rPr>
            </w:pPr>
          </w:p>
        </w:tc>
        <w:tc>
          <w:tcPr>
            <w:tcW w:w="1220" w:type="dxa"/>
            <w:vAlign w:val="bottom"/>
            <w:tcBorders>
              <w:top w:val="single" w:sz="8" w:color="0000FF"/>
            </w:tcBorders>
            <w:shd w:val="clear" w:color="auto" w:fill="CEFEE7"/>
          </w:tcPr>
          <w:p>
            <w:pPr>
              <w:spacing w:after="0"/>
              <w:rPr>
                <w:sz w:val="12"/>
                <w:szCs w:val="12"/>
                <w:color w:val="auto"/>
              </w:rPr>
            </w:pPr>
          </w:p>
        </w:tc>
        <w:tc>
          <w:tcPr>
            <w:tcW w:w="80" w:type="dxa"/>
            <w:vAlign w:val="bottom"/>
            <w:tcBorders>
              <w:top w:val="single" w:sz="8" w:color="0000FF"/>
            </w:tcBorders>
            <w:shd w:val="clear" w:color="auto" w:fill="CEFEE7"/>
          </w:tcPr>
          <w:p>
            <w:pPr>
              <w:spacing w:after="0"/>
              <w:rPr>
                <w:sz w:val="12"/>
                <w:szCs w:val="12"/>
                <w:color w:val="auto"/>
              </w:rPr>
            </w:pPr>
          </w:p>
        </w:tc>
        <w:tc>
          <w:tcPr>
            <w:tcW w:w="160" w:type="dxa"/>
            <w:vAlign w:val="bottom"/>
            <w:tcBorders>
              <w:top w:val="single" w:sz="8" w:color="0000FF"/>
            </w:tcBorders>
            <w:shd w:val="clear" w:color="auto" w:fill="CEFEE7"/>
          </w:tcPr>
          <w:p>
            <w:pPr>
              <w:spacing w:after="0"/>
              <w:rPr>
                <w:sz w:val="12"/>
                <w:szCs w:val="12"/>
                <w:color w:val="auto"/>
              </w:rPr>
            </w:pPr>
          </w:p>
        </w:tc>
        <w:tc>
          <w:tcPr>
            <w:tcW w:w="660" w:type="dxa"/>
            <w:vAlign w:val="bottom"/>
            <w:tcBorders>
              <w:top w:val="single" w:sz="8" w:color="0000FF"/>
            </w:tcBorders>
            <w:shd w:val="clear" w:color="auto" w:fill="CEFEE7"/>
          </w:tcPr>
          <w:p>
            <w:pPr>
              <w:spacing w:after="0"/>
              <w:rPr>
                <w:sz w:val="12"/>
                <w:szCs w:val="12"/>
                <w:color w:val="auto"/>
              </w:rPr>
            </w:pPr>
          </w:p>
        </w:tc>
        <w:tc>
          <w:tcPr>
            <w:tcW w:w="24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300" w:type="dxa"/>
            <w:vAlign w:val="bottom"/>
            <w:tcBorders>
              <w:top w:val="single" w:sz="8" w:color="0000FF"/>
            </w:tcBorders>
            <w:shd w:val="clear" w:color="auto" w:fill="CEFEE7"/>
          </w:tcPr>
          <w:p>
            <w:pPr>
              <w:spacing w:after="0"/>
              <w:rPr>
                <w:sz w:val="12"/>
                <w:szCs w:val="12"/>
                <w:color w:val="auto"/>
              </w:rPr>
            </w:pPr>
          </w:p>
        </w:tc>
        <w:tc>
          <w:tcPr>
            <w:tcW w:w="980" w:type="dxa"/>
            <w:vAlign w:val="bottom"/>
            <w:tcBorders>
              <w:top w:val="single" w:sz="8" w:color="0000FF"/>
            </w:tcBorders>
            <w:shd w:val="clear" w:color="auto" w:fill="CEFEE7"/>
          </w:tcPr>
          <w:p>
            <w:pPr>
              <w:spacing w:after="0"/>
              <w:rPr>
                <w:sz w:val="12"/>
                <w:szCs w:val="12"/>
                <w:color w:val="auto"/>
              </w:rPr>
            </w:pPr>
          </w:p>
        </w:tc>
        <w:tc>
          <w:tcPr>
            <w:tcW w:w="40" w:type="dxa"/>
            <w:vAlign w:val="bottom"/>
            <w:tcBorders>
              <w:top w:val="single" w:sz="8" w:color="0000FF"/>
            </w:tcBorders>
            <w:shd w:val="clear" w:color="auto" w:fill="CEFEE7"/>
          </w:tcPr>
          <w:p>
            <w:pPr>
              <w:spacing w:after="0"/>
              <w:rPr>
                <w:sz w:val="12"/>
                <w:szCs w:val="12"/>
                <w:color w:val="auto"/>
              </w:rPr>
            </w:pPr>
          </w:p>
        </w:tc>
        <w:tc>
          <w:tcPr>
            <w:tcW w:w="120" w:type="dxa"/>
            <w:vAlign w:val="bottom"/>
            <w:tcBorders>
              <w:top w:val="single" w:sz="8" w:color="0000FF"/>
            </w:tcBorders>
            <w:shd w:val="clear" w:color="auto" w:fill="CEFEE7"/>
          </w:tcPr>
          <w:p>
            <w:pPr>
              <w:spacing w:after="0"/>
              <w:rPr>
                <w:sz w:val="12"/>
                <w:szCs w:val="12"/>
                <w:color w:val="auto"/>
              </w:rPr>
            </w:pPr>
          </w:p>
        </w:tc>
        <w:tc>
          <w:tcPr>
            <w:tcW w:w="2460" w:type="dxa"/>
            <w:vAlign w:val="bottom"/>
            <w:tcBorders>
              <w:top w:val="single" w:sz="8" w:color="0000FF"/>
            </w:tcBorders>
            <w:shd w:val="clear" w:color="auto" w:fill="CEFEE7"/>
          </w:tcPr>
          <w:p>
            <w:pPr>
              <w:spacing w:after="0"/>
              <w:rPr>
                <w:sz w:val="12"/>
                <w:szCs w:val="12"/>
                <w:color w:val="auto"/>
              </w:rPr>
            </w:pPr>
          </w:p>
        </w:tc>
        <w:tc>
          <w:tcPr>
            <w:tcW w:w="1840" w:type="dxa"/>
            <w:vAlign w:val="bottom"/>
            <w:tcBorders>
              <w:top w:val="single" w:sz="8" w:color="0000FF"/>
            </w:tcBorders>
            <w:shd w:val="clear" w:color="auto" w:fill="CEFEE7"/>
          </w:tcPr>
          <w:p>
            <w:pPr>
              <w:spacing w:after="0"/>
              <w:rPr>
                <w:sz w:val="12"/>
                <w:szCs w:val="12"/>
                <w:color w:val="auto"/>
              </w:rPr>
            </w:pPr>
          </w:p>
        </w:tc>
        <w:tc>
          <w:tcPr>
            <w:tcW w:w="80" w:type="dxa"/>
            <w:vAlign w:val="bottom"/>
            <w:tcBorders>
              <w:top w:val="single" w:sz="8" w:color="0000FF"/>
            </w:tcBorders>
            <w:shd w:val="clear" w:color="auto" w:fill="CEFEE7"/>
          </w:tcPr>
          <w:p>
            <w:pPr>
              <w:spacing w:after="0"/>
              <w:rPr>
                <w:sz w:val="12"/>
                <w:szCs w:val="12"/>
                <w:color w:val="auto"/>
              </w:rPr>
            </w:pPr>
          </w:p>
        </w:tc>
        <w:tc>
          <w:tcPr>
            <w:tcW w:w="80" w:type="dxa"/>
            <w:vAlign w:val="bottom"/>
            <w:tcBorders>
              <w:top w:val="single" w:sz="8" w:color="0000FF"/>
            </w:tcBorders>
            <w:shd w:val="clear" w:color="auto" w:fill="CEFEE7"/>
          </w:tcPr>
          <w:p>
            <w:pPr>
              <w:spacing w:after="0"/>
              <w:rPr>
                <w:sz w:val="12"/>
                <w:szCs w:val="12"/>
                <w:color w:val="auto"/>
              </w:rPr>
            </w:pPr>
          </w:p>
        </w:tc>
        <w:tc>
          <w:tcPr>
            <w:tcW w:w="20" w:type="dxa"/>
            <w:vAlign w:val="bottom"/>
            <w:tcBorders>
              <w:top w:val="single" w:sz="8" w:color="0000FF"/>
            </w:tcBorders>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r>
      <w:tr>
        <w:trPr>
          <w:trHeight w:val="21"/>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12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60" w:type="dxa"/>
            <w:vAlign w:val="bottom"/>
            <w:tcBorders>
              <w:top w:val="single" w:sz="8" w:color="CEFEE7"/>
            </w:tcBorders>
            <w:shd w:val="clear" w:color="auto" w:fill="CEFEE7"/>
          </w:tcPr>
          <w:p>
            <w:pPr>
              <w:spacing w:after="0" w:line="20" w:lineRule="exact"/>
              <w:rPr>
                <w:sz w:val="1"/>
                <w:szCs w:val="1"/>
                <w:color w:val="auto"/>
              </w:rPr>
            </w:pPr>
          </w:p>
        </w:tc>
        <w:tc>
          <w:tcPr>
            <w:tcW w:w="66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9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460" w:type="dxa"/>
            <w:vAlign w:val="bottom"/>
            <w:tcBorders>
              <w:top w:val="single" w:sz="8" w:color="CEFEE7"/>
            </w:tcBorders>
            <w:shd w:val="clear" w:color="auto" w:fill="CEFEE7"/>
          </w:tcPr>
          <w:p>
            <w:pPr>
              <w:spacing w:after="0" w:line="20" w:lineRule="exact"/>
              <w:rPr>
                <w:sz w:val="1"/>
                <w:szCs w:val="1"/>
                <w:color w:val="auto"/>
              </w:rPr>
            </w:pPr>
          </w:p>
        </w:tc>
        <w:tc>
          <w:tcPr>
            <w:tcW w:w="184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r>
      <w:tr>
        <w:trPr>
          <w:trHeight w:val="176"/>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10.6†</w:t>
            </w:r>
          </w:p>
        </w:tc>
        <w:tc>
          <w:tcPr>
            <w:tcW w:w="9900" w:type="dxa"/>
            <w:vAlign w:val="bottom"/>
            <w:gridSpan w:val="36"/>
          </w:tcPr>
          <w:p>
            <w:pPr>
              <w:spacing w:after="0" w:line="175" w:lineRule="exact"/>
              <w:rPr>
                <w:rFonts w:ascii="Arial" w:cs="Arial" w:eastAsia="Arial" w:hAnsi="Arial"/>
                <w:sz w:val="16"/>
                <w:szCs w:val="16"/>
                <w:color w:val="0000FF"/>
              </w:rPr>
            </w:pPr>
            <w:hyperlink r:id="rId203">
              <w:r>
                <w:rPr>
                  <w:rFonts w:ascii="Arial" w:cs="Arial" w:eastAsia="Arial" w:hAnsi="Arial"/>
                  <w:sz w:val="16"/>
                  <w:szCs w:val="16"/>
                  <w:color w:val="0000FF"/>
                </w:rPr>
                <w:t>Black Hills Corporation 2005 Omnibus Incentive Plan (”Omnibus Plan”) (filed as Appendix A to the Registrant’s Proxy Statement filed</w:t>
              </w:r>
            </w:hyperlink>
          </w:p>
        </w:tc>
      </w:tr>
      <w:tr>
        <w:trPr>
          <w:trHeight w:val="142"/>
        </w:trPr>
        <w:tc>
          <w:tcPr>
            <w:tcW w:w="1320" w:type="dxa"/>
            <w:vAlign w:val="bottom"/>
          </w:tcPr>
          <w:p>
            <w:pPr>
              <w:spacing w:after="0"/>
              <w:rPr>
                <w:sz w:val="12"/>
                <w:szCs w:val="12"/>
                <w:color w:val="auto"/>
              </w:rPr>
            </w:pPr>
          </w:p>
        </w:tc>
        <w:tc>
          <w:tcPr>
            <w:tcW w:w="95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April 13, 2005).</w:t>
              </w:r>
            </w:hyperlink>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10.6.1†</w:t>
            </w:r>
          </w:p>
        </w:tc>
        <w:tc>
          <w:tcPr>
            <w:tcW w:w="9900" w:type="dxa"/>
            <w:vAlign w:val="bottom"/>
            <w:gridSpan w:val="36"/>
            <w:shd w:val="clear" w:color="auto" w:fill="CEFEE7"/>
          </w:tcPr>
          <w:p>
            <w:pPr>
              <w:spacing w:after="0"/>
              <w:rPr>
                <w:rFonts w:ascii="Arial" w:cs="Arial" w:eastAsia="Arial" w:hAnsi="Arial"/>
                <w:sz w:val="16"/>
                <w:szCs w:val="16"/>
                <w:color w:val="0000FF"/>
              </w:rPr>
            </w:pPr>
            <w:hyperlink r:id="rId204">
              <w:r>
                <w:rPr>
                  <w:rFonts w:ascii="Arial" w:cs="Arial" w:eastAsia="Arial" w:hAnsi="Arial"/>
                  <w:sz w:val="16"/>
                  <w:szCs w:val="16"/>
                  <w:u w:val="single" w:color="auto"/>
                  <w:color w:val="0000FF"/>
                </w:rPr>
                <w:t>First Amendment to the Omnibus Plan (filed as Exhibit 10.11 to the Registrant’s Form 10-K for 2008)</w:t>
              </w:r>
              <w:r>
                <w:rPr>
                  <w:rFonts w:ascii="Arial" w:cs="Arial" w:eastAsia="Arial" w:hAnsi="Arial"/>
                  <w:sz w:val="16"/>
                  <w:szCs w:val="16"/>
                  <w:color w:val="0000FF"/>
                </w:rPr>
                <w:t>.</w:t>
              </w:r>
            </w:hyperlink>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10.6.2†</w:t>
            </w:r>
          </w:p>
        </w:tc>
        <w:tc>
          <w:tcPr>
            <w:tcW w:w="9900" w:type="dxa"/>
            <w:vAlign w:val="bottom"/>
            <w:gridSpan w:val="36"/>
          </w:tcPr>
          <w:p>
            <w:pPr>
              <w:spacing w:after="0"/>
              <w:rPr>
                <w:rFonts w:ascii="Arial" w:cs="Arial" w:eastAsia="Arial" w:hAnsi="Arial"/>
                <w:sz w:val="16"/>
                <w:szCs w:val="16"/>
                <w:u w:val="single" w:color="auto"/>
                <w:color w:val="0000FF"/>
              </w:rPr>
            </w:pPr>
            <w:hyperlink r:id="rId205">
              <w:r>
                <w:rPr>
                  <w:rFonts w:ascii="Arial" w:cs="Arial" w:eastAsia="Arial" w:hAnsi="Arial"/>
                  <w:sz w:val="16"/>
                  <w:szCs w:val="16"/>
                  <w:u w:val="single" w:color="auto"/>
                  <w:color w:val="0000FF"/>
                </w:rPr>
                <w:t>Second Amendment to the Omnibus Plan (filed as Exhibit 10 to the Registrant’s Form 8-K filed on May 26, 2010).</w:t>
              </w:r>
            </w:hyperlink>
          </w:p>
        </w:tc>
      </w:tr>
      <w:tr>
        <w:trPr>
          <w:trHeight w:val="219"/>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10.7*†</w:t>
            </w:r>
          </w:p>
        </w:tc>
        <w:tc>
          <w:tcPr>
            <w:tcW w:w="9900" w:type="dxa"/>
            <w:vAlign w:val="bottom"/>
            <w:gridSpan w:val="36"/>
            <w:shd w:val="clear" w:color="auto" w:fill="CEFEE7"/>
          </w:tcPr>
          <w:p>
            <w:pPr>
              <w:spacing w:after="0"/>
              <w:rPr>
                <w:rFonts w:ascii="Arial" w:cs="Arial" w:eastAsia="Arial" w:hAnsi="Arial"/>
                <w:sz w:val="16"/>
                <w:szCs w:val="16"/>
                <w:color w:val="0000FF"/>
              </w:rPr>
            </w:pPr>
            <w:hyperlink w:anchor="page132">
              <w:r>
                <w:rPr>
                  <w:rFonts w:ascii="Arial" w:cs="Arial" w:eastAsia="Arial" w:hAnsi="Arial"/>
                  <w:sz w:val="16"/>
                  <w:szCs w:val="16"/>
                  <w:u w:val="single" w:color="auto"/>
                  <w:color w:val="0000FF"/>
                </w:rPr>
                <w:t>Black Hills Corporation Amended and Restated 2015 Omnibus Incentive Plan effective January 26, 2021</w:t>
              </w:r>
              <w:r>
                <w:rPr>
                  <w:rFonts w:ascii="Arial" w:cs="Arial" w:eastAsia="Arial" w:hAnsi="Arial"/>
                  <w:sz w:val="16"/>
                  <w:szCs w:val="16"/>
                  <w:color w:val="0000FF"/>
                </w:rPr>
                <w:t>.</w:t>
              </w:r>
            </w:hyperlink>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10.8†</w:t>
            </w:r>
          </w:p>
        </w:tc>
        <w:tc>
          <w:tcPr>
            <w:tcW w:w="9900" w:type="dxa"/>
            <w:vAlign w:val="bottom"/>
            <w:gridSpan w:val="36"/>
          </w:tcPr>
          <w:p>
            <w:pPr>
              <w:spacing w:after="0" w:line="175" w:lineRule="exact"/>
              <w:rPr>
                <w:rFonts w:ascii="Arial" w:cs="Arial" w:eastAsia="Arial" w:hAnsi="Arial"/>
                <w:sz w:val="16"/>
                <w:szCs w:val="16"/>
                <w:color w:val="0000FF"/>
              </w:rPr>
            </w:pPr>
            <w:hyperlink r:id="rId206">
              <w:r>
                <w:rPr>
                  <w:rFonts w:ascii="Arial" w:cs="Arial" w:eastAsia="Arial" w:hAnsi="Arial"/>
                  <w:sz w:val="16"/>
                  <w:szCs w:val="16"/>
                  <w:color w:val="0000FF"/>
                </w:rPr>
                <w:t>Form of Stock Option Agreement for Omnibus Plan effective for awards granted on or after January 1, 2014 (filed as Exhibit 10.7 to the</w:t>
              </w:r>
            </w:hyperlink>
          </w:p>
        </w:tc>
      </w:tr>
      <w:tr>
        <w:trPr>
          <w:trHeight w:val="142"/>
        </w:trPr>
        <w:tc>
          <w:tcPr>
            <w:tcW w:w="1320" w:type="dxa"/>
            <w:vAlign w:val="bottom"/>
          </w:tcPr>
          <w:p>
            <w:pPr>
              <w:spacing w:after="0"/>
              <w:rPr>
                <w:sz w:val="12"/>
                <w:szCs w:val="12"/>
                <w:color w:val="auto"/>
              </w:rPr>
            </w:pPr>
          </w:p>
        </w:tc>
        <w:tc>
          <w:tcPr>
            <w:tcW w:w="96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Registrant’s Form 10-K for 2013).</w:t>
              </w:r>
            </w:hyperlink>
          </w:p>
        </w:tc>
        <w:tc>
          <w:tcPr>
            <w:tcW w:w="14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10.9†</w:t>
            </w:r>
          </w:p>
        </w:tc>
        <w:tc>
          <w:tcPr>
            <w:tcW w:w="9900" w:type="dxa"/>
            <w:vAlign w:val="bottom"/>
            <w:gridSpan w:val="36"/>
            <w:shd w:val="clear" w:color="auto" w:fill="CEFEE7"/>
          </w:tcPr>
          <w:p>
            <w:pPr>
              <w:spacing w:after="0" w:line="175" w:lineRule="exact"/>
              <w:rPr>
                <w:rFonts w:ascii="Arial" w:cs="Arial" w:eastAsia="Arial" w:hAnsi="Arial"/>
                <w:sz w:val="16"/>
                <w:szCs w:val="16"/>
                <w:color w:val="0000FF"/>
              </w:rPr>
            </w:pPr>
            <w:hyperlink r:id="rId207">
              <w:r>
                <w:rPr>
                  <w:rFonts w:ascii="Arial" w:cs="Arial" w:eastAsia="Arial" w:hAnsi="Arial"/>
                  <w:sz w:val="16"/>
                  <w:szCs w:val="16"/>
                  <w:color w:val="0000FF"/>
                </w:rPr>
                <w:t>Form of Stock Option Agreement effective for awards granted on or after April 28, 2015 (filed as Exhibit 10.8 to Registrant’s Form 10-K</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660" w:type="dxa"/>
            <w:vAlign w:val="bottom"/>
            <w:tcBorders>
              <w:top w:val="single" w:sz="8" w:color="0000FF"/>
            </w:tcBorders>
            <w:gridSpan w:val="25"/>
            <w:shd w:val="clear" w:color="auto" w:fill="CEFEE7"/>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for 2015).</w:t>
              </w:r>
            </w:hyperlink>
          </w:p>
        </w:tc>
        <w:tc>
          <w:tcPr>
            <w:tcW w:w="160" w:type="dxa"/>
            <w:vAlign w:val="bottom"/>
            <w:tcBorders>
              <w:top w:val="single" w:sz="8" w:color="CEFEE7"/>
            </w:tcBorders>
            <w:gridSpan w:val="7"/>
            <w:shd w:val="clear" w:color="auto" w:fill="CEFEE7"/>
          </w:tcPr>
          <w:p>
            <w:pPr>
              <w:spacing w:after="0"/>
              <w:rPr>
                <w:sz w:val="12"/>
                <w:szCs w:val="12"/>
                <w:color w:val="auto"/>
              </w:rPr>
            </w:pPr>
          </w:p>
        </w:tc>
        <w:tc>
          <w:tcPr>
            <w:tcW w:w="80" w:type="dxa"/>
            <w:vAlign w:val="bottom"/>
            <w:tcBorders>
              <w:top w:val="single" w:sz="8" w:color="CEFEE7"/>
            </w:tcBorders>
            <w:gridSpan w:val="4"/>
            <w:shd w:val="clear" w:color="auto" w:fill="CEFEE7"/>
          </w:tcPr>
          <w:p>
            <w:pPr>
              <w:spacing w:after="0"/>
              <w:rPr>
                <w:sz w:val="12"/>
                <w:szCs w:val="12"/>
                <w:color w:val="auto"/>
              </w:rPr>
            </w:pPr>
          </w:p>
        </w:tc>
      </w:tr>
      <w:tr>
        <w:trPr>
          <w:trHeight w:val="20"/>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0000FF"/>
            </w:tcBorders>
            <w:shd w:val="clear" w:color="auto" w:fill="CEFEE7"/>
          </w:tcPr>
          <w:p>
            <w:pPr>
              <w:spacing w:after="0" w:line="20" w:lineRule="exact"/>
              <w:rPr>
                <w:sz w:val="1"/>
                <w:szCs w:val="1"/>
                <w:color w:val="auto"/>
              </w:rPr>
            </w:pPr>
          </w:p>
        </w:tc>
        <w:tc>
          <w:tcPr>
            <w:tcW w:w="240" w:type="dxa"/>
            <w:vAlign w:val="bottom"/>
            <w:tcBorders>
              <w:top w:val="single" w:sz="8" w:color="0000FF"/>
            </w:tcBorders>
            <w:shd w:val="clear" w:color="auto" w:fill="CEFEE7"/>
          </w:tcPr>
          <w:p>
            <w:pPr>
              <w:spacing w:after="0" w:line="20" w:lineRule="exact"/>
              <w:rPr>
                <w:sz w:val="1"/>
                <w:szCs w:val="1"/>
                <w:color w:val="auto"/>
              </w:rPr>
            </w:pPr>
          </w:p>
        </w:tc>
        <w:tc>
          <w:tcPr>
            <w:tcW w:w="400" w:type="dxa"/>
            <w:vAlign w:val="bottom"/>
            <w:tcBorders>
              <w:top w:val="single" w:sz="8" w:color="CEFEE7"/>
            </w:tcBorders>
            <w:shd w:val="clear" w:color="auto" w:fill="CEFEE7"/>
          </w:tcPr>
          <w:p>
            <w:pPr>
              <w:spacing w:after="0" w:line="20" w:lineRule="exact"/>
              <w:rPr>
                <w:sz w:val="1"/>
                <w:szCs w:val="1"/>
                <w:color w:val="auto"/>
              </w:rPr>
            </w:pPr>
          </w:p>
        </w:tc>
        <w:tc>
          <w:tcPr>
            <w:tcW w:w="12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60" w:type="dxa"/>
            <w:vAlign w:val="bottom"/>
            <w:tcBorders>
              <w:top w:val="single" w:sz="8" w:color="CEFEE7"/>
            </w:tcBorders>
            <w:shd w:val="clear" w:color="auto" w:fill="CEFEE7"/>
          </w:tcPr>
          <w:p>
            <w:pPr>
              <w:spacing w:after="0" w:line="20" w:lineRule="exact"/>
              <w:rPr>
                <w:sz w:val="1"/>
                <w:szCs w:val="1"/>
                <w:color w:val="auto"/>
              </w:rPr>
            </w:pPr>
          </w:p>
        </w:tc>
        <w:tc>
          <w:tcPr>
            <w:tcW w:w="660" w:type="dxa"/>
            <w:vAlign w:val="bottom"/>
            <w:tcBorders>
              <w:top w:val="single" w:sz="8" w:color="CEFEE7"/>
            </w:tcBorders>
            <w:shd w:val="clear" w:color="auto" w:fill="CEFEE7"/>
          </w:tcPr>
          <w:p>
            <w:pPr>
              <w:spacing w:after="0" w:line="20" w:lineRule="exact"/>
              <w:rPr>
                <w:sz w:val="1"/>
                <w:szCs w:val="1"/>
                <w:color w:val="auto"/>
              </w:rPr>
            </w:pPr>
          </w:p>
        </w:tc>
        <w:tc>
          <w:tcPr>
            <w:tcW w:w="2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300" w:type="dxa"/>
            <w:vAlign w:val="bottom"/>
            <w:tcBorders>
              <w:top w:val="single" w:sz="8" w:color="CEFEE7"/>
            </w:tcBorders>
            <w:shd w:val="clear" w:color="auto" w:fill="CEFEE7"/>
          </w:tcPr>
          <w:p>
            <w:pPr>
              <w:spacing w:after="0" w:line="20" w:lineRule="exact"/>
              <w:rPr>
                <w:sz w:val="1"/>
                <w:szCs w:val="1"/>
                <w:color w:val="auto"/>
              </w:rPr>
            </w:pPr>
          </w:p>
        </w:tc>
        <w:tc>
          <w:tcPr>
            <w:tcW w:w="98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120" w:type="dxa"/>
            <w:vAlign w:val="bottom"/>
            <w:tcBorders>
              <w:top w:val="single" w:sz="8" w:color="CEFEE7"/>
            </w:tcBorders>
            <w:shd w:val="clear" w:color="auto" w:fill="CEFEE7"/>
          </w:tcPr>
          <w:p>
            <w:pPr>
              <w:spacing w:after="0" w:line="20" w:lineRule="exact"/>
              <w:rPr>
                <w:sz w:val="1"/>
                <w:szCs w:val="1"/>
                <w:color w:val="auto"/>
              </w:rPr>
            </w:pPr>
          </w:p>
        </w:tc>
        <w:tc>
          <w:tcPr>
            <w:tcW w:w="2460" w:type="dxa"/>
            <w:vAlign w:val="bottom"/>
            <w:tcBorders>
              <w:top w:val="single" w:sz="8" w:color="CEFEE7"/>
            </w:tcBorders>
            <w:shd w:val="clear" w:color="auto" w:fill="CEFEE7"/>
          </w:tcPr>
          <w:p>
            <w:pPr>
              <w:spacing w:after="0" w:line="20" w:lineRule="exact"/>
              <w:rPr>
                <w:sz w:val="1"/>
                <w:szCs w:val="1"/>
                <w:color w:val="auto"/>
              </w:rPr>
            </w:pPr>
          </w:p>
        </w:tc>
        <w:tc>
          <w:tcPr>
            <w:tcW w:w="184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10.10†</w:t>
            </w:r>
          </w:p>
        </w:tc>
        <w:tc>
          <w:tcPr>
            <w:tcW w:w="9900" w:type="dxa"/>
            <w:vAlign w:val="bottom"/>
            <w:gridSpan w:val="36"/>
          </w:tcPr>
          <w:p>
            <w:pPr>
              <w:spacing w:after="0" w:line="175" w:lineRule="exact"/>
              <w:rPr>
                <w:rFonts w:ascii="Arial" w:cs="Arial" w:eastAsia="Arial" w:hAnsi="Arial"/>
                <w:sz w:val="16"/>
                <w:szCs w:val="16"/>
                <w:color w:val="0000FF"/>
              </w:rPr>
            </w:pPr>
            <w:hyperlink r:id="rId208">
              <w:r>
                <w:rPr>
                  <w:rFonts w:ascii="Arial" w:cs="Arial" w:eastAsia="Arial" w:hAnsi="Arial"/>
                  <w:sz w:val="16"/>
                  <w:szCs w:val="16"/>
                  <w:color w:val="0000FF"/>
                </w:rPr>
                <w:t>Form of Restricted Stock Award Agreement for 2015 Omnibus Incentive Plan effective for awards granted on or after April 28, 2015 (filed</w:t>
              </w:r>
            </w:hyperlink>
          </w:p>
        </w:tc>
      </w:tr>
      <w:tr>
        <w:trPr>
          <w:trHeight w:val="142"/>
        </w:trPr>
        <w:tc>
          <w:tcPr>
            <w:tcW w:w="1320" w:type="dxa"/>
            <w:vAlign w:val="bottom"/>
          </w:tcPr>
          <w:p>
            <w:pPr>
              <w:spacing w:after="0"/>
              <w:rPr>
                <w:sz w:val="12"/>
                <w:szCs w:val="12"/>
                <w:color w:val="auto"/>
              </w:rPr>
            </w:pPr>
          </w:p>
        </w:tc>
        <w:tc>
          <w:tcPr>
            <w:tcW w:w="98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as Exhibit 10.10 to Registrant’s Form 10-K for 2015).</w:t>
              </w:r>
            </w:hyperlink>
          </w:p>
        </w:tc>
        <w:tc>
          <w:tcPr>
            <w:tcW w:w="80" w:type="dxa"/>
            <w:vAlign w:val="bottom"/>
            <w:gridSpan w:val="4"/>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10.11*†</w:t>
            </w:r>
          </w:p>
        </w:tc>
        <w:tc>
          <w:tcPr>
            <w:tcW w:w="9880" w:type="dxa"/>
            <w:vAlign w:val="bottom"/>
            <w:gridSpan w:val="32"/>
            <w:shd w:val="clear" w:color="auto" w:fill="CEFEE7"/>
          </w:tcPr>
          <w:p>
            <w:pPr>
              <w:spacing w:after="0"/>
              <w:rPr>
                <w:rFonts w:ascii="Arial" w:cs="Arial" w:eastAsia="Arial" w:hAnsi="Arial"/>
                <w:sz w:val="16"/>
                <w:szCs w:val="16"/>
                <w:u w:val="single" w:color="auto"/>
                <w:color w:val="0000FF"/>
              </w:rPr>
            </w:pPr>
            <w:hyperlink w:anchor="page150">
              <w:r>
                <w:rPr>
                  <w:rFonts w:ascii="Arial" w:cs="Arial" w:eastAsia="Arial" w:hAnsi="Arial"/>
                  <w:sz w:val="16"/>
                  <w:szCs w:val="16"/>
                  <w:u w:val="single" w:color="auto"/>
                  <w:color w:val="0000FF"/>
                </w:rPr>
                <w:t>Form of Restricted Stock Award Agreement for 2015 Omnibus Incentive Plan effective for awards granted on or after January 26, 2021.</w:t>
              </w:r>
            </w:hyperlink>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10.12†</w:t>
            </w:r>
          </w:p>
        </w:tc>
        <w:tc>
          <w:tcPr>
            <w:tcW w:w="9880" w:type="dxa"/>
            <w:vAlign w:val="bottom"/>
            <w:gridSpan w:val="32"/>
          </w:tcPr>
          <w:p>
            <w:pPr>
              <w:spacing w:after="0" w:line="175" w:lineRule="exact"/>
              <w:rPr>
                <w:rFonts w:ascii="Arial" w:cs="Arial" w:eastAsia="Arial" w:hAnsi="Arial"/>
                <w:sz w:val="16"/>
                <w:szCs w:val="16"/>
                <w:color w:val="0000FF"/>
              </w:rPr>
            </w:pPr>
            <w:hyperlink r:id="rId210">
              <w:r>
                <w:rPr>
                  <w:rFonts w:ascii="Arial" w:cs="Arial" w:eastAsia="Arial" w:hAnsi="Arial"/>
                  <w:sz w:val="16"/>
                  <w:szCs w:val="16"/>
                  <w:color w:val="0000FF"/>
                </w:rPr>
                <w:t>Form of Restricted Stock Unit Award Agreement for 2015 Omnibus Plan effective for awards granted on or after April 28, 2015 (filed as</w:t>
              </w:r>
            </w:hyperlink>
          </w:p>
        </w:tc>
      </w:tr>
      <w:tr>
        <w:trPr>
          <w:trHeight w:val="142"/>
        </w:trPr>
        <w:tc>
          <w:tcPr>
            <w:tcW w:w="1320" w:type="dxa"/>
            <w:vAlign w:val="bottom"/>
          </w:tcPr>
          <w:p>
            <w:pPr>
              <w:spacing w:after="0"/>
              <w:rPr>
                <w:sz w:val="12"/>
                <w:szCs w:val="12"/>
                <w:color w:val="auto"/>
              </w:rPr>
            </w:pPr>
          </w:p>
        </w:tc>
        <w:tc>
          <w:tcPr>
            <w:tcW w:w="96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Exhibit 10.12 to the Registrant’s Form 10-K for 2015).</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10.13†</w:t>
            </w:r>
          </w:p>
        </w:tc>
        <w:tc>
          <w:tcPr>
            <w:tcW w:w="9880" w:type="dxa"/>
            <w:vAlign w:val="bottom"/>
            <w:gridSpan w:val="32"/>
            <w:shd w:val="clear" w:color="auto" w:fill="CEFEE7"/>
          </w:tcPr>
          <w:p>
            <w:pPr>
              <w:spacing w:after="0" w:line="175" w:lineRule="exact"/>
              <w:rPr>
                <w:rFonts w:ascii="Arial" w:cs="Arial" w:eastAsia="Arial" w:hAnsi="Arial"/>
                <w:sz w:val="16"/>
                <w:szCs w:val="16"/>
                <w:color w:val="0000FF"/>
              </w:rPr>
            </w:pPr>
            <w:hyperlink r:id="rId211">
              <w:r>
                <w:rPr>
                  <w:rFonts w:ascii="Arial" w:cs="Arial" w:eastAsia="Arial" w:hAnsi="Arial"/>
                  <w:sz w:val="16"/>
                  <w:szCs w:val="16"/>
                  <w:color w:val="0000FF"/>
                </w:rPr>
                <w:t>Form of Performance Share Award Agreement effective for awards granted on or after January 1, 2016 (filed as Exhibit 10.6 to the</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360" w:type="dxa"/>
            <w:vAlign w:val="bottom"/>
            <w:tcBorders>
              <w:top w:val="single" w:sz="8" w:color="0000FF"/>
            </w:tcBorders>
            <w:gridSpan w:val="15"/>
            <w:shd w:val="clear" w:color="auto" w:fill="CEFEE7"/>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Registrant’s Form 10-Q for the quarterly period ended March 31, 2016).</w:t>
              </w:r>
            </w:hyperlink>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6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8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r>
      <w:tr>
        <w:trPr>
          <w:trHeight w:val="21"/>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2400" w:type="dxa"/>
            <w:vAlign w:val="bottom"/>
            <w:tcBorders>
              <w:top w:val="single" w:sz="8" w:color="0000FF"/>
            </w:tcBorders>
            <w:shd w:val="clear" w:color="auto" w:fill="CEFEE7"/>
          </w:tcPr>
          <w:p>
            <w:pPr>
              <w:spacing w:after="0" w:line="20" w:lineRule="exact"/>
              <w:rPr>
                <w:sz w:val="1"/>
                <w:szCs w:val="1"/>
                <w:color w:val="auto"/>
              </w:rPr>
            </w:pPr>
          </w:p>
        </w:tc>
        <w:tc>
          <w:tcPr>
            <w:tcW w:w="280" w:type="dxa"/>
            <w:vAlign w:val="bottom"/>
            <w:tcBorders>
              <w:top w:val="single" w:sz="8" w:color="0000FF"/>
            </w:tcBorders>
            <w:shd w:val="clear" w:color="auto" w:fill="CEFEE7"/>
          </w:tcPr>
          <w:p>
            <w:pPr>
              <w:spacing w:after="0" w:line="20" w:lineRule="exact"/>
              <w:rPr>
                <w:sz w:val="1"/>
                <w:szCs w:val="1"/>
                <w:color w:val="auto"/>
              </w:rPr>
            </w:pPr>
          </w:p>
        </w:tc>
        <w:tc>
          <w:tcPr>
            <w:tcW w:w="480" w:type="dxa"/>
            <w:vAlign w:val="bottom"/>
            <w:tcBorders>
              <w:top w:val="single" w:sz="8" w:color="0000FF"/>
            </w:tcBorders>
            <w:shd w:val="clear" w:color="auto" w:fill="CEFEE7"/>
          </w:tcPr>
          <w:p>
            <w:pPr>
              <w:spacing w:after="0" w:line="20" w:lineRule="exact"/>
              <w:rPr>
                <w:sz w:val="1"/>
                <w:szCs w:val="1"/>
                <w:color w:val="auto"/>
              </w:rPr>
            </w:pPr>
          </w:p>
        </w:tc>
        <w:tc>
          <w:tcPr>
            <w:tcW w:w="680" w:type="dxa"/>
            <w:vAlign w:val="bottom"/>
            <w:tcBorders>
              <w:top w:val="single" w:sz="8" w:color="0000FF"/>
            </w:tcBorders>
            <w:shd w:val="clear" w:color="auto" w:fill="CEFEE7"/>
          </w:tcPr>
          <w:p>
            <w:pPr>
              <w:spacing w:after="0" w:line="20" w:lineRule="exact"/>
              <w:rPr>
                <w:sz w:val="1"/>
                <w:szCs w:val="1"/>
                <w:color w:val="auto"/>
              </w:rPr>
            </w:pPr>
          </w:p>
        </w:tc>
        <w:tc>
          <w:tcPr>
            <w:tcW w:w="340" w:type="dxa"/>
            <w:vAlign w:val="bottom"/>
            <w:tcBorders>
              <w:top w:val="single" w:sz="8" w:color="0000FF"/>
            </w:tcBorders>
            <w:shd w:val="clear" w:color="auto" w:fill="CEFEE7"/>
          </w:tcPr>
          <w:p>
            <w:pPr>
              <w:spacing w:after="0" w:line="20" w:lineRule="exact"/>
              <w:rPr>
                <w:sz w:val="1"/>
                <w:szCs w:val="1"/>
                <w:color w:val="auto"/>
              </w:rPr>
            </w:pPr>
          </w:p>
        </w:tc>
        <w:tc>
          <w:tcPr>
            <w:tcW w:w="940" w:type="dxa"/>
            <w:vAlign w:val="bottom"/>
            <w:tcBorders>
              <w:top w:val="single" w:sz="8" w:color="0000FF"/>
            </w:tcBorders>
            <w:shd w:val="clear" w:color="auto" w:fill="CEFEE7"/>
          </w:tcPr>
          <w:p>
            <w:pPr>
              <w:spacing w:after="0" w:line="20" w:lineRule="exact"/>
              <w:rPr>
                <w:sz w:val="1"/>
                <w:szCs w:val="1"/>
                <w:color w:val="auto"/>
              </w:rPr>
            </w:pPr>
          </w:p>
        </w:tc>
        <w:tc>
          <w:tcPr>
            <w:tcW w:w="1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8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CEFEE7"/>
            </w:tcBorders>
            <w:shd w:val="clear" w:color="auto" w:fill="CEFEE7"/>
          </w:tcPr>
          <w:p>
            <w:pPr>
              <w:spacing w:after="0" w:line="20" w:lineRule="exact"/>
              <w:rPr>
                <w:sz w:val="1"/>
                <w:szCs w:val="1"/>
                <w:color w:val="auto"/>
              </w:rPr>
            </w:pPr>
          </w:p>
        </w:tc>
        <w:tc>
          <w:tcPr>
            <w:tcW w:w="800" w:type="dxa"/>
            <w:vAlign w:val="bottom"/>
            <w:tcBorders>
              <w:top w:val="single" w:sz="8" w:color="CEFEE7"/>
            </w:tcBorders>
            <w:shd w:val="clear" w:color="auto" w:fill="CEFEE7"/>
          </w:tcPr>
          <w:p>
            <w:pPr>
              <w:spacing w:after="0" w:line="20" w:lineRule="exact"/>
              <w:rPr>
                <w:sz w:val="1"/>
                <w:szCs w:val="1"/>
                <w:color w:val="auto"/>
              </w:rPr>
            </w:pPr>
          </w:p>
        </w:tc>
        <w:tc>
          <w:tcPr>
            <w:tcW w:w="2300" w:type="dxa"/>
            <w:vAlign w:val="bottom"/>
            <w:tcBorders>
              <w:top w:val="single" w:sz="8" w:color="CEFEE7"/>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10.14†</w:t>
            </w:r>
          </w:p>
        </w:tc>
        <w:tc>
          <w:tcPr>
            <w:tcW w:w="9880" w:type="dxa"/>
            <w:vAlign w:val="bottom"/>
            <w:gridSpan w:val="32"/>
          </w:tcPr>
          <w:p>
            <w:pPr>
              <w:spacing w:after="0" w:line="175" w:lineRule="exact"/>
              <w:rPr>
                <w:rFonts w:ascii="Arial" w:cs="Arial" w:eastAsia="Arial" w:hAnsi="Arial"/>
                <w:sz w:val="16"/>
                <w:szCs w:val="16"/>
                <w:color w:val="0000FF"/>
              </w:rPr>
            </w:pPr>
            <w:hyperlink r:id="rId212">
              <w:r>
                <w:rPr>
                  <w:rFonts w:ascii="Arial" w:cs="Arial" w:eastAsia="Arial" w:hAnsi="Arial"/>
                  <w:sz w:val="16"/>
                  <w:szCs w:val="16"/>
                  <w:color w:val="0000FF"/>
                </w:rPr>
                <w:t>Form of Performance Share Award Agreement effective for awards granted on or after January 1, 2017 (filed as Exhibit 10.12 to the</w:t>
              </w:r>
            </w:hyperlink>
          </w:p>
        </w:tc>
      </w:tr>
      <w:tr>
        <w:trPr>
          <w:trHeight w:val="142"/>
        </w:trPr>
        <w:tc>
          <w:tcPr>
            <w:tcW w:w="1320" w:type="dxa"/>
            <w:vAlign w:val="bottom"/>
          </w:tcPr>
          <w:p>
            <w:pPr>
              <w:spacing w:after="0"/>
              <w:rPr>
                <w:sz w:val="12"/>
                <w:szCs w:val="12"/>
                <w:color w:val="auto"/>
              </w:rPr>
            </w:pPr>
          </w:p>
        </w:tc>
        <w:tc>
          <w:tcPr>
            <w:tcW w:w="94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Registrant's Form 10-K for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10.15†</w:t>
            </w:r>
          </w:p>
        </w:tc>
        <w:tc>
          <w:tcPr>
            <w:tcW w:w="9880" w:type="dxa"/>
            <w:vAlign w:val="bottom"/>
            <w:gridSpan w:val="32"/>
            <w:shd w:val="clear" w:color="auto" w:fill="CEFEE7"/>
          </w:tcPr>
          <w:p>
            <w:pPr>
              <w:spacing w:after="0" w:line="175" w:lineRule="exact"/>
              <w:rPr>
                <w:rFonts w:ascii="Arial" w:cs="Arial" w:eastAsia="Arial" w:hAnsi="Arial"/>
                <w:sz w:val="16"/>
                <w:szCs w:val="16"/>
                <w:color w:val="0000FF"/>
              </w:rPr>
            </w:pPr>
            <w:hyperlink r:id="rId213">
              <w:r>
                <w:rPr>
                  <w:rFonts w:ascii="Arial" w:cs="Arial" w:eastAsia="Arial" w:hAnsi="Arial"/>
                  <w:sz w:val="16"/>
                  <w:szCs w:val="16"/>
                  <w:color w:val="0000FF"/>
                </w:rPr>
                <w:t>Form of Short-term Incentive Plan for Officers Award Agreement effective for awards granted on or after January 1, 2016 (filed as Exhibit</w:t>
              </w:r>
            </w:hyperlink>
          </w:p>
        </w:tc>
      </w:tr>
      <w:tr>
        <w:trPr>
          <w:trHeight w:val="163"/>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5940" w:type="dxa"/>
            <w:vAlign w:val="bottom"/>
            <w:tcBorders>
              <w:top w:val="single" w:sz="8" w:color="0000FF"/>
              <w:bottom w:val="single" w:sz="8" w:color="0000FF"/>
            </w:tcBorders>
            <w:gridSpan w:val="10"/>
            <w:shd w:val="clear" w:color="auto" w:fill="CEFEE7"/>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10.</w:t>
              </w:r>
              <w:r>
                <w:rPr>
                  <w:rFonts w:ascii="Arial" w:cs="Arial" w:eastAsia="Arial" w:hAnsi="Arial"/>
                  <w:sz w:val="16"/>
                  <w:szCs w:val="16"/>
                  <w:u w:val="single" w:color="auto"/>
                  <w:color w:val="0000FF"/>
                </w:rPr>
                <w:t>7</w:t>
              </w:r>
              <w:r>
                <w:rPr>
                  <w:rFonts w:ascii="Arial" w:cs="Arial" w:eastAsia="Arial" w:hAnsi="Arial"/>
                  <w:sz w:val="16"/>
                  <w:szCs w:val="16"/>
                  <w:color w:val="0000FF"/>
                </w:rPr>
                <w:t xml:space="preserve"> to the Registrant’s Form 10-Q for the quarterly period ended March 31, 2016).</w:t>
              </w:r>
            </w:hyperlink>
          </w:p>
        </w:tc>
        <w:tc>
          <w:tcPr>
            <w:tcW w:w="3840" w:type="dxa"/>
            <w:vAlign w:val="bottom"/>
            <w:tcBorders>
              <w:top w:val="single" w:sz="8" w:color="0000FF"/>
              <w:bottom w:val="single" w:sz="8" w:color="CEFEE7"/>
            </w:tcBorders>
            <w:gridSpan w:val="20"/>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80" w:type="dxa"/>
            <w:vAlign w:val="bottom"/>
            <w:tcBorders>
              <w:top w:val="single" w:sz="8" w:color="CEFEE7"/>
              <w:bottom w:val="single" w:sz="8" w:color="CEFEE7"/>
            </w:tcBorders>
            <w:shd w:val="clear" w:color="auto" w:fill="CEFEE7"/>
          </w:tcPr>
          <w:p>
            <w:pPr>
              <w:spacing w:after="0"/>
              <w:rPr>
                <w:sz w:val="14"/>
                <w:szCs w:val="14"/>
                <w:color w:val="auto"/>
              </w:rPr>
            </w:pPr>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10.16*†</w:t>
            </w:r>
          </w:p>
        </w:tc>
        <w:tc>
          <w:tcPr>
            <w:tcW w:w="9880" w:type="dxa"/>
            <w:vAlign w:val="bottom"/>
            <w:gridSpan w:val="32"/>
          </w:tcPr>
          <w:p>
            <w:pPr>
              <w:spacing w:after="0"/>
              <w:rPr>
                <w:rFonts w:ascii="Arial" w:cs="Arial" w:eastAsia="Arial" w:hAnsi="Arial"/>
                <w:sz w:val="16"/>
                <w:szCs w:val="16"/>
                <w:u w:val="single" w:color="auto"/>
                <w:color w:val="0000FF"/>
              </w:rPr>
            </w:pPr>
            <w:hyperlink w:anchor="page159">
              <w:r>
                <w:rPr>
                  <w:rFonts w:ascii="Arial" w:cs="Arial" w:eastAsia="Arial" w:hAnsi="Arial"/>
                  <w:sz w:val="16"/>
                  <w:szCs w:val="16"/>
                  <w:u w:val="single" w:color="auto"/>
                  <w:color w:val="0000FF"/>
                </w:rPr>
                <w:t>Form of Short-term Incentive Plan for Officers Award Agreement effective for awards granted on or after January 1, 2021.</w:t>
              </w:r>
            </w:hyperlink>
          </w:p>
        </w:tc>
      </w:tr>
      <w:tr>
        <w:trPr>
          <w:trHeight w:val="219"/>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10.17*†</w:t>
            </w:r>
          </w:p>
        </w:tc>
        <w:tc>
          <w:tcPr>
            <w:tcW w:w="9880" w:type="dxa"/>
            <w:vAlign w:val="bottom"/>
            <w:gridSpan w:val="32"/>
            <w:shd w:val="clear" w:color="auto" w:fill="CEFEE7"/>
          </w:tcPr>
          <w:p>
            <w:pPr>
              <w:spacing w:after="0"/>
              <w:rPr>
                <w:rFonts w:ascii="Arial" w:cs="Arial" w:eastAsia="Arial" w:hAnsi="Arial"/>
                <w:sz w:val="16"/>
                <w:szCs w:val="16"/>
                <w:u w:val="single" w:color="auto"/>
                <w:color w:val="0000FF"/>
              </w:rPr>
            </w:pPr>
            <w:hyperlink w:anchor="page168">
              <w:r>
                <w:rPr>
                  <w:rFonts w:ascii="Arial" w:cs="Arial" w:eastAsia="Arial" w:hAnsi="Arial"/>
                  <w:sz w:val="16"/>
                  <w:szCs w:val="16"/>
                  <w:u w:val="single" w:color="auto"/>
                  <w:color w:val="0000FF"/>
                </w:rPr>
                <w:t>Form of Performance Unit Award Agreement for 2015 Omnibus Incentive Plan effective for awards granted on or after January 1, 2021.</w:t>
              </w:r>
            </w:hyperlink>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10.18†</w:t>
            </w:r>
          </w:p>
        </w:tc>
        <w:tc>
          <w:tcPr>
            <w:tcW w:w="9880" w:type="dxa"/>
            <w:vAlign w:val="bottom"/>
            <w:gridSpan w:val="32"/>
          </w:tcPr>
          <w:p>
            <w:pPr>
              <w:spacing w:after="0"/>
              <w:rPr>
                <w:rFonts w:ascii="Arial" w:cs="Arial" w:eastAsia="Arial" w:hAnsi="Arial"/>
                <w:sz w:val="16"/>
                <w:szCs w:val="16"/>
                <w:u w:val="single" w:color="auto"/>
                <w:color w:val="0000FF"/>
              </w:rPr>
            </w:pPr>
            <w:hyperlink r:id="rId214">
              <w:r>
                <w:rPr>
                  <w:rFonts w:ascii="Arial" w:cs="Arial" w:eastAsia="Arial" w:hAnsi="Arial"/>
                  <w:sz w:val="16"/>
                  <w:szCs w:val="16"/>
                  <w:u w:val="single" w:color="auto"/>
                  <w:color w:val="0000FF"/>
                </w:rPr>
                <w:t>Form of Indemnification Agreement (filed as Exhibit 10.5 to the Registrant’s Form 8-K filed on September 3, 2004).</w:t>
              </w:r>
            </w:hyperlink>
          </w:p>
        </w:tc>
      </w:tr>
      <w:tr>
        <w:trPr>
          <w:trHeight w:val="178"/>
        </w:trPr>
        <w:tc>
          <w:tcPr>
            <w:tcW w:w="1320" w:type="dxa"/>
            <w:vAlign w:val="bottom"/>
            <w:shd w:val="clear" w:color="auto" w:fill="CEFEE7"/>
          </w:tcPr>
          <w:p>
            <w:pPr>
              <w:ind w:left="20"/>
              <w:spacing w:after="0" w:line="178" w:lineRule="exact"/>
              <w:rPr>
                <w:sz w:val="20"/>
                <w:szCs w:val="20"/>
                <w:color w:val="auto"/>
              </w:rPr>
            </w:pPr>
            <w:r>
              <w:rPr>
                <w:rFonts w:ascii="Arial" w:cs="Arial" w:eastAsia="Arial" w:hAnsi="Arial"/>
                <w:sz w:val="16"/>
                <w:szCs w:val="16"/>
                <w:color w:val="auto"/>
              </w:rPr>
              <w:t>10.19†</w:t>
            </w:r>
          </w:p>
        </w:tc>
        <w:tc>
          <w:tcPr>
            <w:tcW w:w="9880" w:type="dxa"/>
            <w:vAlign w:val="bottom"/>
            <w:gridSpan w:val="32"/>
            <w:shd w:val="clear" w:color="auto" w:fill="CEFEE7"/>
          </w:tcPr>
          <w:p>
            <w:pPr>
              <w:spacing w:after="0" w:line="178" w:lineRule="exact"/>
              <w:rPr>
                <w:rFonts w:ascii="Arial" w:cs="Arial" w:eastAsia="Arial" w:hAnsi="Arial"/>
                <w:sz w:val="16"/>
                <w:szCs w:val="16"/>
                <w:color w:val="0000FF"/>
              </w:rPr>
            </w:pPr>
            <w:hyperlink r:id="rId215">
              <w:r>
                <w:rPr>
                  <w:rFonts w:ascii="Arial" w:cs="Arial" w:eastAsia="Arial" w:hAnsi="Arial"/>
                  <w:sz w:val="16"/>
                  <w:szCs w:val="16"/>
                  <w:color w:val="0000FF"/>
                </w:rPr>
                <w:t>Change in Control Agreement dated November 15, 2019 between Black Hills Corporation and Linden R. Evans (filed as Exhibit 10.15 to</w:t>
              </w:r>
            </w:hyperlink>
          </w:p>
        </w:tc>
      </w:tr>
      <w:tr>
        <w:trPr>
          <w:trHeight w:val="163"/>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2680" w:type="dxa"/>
            <w:vAlign w:val="bottom"/>
            <w:tcBorders>
              <w:top w:val="single" w:sz="8" w:color="0000FF"/>
              <w:bottom w:val="single" w:sz="8" w:color="0000FF"/>
            </w:tcBorders>
            <w:gridSpan w:val="2"/>
            <w:shd w:val="clear" w:color="auto" w:fill="CEFEE7"/>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the Registrant's Form 10-K for 2019).</w:t>
              </w:r>
            </w:hyperlink>
          </w:p>
        </w:tc>
        <w:tc>
          <w:tcPr>
            <w:tcW w:w="7060" w:type="dxa"/>
            <w:vAlign w:val="bottom"/>
            <w:tcBorders>
              <w:top w:val="single" w:sz="8" w:color="0000FF"/>
              <w:bottom w:val="single" w:sz="8" w:color="CEFEE7"/>
            </w:tcBorders>
            <w:gridSpan w:val="27"/>
            <w:shd w:val="clear" w:color="auto" w:fill="CEFEE7"/>
          </w:tcPr>
          <w:p>
            <w:pPr>
              <w:spacing w:after="0"/>
              <w:rPr>
                <w:sz w:val="14"/>
                <w:szCs w:val="14"/>
                <w:color w:val="auto"/>
              </w:rPr>
            </w:pPr>
          </w:p>
        </w:tc>
        <w:tc>
          <w:tcPr>
            <w:tcW w:w="6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80" w:type="dxa"/>
            <w:vAlign w:val="bottom"/>
            <w:tcBorders>
              <w:top w:val="single" w:sz="8" w:color="CEFEE7"/>
              <w:bottom w:val="single" w:sz="8" w:color="CEFEE7"/>
            </w:tcBorders>
            <w:shd w:val="clear" w:color="auto" w:fill="CEFEE7"/>
          </w:tcPr>
          <w:p>
            <w:pPr>
              <w:spacing w:after="0"/>
              <w:rPr>
                <w:sz w:val="14"/>
                <w:szCs w:val="14"/>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10.20†</w:t>
            </w:r>
          </w:p>
        </w:tc>
        <w:tc>
          <w:tcPr>
            <w:tcW w:w="9880" w:type="dxa"/>
            <w:vAlign w:val="bottom"/>
            <w:gridSpan w:val="32"/>
          </w:tcPr>
          <w:p>
            <w:pPr>
              <w:spacing w:after="0" w:line="175" w:lineRule="exact"/>
              <w:rPr>
                <w:rFonts w:ascii="Arial" w:cs="Arial" w:eastAsia="Arial" w:hAnsi="Arial"/>
                <w:sz w:val="16"/>
                <w:szCs w:val="16"/>
                <w:color w:val="0000FF"/>
              </w:rPr>
            </w:pPr>
            <w:hyperlink r:id="rId216">
              <w:r>
                <w:rPr>
                  <w:rFonts w:ascii="Arial" w:cs="Arial" w:eastAsia="Arial" w:hAnsi="Arial"/>
                  <w:sz w:val="16"/>
                  <w:szCs w:val="16"/>
                  <w:color w:val="0000FF"/>
                </w:rPr>
                <w:t>Change in Control Agreements between Black Hills Corporation and its non-CEO Senior Executive Officers (filed as Exhibit 10.16 to the</w:t>
              </w:r>
            </w:hyperlink>
          </w:p>
        </w:tc>
      </w:tr>
      <w:tr>
        <w:trPr>
          <w:trHeight w:val="142"/>
        </w:trPr>
        <w:tc>
          <w:tcPr>
            <w:tcW w:w="1320" w:type="dxa"/>
            <w:vAlign w:val="bottom"/>
          </w:tcPr>
          <w:p>
            <w:pPr>
              <w:spacing w:after="0"/>
              <w:rPr>
                <w:sz w:val="12"/>
                <w:szCs w:val="12"/>
                <w:color w:val="auto"/>
              </w:rPr>
            </w:pPr>
          </w:p>
        </w:tc>
        <w:tc>
          <w:tcPr>
            <w:tcW w:w="97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Registrant's Form 10-K for 2019).</w:t>
              </w:r>
            </w:hyperlink>
          </w:p>
        </w:tc>
        <w:tc>
          <w:tcPr>
            <w:tcW w:w="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10.21†</w:t>
            </w:r>
          </w:p>
        </w:tc>
        <w:tc>
          <w:tcPr>
            <w:tcW w:w="9880" w:type="dxa"/>
            <w:vAlign w:val="bottom"/>
            <w:gridSpan w:val="32"/>
            <w:shd w:val="clear" w:color="auto" w:fill="CEFEE7"/>
          </w:tcPr>
          <w:p>
            <w:pPr>
              <w:spacing w:after="0" w:line="175" w:lineRule="exact"/>
              <w:rPr>
                <w:rFonts w:ascii="Arial" w:cs="Arial" w:eastAsia="Arial" w:hAnsi="Arial"/>
                <w:sz w:val="16"/>
                <w:szCs w:val="16"/>
                <w:color w:val="0000FF"/>
              </w:rPr>
            </w:pPr>
            <w:hyperlink r:id="rId217">
              <w:r>
                <w:rPr>
                  <w:rFonts w:ascii="Arial" w:cs="Arial" w:eastAsia="Arial" w:hAnsi="Arial"/>
                  <w:sz w:val="16"/>
                  <w:szCs w:val="16"/>
                  <w:color w:val="0000FF"/>
                </w:rPr>
                <w:t>Outside Directors Stock Based Compensation Plan as Amended and Restated effective January 1, 2009 (filed as Exhibit 10.23 to the</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540" w:type="dxa"/>
            <w:vAlign w:val="bottom"/>
            <w:tcBorders>
              <w:top w:val="single" w:sz="8" w:color="0000FF"/>
            </w:tcBorders>
            <w:gridSpan w:val="22"/>
            <w:shd w:val="clear" w:color="auto" w:fill="CEFEE7"/>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Registrant’s Form 10-K for 2008).</w:t>
              </w:r>
            </w:hyperlink>
          </w:p>
        </w:tc>
        <w:tc>
          <w:tcPr>
            <w:tcW w:w="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4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160" w:type="dxa"/>
            <w:vAlign w:val="bottom"/>
            <w:tcBorders>
              <w:top w:val="single" w:sz="8" w:color="CEFEE7"/>
            </w:tcBorders>
            <w:gridSpan w:val="5"/>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r>
      <w:tr>
        <w:trPr>
          <w:trHeight w:val="21"/>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2400" w:type="dxa"/>
            <w:vAlign w:val="bottom"/>
            <w:tcBorders>
              <w:top w:val="single" w:sz="8" w:color="0000FF"/>
            </w:tcBorders>
            <w:shd w:val="clear" w:color="auto" w:fill="CEFEE7"/>
          </w:tcPr>
          <w:p>
            <w:pPr>
              <w:spacing w:after="0" w:line="20" w:lineRule="exact"/>
              <w:rPr>
                <w:sz w:val="1"/>
                <w:szCs w:val="1"/>
                <w:color w:val="auto"/>
              </w:rPr>
            </w:pPr>
          </w:p>
        </w:tc>
        <w:tc>
          <w:tcPr>
            <w:tcW w:w="280" w:type="dxa"/>
            <w:vAlign w:val="bottom"/>
            <w:tcBorders>
              <w:top w:val="single" w:sz="8" w:color="CEFEE7"/>
            </w:tcBorders>
            <w:shd w:val="clear" w:color="auto" w:fill="CEFEE7"/>
          </w:tcPr>
          <w:p>
            <w:pPr>
              <w:spacing w:after="0" w:line="20" w:lineRule="exact"/>
              <w:rPr>
                <w:sz w:val="1"/>
                <w:szCs w:val="1"/>
                <w:color w:val="auto"/>
              </w:rPr>
            </w:pPr>
          </w:p>
        </w:tc>
        <w:tc>
          <w:tcPr>
            <w:tcW w:w="480" w:type="dxa"/>
            <w:vAlign w:val="bottom"/>
            <w:tcBorders>
              <w:top w:val="single" w:sz="8" w:color="CEFEE7"/>
            </w:tcBorders>
            <w:shd w:val="clear" w:color="auto" w:fill="CEFEE7"/>
          </w:tcPr>
          <w:p>
            <w:pPr>
              <w:spacing w:after="0" w:line="20" w:lineRule="exact"/>
              <w:rPr>
                <w:sz w:val="1"/>
                <w:szCs w:val="1"/>
                <w:color w:val="auto"/>
              </w:rPr>
            </w:pPr>
          </w:p>
        </w:tc>
        <w:tc>
          <w:tcPr>
            <w:tcW w:w="68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940" w:type="dxa"/>
            <w:vAlign w:val="bottom"/>
            <w:tcBorders>
              <w:top w:val="single" w:sz="8" w:color="CEFEE7"/>
            </w:tcBorders>
            <w:shd w:val="clear" w:color="auto" w:fill="CEFEE7"/>
          </w:tcPr>
          <w:p>
            <w:pPr>
              <w:spacing w:after="0" w:line="20" w:lineRule="exact"/>
              <w:rPr>
                <w:sz w:val="1"/>
                <w:szCs w:val="1"/>
                <w:color w:val="auto"/>
              </w:rPr>
            </w:pPr>
          </w:p>
        </w:tc>
        <w:tc>
          <w:tcPr>
            <w:tcW w:w="1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8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CEFEE7"/>
            </w:tcBorders>
            <w:shd w:val="clear" w:color="auto" w:fill="CEFEE7"/>
          </w:tcPr>
          <w:p>
            <w:pPr>
              <w:spacing w:after="0" w:line="20" w:lineRule="exact"/>
              <w:rPr>
                <w:sz w:val="1"/>
                <w:szCs w:val="1"/>
                <w:color w:val="auto"/>
              </w:rPr>
            </w:pPr>
          </w:p>
        </w:tc>
        <w:tc>
          <w:tcPr>
            <w:tcW w:w="800" w:type="dxa"/>
            <w:vAlign w:val="bottom"/>
            <w:tcBorders>
              <w:top w:val="single" w:sz="8" w:color="CEFEE7"/>
            </w:tcBorders>
            <w:shd w:val="clear" w:color="auto" w:fill="CEFEE7"/>
          </w:tcPr>
          <w:p>
            <w:pPr>
              <w:spacing w:after="0" w:line="20" w:lineRule="exact"/>
              <w:rPr>
                <w:sz w:val="1"/>
                <w:szCs w:val="1"/>
                <w:color w:val="auto"/>
              </w:rPr>
            </w:pPr>
          </w:p>
        </w:tc>
        <w:tc>
          <w:tcPr>
            <w:tcW w:w="2300" w:type="dxa"/>
            <w:vAlign w:val="bottom"/>
            <w:tcBorders>
              <w:top w:val="single" w:sz="8" w:color="CEFEE7"/>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r>
      <w:tr>
        <w:trPr>
          <w:trHeight w:val="176"/>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10.21.1†</w:t>
            </w:r>
          </w:p>
        </w:tc>
        <w:tc>
          <w:tcPr>
            <w:tcW w:w="9880" w:type="dxa"/>
            <w:vAlign w:val="bottom"/>
            <w:gridSpan w:val="32"/>
          </w:tcPr>
          <w:p>
            <w:pPr>
              <w:spacing w:after="0" w:line="175" w:lineRule="exact"/>
              <w:rPr>
                <w:rFonts w:ascii="Arial" w:cs="Arial" w:eastAsia="Arial" w:hAnsi="Arial"/>
                <w:sz w:val="16"/>
                <w:szCs w:val="16"/>
                <w:color w:val="0000FF"/>
              </w:rPr>
            </w:pPr>
            <w:hyperlink r:id="rId218">
              <w:r>
                <w:rPr>
                  <w:rFonts w:ascii="Arial" w:cs="Arial" w:eastAsia="Arial" w:hAnsi="Arial"/>
                  <w:sz w:val="16"/>
                  <w:szCs w:val="16"/>
                  <w:color w:val="0000FF"/>
                </w:rPr>
                <w:t>First Amendment to the Outside Directors Stock Based Compensation Plan effective January 1, 2011 (filed as Exhibit 10.16 to the</w:t>
              </w:r>
            </w:hyperlink>
          </w:p>
        </w:tc>
      </w:tr>
      <w:tr>
        <w:trPr>
          <w:trHeight w:val="142"/>
        </w:trPr>
        <w:tc>
          <w:tcPr>
            <w:tcW w:w="1320" w:type="dxa"/>
            <w:vAlign w:val="bottom"/>
          </w:tcPr>
          <w:p>
            <w:pPr>
              <w:spacing w:after="0"/>
              <w:rPr>
                <w:sz w:val="12"/>
                <w:szCs w:val="12"/>
                <w:color w:val="auto"/>
              </w:rPr>
            </w:pPr>
          </w:p>
        </w:tc>
        <w:tc>
          <w:tcPr>
            <w:tcW w:w="93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Registrant’s Form 10-K for 2010).</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10.21.2†</w:t>
            </w:r>
          </w:p>
        </w:tc>
        <w:tc>
          <w:tcPr>
            <w:tcW w:w="9880" w:type="dxa"/>
            <w:vAlign w:val="bottom"/>
            <w:gridSpan w:val="32"/>
            <w:shd w:val="clear" w:color="auto" w:fill="CEFEE7"/>
          </w:tcPr>
          <w:p>
            <w:pPr>
              <w:spacing w:after="0" w:line="175" w:lineRule="exact"/>
              <w:rPr>
                <w:rFonts w:ascii="Arial" w:cs="Arial" w:eastAsia="Arial" w:hAnsi="Arial"/>
                <w:sz w:val="16"/>
                <w:szCs w:val="16"/>
                <w:color w:val="0000FF"/>
              </w:rPr>
            </w:pPr>
            <w:hyperlink r:id="rId219">
              <w:r>
                <w:rPr>
                  <w:rFonts w:ascii="Arial" w:cs="Arial" w:eastAsia="Arial" w:hAnsi="Arial"/>
                  <w:sz w:val="16"/>
                  <w:szCs w:val="16"/>
                  <w:color w:val="0000FF"/>
                </w:rPr>
                <w:t>Second Amendment to the Outside Director’s Stock Based Compensation Plan effective January 1, 2013 (filed as Exhibit 10.15 to the</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580" w:type="dxa"/>
            <w:vAlign w:val="bottom"/>
            <w:tcBorders>
              <w:top w:val="single" w:sz="8" w:color="0000FF"/>
            </w:tcBorders>
            <w:gridSpan w:val="24"/>
            <w:shd w:val="clear" w:color="auto" w:fill="CEFEE7"/>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Registrant’s Form 10-K for 2012).</w:t>
              </w:r>
            </w:hyperlink>
          </w:p>
        </w:tc>
        <w:tc>
          <w:tcPr>
            <w:tcW w:w="4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160" w:type="dxa"/>
            <w:vAlign w:val="bottom"/>
            <w:tcBorders>
              <w:top w:val="single" w:sz="8" w:color="CEFEE7"/>
            </w:tcBorders>
            <w:gridSpan w:val="5"/>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r>
      <w:tr>
        <w:trPr>
          <w:trHeight w:val="20"/>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2400" w:type="dxa"/>
            <w:vAlign w:val="bottom"/>
            <w:tcBorders>
              <w:top w:val="single" w:sz="8" w:color="0000FF"/>
            </w:tcBorders>
            <w:shd w:val="clear" w:color="auto" w:fill="CEFEE7"/>
          </w:tcPr>
          <w:p>
            <w:pPr>
              <w:spacing w:after="0" w:line="20" w:lineRule="exact"/>
              <w:rPr>
                <w:sz w:val="1"/>
                <w:szCs w:val="1"/>
                <w:color w:val="auto"/>
              </w:rPr>
            </w:pPr>
          </w:p>
        </w:tc>
        <w:tc>
          <w:tcPr>
            <w:tcW w:w="280" w:type="dxa"/>
            <w:vAlign w:val="bottom"/>
            <w:tcBorders>
              <w:top w:val="single" w:sz="8" w:color="CEFEE7"/>
            </w:tcBorders>
            <w:shd w:val="clear" w:color="auto" w:fill="CEFEE7"/>
          </w:tcPr>
          <w:p>
            <w:pPr>
              <w:spacing w:after="0" w:line="20" w:lineRule="exact"/>
              <w:rPr>
                <w:sz w:val="1"/>
                <w:szCs w:val="1"/>
                <w:color w:val="auto"/>
              </w:rPr>
            </w:pPr>
          </w:p>
        </w:tc>
        <w:tc>
          <w:tcPr>
            <w:tcW w:w="480" w:type="dxa"/>
            <w:vAlign w:val="bottom"/>
            <w:tcBorders>
              <w:top w:val="single" w:sz="8" w:color="CEFEE7"/>
            </w:tcBorders>
            <w:shd w:val="clear" w:color="auto" w:fill="CEFEE7"/>
          </w:tcPr>
          <w:p>
            <w:pPr>
              <w:spacing w:after="0" w:line="20" w:lineRule="exact"/>
              <w:rPr>
                <w:sz w:val="1"/>
                <w:szCs w:val="1"/>
                <w:color w:val="auto"/>
              </w:rPr>
            </w:pPr>
          </w:p>
        </w:tc>
        <w:tc>
          <w:tcPr>
            <w:tcW w:w="68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940" w:type="dxa"/>
            <w:vAlign w:val="bottom"/>
            <w:tcBorders>
              <w:top w:val="single" w:sz="8" w:color="CEFEE7"/>
            </w:tcBorders>
            <w:shd w:val="clear" w:color="auto" w:fill="CEFEE7"/>
          </w:tcPr>
          <w:p>
            <w:pPr>
              <w:spacing w:after="0" w:line="20" w:lineRule="exact"/>
              <w:rPr>
                <w:sz w:val="1"/>
                <w:szCs w:val="1"/>
                <w:color w:val="auto"/>
              </w:rPr>
            </w:pPr>
          </w:p>
        </w:tc>
        <w:tc>
          <w:tcPr>
            <w:tcW w:w="1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8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CEFEE7"/>
            </w:tcBorders>
            <w:shd w:val="clear" w:color="auto" w:fill="CEFEE7"/>
          </w:tcPr>
          <w:p>
            <w:pPr>
              <w:spacing w:after="0" w:line="20" w:lineRule="exact"/>
              <w:rPr>
                <w:sz w:val="1"/>
                <w:szCs w:val="1"/>
                <w:color w:val="auto"/>
              </w:rPr>
            </w:pPr>
          </w:p>
        </w:tc>
        <w:tc>
          <w:tcPr>
            <w:tcW w:w="800" w:type="dxa"/>
            <w:vAlign w:val="bottom"/>
            <w:tcBorders>
              <w:top w:val="single" w:sz="8" w:color="CEFEE7"/>
            </w:tcBorders>
            <w:shd w:val="clear" w:color="auto" w:fill="CEFEE7"/>
          </w:tcPr>
          <w:p>
            <w:pPr>
              <w:spacing w:after="0" w:line="20" w:lineRule="exact"/>
              <w:rPr>
                <w:sz w:val="1"/>
                <w:szCs w:val="1"/>
                <w:color w:val="auto"/>
              </w:rPr>
            </w:pPr>
          </w:p>
        </w:tc>
        <w:tc>
          <w:tcPr>
            <w:tcW w:w="2300" w:type="dxa"/>
            <w:vAlign w:val="bottom"/>
            <w:tcBorders>
              <w:top w:val="single" w:sz="8" w:color="CEFEE7"/>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10.21.3†</w:t>
            </w:r>
          </w:p>
        </w:tc>
        <w:tc>
          <w:tcPr>
            <w:tcW w:w="9880" w:type="dxa"/>
            <w:vAlign w:val="bottom"/>
            <w:gridSpan w:val="32"/>
          </w:tcPr>
          <w:p>
            <w:pPr>
              <w:spacing w:after="0" w:line="175" w:lineRule="exact"/>
              <w:rPr>
                <w:rFonts w:ascii="Arial" w:cs="Arial" w:eastAsia="Arial" w:hAnsi="Arial"/>
                <w:sz w:val="16"/>
                <w:szCs w:val="16"/>
                <w:color w:val="0000FF"/>
              </w:rPr>
            </w:pPr>
            <w:hyperlink r:id="rId220">
              <w:r>
                <w:rPr>
                  <w:rFonts w:ascii="Arial" w:cs="Arial" w:eastAsia="Arial" w:hAnsi="Arial"/>
                  <w:sz w:val="16"/>
                  <w:szCs w:val="16"/>
                  <w:color w:val="0000FF"/>
                </w:rPr>
                <w:t>Third Amendment to the Outside Director’s Stock Based Compensation Plan effective January 1, 2015 (filed as Exhibit 10.16 to the</w:t>
              </w:r>
            </w:hyperlink>
          </w:p>
        </w:tc>
      </w:tr>
      <w:tr>
        <w:trPr>
          <w:trHeight w:val="142"/>
        </w:trPr>
        <w:tc>
          <w:tcPr>
            <w:tcW w:w="1320" w:type="dxa"/>
            <w:vAlign w:val="bottom"/>
          </w:tcPr>
          <w:p>
            <w:pPr>
              <w:spacing w:after="0"/>
              <w:rPr>
                <w:sz w:val="12"/>
                <w:szCs w:val="12"/>
                <w:color w:val="auto"/>
              </w:rPr>
            </w:pPr>
          </w:p>
        </w:tc>
        <w:tc>
          <w:tcPr>
            <w:tcW w:w="94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Registrant’s Form 10-K for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10.21.4†</w:t>
            </w:r>
          </w:p>
        </w:tc>
        <w:tc>
          <w:tcPr>
            <w:tcW w:w="9880" w:type="dxa"/>
            <w:vAlign w:val="bottom"/>
            <w:gridSpan w:val="32"/>
            <w:shd w:val="clear" w:color="auto" w:fill="CEFEE7"/>
          </w:tcPr>
          <w:p>
            <w:pPr>
              <w:spacing w:after="0" w:line="175" w:lineRule="exact"/>
              <w:rPr>
                <w:rFonts w:ascii="Arial" w:cs="Arial" w:eastAsia="Arial" w:hAnsi="Arial"/>
                <w:sz w:val="16"/>
                <w:szCs w:val="16"/>
                <w:color w:val="0000FF"/>
              </w:rPr>
            </w:pPr>
            <w:hyperlink r:id="rId221">
              <w:r>
                <w:rPr>
                  <w:rFonts w:ascii="Arial" w:cs="Arial" w:eastAsia="Arial" w:hAnsi="Arial"/>
                  <w:sz w:val="16"/>
                  <w:szCs w:val="16"/>
                  <w:color w:val="0000FF"/>
                </w:rPr>
                <w:t>Fourth Amendment to the Outside Director’s Stock Based Compensation Plan effective January 1, 2017 (filed as Exhibit 10.4 to the</w:t>
              </w:r>
            </w:hyperlink>
          </w:p>
        </w:tc>
      </w:tr>
      <w:tr>
        <w:trPr>
          <w:trHeight w:val="163"/>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5480" w:type="dxa"/>
            <w:vAlign w:val="bottom"/>
            <w:tcBorders>
              <w:top w:val="single" w:sz="8" w:color="0000FF"/>
              <w:bottom w:val="single" w:sz="8" w:color="0000FF"/>
            </w:tcBorders>
            <w:gridSpan w:val="9"/>
            <w:shd w:val="clear" w:color="auto" w:fill="CEFEE7"/>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Registrant’s Form 10-Q for the quarterly period ended September 30, 2016).</w:t>
              </w:r>
            </w:hyperlink>
          </w:p>
        </w:tc>
        <w:tc>
          <w:tcPr>
            <w:tcW w:w="3940" w:type="dxa"/>
            <w:vAlign w:val="bottom"/>
            <w:tcBorders>
              <w:top w:val="single" w:sz="8" w:color="0000FF"/>
              <w:bottom w:val="single" w:sz="8" w:color="CEFEE7"/>
            </w:tcBorders>
            <w:gridSpan w:val="9"/>
            <w:shd w:val="clear" w:color="auto" w:fill="CEFEE7"/>
          </w:tcPr>
          <w:p>
            <w:pPr>
              <w:spacing w:after="0"/>
              <w:rPr>
                <w:sz w:val="14"/>
                <w:szCs w:val="14"/>
                <w:color w:val="auto"/>
              </w:rPr>
            </w:pPr>
          </w:p>
        </w:tc>
        <w:tc>
          <w:tcPr>
            <w:tcW w:w="4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8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60" w:type="dxa"/>
            <w:vAlign w:val="bottom"/>
            <w:tcBorders>
              <w:top w:val="single" w:sz="8" w:color="CEFEE7"/>
              <w:bottom w:val="single" w:sz="8" w:color="CEFEE7"/>
            </w:tcBorders>
            <w:gridSpan w:val="2"/>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c>
          <w:tcPr>
            <w:tcW w:w="160" w:type="dxa"/>
            <w:vAlign w:val="bottom"/>
            <w:tcBorders>
              <w:top w:val="single" w:sz="8" w:color="CEFEE7"/>
              <w:bottom w:val="single" w:sz="8" w:color="CEFEE7"/>
            </w:tcBorders>
            <w:gridSpan w:val="5"/>
            <w:shd w:val="clear" w:color="auto" w:fill="CEFEE7"/>
          </w:tcPr>
          <w:p>
            <w:pPr>
              <w:spacing w:after="0"/>
              <w:rPr>
                <w:sz w:val="14"/>
                <w:szCs w:val="14"/>
                <w:color w:val="auto"/>
              </w:rPr>
            </w:pPr>
          </w:p>
        </w:tc>
        <w:tc>
          <w:tcPr>
            <w:tcW w:w="80" w:type="dxa"/>
            <w:vAlign w:val="bottom"/>
            <w:tcBorders>
              <w:top w:val="single" w:sz="8" w:color="CEFEE7"/>
              <w:bottom w:val="single" w:sz="8" w:color="CEFEE7"/>
            </w:tcBorders>
            <w:shd w:val="clear" w:color="auto" w:fill="CEFEE7"/>
          </w:tcPr>
          <w:p>
            <w:pPr>
              <w:spacing w:after="0"/>
              <w:rPr>
                <w:sz w:val="14"/>
                <w:szCs w:val="14"/>
                <w:color w:val="auto"/>
              </w:rPr>
            </w:pPr>
          </w:p>
        </w:tc>
      </w:tr>
      <w:tr>
        <w:trPr>
          <w:trHeight w:val="176"/>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10.21.5†</w:t>
            </w:r>
          </w:p>
        </w:tc>
        <w:tc>
          <w:tcPr>
            <w:tcW w:w="9880" w:type="dxa"/>
            <w:vAlign w:val="bottom"/>
            <w:gridSpan w:val="32"/>
          </w:tcPr>
          <w:p>
            <w:pPr>
              <w:spacing w:after="0" w:line="175" w:lineRule="exact"/>
              <w:rPr>
                <w:rFonts w:ascii="Arial" w:cs="Arial" w:eastAsia="Arial" w:hAnsi="Arial"/>
                <w:sz w:val="16"/>
                <w:szCs w:val="16"/>
                <w:color w:val="0000FF"/>
              </w:rPr>
            </w:pPr>
            <w:hyperlink r:id="rId222">
              <w:r>
                <w:rPr>
                  <w:rFonts w:ascii="Arial" w:cs="Arial" w:eastAsia="Arial" w:hAnsi="Arial"/>
                  <w:sz w:val="16"/>
                  <w:szCs w:val="16"/>
                  <w:color w:val="0000FF"/>
                </w:rPr>
                <w:t>Fifth Amendment to the Outside Director’s Stock Based Compensation Plan effective January 1, 2018 (filed as Exhibit 10.16 to the</w:t>
              </w:r>
            </w:hyperlink>
          </w:p>
        </w:tc>
      </w:tr>
      <w:tr>
        <w:trPr>
          <w:trHeight w:val="142"/>
        </w:trPr>
        <w:tc>
          <w:tcPr>
            <w:tcW w:w="1320" w:type="dxa"/>
            <w:vAlign w:val="bottom"/>
          </w:tcPr>
          <w:p>
            <w:pPr>
              <w:spacing w:after="0"/>
              <w:rPr>
                <w:sz w:val="12"/>
                <w:szCs w:val="12"/>
                <w:color w:val="auto"/>
              </w:rPr>
            </w:pPr>
          </w:p>
        </w:tc>
        <w:tc>
          <w:tcPr>
            <w:tcW w:w="93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Registrant’s Form 10-K for 2017).</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10.21.6†</w:t>
            </w:r>
          </w:p>
        </w:tc>
        <w:tc>
          <w:tcPr>
            <w:tcW w:w="9880" w:type="dxa"/>
            <w:vAlign w:val="bottom"/>
            <w:gridSpan w:val="32"/>
            <w:shd w:val="clear" w:color="auto" w:fill="CEFEE7"/>
          </w:tcPr>
          <w:p>
            <w:pPr>
              <w:spacing w:after="0" w:line="175" w:lineRule="exact"/>
              <w:rPr>
                <w:rFonts w:ascii="Arial" w:cs="Arial" w:eastAsia="Arial" w:hAnsi="Arial"/>
                <w:sz w:val="16"/>
                <w:szCs w:val="16"/>
                <w:color w:val="0000FF"/>
              </w:rPr>
            </w:pPr>
            <w:hyperlink r:id="rId223">
              <w:r>
                <w:rPr>
                  <w:rFonts w:ascii="Arial" w:cs="Arial" w:eastAsia="Arial" w:hAnsi="Arial"/>
                  <w:sz w:val="16"/>
                  <w:szCs w:val="16"/>
                  <w:color w:val="0000FF"/>
                </w:rPr>
                <w:t>Sixth Amendment to the Outside Director’s Stock Based Compensation Plan effective January 1, 2019 (filed as Exhibit 10.18 to the</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380" w:type="dxa"/>
            <w:vAlign w:val="bottom"/>
            <w:tcBorders>
              <w:top w:val="single" w:sz="8" w:color="0000FF"/>
            </w:tcBorders>
            <w:gridSpan w:val="16"/>
            <w:shd w:val="clear" w:color="auto" w:fill="CEFEE7"/>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Registrant’s Form 10-K for 2018).</w:t>
              </w:r>
            </w:hyperlink>
          </w:p>
        </w:tc>
        <w:tc>
          <w:tcPr>
            <w:tcW w:w="80" w:type="dxa"/>
            <w:vAlign w:val="bottom"/>
            <w:tcBorders>
              <w:top w:val="single" w:sz="8" w:color="CEFEE7"/>
            </w:tcBorders>
            <w:gridSpan w:val="4"/>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80" w:type="dxa"/>
            <w:vAlign w:val="bottom"/>
            <w:tcBorders>
              <w:top w:val="single" w:sz="8" w:color="CEFEE7"/>
            </w:tcBorders>
            <w:gridSpan w:val="2"/>
            <w:shd w:val="clear" w:color="auto" w:fill="CEFEE7"/>
          </w:tcPr>
          <w:p>
            <w:pPr>
              <w:spacing w:after="0"/>
              <w:rPr>
                <w:sz w:val="12"/>
                <w:szCs w:val="12"/>
                <w:color w:val="auto"/>
              </w:rPr>
            </w:pPr>
          </w:p>
        </w:tc>
        <w:tc>
          <w:tcPr>
            <w:tcW w:w="60" w:type="dxa"/>
            <w:vAlign w:val="bottom"/>
            <w:tcBorders>
              <w:top w:val="single" w:sz="8" w:color="CEFEE7"/>
            </w:tcBorders>
            <w:gridSpan w:val="2"/>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c>
          <w:tcPr>
            <w:tcW w:w="160" w:type="dxa"/>
            <w:vAlign w:val="bottom"/>
            <w:tcBorders>
              <w:top w:val="single" w:sz="8" w:color="CEFEE7"/>
            </w:tcBorders>
            <w:gridSpan w:val="5"/>
            <w:shd w:val="clear" w:color="auto" w:fill="CEFEE7"/>
          </w:tcPr>
          <w:p>
            <w:pPr>
              <w:spacing w:after="0"/>
              <w:rPr>
                <w:sz w:val="12"/>
                <w:szCs w:val="12"/>
                <w:color w:val="auto"/>
              </w:rPr>
            </w:pPr>
          </w:p>
        </w:tc>
        <w:tc>
          <w:tcPr>
            <w:tcW w:w="80" w:type="dxa"/>
            <w:vAlign w:val="bottom"/>
            <w:tcBorders>
              <w:top w:val="single" w:sz="8" w:color="CEFEE7"/>
            </w:tcBorders>
            <w:shd w:val="clear" w:color="auto" w:fill="CEFEE7"/>
          </w:tcPr>
          <w:p>
            <w:pPr>
              <w:spacing w:after="0"/>
              <w:rPr>
                <w:sz w:val="12"/>
                <w:szCs w:val="12"/>
                <w:color w:val="auto"/>
              </w:rPr>
            </w:pPr>
          </w:p>
        </w:tc>
      </w:tr>
      <w:tr>
        <w:trPr>
          <w:trHeight w:val="20"/>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2400" w:type="dxa"/>
            <w:vAlign w:val="bottom"/>
            <w:tcBorders>
              <w:top w:val="single" w:sz="8" w:color="0000FF"/>
            </w:tcBorders>
            <w:shd w:val="clear" w:color="auto" w:fill="CEFEE7"/>
          </w:tcPr>
          <w:p>
            <w:pPr>
              <w:spacing w:after="0" w:line="20" w:lineRule="exact"/>
              <w:rPr>
                <w:sz w:val="1"/>
                <w:szCs w:val="1"/>
                <w:color w:val="auto"/>
              </w:rPr>
            </w:pPr>
          </w:p>
        </w:tc>
        <w:tc>
          <w:tcPr>
            <w:tcW w:w="280" w:type="dxa"/>
            <w:vAlign w:val="bottom"/>
            <w:tcBorders>
              <w:top w:val="single" w:sz="8" w:color="CEFEE7"/>
            </w:tcBorders>
            <w:shd w:val="clear" w:color="auto" w:fill="CEFEE7"/>
          </w:tcPr>
          <w:p>
            <w:pPr>
              <w:spacing w:after="0" w:line="20" w:lineRule="exact"/>
              <w:rPr>
                <w:sz w:val="1"/>
                <w:szCs w:val="1"/>
                <w:color w:val="auto"/>
              </w:rPr>
            </w:pPr>
          </w:p>
        </w:tc>
        <w:tc>
          <w:tcPr>
            <w:tcW w:w="480" w:type="dxa"/>
            <w:vAlign w:val="bottom"/>
            <w:tcBorders>
              <w:top w:val="single" w:sz="8" w:color="CEFEE7"/>
            </w:tcBorders>
            <w:shd w:val="clear" w:color="auto" w:fill="CEFEE7"/>
          </w:tcPr>
          <w:p>
            <w:pPr>
              <w:spacing w:after="0" w:line="20" w:lineRule="exact"/>
              <w:rPr>
                <w:sz w:val="1"/>
                <w:szCs w:val="1"/>
                <w:color w:val="auto"/>
              </w:rPr>
            </w:pPr>
          </w:p>
        </w:tc>
        <w:tc>
          <w:tcPr>
            <w:tcW w:w="680" w:type="dxa"/>
            <w:vAlign w:val="bottom"/>
            <w:tcBorders>
              <w:top w:val="single" w:sz="8" w:color="CEFEE7"/>
            </w:tcBorders>
            <w:shd w:val="clear" w:color="auto" w:fill="CEFEE7"/>
          </w:tcPr>
          <w:p>
            <w:pPr>
              <w:spacing w:after="0" w:line="20" w:lineRule="exact"/>
              <w:rPr>
                <w:sz w:val="1"/>
                <w:szCs w:val="1"/>
                <w:color w:val="auto"/>
              </w:rPr>
            </w:pPr>
          </w:p>
        </w:tc>
        <w:tc>
          <w:tcPr>
            <w:tcW w:w="340" w:type="dxa"/>
            <w:vAlign w:val="bottom"/>
            <w:tcBorders>
              <w:top w:val="single" w:sz="8" w:color="CEFEE7"/>
            </w:tcBorders>
            <w:shd w:val="clear" w:color="auto" w:fill="CEFEE7"/>
          </w:tcPr>
          <w:p>
            <w:pPr>
              <w:spacing w:after="0" w:line="20" w:lineRule="exact"/>
              <w:rPr>
                <w:sz w:val="1"/>
                <w:szCs w:val="1"/>
                <w:color w:val="auto"/>
              </w:rPr>
            </w:pPr>
          </w:p>
        </w:tc>
        <w:tc>
          <w:tcPr>
            <w:tcW w:w="940" w:type="dxa"/>
            <w:vAlign w:val="bottom"/>
            <w:tcBorders>
              <w:top w:val="single" w:sz="8" w:color="CEFEE7"/>
            </w:tcBorders>
            <w:shd w:val="clear" w:color="auto" w:fill="CEFEE7"/>
          </w:tcPr>
          <w:p>
            <w:pPr>
              <w:spacing w:after="0" w:line="20" w:lineRule="exact"/>
              <w:rPr>
                <w:sz w:val="1"/>
                <w:szCs w:val="1"/>
                <w:color w:val="auto"/>
              </w:rPr>
            </w:pPr>
          </w:p>
        </w:tc>
        <w:tc>
          <w:tcPr>
            <w:tcW w:w="10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c>
          <w:tcPr>
            <w:tcW w:w="180" w:type="dxa"/>
            <w:vAlign w:val="bottom"/>
            <w:tcBorders>
              <w:top w:val="single" w:sz="8" w:color="CEFEE7"/>
            </w:tcBorders>
            <w:shd w:val="clear" w:color="auto" w:fill="CEFEE7"/>
          </w:tcPr>
          <w:p>
            <w:pPr>
              <w:spacing w:after="0" w:line="20" w:lineRule="exact"/>
              <w:rPr>
                <w:sz w:val="1"/>
                <w:szCs w:val="1"/>
                <w:color w:val="auto"/>
              </w:rPr>
            </w:pPr>
          </w:p>
        </w:tc>
        <w:tc>
          <w:tcPr>
            <w:tcW w:w="460" w:type="dxa"/>
            <w:vAlign w:val="bottom"/>
            <w:tcBorders>
              <w:top w:val="single" w:sz="8" w:color="CEFEE7"/>
            </w:tcBorders>
            <w:shd w:val="clear" w:color="auto" w:fill="CEFEE7"/>
          </w:tcPr>
          <w:p>
            <w:pPr>
              <w:spacing w:after="0" w:line="20" w:lineRule="exact"/>
              <w:rPr>
                <w:sz w:val="1"/>
                <w:szCs w:val="1"/>
                <w:color w:val="auto"/>
              </w:rPr>
            </w:pPr>
          </w:p>
        </w:tc>
        <w:tc>
          <w:tcPr>
            <w:tcW w:w="800" w:type="dxa"/>
            <w:vAlign w:val="bottom"/>
            <w:tcBorders>
              <w:top w:val="single" w:sz="8" w:color="CEFEE7"/>
            </w:tcBorders>
            <w:shd w:val="clear" w:color="auto" w:fill="CEFEE7"/>
          </w:tcPr>
          <w:p>
            <w:pPr>
              <w:spacing w:after="0" w:line="20" w:lineRule="exact"/>
              <w:rPr>
                <w:sz w:val="1"/>
                <w:szCs w:val="1"/>
                <w:color w:val="auto"/>
              </w:rPr>
            </w:pPr>
          </w:p>
        </w:tc>
        <w:tc>
          <w:tcPr>
            <w:tcW w:w="2300" w:type="dxa"/>
            <w:vAlign w:val="bottom"/>
            <w:tcBorders>
              <w:top w:val="single" w:sz="8" w:color="CEFEE7"/>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6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c>
          <w:tcPr>
            <w:tcW w:w="80" w:type="dxa"/>
            <w:vAlign w:val="bottom"/>
            <w:tcBorders>
              <w:top w:val="single" w:sz="8" w:color="CEFEE7"/>
            </w:tcBorders>
            <w:shd w:val="clear" w:color="auto" w:fill="CEFEE7"/>
          </w:tcPr>
          <w:p>
            <w:pPr>
              <w:spacing w:after="0" w:line="20" w:lineRule="exact"/>
              <w:rPr>
                <w:sz w:val="1"/>
                <w:szCs w:val="1"/>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10.22†</w:t>
            </w:r>
          </w:p>
        </w:tc>
        <w:tc>
          <w:tcPr>
            <w:tcW w:w="9880" w:type="dxa"/>
            <w:vAlign w:val="bottom"/>
            <w:gridSpan w:val="32"/>
          </w:tcPr>
          <w:p>
            <w:pPr>
              <w:spacing w:after="0" w:line="175" w:lineRule="exact"/>
              <w:rPr>
                <w:rFonts w:ascii="Arial" w:cs="Arial" w:eastAsia="Arial" w:hAnsi="Arial"/>
                <w:sz w:val="16"/>
                <w:szCs w:val="16"/>
                <w:color w:val="0000FF"/>
              </w:rPr>
            </w:pPr>
            <w:hyperlink r:id="rId224">
              <w:r>
                <w:rPr>
                  <w:rFonts w:ascii="Arial" w:cs="Arial" w:eastAsia="Arial" w:hAnsi="Arial"/>
                  <w:sz w:val="16"/>
                  <w:szCs w:val="16"/>
                  <w:color w:val="0000FF"/>
                </w:rPr>
                <w:t>Form of Non-Disclosure and Non-Solicitation Agreement for Certain Employees (filed as Exhibit 10.8 to the Registrant’s Form 10-Q for</w:t>
              </w:r>
            </w:hyperlink>
          </w:p>
        </w:tc>
      </w:tr>
      <w:tr>
        <w:trPr>
          <w:trHeight w:val="142"/>
        </w:trPr>
        <w:tc>
          <w:tcPr>
            <w:tcW w:w="1320" w:type="dxa"/>
            <w:vAlign w:val="bottom"/>
          </w:tcPr>
          <w:p>
            <w:pPr>
              <w:spacing w:after="0"/>
              <w:rPr>
                <w:sz w:val="12"/>
                <w:szCs w:val="12"/>
                <w:color w:val="auto"/>
              </w:rPr>
            </w:pPr>
          </w:p>
        </w:tc>
        <w:tc>
          <w:tcPr>
            <w:tcW w:w="96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the quarterly period ended March 31, 2016).</w:t>
              </w:r>
            </w:hyperlink>
          </w:p>
        </w:tc>
        <w:tc>
          <w:tcPr>
            <w:tcW w:w="20" w:type="dxa"/>
            <w:vAlign w:val="bottom"/>
          </w:tcPr>
          <w:p>
            <w:pPr>
              <w:spacing w:after="0"/>
              <w:rPr>
                <w:sz w:val="12"/>
                <w:szCs w:val="12"/>
                <w:color w:val="auto"/>
              </w:rPr>
            </w:pPr>
          </w:p>
        </w:tc>
        <w:tc>
          <w:tcPr>
            <w:tcW w:w="16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10.23</w:t>
            </w:r>
          </w:p>
        </w:tc>
        <w:tc>
          <w:tcPr>
            <w:tcW w:w="9880" w:type="dxa"/>
            <w:vAlign w:val="bottom"/>
            <w:gridSpan w:val="32"/>
            <w:shd w:val="clear" w:color="auto" w:fill="CEFEE7"/>
          </w:tcPr>
          <w:p>
            <w:pPr>
              <w:spacing w:after="0" w:line="175" w:lineRule="exact"/>
              <w:rPr>
                <w:rFonts w:ascii="Arial" w:cs="Arial" w:eastAsia="Arial" w:hAnsi="Arial"/>
                <w:sz w:val="16"/>
                <w:szCs w:val="16"/>
                <w:color w:val="0000FF"/>
              </w:rPr>
            </w:pPr>
            <w:hyperlink r:id="rId225">
              <w:r>
                <w:rPr>
                  <w:rFonts w:ascii="Arial" w:cs="Arial" w:eastAsia="Arial" w:hAnsi="Arial"/>
                  <w:sz w:val="16"/>
                  <w:szCs w:val="16"/>
                  <w:u w:val="single" w:color="auto"/>
                  <w:color w:val="0000FF"/>
                </w:rPr>
                <w:t>Equity Distribution Sales Agreement dated August 4, 2020</w:t>
              </w:r>
              <w:r>
                <w:rPr>
                  <w:rFonts w:ascii="Arial" w:cs="Arial" w:eastAsia="Arial" w:hAnsi="Arial"/>
                  <w:sz w:val="16"/>
                  <w:szCs w:val="16"/>
                  <w:color w:val="0000FF"/>
                </w:rPr>
                <w:t xml:space="preserve"> among Black Hills Corporation and the several Agents named therein (filed as</w:t>
              </w:r>
            </w:hyperlink>
          </w:p>
        </w:tc>
      </w:tr>
      <w:tr>
        <w:trPr>
          <w:trHeight w:val="168"/>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4180" w:type="dxa"/>
            <w:vAlign w:val="bottom"/>
            <w:tcBorders>
              <w:top w:val="single" w:sz="8" w:color="CEFEE7"/>
              <w:bottom w:val="single" w:sz="8" w:color="0000FF"/>
            </w:tcBorders>
            <w:gridSpan w:val="5"/>
            <w:shd w:val="clear" w:color="auto" w:fill="CEFEE7"/>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Exhibit 1.1 to the Registrant’s Form 8-K filed on August 4,</w:t>
              </w:r>
            </w:hyperlink>
          </w:p>
        </w:tc>
        <w:tc>
          <w:tcPr>
            <w:tcW w:w="1040" w:type="dxa"/>
            <w:vAlign w:val="bottom"/>
            <w:tcBorders>
              <w:top w:val="single" w:sz="8" w:color="0000FF"/>
              <w:bottom w:val="single" w:sz="8" w:color="CEFEE7"/>
            </w:tcBorders>
            <w:gridSpan w:val="2"/>
            <w:shd w:val="clear" w:color="auto" w:fill="CEFEE7"/>
          </w:tcPr>
          <w:p>
            <w:pPr>
              <w:jc w:val="right"/>
              <w:ind w:right="580"/>
              <w:spacing w:after="0" w:line="142" w:lineRule="exact"/>
              <w:rPr>
                <w:rFonts w:ascii="Arial" w:cs="Arial" w:eastAsia="Arial" w:hAnsi="Arial"/>
                <w:sz w:val="16"/>
                <w:szCs w:val="16"/>
                <w:u w:val="single" w:color="auto"/>
                <w:color w:val="0000FF"/>
                <w:w w:val="96"/>
              </w:rPr>
            </w:pPr>
            <w:hyperlink r:id="rId225">
              <w:r>
                <w:rPr>
                  <w:rFonts w:ascii="Arial" w:cs="Arial" w:eastAsia="Arial" w:hAnsi="Arial"/>
                  <w:sz w:val="16"/>
                  <w:szCs w:val="16"/>
                  <w:u w:val="single" w:color="auto"/>
                  <w:color w:val="0000FF"/>
                  <w:w w:val="96"/>
                </w:rPr>
                <w:t>2020).</w:t>
              </w:r>
            </w:hyperlink>
          </w:p>
        </w:tc>
        <w:tc>
          <w:tcPr>
            <w:tcW w:w="80" w:type="dxa"/>
            <w:vAlign w:val="bottom"/>
            <w:tcBorders>
              <w:top w:val="single" w:sz="8" w:color="0000FF"/>
              <w:bottom w:val="single" w:sz="8" w:color="CEFEE7"/>
            </w:tcBorders>
            <w:shd w:val="clear" w:color="auto" w:fill="CEFEE7"/>
          </w:tcPr>
          <w:p>
            <w:pPr>
              <w:spacing w:after="0"/>
              <w:rPr>
                <w:sz w:val="14"/>
                <w:szCs w:val="14"/>
                <w:color w:val="auto"/>
              </w:rPr>
            </w:pPr>
          </w:p>
        </w:tc>
        <w:tc>
          <w:tcPr>
            <w:tcW w:w="1440" w:type="dxa"/>
            <w:vAlign w:val="bottom"/>
            <w:tcBorders>
              <w:top w:val="single" w:sz="8" w:color="0000FF"/>
              <w:bottom w:val="single" w:sz="8" w:color="CEFEE7"/>
            </w:tcBorders>
            <w:gridSpan w:val="3"/>
            <w:shd w:val="clear" w:color="auto" w:fill="CEFEE7"/>
          </w:tcPr>
          <w:p>
            <w:pPr>
              <w:spacing w:after="0"/>
              <w:rPr>
                <w:sz w:val="14"/>
                <w:szCs w:val="14"/>
                <w:color w:val="auto"/>
              </w:rPr>
            </w:pPr>
          </w:p>
        </w:tc>
        <w:tc>
          <w:tcPr>
            <w:tcW w:w="2300" w:type="dxa"/>
            <w:vAlign w:val="bottom"/>
            <w:tcBorders>
              <w:top w:val="single" w:sz="8" w:color="0000FF"/>
              <w:bottom w:val="single" w:sz="8" w:color="CEFEE7"/>
            </w:tcBorders>
            <w:shd w:val="clear" w:color="auto" w:fill="CEFEE7"/>
          </w:tcPr>
          <w:p>
            <w:pPr>
              <w:spacing w:after="0"/>
              <w:rPr>
                <w:sz w:val="14"/>
                <w:szCs w:val="14"/>
                <w:color w:val="auto"/>
              </w:rPr>
            </w:pPr>
          </w:p>
        </w:tc>
        <w:tc>
          <w:tcPr>
            <w:tcW w:w="420" w:type="dxa"/>
            <w:vAlign w:val="bottom"/>
            <w:tcBorders>
              <w:top w:val="single" w:sz="8" w:color="0000FF"/>
              <w:bottom w:val="single" w:sz="8" w:color="CEFEE7"/>
            </w:tcBorders>
            <w:gridSpan w:val="8"/>
            <w:shd w:val="clear" w:color="auto" w:fill="CEFEE7"/>
          </w:tcPr>
          <w:p>
            <w:pPr>
              <w:spacing w:after="0"/>
              <w:rPr>
                <w:sz w:val="14"/>
                <w:szCs w:val="14"/>
                <w:color w:val="auto"/>
              </w:rPr>
            </w:pPr>
          </w:p>
        </w:tc>
        <w:tc>
          <w:tcPr>
            <w:tcW w:w="20" w:type="dxa"/>
            <w:vAlign w:val="bottom"/>
            <w:tcBorders>
              <w:top w:val="single" w:sz="8" w:color="0000FF"/>
              <w:bottom w:val="single" w:sz="8" w:color="CEFEE7"/>
            </w:tcBorders>
            <w:shd w:val="clear" w:color="auto" w:fill="CEFEE7"/>
          </w:tcPr>
          <w:p>
            <w:pPr>
              <w:spacing w:after="0"/>
              <w:rPr>
                <w:sz w:val="14"/>
                <w:szCs w:val="14"/>
                <w:color w:val="auto"/>
              </w:rPr>
            </w:pPr>
          </w:p>
        </w:tc>
        <w:tc>
          <w:tcPr>
            <w:tcW w:w="80" w:type="dxa"/>
            <w:vAlign w:val="bottom"/>
            <w:tcBorders>
              <w:top w:val="single" w:sz="8" w:color="0000FF"/>
              <w:bottom w:val="single" w:sz="8" w:color="CEFEE7"/>
            </w:tcBorders>
            <w:gridSpan w:val="2"/>
            <w:shd w:val="clear" w:color="auto" w:fill="CEFEE7"/>
          </w:tcPr>
          <w:p>
            <w:pPr>
              <w:spacing w:after="0"/>
              <w:rPr>
                <w:sz w:val="14"/>
                <w:szCs w:val="14"/>
                <w:color w:val="auto"/>
              </w:rPr>
            </w:pPr>
          </w:p>
        </w:tc>
        <w:tc>
          <w:tcPr>
            <w:tcW w:w="80" w:type="dxa"/>
            <w:vAlign w:val="bottom"/>
            <w:tcBorders>
              <w:top w:val="single" w:sz="8" w:color="0000FF"/>
              <w:bottom w:val="single" w:sz="8" w:color="CEFEE7"/>
            </w:tcBorders>
            <w:gridSpan w:val="3"/>
            <w:shd w:val="clear" w:color="auto" w:fill="CEFEE7"/>
          </w:tcPr>
          <w:p>
            <w:pPr>
              <w:spacing w:after="0"/>
              <w:rPr>
                <w:sz w:val="14"/>
                <w:szCs w:val="14"/>
                <w:color w:val="auto"/>
              </w:rPr>
            </w:pPr>
          </w:p>
        </w:tc>
        <w:tc>
          <w:tcPr>
            <w:tcW w:w="160" w:type="dxa"/>
            <w:vAlign w:val="bottom"/>
            <w:tcBorders>
              <w:top w:val="single" w:sz="8" w:color="0000FF"/>
              <w:bottom w:val="single" w:sz="8" w:color="CEFEE7"/>
            </w:tcBorders>
            <w:gridSpan w:val="5"/>
            <w:shd w:val="clear" w:color="auto" w:fill="CEFEE7"/>
          </w:tcPr>
          <w:p>
            <w:pPr>
              <w:spacing w:after="0"/>
              <w:rPr>
                <w:sz w:val="14"/>
                <w:szCs w:val="14"/>
                <w:color w:val="auto"/>
              </w:rPr>
            </w:pPr>
          </w:p>
        </w:tc>
        <w:tc>
          <w:tcPr>
            <w:tcW w:w="80" w:type="dxa"/>
            <w:vAlign w:val="bottom"/>
            <w:tcBorders>
              <w:top w:val="single" w:sz="8" w:color="CEFEE7"/>
              <w:bottom w:val="single" w:sz="8" w:color="CEFEE7"/>
            </w:tcBorders>
            <w:shd w:val="clear" w:color="auto" w:fill="CEFEE7"/>
          </w:tcPr>
          <w:p>
            <w:pPr>
              <w:spacing w:after="0"/>
              <w:rPr>
                <w:sz w:val="14"/>
                <w:szCs w:val="14"/>
                <w:color w:val="auto"/>
              </w:rPr>
            </w:pPr>
          </w:p>
        </w:tc>
      </w:tr>
      <w:tr>
        <w:trPr>
          <w:trHeight w:val="175"/>
        </w:trPr>
        <w:tc>
          <w:tcPr>
            <w:tcW w:w="1320" w:type="dxa"/>
            <w:vAlign w:val="bottom"/>
            <w:tcBorders>
              <w:top w:val="single" w:sz="8" w:color="CEFEE7"/>
            </w:tcBorders>
          </w:tcPr>
          <w:p>
            <w:pPr>
              <w:ind w:left="20"/>
              <w:spacing w:after="0" w:line="175" w:lineRule="exact"/>
              <w:rPr>
                <w:sz w:val="20"/>
                <w:szCs w:val="20"/>
                <w:color w:val="auto"/>
              </w:rPr>
            </w:pPr>
            <w:r>
              <w:rPr>
                <w:rFonts w:ascii="Arial" w:cs="Arial" w:eastAsia="Arial" w:hAnsi="Arial"/>
                <w:sz w:val="16"/>
                <w:szCs w:val="16"/>
                <w:color w:val="auto"/>
              </w:rPr>
              <w:t>10.24</w:t>
            </w:r>
          </w:p>
        </w:tc>
        <w:tc>
          <w:tcPr>
            <w:tcW w:w="9880" w:type="dxa"/>
            <w:vAlign w:val="bottom"/>
            <w:tcBorders>
              <w:top w:val="single" w:sz="8" w:color="CEFEE7"/>
            </w:tcBorders>
            <w:gridSpan w:val="32"/>
          </w:tcPr>
          <w:p>
            <w:pPr>
              <w:spacing w:after="0" w:line="175" w:lineRule="exact"/>
              <w:rPr>
                <w:rFonts w:ascii="Arial" w:cs="Arial" w:eastAsia="Arial" w:hAnsi="Arial"/>
                <w:sz w:val="16"/>
                <w:szCs w:val="16"/>
                <w:color w:val="0000FF"/>
              </w:rPr>
            </w:pPr>
            <w:hyperlink r:id="rId226">
              <w:r>
                <w:rPr>
                  <w:rFonts w:ascii="Arial" w:cs="Arial" w:eastAsia="Arial" w:hAnsi="Arial"/>
                  <w:sz w:val="16"/>
                  <w:szCs w:val="16"/>
                  <w:color w:val="0000FF"/>
                </w:rPr>
                <w:t xml:space="preserve">Third Amended and Restated Credit Agreement dated as of July 30, 2018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 Credit Facility), among</w:t>
              </w:r>
            </w:hyperlink>
          </w:p>
        </w:tc>
      </w:tr>
      <w:tr>
        <w:trPr>
          <w:trHeight w:val="142"/>
        </w:trPr>
        <w:tc>
          <w:tcPr>
            <w:tcW w:w="1320" w:type="dxa"/>
            <w:vAlign w:val="bottom"/>
          </w:tcPr>
          <w:p>
            <w:pPr>
              <w:spacing w:after="0"/>
              <w:rPr>
                <w:sz w:val="12"/>
                <w:szCs w:val="12"/>
                <w:color w:val="auto"/>
              </w:rPr>
            </w:pPr>
          </w:p>
        </w:tc>
        <w:tc>
          <w:tcPr>
            <w:tcW w:w="94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Black Hills Corporation, as Borrower, the financial institutions party thereto, as Banks, and U.S. Bank, National Association, as</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40" w:type="dxa"/>
            <w:vAlign w:val="bottom"/>
            <w:gridSpan w:val="6"/>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90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Administrative Agent (filed as Exhibit 10.1 to the Registrant’s Form 8-K filed on July 31, 2018).</w:t>
              </w:r>
            </w:hyperlink>
          </w:p>
        </w:tc>
        <w:tc>
          <w:tcPr>
            <w:tcW w:w="440" w:type="dxa"/>
            <w:vAlign w:val="bottom"/>
            <w:gridSpan w:val="9"/>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40" w:type="dxa"/>
            <w:vAlign w:val="bottom"/>
            <w:gridSpan w:val="6"/>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10.25</w:t>
            </w:r>
          </w:p>
        </w:tc>
        <w:tc>
          <w:tcPr>
            <w:tcW w:w="9880" w:type="dxa"/>
            <w:vAlign w:val="bottom"/>
            <w:gridSpan w:val="32"/>
            <w:shd w:val="clear" w:color="auto" w:fill="CEFEE7"/>
          </w:tcPr>
          <w:p>
            <w:pPr>
              <w:spacing w:after="0" w:line="175" w:lineRule="exact"/>
              <w:rPr>
                <w:rFonts w:ascii="Arial" w:cs="Arial" w:eastAsia="Arial" w:hAnsi="Arial"/>
                <w:sz w:val="16"/>
                <w:szCs w:val="16"/>
                <w:color w:val="0000FF"/>
              </w:rPr>
            </w:pPr>
            <w:hyperlink r:id="rId227">
              <w:r>
                <w:rPr>
                  <w:rFonts w:ascii="Arial" w:cs="Arial" w:eastAsia="Arial" w:hAnsi="Arial"/>
                  <w:sz w:val="16"/>
                  <w:szCs w:val="16"/>
                  <w:color w:val="0000FF"/>
                </w:rPr>
                <w:t xml:space="preserve">Amended and Restated Credit Agreement dated as of July 30, 2018 (relating to </w:t>
              </w:r>
              <w:r>
                <w:rPr>
                  <w:rFonts w:ascii="Arial" w:cs="Arial" w:eastAsia="Arial" w:hAnsi="Arial"/>
                  <w:sz w:val="16"/>
                  <w:szCs w:val="16"/>
                  <w:u w:val="single" w:color="auto"/>
                  <w:color w:val="0000FF"/>
                </w:rPr>
                <w:t>$</w:t>
              </w:r>
              <w:r>
                <w:rPr>
                  <w:rFonts w:ascii="Arial" w:cs="Arial" w:eastAsia="Arial" w:hAnsi="Arial"/>
                  <w:sz w:val="16"/>
                  <w:szCs w:val="16"/>
                  <w:color w:val="0000FF"/>
                </w:rPr>
                <w:t>300 million, two-year term loan), among Black Hills</w:t>
              </w:r>
            </w:hyperlink>
          </w:p>
        </w:tc>
      </w:tr>
      <w:tr>
        <w:trPr>
          <w:trHeight w:val="142"/>
        </w:trPr>
        <w:tc>
          <w:tcPr>
            <w:tcW w:w="1320" w:type="dxa"/>
            <w:vAlign w:val="bottom"/>
            <w:tcBorders>
              <w:top w:val="single" w:sz="8" w:color="CEFEE7"/>
              <w:bottom w:val="single" w:sz="8" w:color="CEFEE7"/>
            </w:tcBorders>
            <w:shd w:val="clear" w:color="auto" w:fill="CEFEE7"/>
          </w:tcPr>
          <w:p>
            <w:pPr>
              <w:spacing w:after="0"/>
              <w:rPr>
                <w:sz w:val="12"/>
                <w:szCs w:val="12"/>
                <w:color w:val="auto"/>
              </w:rPr>
            </w:pPr>
          </w:p>
        </w:tc>
        <w:tc>
          <w:tcPr>
            <w:tcW w:w="9480" w:type="dxa"/>
            <w:vAlign w:val="bottom"/>
            <w:tcBorders>
              <w:top w:val="single" w:sz="8" w:color="0000FF"/>
              <w:bottom w:val="single" w:sz="8" w:color="0000FF"/>
            </w:tcBorders>
            <w:gridSpan w:val="21"/>
            <w:shd w:val="clear" w:color="auto" w:fill="CEFEE7"/>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Corporation, as Borrower, the financial institutions party thereto, as Banks, and JPMorgan Chase Bank, N.A., as Administrative Agent</w:t>
              </w:r>
            </w:hyperlink>
          </w:p>
        </w:tc>
        <w:tc>
          <w:tcPr>
            <w:tcW w:w="80" w:type="dxa"/>
            <w:vAlign w:val="bottom"/>
            <w:tcBorders>
              <w:top w:val="single" w:sz="8" w:color="CEFEE7"/>
              <w:bottom w:val="single" w:sz="8" w:color="0000FF"/>
            </w:tcBorders>
            <w:gridSpan w:val="2"/>
            <w:shd w:val="clear" w:color="auto" w:fill="CEFEE7"/>
          </w:tcPr>
          <w:p>
            <w:pPr>
              <w:spacing w:after="0"/>
              <w:rPr>
                <w:sz w:val="12"/>
                <w:szCs w:val="12"/>
                <w:color w:val="auto"/>
              </w:rPr>
            </w:pPr>
          </w:p>
        </w:tc>
        <w:tc>
          <w:tcPr>
            <w:tcW w:w="80" w:type="dxa"/>
            <w:vAlign w:val="bottom"/>
            <w:tcBorders>
              <w:top w:val="single" w:sz="8" w:color="CEFEE7"/>
              <w:bottom w:val="single" w:sz="8" w:color="CEFEE7"/>
            </w:tcBorders>
            <w:gridSpan w:val="3"/>
            <w:shd w:val="clear" w:color="auto" w:fill="CEFEE7"/>
          </w:tcPr>
          <w:p>
            <w:pPr>
              <w:spacing w:after="0"/>
              <w:rPr>
                <w:sz w:val="12"/>
                <w:szCs w:val="12"/>
                <w:color w:val="auto"/>
              </w:rPr>
            </w:pPr>
          </w:p>
        </w:tc>
        <w:tc>
          <w:tcPr>
            <w:tcW w:w="240" w:type="dxa"/>
            <w:vAlign w:val="bottom"/>
            <w:tcBorders>
              <w:top w:val="single" w:sz="8" w:color="CEFEE7"/>
              <w:bottom w:val="single" w:sz="8" w:color="CEFEE7"/>
            </w:tcBorders>
            <w:gridSpan w:val="6"/>
            <w:shd w:val="clear" w:color="auto" w:fill="CEFEE7"/>
          </w:tcPr>
          <w:p>
            <w:pPr>
              <w:spacing w:after="0"/>
              <w:rPr>
                <w:sz w:val="12"/>
                <w:szCs w:val="12"/>
                <w:color w:val="auto"/>
              </w:rPr>
            </w:pPr>
          </w:p>
        </w:tc>
      </w:tr>
      <w:tr>
        <w:trPr>
          <w:trHeight w:val="163"/>
        </w:trPr>
        <w:tc>
          <w:tcPr>
            <w:tcW w:w="1320" w:type="dxa"/>
            <w:vAlign w:val="bottom"/>
            <w:tcBorders>
              <w:bottom w:val="single" w:sz="8" w:color="CEFEE7"/>
            </w:tcBorders>
            <w:shd w:val="clear" w:color="auto" w:fill="CEFEE7"/>
          </w:tcPr>
          <w:p>
            <w:pPr>
              <w:spacing w:after="0"/>
              <w:rPr>
                <w:sz w:val="14"/>
                <w:szCs w:val="14"/>
                <w:color w:val="auto"/>
              </w:rPr>
            </w:pPr>
          </w:p>
        </w:tc>
        <w:tc>
          <w:tcPr>
            <w:tcW w:w="5220" w:type="dxa"/>
            <w:vAlign w:val="bottom"/>
            <w:tcBorders>
              <w:bottom w:val="single" w:sz="8" w:color="0000FF"/>
            </w:tcBorders>
            <w:gridSpan w:val="7"/>
            <w:shd w:val="clear" w:color="auto" w:fill="CEFEE7"/>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(filed as Exhibit 10.2 to the Registrant’s Form 8-K filed on July 31, 2018).</w:t>
              </w:r>
            </w:hyperlink>
          </w:p>
        </w:tc>
        <w:tc>
          <w:tcPr>
            <w:tcW w:w="4340" w:type="dxa"/>
            <w:vAlign w:val="bottom"/>
            <w:tcBorders>
              <w:bottom w:val="single" w:sz="8" w:color="CEFEE7"/>
            </w:tcBorders>
            <w:gridSpan w:val="16"/>
            <w:shd w:val="clear" w:color="auto" w:fill="CEFEE7"/>
          </w:tcPr>
          <w:p>
            <w:pPr>
              <w:spacing w:after="0"/>
              <w:rPr>
                <w:sz w:val="14"/>
                <w:szCs w:val="14"/>
                <w:color w:val="auto"/>
              </w:rPr>
            </w:pPr>
          </w:p>
        </w:tc>
        <w:tc>
          <w:tcPr>
            <w:tcW w:w="80" w:type="dxa"/>
            <w:vAlign w:val="bottom"/>
            <w:tcBorders>
              <w:bottom w:val="single" w:sz="8" w:color="CEFEE7"/>
            </w:tcBorders>
            <w:gridSpan w:val="3"/>
            <w:shd w:val="clear" w:color="auto" w:fill="CEFEE7"/>
          </w:tcPr>
          <w:p>
            <w:pPr>
              <w:spacing w:after="0"/>
              <w:rPr>
                <w:sz w:val="14"/>
                <w:szCs w:val="14"/>
                <w:color w:val="auto"/>
              </w:rPr>
            </w:pPr>
          </w:p>
        </w:tc>
        <w:tc>
          <w:tcPr>
            <w:tcW w:w="240" w:type="dxa"/>
            <w:vAlign w:val="bottom"/>
            <w:tcBorders>
              <w:bottom w:val="single" w:sz="8" w:color="CEFEE7"/>
            </w:tcBorders>
            <w:gridSpan w:val="6"/>
            <w:shd w:val="clear" w:color="auto" w:fill="CEFEE7"/>
          </w:tcPr>
          <w:p>
            <w:pPr>
              <w:spacing w:after="0"/>
              <w:rPr>
                <w:sz w:val="14"/>
                <w:szCs w:val="14"/>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10.25.1</w:t>
            </w:r>
          </w:p>
        </w:tc>
        <w:tc>
          <w:tcPr>
            <w:tcW w:w="9880" w:type="dxa"/>
            <w:vAlign w:val="bottom"/>
            <w:gridSpan w:val="32"/>
          </w:tcPr>
          <w:p>
            <w:pPr>
              <w:spacing w:after="0" w:line="175" w:lineRule="exact"/>
              <w:rPr>
                <w:rFonts w:ascii="Arial" w:cs="Arial" w:eastAsia="Arial" w:hAnsi="Arial"/>
                <w:sz w:val="16"/>
                <w:szCs w:val="16"/>
                <w:color w:val="0000FF"/>
              </w:rPr>
            </w:pPr>
            <w:hyperlink r:id="rId228">
              <w:r>
                <w:rPr>
                  <w:rFonts w:ascii="Arial" w:cs="Arial" w:eastAsia="Arial" w:hAnsi="Arial"/>
                  <w:sz w:val="16"/>
                  <w:szCs w:val="16"/>
                  <w:color w:val="0000FF"/>
                </w:rPr>
                <w:t>First Amendment dated as of June 17, 2019 to Amended and Restated Credit Agreement dated as of July 30, 2018, among Black Hills</w:t>
              </w:r>
            </w:hyperlink>
          </w:p>
        </w:tc>
      </w:tr>
      <w:tr>
        <w:trPr>
          <w:trHeight w:val="142"/>
        </w:trPr>
        <w:tc>
          <w:tcPr>
            <w:tcW w:w="1320" w:type="dxa"/>
            <w:vAlign w:val="bottom"/>
          </w:tcPr>
          <w:p>
            <w:pPr>
              <w:spacing w:after="0"/>
              <w:rPr>
                <w:sz w:val="12"/>
                <w:szCs w:val="12"/>
                <w:color w:val="auto"/>
              </w:rPr>
            </w:pPr>
          </w:p>
        </w:tc>
        <w:tc>
          <w:tcPr>
            <w:tcW w:w="96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Corporation, as Borrower, the financial institutions party thereto, as Banks, and JPMorgan Chase Bank, N.A., as Administrative Agent</w:t>
              </w:r>
            </w:hyperlink>
          </w:p>
        </w:tc>
        <w:tc>
          <w:tcPr>
            <w:tcW w:w="240" w:type="dxa"/>
            <w:vAlign w:val="bottom"/>
            <w:gridSpan w:val="6"/>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95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(filed as Exhibit 10.1 to the Registrant’s Form 8–K filed on June 17, 2019).</w:t>
              </w:r>
            </w:hyperlink>
          </w:p>
        </w:tc>
        <w:tc>
          <w:tcPr>
            <w:tcW w:w="320" w:type="dxa"/>
            <w:vAlign w:val="bottom"/>
            <w:gridSpan w:val="9"/>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10.26</w:t>
            </w:r>
          </w:p>
        </w:tc>
        <w:tc>
          <w:tcPr>
            <w:tcW w:w="9880" w:type="dxa"/>
            <w:vAlign w:val="bottom"/>
            <w:gridSpan w:val="8"/>
            <w:shd w:val="clear" w:color="auto" w:fill="CEFEE7"/>
          </w:tcPr>
          <w:p>
            <w:pPr>
              <w:spacing w:after="0"/>
              <w:rPr>
                <w:sz w:val="20"/>
                <w:szCs w:val="20"/>
                <w:color w:val="auto"/>
              </w:rPr>
            </w:pPr>
            <w:r>
              <w:rPr>
                <w:rFonts w:ascii="Arial" w:cs="Arial" w:eastAsia="Arial" w:hAnsi="Arial"/>
                <w:sz w:val="16"/>
                <w:szCs w:val="16"/>
                <w:color w:val="auto"/>
              </w:rPr>
              <w:t>Coal Leases between WRDC and the Federal Government</w:t>
            </w:r>
          </w:p>
        </w:tc>
      </w:tr>
      <w:tr>
        <w:trPr>
          <w:trHeight w:val="162"/>
        </w:trPr>
        <w:tc>
          <w:tcPr>
            <w:tcW w:w="1320" w:type="dxa"/>
            <w:vAlign w:val="bottom"/>
            <w:shd w:val="clear" w:color="auto" w:fill="CEFEE7"/>
          </w:tcPr>
          <w:p>
            <w:pPr>
              <w:spacing w:after="0"/>
              <w:rPr>
                <w:sz w:val="14"/>
                <w:szCs w:val="14"/>
                <w:color w:val="auto"/>
              </w:rPr>
            </w:pPr>
          </w:p>
        </w:tc>
        <w:tc>
          <w:tcPr>
            <w:tcW w:w="9880" w:type="dxa"/>
            <w:vAlign w:val="bottom"/>
            <w:gridSpan w:val="8"/>
            <w:shd w:val="clear" w:color="auto" w:fill="CEFEE7"/>
          </w:tcPr>
          <w:p>
            <w:pPr>
              <w:spacing w:after="0" w:line="162" w:lineRule="exact"/>
              <w:rPr>
                <w:sz w:val="20"/>
                <w:szCs w:val="20"/>
                <w:color w:val="auto"/>
              </w:rPr>
            </w:pPr>
            <w:r>
              <w:rPr>
                <w:rFonts w:ascii="Arial" w:cs="Arial" w:eastAsia="Arial" w:hAnsi="Arial"/>
                <w:sz w:val="16"/>
                <w:szCs w:val="16"/>
                <w:color w:val="auto"/>
              </w:rPr>
              <w:t>-Dated May 1, 1959 (filed as Exhibit 5(i)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162"/>
        </w:trPr>
        <w:tc>
          <w:tcPr>
            <w:tcW w:w="1320" w:type="dxa"/>
            <w:vAlign w:val="bottom"/>
            <w:shd w:val="clear" w:color="auto" w:fill="CEFEE7"/>
          </w:tcPr>
          <w:p>
            <w:pPr>
              <w:spacing w:after="0"/>
              <w:rPr>
                <w:sz w:val="14"/>
                <w:szCs w:val="14"/>
                <w:color w:val="auto"/>
              </w:rPr>
            </w:pPr>
          </w:p>
        </w:tc>
        <w:tc>
          <w:tcPr>
            <w:tcW w:w="9880" w:type="dxa"/>
            <w:vAlign w:val="bottom"/>
            <w:gridSpan w:val="8"/>
            <w:shd w:val="clear" w:color="auto" w:fill="CEFEE7"/>
          </w:tcPr>
          <w:p>
            <w:pPr>
              <w:spacing w:after="0" w:line="162" w:lineRule="exact"/>
              <w:rPr>
                <w:sz w:val="20"/>
                <w:szCs w:val="20"/>
                <w:color w:val="auto"/>
              </w:rPr>
            </w:pPr>
            <w:r>
              <w:rPr>
                <w:rFonts w:ascii="Arial" w:cs="Arial" w:eastAsia="Arial" w:hAnsi="Arial"/>
                <w:sz w:val="16"/>
                <w:szCs w:val="16"/>
                <w:color w:val="auto"/>
              </w:rPr>
              <w:t>-Modified January 22, 1990 (filed as Exhibit 10(h)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62"/>
        </w:trPr>
        <w:tc>
          <w:tcPr>
            <w:tcW w:w="1320" w:type="dxa"/>
            <w:vAlign w:val="bottom"/>
            <w:shd w:val="clear" w:color="auto" w:fill="CEFEE7"/>
          </w:tcPr>
          <w:p>
            <w:pPr>
              <w:spacing w:after="0"/>
              <w:rPr>
                <w:sz w:val="14"/>
                <w:szCs w:val="14"/>
                <w:color w:val="auto"/>
              </w:rPr>
            </w:pPr>
          </w:p>
        </w:tc>
        <w:tc>
          <w:tcPr>
            <w:tcW w:w="9880" w:type="dxa"/>
            <w:vAlign w:val="bottom"/>
            <w:gridSpan w:val="8"/>
            <w:shd w:val="clear" w:color="auto" w:fill="CEFEE7"/>
          </w:tcPr>
          <w:p>
            <w:pPr>
              <w:spacing w:after="0" w:line="162" w:lineRule="exact"/>
              <w:rPr>
                <w:sz w:val="20"/>
                <w:szCs w:val="20"/>
                <w:color w:val="auto"/>
              </w:rPr>
            </w:pPr>
            <w:r>
              <w:rPr>
                <w:rFonts w:ascii="Arial" w:cs="Arial" w:eastAsia="Arial" w:hAnsi="Arial"/>
                <w:sz w:val="16"/>
                <w:szCs w:val="16"/>
                <w:color w:val="auto"/>
              </w:rPr>
              <w:t>-Dated April 1, 1961 (filed as Exhibit 5(j)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162"/>
        </w:trPr>
        <w:tc>
          <w:tcPr>
            <w:tcW w:w="1320" w:type="dxa"/>
            <w:vAlign w:val="bottom"/>
            <w:shd w:val="clear" w:color="auto" w:fill="CEFEE7"/>
          </w:tcPr>
          <w:p>
            <w:pPr>
              <w:spacing w:after="0"/>
              <w:rPr>
                <w:sz w:val="14"/>
                <w:szCs w:val="14"/>
                <w:color w:val="auto"/>
              </w:rPr>
            </w:pPr>
          </w:p>
        </w:tc>
        <w:tc>
          <w:tcPr>
            <w:tcW w:w="9880" w:type="dxa"/>
            <w:vAlign w:val="bottom"/>
            <w:gridSpan w:val="8"/>
            <w:shd w:val="clear" w:color="auto" w:fill="CEFEE7"/>
          </w:tcPr>
          <w:p>
            <w:pPr>
              <w:spacing w:after="0" w:line="162" w:lineRule="exact"/>
              <w:rPr>
                <w:sz w:val="20"/>
                <w:szCs w:val="20"/>
                <w:color w:val="auto"/>
              </w:rPr>
            </w:pPr>
            <w:r>
              <w:rPr>
                <w:rFonts w:ascii="Arial" w:cs="Arial" w:eastAsia="Arial" w:hAnsi="Arial"/>
                <w:sz w:val="16"/>
                <w:szCs w:val="16"/>
                <w:color w:val="auto"/>
              </w:rPr>
              <w:t>-Modified January 22, 1990 (filed as Exhibit 10(i) to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62"/>
        </w:trPr>
        <w:tc>
          <w:tcPr>
            <w:tcW w:w="1320" w:type="dxa"/>
            <w:vAlign w:val="bottom"/>
            <w:shd w:val="clear" w:color="auto" w:fill="CEFEE7"/>
          </w:tcPr>
          <w:p>
            <w:pPr>
              <w:spacing w:after="0"/>
              <w:rPr>
                <w:sz w:val="14"/>
                <w:szCs w:val="14"/>
                <w:color w:val="auto"/>
              </w:rPr>
            </w:pPr>
          </w:p>
        </w:tc>
        <w:tc>
          <w:tcPr>
            <w:tcW w:w="9880" w:type="dxa"/>
            <w:vAlign w:val="bottom"/>
            <w:gridSpan w:val="8"/>
            <w:shd w:val="clear" w:color="auto" w:fill="CEFEE7"/>
          </w:tcPr>
          <w:p>
            <w:pPr>
              <w:spacing w:after="0" w:line="162" w:lineRule="exact"/>
              <w:rPr>
                <w:sz w:val="20"/>
                <w:szCs w:val="20"/>
                <w:color w:val="auto"/>
              </w:rPr>
            </w:pPr>
            <w:r>
              <w:rPr>
                <w:rFonts w:ascii="Arial" w:cs="Arial" w:eastAsia="Arial" w:hAnsi="Arial"/>
                <w:sz w:val="16"/>
                <w:szCs w:val="16"/>
                <w:color w:val="auto"/>
              </w:rPr>
              <w:t>-Dated October 1, 1965 (filed as Exhibit 5(k)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201"/>
        </w:trPr>
        <w:tc>
          <w:tcPr>
            <w:tcW w:w="1320" w:type="dxa"/>
            <w:vAlign w:val="bottom"/>
            <w:shd w:val="clear" w:color="auto" w:fill="CEFEE7"/>
          </w:tcPr>
          <w:p>
            <w:pPr>
              <w:spacing w:after="0"/>
              <w:rPr>
                <w:sz w:val="17"/>
                <w:szCs w:val="17"/>
                <w:color w:val="auto"/>
              </w:rPr>
            </w:pPr>
          </w:p>
        </w:tc>
        <w:tc>
          <w:tcPr>
            <w:tcW w:w="9880" w:type="dxa"/>
            <w:vAlign w:val="bottom"/>
            <w:gridSpan w:val="8"/>
            <w:shd w:val="clear" w:color="auto" w:fill="CEFEE7"/>
          </w:tcPr>
          <w:p>
            <w:pPr>
              <w:spacing w:after="0" w:line="184" w:lineRule="exact"/>
              <w:rPr>
                <w:sz w:val="20"/>
                <w:szCs w:val="20"/>
                <w:color w:val="auto"/>
              </w:rPr>
            </w:pPr>
            <w:r>
              <w:rPr>
                <w:rFonts w:ascii="Arial" w:cs="Arial" w:eastAsia="Arial" w:hAnsi="Arial"/>
                <w:sz w:val="16"/>
                <w:szCs w:val="16"/>
                <w:color w:val="auto"/>
              </w:rPr>
              <w:t>-Modified January 22, 1990 (filed as Exhibit 10(j)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77"/>
        </w:trPr>
        <w:tc>
          <w:tcPr>
            <w:tcW w:w="1320" w:type="dxa"/>
            <w:vAlign w:val="bottom"/>
          </w:tcPr>
          <w:p>
            <w:pPr>
              <w:ind w:left="20"/>
              <w:spacing w:after="0" w:line="178" w:lineRule="exact"/>
              <w:rPr>
                <w:sz w:val="20"/>
                <w:szCs w:val="20"/>
                <w:color w:val="auto"/>
              </w:rPr>
            </w:pPr>
            <w:r>
              <w:rPr>
                <w:rFonts w:ascii="Arial" w:cs="Arial" w:eastAsia="Arial" w:hAnsi="Arial"/>
                <w:sz w:val="16"/>
                <w:szCs w:val="16"/>
                <w:color w:val="auto"/>
              </w:rPr>
              <w:t>10.27</w:t>
            </w:r>
          </w:p>
        </w:tc>
        <w:tc>
          <w:tcPr>
            <w:tcW w:w="9880" w:type="dxa"/>
            <w:vAlign w:val="bottom"/>
            <w:gridSpan w:val="8"/>
          </w:tcPr>
          <w:p>
            <w:pPr>
              <w:spacing w:after="0" w:line="178" w:lineRule="exact"/>
              <w:rPr>
                <w:sz w:val="20"/>
                <w:szCs w:val="20"/>
                <w:color w:val="auto"/>
              </w:rPr>
            </w:pPr>
            <w:r>
              <w:rPr>
                <w:rFonts w:ascii="Arial" w:cs="Arial" w:eastAsia="Arial" w:hAnsi="Arial"/>
                <w:sz w:val="16"/>
                <w:szCs w:val="16"/>
                <w:color w:val="auto"/>
              </w:rPr>
              <w:t>Assignment of Mining Leases and Related Agreement effective May 27, 1997, between WRDC and Kerr-McGee Coal Corporation (filed</w:t>
            </w:r>
          </w:p>
        </w:tc>
      </w:tr>
      <w:tr>
        <w:trPr>
          <w:trHeight w:val="198"/>
        </w:trPr>
        <w:tc>
          <w:tcPr>
            <w:tcW w:w="1320" w:type="dxa"/>
            <w:vAlign w:val="bottom"/>
          </w:tcPr>
          <w:p>
            <w:pPr>
              <w:spacing w:after="0"/>
              <w:rPr>
                <w:sz w:val="17"/>
                <w:szCs w:val="17"/>
                <w:color w:val="auto"/>
              </w:rPr>
            </w:pPr>
          </w:p>
        </w:tc>
        <w:tc>
          <w:tcPr>
            <w:tcW w:w="9880" w:type="dxa"/>
            <w:vAlign w:val="bottom"/>
            <w:gridSpan w:val="8"/>
          </w:tcPr>
          <w:p>
            <w:pPr>
              <w:spacing w:after="0"/>
              <w:rPr>
                <w:sz w:val="20"/>
                <w:szCs w:val="20"/>
                <w:color w:val="auto"/>
              </w:rPr>
            </w:pPr>
            <w:r>
              <w:rPr>
                <w:rFonts w:ascii="Arial" w:cs="Arial" w:eastAsia="Arial" w:hAnsi="Arial"/>
                <w:sz w:val="16"/>
                <w:szCs w:val="16"/>
                <w:color w:val="auto"/>
              </w:rPr>
              <w:t>as Exhibit 10(u) to the Registrant’s Form 10-K for 1997).</w:t>
            </w:r>
          </w:p>
        </w:tc>
      </w:tr>
      <w:tr>
        <w:trPr>
          <w:trHeight w:val="219"/>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21*</w:t>
            </w:r>
          </w:p>
        </w:tc>
        <w:tc>
          <w:tcPr>
            <w:tcW w:w="9880" w:type="dxa"/>
            <w:vAlign w:val="bottom"/>
            <w:gridSpan w:val="8"/>
            <w:shd w:val="clear" w:color="auto" w:fill="CEFEE7"/>
          </w:tcPr>
          <w:p>
            <w:pPr>
              <w:spacing w:after="0"/>
              <w:rPr>
                <w:rFonts w:ascii="Arial" w:cs="Arial" w:eastAsia="Arial" w:hAnsi="Arial"/>
                <w:sz w:val="16"/>
                <w:szCs w:val="16"/>
                <w:color w:val="0000FF"/>
              </w:rPr>
            </w:pPr>
            <w:hyperlink w:anchor="page182">
              <w:r>
                <w:rPr>
                  <w:rFonts w:ascii="Arial" w:cs="Arial" w:eastAsia="Arial" w:hAnsi="Arial"/>
                  <w:sz w:val="16"/>
                  <w:szCs w:val="16"/>
                  <w:u w:val="single" w:color="auto"/>
                  <w:color w:val="0000FF"/>
                </w:rPr>
                <w:t>List of Subsidiaries of Black Hills Corporation</w:t>
              </w:r>
              <w:r>
                <w:rPr>
                  <w:rFonts w:ascii="Arial" w:cs="Arial" w:eastAsia="Arial" w:hAnsi="Arial"/>
                  <w:sz w:val="16"/>
                  <w:szCs w:val="16"/>
                  <w:color w:val="0000FF"/>
                </w:rPr>
                <w:t>.</w:t>
              </w:r>
            </w:hyperlink>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23.1*</w:t>
            </w:r>
          </w:p>
        </w:tc>
        <w:tc>
          <w:tcPr>
            <w:tcW w:w="9880" w:type="dxa"/>
            <w:vAlign w:val="bottom"/>
            <w:gridSpan w:val="8"/>
          </w:tcPr>
          <w:p>
            <w:pPr>
              <w:spacing w:after="0"/>
              <w:rPr>
                <w:rFonts w:ascii="Arial" w:cs="Arial" w:eastAsia="Arial" w:hAnsi="Arial"/>
                <w:sz w:val="16"/>
                <w:szCs w:val="16"/>
                <w:u w:val="single" w:color="auto"/>
                <w:color w:val="0000FF"/>
              </w:rPr>
            </w:pPr>
            <w:hyperlink w:anchor="page183">
              <w:r>
                <w:rPr>
                  <w:rFonts w:ascii="Arial" w:cs="Arial" w:eastAsia="Arial" w:hAnsi="Arial"/>
                  <w:sz w:val="16"/>
                  <w:szCs w:val="16"/>
                  <w:u w:val="single" w:color="auto"/>
                  <w:color w:val="0000FF"/>
                </w:rPr>
                <w:t>Consent of Independent Registered Public Accounting Firm.</w:t>
              </w:r>
            </w:hyperlink>
          </w:p>
        </w:tc>
      </w:tr>
      <w:tr>
        <w:trPr>
          <w:trHeight w:val="178"/>
        </w:trPr>
        <w:tc>
          <w:tcPr>
            <w:tcW w:w="1320" w:type="dxa"/>
            <w:vAlign w:val="bottom"/>
            <w:shd w:val="clear" w:color="auto" w:fill="CEFEE7"/>
          </w:tcPr>
          <w:p>
            <w:pPr>
              <w:ind w:left="20"/>
              <w:spacing w:after="0" w:line="178" w:lineRule="exact"/>
              <w:rPr>
                <w:sz w:val="20"/>
                <w:szCs w:val="20"/>
                <w:color w:val="auto"/>
              </w:rPr>
            </w:pPr>
            <w:r>
              <w:rPr>
                <w:rFonts w:ascii="Arial" w:cs="Arial" w:eastAsia="Arial" w:hAnsi="Arial"/>
                <w:sz w:val="16"/>
                <w:szCs w:val="16"/>
                <w:color w:val="auto"/>
              </w:rPr>
              <w:t>31.1*</w:t>
            </w:r>
          </w:p>
        </w:tc>
        <w:tc>
          <w:tcPr>
            <w:tcW w:w="9880" w:type="dxa"/>
            <w:vAlign w:val="bottom"/>
            <w:gridSpan w:val="8"/>
            <w:shd w:val="clear" w:color="auto" w:fill="CEFEE7"/>
          </w:tcPr>
          <w:p>
            <w:pPr>
              <w:spacing w:after="0" w:line="178" w:lineRule="exact"/>
              <w:rPr>
                <w:rFonts w:ascii="Arial" w:cs="Arial" w:eastAsia="Arial" w:hAnsi="Arial"/>
                <w:sz w:val="16"/>
                <w:szCs w:val="16"/>
                <w:color w:val="0000FF"/>
              </w:rPr>
            </w:pPr>
            <w:hyperlink w:anchor="page184">
              <w:r>
                <w:rPr>
                  <w:rFonts w:ascii="Arial" w:cs="Arial" w:eastAsia="Arial" w:hAnsi="Arial"/>
                  <w:sz w:val="16"/>
                  <w:szCs w:val="16"/>
                  <w:color w:val="0000FF"/>
                </w:rPr>
                <w:t>Certification of Chief Executive Officer pursuant to Rule 13a - 14(a) of the Securities Exchange Act of 1934, as adopted pursuant to</w:t>
              </w:r>
            </w:hyperlink>
          </w:p>
        </w:tc>
      </w:tr>
      <w:tr>
        <w:trPr>
          <w:trHeight w:val="142"/>
        </w:trPr>
        <w:tc>
          <w:tcPr>
            <w:tcW w:w="1320" w:type="dxa"/>
            <w:vAlign w:val="bottom"/>
            <w:tcBorders>
              <w:top w:val="single" w:sz="8" w:color="CEFEE7"/>
            </w:tcBorders>
            <w:shd w:val="clear" w:color="auto" w:fill="CEFEE7"/>
          </w:tcPr>
          <w:p>
            <w:pPr>
              <w:spacing w:after="0"/>
              <w:rPr>
                <w:sz w:val="12"/>
                <w:szCs w:val="12"/>
                <w:color w:val="auto"/>
              </w:rPr>
            </w:pPr>
          </w:p>
        </w:tc>
        <w:tc>
          <w:tcPr>
            <w:tcW w:w="9380" w:type="dxa"/>
            <w:vAlign w:val="bottom"/>
            <w:tcBorders>
              <w:top w:val="single" w:sz="8" w:color="0000FF"/>
            </w:tcBorders>
            <w:gridSpan w:val="5"/>
            <w:shd w:val="clear" w:color="auto" w:fill="CEFEE7"/>
          </w:tcPr>
          <w:p>
            <w:pPr>
              <w:spacing w:after="0" w:line="142" w:lineRule="exact"/>
              <w:rPr>
                <w:rFonts w:ascii="Arial" w:cs="Arial" w:eastAsia="Arial" w:hAnsi="Arial"/>
                <w:sz w:val="16"/>
                <w:szCs w:val="16"/>
                <w:color w:val="0000FF"/>
              </w:rPr>
            </w:pPr>
            <w:hyperlink w:anchor="page184">
              <w:r>
                <w:rPr>
                  <w:rFonts w:ascii="Arial" w:cs="Arial" w:eastAsia="Arial" w:hAnsi="Arial"/>
                  <w:sz w:val="16"/>
                  <w:szCs w:val="16"/>
                  <w:color w:val="0000FF"/>
                </w:rPr>
                <w:t>Section 302 of the Sarbanes - Oxley Act of 2002.</w:t>
              </w:r>
            </w:hyperlink>
          </w:p>
        </w:tc>
        <w:tc>
          <w:tcPr>
            <w:tcW w:w="260" w:type="dxa"/>
            <w:vAlign w:val="bottom"/>
            <w:tcBorders>
              <w:top w:val="single" w:sz="8" w:color="CEFEE7"/>
            </w:tcBorders>
            <w:shd w:val="clear" w:color="auto" w:fill="CEFEE7"/>
          </w:tcPr>
          <w:p>
            <w:pPr>
              <w:spacing w:after="0"/>
              <w:rPr>
                <w:sz w:val="12"/>
                <w:szCs w:val="12"/>
                <w:color w:val="auto"/>
              </w:rPr>
            </w:pPr>
          </w:p>
        </w:tc>
        <w:tc>
          <w:tcPr>
            <w:tcW w:w="220" w:type="dxa"/>
            <w:vAlign w:val="bottom"/>
            <w:tcBorders>
              <w:top w:val="single" w:sz="8" w:color="CEFEE7"/>
            </w:tcBorders>
            <w:shd w:val="clear" w:color="auto" w:fill="CEFEE7"/>
          </w:tcPr>
          <w:p>
            <w:pPr>
              <w:spacing w:after="0"/>
              <w:rPr>
                <w:sz w:val="12"/>
                <w:szCs w:val="12"/>
                <w:color w:val="auto"/>
              </w:rPr>
            </w:pPr>
          </w:p>
        </w:tc>
        <w:tc>
          <w:tcPr>
            <w:tcW w:w="20" w:type="dxa"/>
            <w:vAlign w:val="bottom"/>
            <w:tcBorders>
              <w:top w:val="single" w:sz="8" w:color="CEFEE7"/>
            </w:tcBorders>
            <w:shd w:val="clear" w:color="auto" w:fill="CEFEE7"/>
          </w:tcPr>
          <w:p>
            <w:pPr>
              <w:spacing w:after="0"/>
              <w:rPr>
                <w:sz w:val="12"/>
                <w:szCs w:val="12"/>
                <w:color w:val="auto"/>
              </w:rPr>
            </w:pPr>
          </w:p>
        </w:tc>
      </w:tr>
      <w:tr>
        <w:trPr>
          <w:trHeight w:val="21"/>
        </w:trPr>
        <w:tc>
          <w:tcPr>
            <w:tcW w:w="1320" w:type="dxa"/>
            <w:vAlign w:val="bottom"/>
            <w:tcBorders>
              <w:top w:val="single" w:sz="8" w:color="CEFEE7"/>
            </w:tcBorders>
            <w:shd w:val="clear" w:color="auto" w:fill="CEFEE7"/>
          </w:tcPr>
          <w:p>
            <w:pPr>
              <w:spacing w:after="0" w:line="20" w:lineRule="exact"/>
              <w:rPr>
                <w:sz w:val="1"/>
                <w:szCs w:val="1"/>
                <w:color w:val="auto"/>
              </w:rPr>
            </w:pPr>
          </w:p>
        </w:tc>
        <w:tc>
          <w:tcPr>
            <w:tcW w:w="600" w:type="dxa"/>
            <w:vAlign w:val="bottom"/>
            <w:tcBorders>
              <w:top w:val="single" w:sz="8" w:color="0000FF"/>
            </w:tcBorders>
            <w:shd w:val="clear" w:color="auto" w:fill="CEFEE7"/>
          </w:tcPr>
          <w:p>
            <w:pPr>
              <w:spacing w:after="0" w:line="20" w:lineRule="exact"/>
              <w:rPr>
                <w:sz w:val="1"/>
                <w:szCs w:val="1"/>
                <w:color w:val="auto"/>
              </w:rPr>
            </w:pPr>
          </w:p>
        </w:tc>
        <w:tc>
          <w:tcPr>
            <w:tcW w:w="280" w:type="dxa"/>
            <w:vAlign w:val="bottom"/>
            <w:tcBorders>
              <w:top w:val="single" w:sz="8" w:color="0000FF"/>
            </w:tcBorders>
            <w:shd w:val="clear" w:color="auto" w:fill="CEFEE7"/>
          </w:tcPr>
          <w:p>
            <w:pPr>
              <w:spacing w:after="0" w:line="20" w:lineRule="exact"/>
              <w:rPr>
                <w:sz w:val="1"/>
                <w:szCs w:val="1"/>
                <w:color w:val="auto"/>
              </w:rPr>
            </w:pPr>
          </w:p>
        </w:tc>
        <w:tc>
          <w:tcPr>
            <w:tcW w:w="2640" w:type="dxa"/>
            <w:vAlign w:val="bottom"/>
            <w:tcBorders>
              <w:top w:val="single" w:sz="8" w:color="0000FF"/>
            </w:tcBorders>
            <w:shd w:val="clear" w:color="auto" w:fill="CEFEE7"/>
          </w:tcPr>
          <w:p>
            <w:pPr>
              <w:spacing w:after="0" w:line="20" w:lineRule="exact"/>
              <w:rPr>
                <w:sz w:val="1"/>
                <w:szCs w:val="1"/>
                <w:color w:val="auto"/>
              </w:rPr>
            </w:pPr>
          </w:p>
        </w:tc>
        <w:tc>
          <w:tcPr>
            <w:tcW w:w="5820" w:type="dxa"/>
            <w:vAlign w:val="bottom"/>
            <w:tcBorders>
              <w:top w:val="single" w:sz="8" w:color="CEFEE7"/>
            </w:tcBorders>
            <w:shd w:val="clear" w:color="auto" w:fill="CEFEE7"/>
          </w:tcPr>
          <w:p>
            <w:pPr>
              <w:spacing w:after="0" w:line="20" w:lineRule="exact"/>
              <w:rPr>
                <w:sz w:val="1"/>
                <w:szCs w:val="1"/>
                <w:color w:val="auto"/>
              </w:rPr>
            </w:pPr>
          </w:p>
        </w:tc>
        <w:tc>
          <w:tcPr>
            <w:tcW w:w="40" w:type="dxa"/>
            <w:vAlign w:val="bottom"/>
            <w:tcBorders>
              <w:top w:val="single" w:sz="8" w:color="CEFEE7"/>
            </w:tcBorders>
            <w:shd w:val="clear" w:color="auto" w:fill="CEFEE7"/>
          </w:tcPr>
          <w:p>
            <w:pPr>
              <w:spacing w:after="0" w:line="20" w:lineRule="exact"/>
              <w:rPr>
                <w:sz w:val="1"/>
                <w:szCs w:val="1"/>
                <w:color w:val="auto"/>
              </w:rPr>
            </w:pPr>
          </w:p>
        </w:tc>
        <w:tc>
          <w:tcPr>
            <w:tcW w:w="260" w:type="dxa"/>
            <w:vAlign w:val="bottom"/>
            <w:tcBorders>
              <w:top w:val="single" w:sz="8" w:color="CEFEE7"/>
            </w:tcBorders>
            <w:shd w:val="clear" w:color="auto" w:fill="CEFEE7"/>
          </w:tcPr>
          <w:p>
            <w:pPr>
              <w:spacing w:after="0" w:line="20" w:lineRule="exact"/>
              <w:rPr>
                <w:sz w:val="1"/>
                <w:szCs w:val="1"/>
                <w:color w:val="auto"/>
              </w:rPr>
            </w:pPr>
          </w:p>
        </w:tc>
        <w:tc>
          <w:tcPr>
            <w:tcW w:w="220" w:type="dxa"/>
            <w:vAlign w:val="bottom"/>
            <w:tcBorders>
              <w:top w:val="single" w:sz="8" w:color="CEFEE7"/>
            </w:tcBorders>
            <w:shd w:val="clear" w:color="auto" w:fill="CEFEE7"/>
          </w:tcPr>
          <w:p>
            <w:pPr>
              <w:spacing w:after="0" w:line="20" w:lineRule="exact"/>
              <w:rPr>
                <w:sz w:val="1"/>
                <w:szCs w:val="1"/>
                <w:color w:val="auto"/>
              </w:rPr>
            </w:pPr>
          </w:p>
        </w:tc>
        <w:tc>
          <w:tcPr>
            <w:tcW w:w="20" w:type="dxa"/>
            <w:vAlign w:val="bottom"/>
            <w:tcBorders>
              <w:top w:val="single" w:sz="8" w:color="CEFEE7"/>
            </w:tcBorders>
            <w:shd w:val="clear" w:color="auto" w:fill="CEFEE7"/>
          </w:tcPr>
          <w:p>
            <w:pPr>
              <w:spacing w:after="0" w:line="20" w:lineRule="exact"/>
              <w:rPr>
                <w:sz w:val="1"/>
                <w:szCs w:val="1"/>
                <w:color w:val="auto"/>
              </w:rPr>
            </w:pPr>
          </w:p>
        </w:tc>
      </w:tr>
      <w:tr>
        <w:trPr>
          <w:trHeight w:val="176"/>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880" w:type="dxa"/>
            <w:vAlign w:val="bottom"/>
            <w:gridSpan w:val="8"/>
          </w:tcPr>
          <w:p>
            <w:pPr>
              <w:spacing w:after="0" w:line="175" w:lineRule="exact"/>
              <w:rPr>
                <w:rFonts w:ascii="Arial" w:cs="Arial" w:eastAsia="Arial" w:hAnsi="Arial"/>
                <w:sz w:val="16"/>
                <w:szCs w:val="16"/>
                <w:color w:val="0000FF"/>
              </w:rPr>
            </w:pPr>
            <w:hyperlink w:anchor="page185">
              <w:r>
                <w:rPr>
                  <w:rFonts w:ascii="Arial" w:cs="Arial" w:eastAsia="Arial" w:hAnsi="Arial"/>
                  <w:sz w:val="16"/>
                  <w:szCs w:val="16"/>
                  <w:color w:val="0000FF"/>
                </w:rPr>
                <w:t>Certification of Chief Financial Officer pursuant to Rule 13a - 14(a) of the Securities Exchange Act of 1934, as adopted pursuant to</w:t>
              </w:r>
            </w:hyperlink>
          </w:p>
        </w:tc>
      </w:tr>
      <w:tr>
        <w:trPr>
          <w:trHeight w:val="142"/>
        </w:trPr>
        <w:tc>
          <w:tcPr>
            <w:tcW w:w="1320" w:type="dxa"/>
            <w:vAlign w:val="bottom"/>
          </w:tcPr>
          <w:p>
            <w:pPr>
              <w:spacing w:after="0"/>
              <w:rPr>
                <w:sz w:val="12"/>
                <w:szCs w:val="12"/>
                <w:color w:val="auto"/>
              </w:rPr>
            </w:pPr>
          </w:p>
        </w:tc>
        <w:tc>
          <w:tcPr>
            <w:tcW w:w="934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w:anchor="page185">
              <w:r>
                <w:rPr>
                  <w:rFonts w:ascii="Arial" w:cs="Arial" w:eastAsia="Arial" w:hAnsi="Arial"/>
                  <w:sz w:val="16"/>
                  <w:szCs w:val="16"/>
                  <w:color w:val="0000FF"/>
                </w:rPr>
                <w:t>Section 302 of the Sarbanes - Oxley Act of 2002.</w:t>
              </w:r>
            </w:hyperlink>
          </w:p>
        </w:tc>
        <w:tc>
          <w:tcPr>
            <w:tcW w:w="3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20" w:type="dxa"/>
            <w:vAlign w:val="bottom"/>
            <w:shd w:val="clear" w:color="auto" w:fill="CEFEE7"/>
          </w:tcPr>
          <w:p>
            <w:pPr>
              <w:ind w:left="20"/>
              <w:spacing w:after="0" w:line="175" w:lineRule="exact"/>
              <w:rPr>
                <w:sz w:val="20"/>
                <w:szCs w:val="20"/>
                <w:color w:val="auto"/>
              </w:rPr>
            </w:pPr>
            <w:r>
              <w:rPr>
                <w:rFonts w:ascii="Arial" w:cs="Arial" w:eastAsia="Arial" w:hAnsi="Arial"/>
                <w:sz w:val="16"/>
                <w:szCs w:val="16"/>
                <w:color w:val="auto"/>
              </w:rPr>
              <w:t>32.1*</w:t>
            </w:r>
          </w:p>
        </w:tc>
        <w:tc>
          <w:tcPr>
            <w:tcW w:w="9880" w:type="dxa"/>
            <w:vAlign w:val="bottom"/>
            <w:gridSpan w:val="8"/>
            <w:shd w:val="clear" w:color="auto" w:fill="CEFEE7"/>
          </w:tcPr>
          <w:p>
            <w:pPr>
              <w:spacing w:after="0" w:line="175" w:lineRule="exact"/>
              <w:rPr>
                <w:rFonts w:ascii="Arial" w:cs="Arial" w:eastAsia="Arial" w:hAnsi="Arial"/>
                <w:sz w:val="16"/>
                <w:szCs w:val="16"/>
                <w:color w:val="0000FF"/>
              </w:rPr>
            </w:pPr>
            <w:hyperlink w:anchor="page186">
              <w:r>
                <w:rPr>
                  <w:rFonts w:ascii="Arial" w:cs="Arial" w:eastAsia="Arial" w:hAnsi="Arial"/>
                  <w:sz w:val="16"/>
                  <w:szCs w:val="16"/>
                  <w:color w:val="0000FF"/>
                </w:rPr>
                <w:t>Certification of Chief Executive Officer pursuant to 18 U.S.C. Section 1350, as adopted pursuant to Section 906 of the Sarbanes-Oxley</w:t>
              </w:r>
            </w:hyperlink>
          </w:p>
        </w:tc>
      </w:tr>
      <w:tr>
        <w:trPr>
          <w:trHeight w:val="163"/>
        </w:trPr>
        <w:tc>
          <w:tcPr>
            <w:tcW w:w="1320" w:type="dxa"/>
            <w:vAlign w:val="bottom"/>
            <w:tcBorders>
              <w:top w:val="single" w:sz="8" w:color="CEFEE7"/>
              <w:bottom w:val="single" w:sz="8" w:color="CEFEE7"/>
            </w:tcBorders>
            <w:shd w:val="clear" w:color="auto" w:fill="CEFEE7"/>
          </w:tcPr>
          <w:p>
            <w:pPr>
              <w:spacing w:after="0"/>
              <w:rPr>
                <w:sz w:val="14"/>
                <w:szCs w:val="14"/>
                <w:color w:val="auto"/>
              </w:rPr>
            </w:pPr>
          </w:p>
        </w:tc>
        <w:tc>
          <w:tcPr>
            <w:tcW w:w="880" w:type="dxa"/>
            <w:vAlign w:val="bottom"/>
            <w:tcBorders>
              <w:top w:val="single" w:sz="8" w:color="0000FF"/>
              <w:bottom w:val="single" w:sz="8" w:color="0000FF"/>
            </w:tcBorders>
            <w:gridSpan w:val="2"/>
            <w:shd w:val="clear" w:color="auto" w:fill="CEFEE7"/>
          </w:tcPr>
          <w:p>
            <w:pPr>
              <w:spacing w:after="0" w:line="142" w:lineRule="exact"/>
              <w:rPr>
                <w:rFonts w:ascii="Arial" w:cs="Arial" w:eastAsia="Arial" w:hAnsi="Arial"/>
                <w:sz w:val="16"/>
                <w:szCs w:val="16"/>
                <w:color w:val="0000FF"/>
              </w:rPr>
            </w:pPr>
            <w:hyperlink w:anchor="page186">
              <w:r>
                <w:rPr>
                  <w:rFonts w:ascii="Arial" w:cs="Arial" w:eastAsia="Arial" w:hAnsi="Arial"/>
                  <w:sz w:val="16"/>
                  <w:szCs w:val="16"/>
                  <w:color w:val="0000FF"/>
                </w:rPr>
                <w:t>Act of 2002.</w:t>
              </w:r>
            </w:hyperlink>
          </w:p>
        </w:tc>
        <w:tc>
          <w:tcPr>
            <w:tcW w:w="8760" w:type="dxa"/>
            <w:vAlign w:val="bottom"/>
            <w:tcBorders>
              <w:top w:val="single" w:sz="8" w:color="0000FF"/>
              <w:bottom w:val="single" w:sz="8" w:color="CEFEE7"/>
            </w:tcBorders>
            <w:gridSpan w:val="4"/>
            <w:shd w:val="clear" w:color="auto" w:fill="CEFEE7"/>
          </w:tcPr>
          <w:p>
            <w:pPr>
              <w:spacing w:after="0"/>
              <w:rPr>
                <w:sz w:val="14"/>
                <w:szCs w:val="14"/>
                <w:color w:val="auto"/>
              </w:rPr>
            </w:pPr>
          </w:p>
        </w:tc>
        <w:tc>
          <w:tcPr>
            <w:tcW w:w="220" w:type="dxa"/>
            <w:vAlign w:val="bottom"/>
            <w:tcBorders>
              <w:top w:val="single" w:sz="8" w:color="CEFEE7"/>
              <w:bottom w:val="single" w:sz="8" w:color="CEFEE7"/>
            </w:tcBorders>
            <w:shd w:val="clear" w:color="auto" w:fill="CEFEE7"/>
          </w:tcPr>
          <w:p>
            <w:pPr>
              <w:spacing w:after="0"/>
              <w:rPr>
                <w:sz w:val="14"/>
                <w:szCs w:val="14"/>
                <w:color w:val="auto"/>
              </w:rPr>
            </w:pPr>
          </w:p>
        </w:tc>
        <w:tc>
          <w:tcPr>
            <w:tcW w:w="20" w:type="dxa"/>
            <w:vAlign w:val="bottom"/>
            <w:tcBorders>
              <w:top w:val="single" w:sz="8" w:color="CEFEE7"/>
              <w:bottom w:val="single" w:sz="8" w:color="CEFEE7"/>
            </w:tcBorders>
            <w:shd w:val="clear" w:color="auto" w:fill="CEFEE7"/>
          </w:tcPr>
          <w:p>
            <w:pPr>
              <w:spacing w:after="0"/>
              <w:rPr>
                <w:sz w:val="14"/>
                <w:szCs w:val="14"/>
                <w:color w:val="auto"/>
              </w:rPr>
            </w:pPr>
          </w:p>
        </w:tc>
      </w:tr>
      <w:tr>
        <w:trPr>
          <w:trHeight w:val="175"/>
        </w:trPr>
        <w:tc>
          <w:tcPr>
            <w:tcW w:w="1320" w:type="dxa"/>
            <w:vAlign w:val="bottom"/>
          </w:tcPr>
          <w:p>
            <w:pPr>
              <w:ind w:left="20"/>
              <w:spacing w:after="0" w:line="175" w:lineRule="exact"/>
              <w:rPr>
                <w:sz w:val="20"/>
                <w:szCs w:val="20"/>
                <w:color w:val="auto"/>
              </w:rPr>
            </w:pPr>
            <w:r>
              <w:rPr>
                <w:rFonts w:ascii="Arial" w:cs="Arial" w:eastAsia="Arial" w:hAnsi="Arial"/>
                <w:sz w:val="16"/>
                <w:szCs w:val="16"/>
                <w:color w:val="auto"/>
              </w:rPr>
              <w:t>32.2*</w:t>
            </w:r>
          </w:p>
        </w:tc>
        <w:tc>
          <w:tcPr>
            <w:tcW w:w="9880" w:type="dxa"/>
            <w:vAlign w:val="bottom"/>
            <w:gridSpan w:val="8"/>
          </w:tcPr>
          <w:p>
            <w:pPr>
              <w:spacing w:after="0" w:line="175" w:lineRule="exact"/>
              <w:rPr>
                <w:rFonts w:ascii="Arial" w:cs="Arial" w:eastAsia="Arial" w:hAnsi="Arial"/>
                <w:sz w:val="16"/>
                <w:szCs w:val="16"/>
                <w:color w:val="0000FF"/>
              </w:rPr>
            </w:pPr>
            <w:hyperlink w:anchor="page187">
              <w:r>
                <w:rPr>
                  <w:rFonts w:ascii="Arial" w:cs="Arial" w:eastAsia="Arial" w:hAnsi="Arial"/>
                  <w:sz w:val="16"/>
                  <w:szCs w:val="16"/>
                  <w:color w:val="0000FF"/>
                </w:rPr>
                <w:t>Certification of Chief Financial Officer pursuant to 18 U.S.C. Section 1350, as adopted pursuant to Section 906 of the Sarbanes-Oxley Act</w:t>
              </w:r>
            </w:hyperlink>
          </w:p>
        </w:tc>
      </w:tr>
      <w:tr>
        <w:trPr>
          <w:trHeight w:val="142"/>
        </w:trPr>
        <w:tc>
          <w:tcPr>
            <w:tcW w:w="1320" w:type="dxa"/>
            <w:vAlign w:val="bottom"/>
          </w:tcPr>
          <w:p>
            <w:pPr>
              <w:spacing w:after="0"/>
              <w:rPr>
                <w:sz w:val="12"/>
                <w:szCs w:val="12"/>
                <w:color w:val="auto"/>
              </w:rPr>
            </w:pPr>
          </w:p>
        </w:tc>
        <w:tc>
          <w:tcPr>
            <w:tcW w:w="98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187">
              <w:r>
                <w:rPr>
                  <w:rFonts w:ascii="Arial" w:cs="Arial" w:eastAsia="Arial" w:hAnsi="Arial"/>
                  <w:sz w:val="16"/>
                  <w:szCs w:val="16"/>
                  <w:color w:val="0000FF"/>
                </w:rPr>
                <w:t>of 2002.</w:t>
              </w:r>
            </w:hyperlink>
          </w:p>
        </w:tc>
        <w:tc>
          <w:tcPr>
            <w:tcW w:w="20" w:type="dxa"/>
            <w:vAlign w:val="bottom"/>
          </w:tcPr>
          <w:p>
            <w:pPr>
              <w:spacing w:after="0"/>
              <w:rPr>
                <w:sz w:val="12"/>
                <w:szCs w:val="12"/>
                <w:color w:val="auto"/>
              </w:rPr>
            </w:pPr>
          </w:p>
        </w:tc>
      </w:tr>
      <w:tr>
        <w:trPr>
          <w:trHeight w:val="21"/>
        </w:trPr>
        <w:tc>
          <w:tcPr>
            <w:tcW w:w="1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95*</w:t>
            </w:r>
          </w:p>
        </w:tc>
        <w:tc>
          <w:tcPr>
            <w:tcW w:w="9880" w:type="dxa"/>
            <w:vAlign w:val="bottom"/>
            <w:gridSpan w:val="8"/>
            <w:shd w:val="clear" w:color="auto" w:fill="CEFEE7"/>
          </w:tcPr>
          <w:p>
            <w:pPr>
              <w:spacing w:after="0"/>
              <w:rPr>
                <w:rFonts w:ascii="Arial" w:cs="Arial" w:eastAsia="Arial" w:hAnsi="Arial"/>
                <w:sz w:val="16"/>
                <w:szCs w:val="16"/>
                <w:u w:val="single" w:color="auto"/>
                <w:color w:val="0000FF"/>
              </w:rPr>
            </w:pPr>
            <w:hyperlink w:anchor="page188">
              <w:r>
                <w:rPr>
                  <w:rFonts w:ascii="Arial" w:cs="Arial" w:eastAsia="Arial" w:hAnsi="Arial"/>
                  <w:sz w:val="16"/>
                  <w:szCs w:val="16"/>
                  <w:u w:val="single" w:color="auto"/>
                  <w:color w:val="0000FF"/>
                </w:rPr>
                <w:t>Mine Safety and Health Administration Safety Data</w:t>
              </w:r>
            </w:hyperlink>
          </w:p>
        </w:tc>
      </w:tr>
      <w:tr>
        <w:trPr>
          <w:trHeight w:val="177"/>
        </w:trPr>
        <w:tc>
          <w:tcPr>
            <w:tcW w:w="1320" w:type="dxa"/>
            <w:vAlign w:val="bottom"/>
          </w:tcPr>
          <w:p>
            <w:pPr>
              <w:ind w:left="20"/>
              <w:spacing w:after="0" w:line="178" w:lineRule="exact"/>
              <w:rPr>
                <w:sz w:val="20"/>
                <w:szCs w:val="20"/>
                <w:color w:val="auto"/>
              </w:rPr>
            </w:pPr>
            <w:r>
              <w:rPr>
                <w:rFonts w:ascii="Arial" w:cs="Arial" w:eastAsia="Arial" w:hAnsi="Arial"/>
                <w:sz w:val="16"/>
                <w:szCs w:val="16"/>
                <w:color w:val="auto"/>
              </w:rPr>
              <w:t>101.INS*</w:t>
            </w:r>
          </w:p>
        </w:tc>
        <w:tc>
          <w:tcPr>
            <w:tcW w:w="9880" w:type="dxa"/>
            <w:vAlign w:val="bottom"/>
            <w:gridSpan w:val="8"/>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198"/>
        </w:trPr>
        <w:tc>
          <w:tcPr>
            <w:tcW w:w="1320" w:type="dxa"/>
            <w:vAlign w:val="bottom"/>
          </w:tcPr>
          <w:p>
            <w:pPr>
              <w:spacing w:after="0"/>
              <w:rPr>
                <w:sz w:val="17"/>
                <w:szCs w:val="17"/>
                <w:color w:val="auto"/>
              </w:rPr>
            </w:pPr>
          </w:p>
        </w:tc>
        <w:tc>
          <w:tcPr>
            <w:tcW w:w="9880" w:type="dxa"/>
            <w:vAlign w:val="bottom"/>
            <w:gridSpan w:val="8"/>
          </w:tcPr>
          <w:p>
            <w:pPr>
              <w:spacing w:after="0"/>
              <w:rPr>
                <w:sz w:val="20"/>
                <w:szCs w:val="20"/>
                <w:color w:val="auto"/>
              </w:rPr>
            </w:pPr>
            <w:r>
              <w:rPr>
                <w:rFonts w:ascii="Arial" w:cs="Arial" w:eastAsia="Arial" w:hAnsi="Arial"/>
                <w:sz w:val="16"/>
                <w:szCs w:val="16"/>
                <w:color w:val="auto"/>
              </w:rPr>
              <w:t>within the Inline XBRL document</w:t>
            </w:r>
          </w:p>
        </w:tc>
      </w:tr>
      <w:tr>
        <w:trPr>
          <w:trHeight w:val="219"/>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101.SCH*</w:t>
            </w:r>
          </w:p>
        </w:tc>
        <w:tc>
          <w:tcPr>
            <w:tcW w:w="9880" w:type="dxa"/>
            <w:vAlign w:val="bottom"/>
            <w:gridSpan w:val="8"/>
            <w:shd w:val="clear" w:color="auto" w:fill="CEFEE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101.CAL*</w:t>
            </w:r>
          </w:p>
        </w:tc>
        <w:tc>
          <w:tcPr>
            <w:tcW w:w="988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9"/>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101.DEF*</w:t>
            </w:r>
          </w:p>
        </w:tc>
        <w:tc>
          <w:tcPr>
            <w:tcW w:w="9880" w:type="dxa"/>
            <w:vAlign w:val="bottom"/>
            <w:gridSpan w:val="8"/>
            <w:shd w:val="clear" w:color="auto" w:fill="CEFEE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3"/>
        </w:trPr>
        <w:tc>
          <w:tcPr>
            <w:tcW w:w="1320" w:type="dxa"/>
            <w:vAlign w:val="bottom"/>
          </w:tcPr>
          <w:p>
            <w:pPr>
              <w:ind w:left="20"/>
              <w:spacing w:after="0"/>
              <w:rPr>
                <w:sz w:val="20"/>
                <w:szCs w:val="20"/>
                <w:color w:val="auto"/>
              </w:rPr>
            </w:pPr>
            <w:r>
              <w:rPr>
                <w:rFonts w:ascii="Arial" w:cs="Arial" w:eastAsia="Arial" w:hAnsi="Arial"/>
                <w:sz w:val="16"/>
                <w:szCs w:val="16"/>
                <w:color w:val="auto"/>
              </w:rPr>
              <w:t>101.LAB*</w:t>
            </w:r>
          </w:p>
        </w:tc>
        <w:tc>
          <w:tcPr>
            <w:tcW w:w="988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9"/>
        </w:trPr>
        <w:tc>
          <w:tcPr>
            <w:tcW w:w="1320" w:type="dxa"/>
            <w:vAlign w:val="bottom"/>
            <w:shd w:val="clear" w:color="auto" w:fill="CEFEE7"/>
          </w:tcPr>
          <w:p>
            <w:pPr>
              <w:ind w:left="20"/>
              <w:spacing w:after="0"/>
              <w:rPr>
                <w:sz w:val="20"/>
                <w:szCs w:val="20"/>
                <w:color w:val="auto"/>
              </w:rPr>
            </w:pPr>
            <w:r>
              <w:rPr>
                <w:rFonts w:ascii="Arial" w:cs="Arial" w:eastAsia="Arial" w:hAnsi="Arial"/>
                <w:sz w:val="16"/>
                <w:szCs w:val="16"/>
                <w:color w:val="auto"/>
              </w:rPr>
              <w:t>101.PRE*</w:t>
            </w:r>
          </w:p>
        </w:tc>
        <w:tc>
          <w:tcPr>
            <w:tcW w:w="9880" w:type="dxa"/>
            <w:vAlign w:val="bottom"/>
            <w:gridSpan w:val="8"/>
            <w:shd w:val="clear" w:color="auto" w:fill="CEFEE7"/>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0"/>
        </w:trPr>
        <w:tc>
          <w:tcPr>
            <w:tcW w:w="1320" w:type="dxa"/>
            <w:vAlign w:val="bottom"/>
          </w:tcPr>
          <w:p>
            <w:pPr>
              <w:ind w:left="20"/>
              <w:spacing w:after="0"/>
              <w:rPr>
                <w:sz w:val="20"/>
                <w:szCs w:val="20"/>
                <w:color w:val="auto"/>
              </w:rPr>
            </w:pPr>
            <w:r>
              <w:rPr>
                <w:rFonts w:ascii="Arial" w:cs="Arial" w:eastAsia="Arial" w:hAnsi="Arial"/>
                <w:sz w:val="16"/>
                <w:szCs w:val="16"/>
                <w:color w:val="auto"/>
              </w:rPr>
              <w:t>104*</w:t>
            </w:r>
          </w:p>
        </w:tc>
        <w:tc>
          <w:tcPr>
            <w:tcW w:w="9880" w:type="dxa"/>
            <w:vAlign w:val="bottom"/>
            <w:gridSpan w:val="8"/>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14"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BLACK HILLS CORPORATION</w:t>
      </w:r>
    </w:p>
    <w:p>
      <w:pPr>
        <w:spacing w:after="0" w:line="302"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6"/>
          <w:szCs w:val="16"/>
          <w:color w:val="auto"/>
        </w:rPr>
        <w:t>By:</w:t>
        <w:tab/>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10795</wp:posOffset>
            </wp:positionV>
            <wp:extent cx="30003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Linden R. Evans, President and Chief Executive Officer</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Dated: February 26, 2021</w:t>
      </w:r>
    </w:p>
    <w:p>
      <w:pPr>
        <w:spacing w:after="0" w:line="343"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1020" w:type="dxa"/>
        <w:tblCellMar>
          <w:top w:w="0" w:type="dxa"/>
          <w:left w:w="0" w:type="dxa"/>
          <w:bottom w:w="0" w:type="dxa"/>
          <w:right w:w="0" w:type="dxa"/>
        </w:tblCellMar>
      </w:tblPr>
      <w:tr>
        <w:trPr>
          <w:trHeight w:val="198"/>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R. MILLS</w:t>
            </w:r>
          </w:p>
        </w:tc>
        <w:tc>
          <w:tcPr>
            <w:tcW w:w="2360" w:type="dxa"/>
            <w:vAlign w:val="bottom"/>
          </w:tcPr>
          <w:p>
            <w:pPr>
              <w:spacing w:after="0"/>
              <w:rPr>
                <w:sz w:val="20"/>
                <w:szCs w:val="20"/>
                <w:color w:val="auto"/>
              </w:rPr>
            </w:pPr>
            <w:r>
              <w:rPr>
                <w:rFonts w:ascii="Arial" w:cs="Arial" w:eastAsia="Arial" w:hAnsi="Arial"/>
                <w:sz w:val="16"/>
                <w:szCs w:val="16"/>
                <w:color w:val="auto"/>
              </w:rPr>
              <w:t>Director and</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6"/>
        </w:trPr>
        <w:tc>
          <w:tcPr>
            <w:tcW w:w="4340" w:type="dxa"/>
            <w:vAlign w:val="bottom"/>
          </w:tcPr>
          <w:p>
            <w:pPr>
              <w:ind w:left="20"/>
              <w:spacing w:after="0"/>
              <w:rPr>
                <w:sz w:val="20"/>
                <w:szCs w:val="20"/>
                <w:color w:val="auto"/>
              </w:rPr>
            </w:pPr>
            <w:r>
              <w:rPr>
                <w:rFonts w:ascii="Arial" w:cs="Arial" w:eastAsia="Arial" w:hAnsi="Arial"/>
                <w:sz w:val="16"/>
                <w:szCs w:val="16"/>
                <w:color w:val="auto"/>
              </w:rPr>
              <w:t>Steven R. Mills</w:t>
            </w:r>
          </w:p>
        </w:tc>
        <w:tc>
          <w:tcPr>
            <w:tcW w:w="2360" w:type="dxa"/>
            <w:vAlign w:val="bottom"/>
          </w:tcPr>
          <w:p>
            <w:pPr>
              <w:spacing w:after="0"/>
              <w:rPr>
                <w:sz w:val="20"/>
                <w:szCs w:val="20"/>
                <w:color w:val="auto"/>
              </w:rPr>
            </w:pPr>
            <w:r>
              <w:rPr>
                <w:rFonts w:ascii="Arial" w:cs="Arial" w:eastAsia="Arial" w:hAnsi="Arial"/>
                <w:sz w:val="16"/>
                <w:szCs w:val="16"/>
                <w:color w:val="auto"/>
              </w:rPr>
              <w:t>Chairman</w:t>
            </w: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LINDEN R. EVANS</w:t>
            </w:r>
          </w:p>
        </w:tc>
        <w:tc>
          <w:tcPr>
            <w:tcW w:w="2360" w:type="dxa"/>
            <w:vAlign w:val="bottom"/>
          </w:tcPr>
          <w:p>
            <w:pPr>
              <w:spacing w:after="0"/>
              <w:rPr>
                <w:sz w:val="20"/>
                <w:szCs w:val="20"/>
                <w:color w:val="auto"/>
              </w:rPr>
            </w:pPr>
            <w:r>
              <w:rPr>
                <w:rFonts w:ascii="Arial" w:cs="Arial" w:eastAsia="Arial" w:hAnsi="Arial"/>
                <w:sz w:val="16"/>
                <w:szCs w:val="16"/>
                <w:color w:val="auto"/>
              </w:rPr>
              <w:t>Director and</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6"/>
        </w:trPr>
        <w:tc>
          <w:tcPr>
            <w:tcW w:w="4340" w:type="dxa"/>
            <w:vAlign w:val="bottom"/>
          </w:tcPr>
          <w:p>
            <w:pPr>
              <w:ind w:left="20"/>
              <w:spacing w:after="0"/>
              <w:rPr>
                <w:sz w:val="20"/>
                <w:szCs w:val="20"/>
                <w:color w:val="auto"/>
              </w:rPr>
            </w:pPr>
            <w:r>
              <w:rPr>
                <w:rFonts w:ascii="Arial" w:cs="Arial" w:eastAsia="Arial" w:hAnsi="Arial"/>
                <w:sz w:val="16"/>
                <w:szCs w:val="16"/>
                <w:color w:val="auto"/>
              </w:rPr>
              <w:t>Linden R. Evans, President</w:t>
            </w:r>
          </w:p>
        </w:tc>
        <w:tc>
          <w:tcPr>
            <w:tcW w:w="236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1800" w:type="dxa"/>
            <w:vAlign w:val="bottom"/>
          </w:tcPr>
          <w:p>
            <w:pPr>
              <w:spacing w:after="0"/>
              <w:rPr>
                <w:sz w:val="17"/>
                <w:szCs w:val="17"/>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auto"/>
              </w:rPr>
              <w:t>and Chief Executive Officer</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W. KINZLEY</w:t>
            </w:r>
          </w:p>
        </w:tc>
        <w:tc>
          <w:tcPr>
            <w:tcW w:w="2360" w:type="dxa"/>
            <w:vAlign w:val="bottom"/>
          </w:tcPr>
          <w:p>
            <w:pPr>
              <w:spacing w:after="0"/>
              <w:rPr>
                <w:sz w:val="20"/>
                <w:szCs w:val="20"/>
                <w:color w:val="auto"/>
              </w:rPr>
            </w:pPr>
            <w:r>
              <w:rPr>
                <w:rFonts w:ascii="Arial" w:cs="Arial" w:eastAsia="Arial" w:hAnsi="Arial"/>
                <w:sz w:val="16"/>
                <w:szCs w:val="16"/>
                <w:color w:val="auto"/>
              </w:rPr>
              <w:t>Principal Financial and</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Richard W. Kinzley, Senior Vice President</w:t>
            </w:r>
          </w:p>
        </w:tc>
        <w:tc>
          <w:tcPr>
            <w:tcW w:w="2360" w:type="dxa"/>
            <w:vAlign w:val="bottom"/>
          </w:tcPr>
          <w:p>
            <w:pPr>
              <w:spacing w:after="0"/>
              <w:rPr>
                <w:sz w:val="20"/>
                <w:szCs w:val="20"/>
                <w:color w:val="auto"/>
              </w:rPr>
            </w:pPr>
            <w:r>
              <w:rPr>
                <w:rFonts w:ascii="Arial" w:cs="Arial" w:eastAsia="Arial" w:hAnsi="Arial"/>
                <w:sz w:val="16"/>
                <w:szCs w:val="16"/>
                <w:color w:val="auto"/>
              </w:rPr>
              <w:t>Accounting Officer</w:t>
            </w:r>
          </w:p>
        </w:tc>
        <w:tc>
          <w:tcPr>
            <w:tcW w:w="1800" w:type="dxa"/>
            <w:vAlign w:val="bottom"/>
          </w:tcPr>
          <w:p>
            <w:pPr>
              <w:spacing w:after="0"/>
              <w:rPr>
                <w:sz w:val="17"/>
                <w:szCs w:val="17"/>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auto"/>
              </w:rPr>
              <w:t>and Chief Financial Officer</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BARRY M. GRANGER</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Barry M. Granger</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TONY A. JENSEN</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Tony A. Jensen</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H. MADISON</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Michael H. Madison</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KATHLEEN S. MCALLISTER</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Kathleen S. McAllister</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P. OTTO</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Robert P. Otto</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M. PROCHAZKA</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Scott M. Prochazka</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REBECCA B. ROBERTS</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Rebecca B. Roberts</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A. SCHOBER</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Mark A. Schober</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TERESA A. TAYLOR</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6"/>
        </w:trPr>
        <w:tc>
          <w:tcPr>
            <w:tcW w:w="4340" w:type="dxa"/>
            <w:vAlign w:val="bottom"/>
          </w:tcPr>
          <w:p>
            <w:pPr>
              <w:ind w:left="20"/>
              <w:spacing w:after="0"/>
              <w:rPr>
                <w:sz w:val="20"/>
                <w:szCs w:val="20"/>
                <w:color w:val="auto"/>
              </w:rPr>
            </w:pPr>
            <w:r>
              <w:rPr>
                <w:rFonts w:ascii="Arial" w:cs="Arial" w:eastAsia="Arial" w:hAnsi="Arial"/>
                <w:sz w:val="16"/>
                <w:szCs w:val="16"/>
                <w:color w:val="auto"/>
              </w:rPr>
              <w:t>Teresa A. Taylor</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B. VERING</w:t>
            </w:r>
          </w:p>
        </w:tc>
        <w:tc>
          <w:tcPr>
            <w:tcW w:w="2360" w:type="dxa"/>
            <w:vAlign w:val="bottom"/>
          </w:tcPr>
          <w:p>
            <w:pPr>
              <w:spacing w:after="0"/>
              <w:rPr>
                <w:sz w:val="20"/>
                <w:szCs w:val="20"/>
                <w:color w:val="auto"/>
              </w:rPr>
            </w:pPr>
            <w:r>
              <w:rPr>
                <w:rFonts w:ascii="Arial" w:cs="Arial" w:eastAsia="Arial" w:hAnsi="Arial"/>
                <w:sz w:val="16"/>
                <w:szCs w:val="16"/>
                <w:color w:val="auto"/>
              </w:rPr>
              <w:t>Director</w:t>
            </w:r>
          </w:p>
        </w:tc>
        <w:tc>
          <w:tcPr>
            <w:tcW w:w="1800" w:type="dxa"/>
            <w:vAlign w:val="bottom"/>
          </w:tcPr>
          <w:p>
            <w:pPr>
              <w:ind w:left="480"/>
              <w:spacing w:after="0"/>
              <w:rPr>
                <w:sz w:val="20"/>
                <w:szCs w:val="20"/>
                <w:color w:val="auto"/>
              </w:rPr>
            </w:pPr>
            <w:r>
              <w:rPr>
                <w:rFonts w:ascii="Arial" w:cs="Arial" w:eastAsia="Arial" w:hAnsi="Arial"/>
                <w:sz w:val="16"/>
                <w:szCs w:val="16"/>
                <w:color w:val="auto"/>
                <w:w w:val="99"/>
              </w:rPr>
              <w:t>February 26, 2021</w:t>
            </w:r>
          </w:p>
        </w:tc>
      </w:tr>
      <w:tr>
        <w:trPr>
          <w:trHeight w:val="206"/>
        </w:trPr>
        <w:tc>
          <w:tcPr>
            <w:tcW w:w="4340" w:type="dxa"/>
            <w:vAlign w:val="bottom"/>
          </w:tcPr>
          <w:p>
            <w:pPr>
              <w:ind w:left="20"/>
              <w:spacing w:after="0"/>
              <w:rPr>
                <w:sz w:val="20"/>
                <w:szCs w:val="20"/>
                <w:color w:val="auto"/>
              </w:rPr>
            </w:pPr>
            <w:r>
              <w:rPr>
                <w:rFonts w:ascii="Arial" w:cs="Arial" w:eastAsia="Arial" w:hAnsi="Arial"/>
                <w:sz w:val="16"/>
                <w:szCs w:val="16"/>
                <w:color w:val="auto"/>
              </w:rPr>
              <w:t>John B. Vering</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121" w:right="37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Amended and Restated 2015 Omnibus Incentive Plan</w:t>
      </w:r>
    </w:p>
    <w:p>
      <w:pPr>
        <w:sectPr>
          <w:pgSz w:w="11900" w:h="16838" w:orient="portrait"/>
          <w:cols w:equalWidth="0" w:num="1">
            <w:col w:w="9019"/>
          </w:cols>
          <w:pgMar w:left="1440" w:top="1440" w:right="1440" w:bottom="1440" w:gutter="0" w:footer="0" w:header="0"/>
        </w:sectPr>
      </w:pPr>
    </w:p>
    <w:p>
      <w:pPr>
        <w:spacing w:after="0" w:line="379" w:lineRule="exact"/>
        <w:rPr>
          <w:sz w:val="20"/>
          <w:szCs w:val="20"/>
          <w:color w:val="auto"/>
        </w:rPr>
      </w:pPr>
    </w:p>
    <w:p>
      <w:pPr>
        <w:ind w:left="3120"/>
        <w:spacing w:after="0"/>
        <w:rPr>
          <w:sz w:val="20"/>
          <w:szCs w:val="20"/>
          <w:color w:val="auto"/>
        </w:rPr>
      </w:pPr>
      <w:r>
        <w:rPr>
          <w:rFonts w:ascii="Arial" w:cs="Arial" w:eastAsia="Arial" w:hAnsi="Arial"/>
          <w:sz w:val="25"/>
          <w:szCs w:val="25"/>
          <w:b w:val="1"/>
          <w:bCs w:val="1"/>
          <w:color w:val="auto"/>
        </w:rPr>
        <w:t>Black Hills Corporation</w:t>
      </w:r>
    </w:p>
    <w:p>
      <w:pPr>
        <w:spacing w:after="0" w:line="286"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Effective January 26, 2021</w:t>
      </w:r>
    </w:p>
    <w:p>
      <w:pPr>
        <w:sectPr>
          <w:pgSz w:w="11900" w:h="16838" w:orient="portrait"/>
          <w:cols w:equalWidth="0" w:num="1">
            <w:col w:w="9019"/>
          </w:cols>
          <w:pgMar w:left="1440" w:top="1440" w:right="1440"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31"/>
          <w:szCs w:val="3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6280" w:type="dxa"/>
            <w:vAlign w:val="bottom"/>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Article 1. Establishment, Purpose, and Duration</w:t>
              </w:r>
            </w:hyperlink>
          </w:p>
        </w:tc>
        <w:tc>
          <w:tcPr>
            <w:tcW w:w="1020" w:type="dxa"/>
            <w:vAlign w:val="bottom"/>
          </w:tcPr>
          <w:p>
            <w:pPr>
              <w:ind w:left="8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2</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Article 2. Definitions</w:t>
              </w:r>
            </w:hyperlink>
          </w:p>
        </w:tc>
        <w:tc>
          <w:tcPr>
            <w:tcW w:w="1020" w:type="dxa"/>
            <w:vAlign w:val="bottom"/>
          </w:tcPr>
          <w:p>
            <w:pPr>
              <w:ind w:left="8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2</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Article 3. Administration</w:t>
              </w:r>
            </w:hyperlink>
          </w:p>
        </w:tc>
        <w:tc>
          <w:tcPr>
            <w:tcW w:w="1020" w:type="dxa"/>
            <w:vAlign w:val="bottom"/>
          </w:tcPr>
          <w:p>
            <w:pPr>
              <w:ind w:left="860"/>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6</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Article 4. Shares Subject to this Plan and Maximum Awards</w:t>
              </w:r>
            </w:hyperlink>
          </w:p>
        </w:tc>
        <w:tc>
          <w:tcPr>
            <w:tcW w:w="1020" w:type="dxa"/>
            <w:vAlign w:val="bottom"/>
          </w:tcPr>
          <w:p>
            <w:pPr>
              <w:ind w:left="860"/>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6</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Article 5. Eligibility and Participation</w:t>
              </w:r>
            </w:hyperlink>
          </w:p>
        </w:tc>
        <w:tc>
          <w:tcPr>
            <w:tcW w:w="1020" w:type="dxa"/>
            <w:vAlign w:val="bottom"/>
          </w:tcPr>
          <w:p>
            <w:pPr>
              <w:ind w:left="860"/>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7</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Article 6. Stock Options</w:t>
              </w:r>
            </w:hyperlink>
          </w:p>
        </w:tc>
        <w:tc>
          <w:tcPr>
            <w:tcW w:w="1020" w:type="dxa"/>
            <w:vAlign w:val="bottom"/>
          </w:tcPr>
          <w:p>
            <w:pPr>
              <w:ind w:left="860"/>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8</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Article 7. Stock Appreciation Rights</w:t>
              </w:r>
            </w:hyperlink>
          </w:p>
        </w:tc>
        <w:tc>
          <w:tcPr>
            <w:tcW w:w="1020" w:type="dxa"/>
            <w:vAlign w:val="bottom"/>
          </w:tcPr>
          <w:p>
            <w:pPr>
              <w:ind w:left="86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9</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Article 8. Restricted Stock and Restricted Stock Units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2">
              <w:r>
                <w:rPr>
                  <w:rFonts w:ascii="Arial" w:cs="Arial" w:eastAsia="Arial" w:hAnsi="Arial"/>
                  <w:sz w:val="17"/>
                  <w:szCs w:val="17"/>
                  <w:u w:val="single" w:color="auto"/>
                  <w:color w:val="0000FF"/>
                  <w:w w:val="73"/>
                </w:rPr>
                <w:t>10</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Article 9. Performance Units, Performance Shares and Cash-Based Awards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3">
              <w:r>
                <w:rPr>
                  <w:rFonts w:ascii="Arial" w:cs="Arial" w:eastAsia="Arial" w:hAnsi="Arial"/>
                  <w:sz w:val="17"/>
                  <w:szCs w:val="17"/>
                  <w:u w:val="single" w:color="auto"/>
                  <w:color w:val="0000FF"/>
                  <w:w w:val="73"/>
                </w:rPr>
                <w:t>11</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Article 10. Other Stock-Based Awards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3">
              <w:r>
                <w:rPr>
                  <w:rFonts w:ascii="Arial" w:cs="Arial" w:eastAsia="Arial" w:hAnsi="Arial"/>
                  <w:sz w:val="17"/>
                  <w:szCs w:val="17"/>
                  <w:u w:val="single" w:color="auto"/>
                  <w:color w:val="0000FF"/>
                  <w:w w:val="73"/>
                </w:rPr>
                <w:t>11</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Article 11. Transferability of Awards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4">
              <w:r>
                <w:rPr>
                  <w:rFonts w:ascii="Arial" w:cs="Arial" w:eastAsia="Arial" w:hAnsi="Arial"/>
                  <w:sz w:val="17"/>
                  <w:szCs w:val="17"/>
                  <w:u w:val="single" w:color="auto"/>
                  <w:color w:val="0000FF"/>
                  <w:w w:val="73"/>
                </w:rPr>
                <w:t>12</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Article 12. Performance Measures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4">
              <w:r>
                <w:rPr>
                  <w:rFonts w:ascii="Arial" w:cs="Arial" w:eastAsia="Arial" w:hAnsi="Arial"/>
                  <w:sz w:val="17"/>
                  <w:szCs w:val="17"/>
                  <w:u w:val="single" w:color="auto"/>
                  <w:color w:val="0000FF"/>
                  <w:w w:val="73"/>
                </w:rPr>
                <w:t>12</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Article 13. Nonemployee Director Awards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5">
              <w:r>
                <w:rPr>
                  <w:rFonts w:ascii="Arial" w:cs="Arial" w:eastAsia="Arial" w:hAnsi="Arial"/>
                  <w:sz w:val="17"/>
                  <w:szCs w:val="17"/>
                  <w:u w:val="single" w:color="auto"/>
                  <w:color w:val="0000FF"/>
                  <w:w w:val="73"/>
                </w:rPr>
                <w:t>13</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Article 14. Dividends and Dividend Equivalents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5">
              <w:r>
                <w:rPr>
                  <w:rFonts w:ascii="Arial" w:cs="Arial" w:eastAsia="Arial" w:hAnsi="Arial"/>
                  <w:sz w:val="17"/>
                  <w:szCs w:val="17"/>
                  <w:u w:val="single" w:color="auto"/>
                  <w:color w:val="0000FF"/>
                  <w:w w:val="73"/>
                </w:rPr>
                <w:t>13</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Article 15. Beneficiary Designation</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5">
              <w:r>
                <w:rPr>
                  <w:rFonts w:ascii="Arial" w:cs="Arial" w:eastAsia="Arial" w:hAnsi="Arial"/>
                  <w:sz w:val="17"/>
                  <w:szCs w:val="17"/>
                  <w:u w:val="single" w:color="auto"/>
                  <w:color w:val="0000FF"/>
                  <w:w w:val="73"/>
                </w:rPr>
                <w:t>14</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Article 16. Rights of Participants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6">
              <w:r>
                <w:rPr>
                  <w:rFonts w:ascii="Arial" w:cs="Arial" w:eastAsia="Arial" w:hAnsi="Arial"/>
                  <w:sz w:val="17"/>
                  <w:szCs w:val="17"/>
                  <w:u w:val="single" w:color="auto"/>
                  <w:color w:val="0000FF"/>
                  <w:w w:val="73"/>
                </w:rPr>
                <w:t>14</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Article 17. Change of Control</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6">
              <w:r>
                <w:rPr>
                  <w:rFonts w:ascii="Arial" w:cs="Arial" w:eastAsia="Arial" w:hAnsi="Arial"/>
                  <w:sz w:val="17"/>
                  <w:szCs w:val="17"/>
                  <w:u w:val="single" w:color="auto"/>
                  <w:color w:val="0000FF"/>
                  <w:w w:val="73"/>
                </w:rPr>
                <w:t>14</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Article 18. Amendment, Modification, Suspension, and Termination</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6">
              <w:r>
                <w:rPr>
                  <w:rFonts w:ascii="Arial" w:cs="Arial" w:eastAsia="Arial" w:hAnsi="Arial"/>
                  <w:sz w:val="17"/>
                  <w:szCs w:val="17"/>
                  <w:u w:val="single" w:color="auto"/>
                  <w:color w:val="0000FF"/>
                  <w:w w:val="73"/>
                </w:rPr>
                <w:t>14</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Article 19. Withholding</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7">
              <w:r>
                <w:rPr>
                  <w:rFonts w:ascii="Arial" w:cs="Arial" w:eastAsia="Arial" w:hAnsi="Arial"/>
                  <w:sz w:val="17"/>
                  <w:szCs w:val="17"/>
                  <w:u w:val="single" w:color="auto"/>
                  <w:color w:val="0000FF"/>
                  <w:w w:val="73"/>
                </w:rPr>
                <w:t>15</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Article 20. Successors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7">
              <w:r>
                <w:rPr>
                  <w:rFonts w:ascii="Arial" w:cs="Arial" w:eastAsia="Arial" w:hAnsi="Arial"/>
                  <w:sz w:val="17"/>
                  <w:szCs w:val="17"/>
                  <w:u w:val="single" w:color="auto"/>
                  <w:color w:val="0000FF"/>
                  <w:w w:val="73"/>
                </w:rPr>
                <w:t>15</w:t>
              </w:r>
            </w:hyperlink>
          </w:p>
        </w:tc>
      </w:tr>
      <w:tr>
        <w:trPr>
          <w:trHeight w:val="270"/>
        </w:trPr>
        <w:tc>
          <w:tcPr>
            <w:tcW w:w="6280" w:type="dxa"/>
            <w:vAlign w:val="bottom"/>
          </w:tcPr>
          <w:p>
            <w:pPr>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Article 21. General Provisions</w:t>
              </w:r>
            </w:hyperlink>
          </w:p>
        </w:tc>
        <w:tc>
          <w:tcPr>
            <w:tcW w:w="1020" w:type="dxa"/>
            <w:vAlign w:val="bottom"/>
          </w:tcPr>
          <w:p>
            <w:pPr>
              <w:ind w:left="860"/>
              <w:spacing w:after="0"/>
              <w:rPr>
                <w:rFonts w:ascii="Arial" w:cs="Arial" w:eastAsia="Arial" w:hAnsi="Arial"/>
                <w:sz w:val="17"/>
                <w:szCs w:val="17"/>
                <w:u w:val="single" w:color="auto"/>
                <w:color w:val="0000FF"/>
                <w:w w:val="73"/>
              </w:rPr>
            </w:pPr>
            <w:hyperlink w:anchor="page147">
              <w:r>
                <w:rPr>
                  <w:rFonts w:ascii="Arial" w:cs="Arial" w:eastAsia="Arial" w:hAnsi="Arial"/>
                  <w:sz w:val="17"/>
                  <w:szCs w:val="17"/>
                  <w:u w:val="single" w:color="auto"/>
                  <w:color w:val="0000FF"/>
                  <w:w w:val="73"/>
                </w:rPr>
                <w:t>15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139"/>
          </w:cols>
          <w:pgMar w:left="320" w:top="1412" w:right="1440" w:bottom="1440" w:gutter="0" w:footer="0" w:header="0"/>
        </w:sectPr>
      </w:pPr>
    </w:p>
    <w:bookmarkStart w:id="133" w:name="page134"/>
    <w:bookmarkEnd w:id="133"/>
    <w:p>
      <w:pPr>
        <w:spacing w:after="0"/>
        <w:rPr>
          <w:sz w:val="20"/>
          <w:szCs w:val="20"/>
          <w:color w:val="auto"/>
        </w:rPr>
      </w:pPr>
      <w:r>
        <w:rPr>
          <w:rFonts w:ascii="Arial" w:cs="Arial" w:eastAsia="Arial" w:hAnsi="Arial"/>
          <w:sz w:val="31"/>
          <w:szCs w:val="31"/>
          <w:b w:val="1"/>
          <w:bCs w:val="1"/>
          <w:color w:val="auto"/>
        </w:rPr>
        <w:t>Black Hills Corporation</w:t>
      </w:r>
    </w:p>
    <w:p>
      <w:pPr>
        <w:spacing w:after="0" w:line="4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Amended and Restated 2015 Omnibus Incentive Plan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52" w:lineRule="exact"/>
        <w:rPr>
          <w:sz w:val="20"/>
          <w:szCs w:val="20"/>
          <w:color w:val="auto"/>
        </w:rPr>
      </w:pPr>
    </w:p>
    <w:p>
      <w:pPr>
        <w:ind w:right="160" w:firstLine="401"/>
        <w:spacing w:after="0" w:line="314" w:lineRule="auto"/>
        <w:rPr>
          <w:sz w:val="20"/>
          <w:szCs w:val="20"/>
          <w:color w:val="auto"/>
        </w:rPr>
      </w:pPr>
      <w:r>
        <w:rPr>
          <w:rFonts w:ascii="Arial" w:cs="Arial" w:eastAsia="Arial" w:hAnsi="Arial"/>
          <w:sz w:val="16"/>
          <w:szCs w:val="16"/>
          <w:b w:val="1"/>
          <w:bCs w:val="1"/>
          <w:color w:val="auto"/>
        </w:rPr>
        <w:t>1.1 Establishment</w:t>
      </w:r>
      <w:r>
        <w:rPr>
          <w:rFonts w:ascii="Arial" w:cs="Arial" w:eastAsia="Arial" w:hAnsi="Arial"/>
          <w:sz w:val="16"/>
          <w:szCs w:val="16"/>
          <w:color w:val="auto"/>
        </w:rPr>
        <w:t>. Black Hills Corporation, a South Dakota corporation (hereinafter referred to as the “Company”), established an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plan known as the Black Hills Corporation 2015 Omnibus Incentive Plan effective April 28, 2015 (the “Original Effective Date”), which is hereby and restated as set forth in this document as of January 26, 2021 (the “Restatement Effective Date”) (hereinafter referred to as the “Plan”).</w:t>
      </w:r>
    </w:p>
    <w:p>
      <w:pPr>
        <w:spacing w:after="0" w:line="173" w:lineRule="exact"/>
        <w:rPr>
          <w:sz w:val="20"/>
          <w:szCs w:val="20"/>
          <w:color w:val="auto"/>
        </w:rPr>
      </w:pPr>
    </w:p>
    <w:p>
      <w:pPr>
        <w:ind w:right="220" w:firstLine="401"/>
        <w:spacing w:after="0" w:line="277" w:lineRule="auto"/>
        <w:rPr>
          <w:sz w:val="20"/>
          <w:szCs w:val="20"/>
          <w:color w:val="auto"/>
        </w:rPr>
      </w:pPr>
      <w:r>
        <w:rPr>
          <w:rFonts w:ascii="Arial" w:cs="Arial" w:eastAsia="Arial" w:hAnsi="Arial"/>
          <w:sz w:val="18"/>
          <w:szCs w:val="18"/>
          <w:color w:val="auto"/>
        </w:rPr>
        <w:t>This Plan permits the grant of Nonqualified Stock Options, Incentive Stock Options, Stock Appreciation Rights, Restricted Stock, Restricted Stock Units, Performance Shares, Performance Units, Cash-Based Awards, and Other Stock-Based Awards.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Plan shall remain in effect as provided in Section 1.3 hereof.</w:t>
      </w:r>
    </w:p>
    <w:p>
      <w:pPr>
        <w:spacing w:after="0" w:line="248" w:lineRule="exact"/>
        <w:rPr>
          <w:sz w:val="20"/>
          <w:szCs w:val="20"/>
          <w:color w:val="auto"/>
        </w:rPr>
      </w:pPr>
    </w:p>
    <w:p>
      <w:pPr>
        <w:ind w:firstLine="401"/>
        <w:spacing w:after="0" w:line="274" w:lineRule="auto"/>
        <w:rPr>
          <w:sz w:val="20"/>
          <w:szCs w:val="20"/>
          <w:color w:val="auto"/>
        </w:rPr>
      </w:pPr>
      <w:r>
        <w:rPr>
          <w:rFonts w:ascii="Arial" w:cs="Arial" w:eastAsia="Arial" w:hAnsi="Arial"/>
          <w:sz w:val="17"/>
          <w:szCs w:val="17"/>
          <w:b w:val="1"/>
          <w:bCs w:val="1"/>
          <w:color w:val="auto"/>
        </w:rPr>
        <w:t>1.2 Purpose of this Plan</w:t>
      </w:r>
      <w:r>
        <w:rPr>
          <w:rFonts w:ascii="Arial" w:cs="Arial" w:eastAsia="Arial" w:hAnsi="Arial"/>
          <w:sz w:val="17"/>
          <w:szCs w:val="17"/>
          <w:color w:val="auto"/>
        </w:rPr>
        <w:t>. The purpose of this Plan is to provide a means whereby Employees and Directors of the Company develop a sense of</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of the Company and to provide a means whereby those individuals upon whom the responsibilities of the successful administration and management of the Company are of importance, can acquire and maintain stock ownership, thereby strengthening their concern for the welfare of the Company.</w:t>
      </w:r>
    </w:p>
    <w:p>
      <w:pPr>
        <w:spacing w:after="0" w:line="200" w:lineRule="exact"/>
        <w:rPr>
          <w:sz w:val="20"/>
          <w:szCs w:val="20"/>
          <w:color w:val="auto"/>
        </w:rPr>
      </w:pPr>
    </w:p>
    <w:p>
      <w:pPr>
        <w:ind w:right="100" w:firstLine="401"/>
        <w:spacing w:after="0" w:line="281" w:lineRule="auto"/>
        <w:rPr>
          <w:sz w:val="20"/>
          <w:szCs w:val="20"/>
          <w:color w:val="auto"/>
        </w:rPr>
      </w:pPr>
      <w:r>
        <w:rPr>
          <w:rFonts w:ascii="Arial" w:cs="Arial" w:eastAsia="Arial" w:hAnsi="Arial"/>
          <w:sz w:val="17"/>
          <w:szCs w:val="17"/>
          <w:b w:val="1"/>
          <w:bCs w:val="1"/>
          <w:color w:val="auto"/>
        </w:rPr>
        <w:t>1.3 Duration of this Plan</w:t>
      </w:r>
      <w:r>
        <w:rPr>
          <w:rFonts w:ascii="Arial" w:cs="Arial" w:eastAsia="Arial" w:hAnsi="Arial"/>
          <w:sz w:val="17"/>
          <w:szCs w:val="17"/>
          <w:color w:val="auto"/>
        </w:rPr>
        <w:t>. Unless sooner terminated as provided herein, this Plan shall terminate ten (10) years from the Original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this Plan is terminated, no Awards may be granted but Awards previously granted shall remain outstanding in accordance with their applicable terms and conditions and this Plan’s terms and conditions. Notwithstanding the foregoing, no Incentive Stock Options may be granted more than ten (10) years after the earlier of (a) adoption of this Plan by the Board, or (b) the Original Effective Date.</w:t>
      </w:r>
    </w:p>
    <w:p>
      <w:pPr>
        <w:spacing w:after="0" w:line="192"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 xml:space="preserve">Prior Plan. </w:t>
      </w:r>
      <w:r>
        <w:rPr>
          <w:rFonts w:ascii="Arial" w:cs="Arial" w:eastAsia="Arial" w:hAnsi="Arial"/>
          <w:sz w:val="16"/>
          <w:szCs w:val="16"/>
          <w:color w:val="auto"/>
        </w:rPr>
        <w:t>No further grants shall be made under the Prior Plan from and after the Original Effective Date of this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56" w:lineRule="exact"/>
        <w:rPr>
          <w:sz w:val="20"/>
          <w:szCs w:val="20"/>
          <w:color w:val="auto"/>
        </w:rPr>
      </w:pPr>
    </w:p>
    <w:p>
      <w:pPr>
        <w:ind w:right="260" w:firstLine="401"/>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93" w:lineRule="exact"/>
        <w:rPr>
          <w:sz w:val="20"/>
          <w:szCs w:val="20"/>
          <w:color w:val="auto"/>
        </w:rPr>
      </w:pPr>
    </w:p>
    <w:p>
      <w:pPr>
        <w:ind w:left="820" w:right="80" w:hanging="566"/>
        <w:spacing w:after="0" w:line="266" w:lineRule="auto"/>
        <w:tabs>
          <w:tab w:leader="none" w:pos="800" w:val="left"/>
        </w:tabs>
        <w:rPr>
          <w:sz w:val="20"/>
          <w:szCs w:val="20"/>
          <w:color w:val="auto"/>
        </w:rPr>
      </w:pPr>
      <w:r>
        <w:rPr>
          <w:rFonts w:ascii="Arial" w:cs="Arial" w:eastAsia="Arial" w:hAnsi="Arial"/>
          <w:sz w:val="18"/>
          <w:szCs w:val="18"/>
          <w:b w:val="1"/>
          <w:bCs w:val="1"/>
          <w:color w:val="auto"/>
        </w:rPr>
        <w:t>2.1</w:t>
        <w:tab/>
        <w:t xml:space="preserve">“Affiliate” </w:t>
      </w:r>
      <w:r>
        <w:rPr>
          <w:rFonts w:ascii="Arial" w:cs="Arial" w:eastAsia="Arial" w:hAnsi="Arial"/>
          <w:sz w:val="18"/>
          <w:szCs w:val="18"/>
          <w:color w:val="auto"/>
        </w:rPr>
        <w:t>shall mean any corporation or other entity (including, but not limited to, a partnership or a limited liability company),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affiliated with the Company through stock or equity ownership or otherwise, and is designated as an Affiliate for purposes of this Plan by the Committee.</w:t>
      </w:r>
    </w:p>
    <w:p>
      <w:pPr>
        <w:spacing w:after="0" w:line="203"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“Annual Award Limit” </w:t>
      </w:r>
      <w:r>
        <w:rPr>
          <w:rFonts w:ascii="Arial" w:cs="Arial" w:eastAsia="Arial" w:hAnsi="Arial"/>
          <w:sz w:val="16"/>
          <w:szCs w:val="16"/>
          <w:color w:val="auto"/>
        </w:rPr>
        <w:t>or</w:t>
      </w:r>
      <w:r>
        <w:rPr>
          <w:rFonts w:ascii="Arial" w:cs="Arial" w:eastAsia="Arial" w:hAnsi="Arial"/>
          <w:sz w:val="16"/>
          <w:szCs w:val="16"/>
          <w:b w:val="1"/>
          <w:bCs w:val="1"/>
          <w:color w:val="auto"/>
        </w:rPr>
        <w:t xml:space="preserve"> “Annual Award Limits” </w:t>
      </w:r>
      <w:r>
        <w:rPr>
          <w:rFonts w:ascii="Arial" w:cs="Arial" w:eastAsia="Arial" w:hAnsi="Arial"/>
          <w:sz w:val="16"/>
          <w:szCs w:val="16"/>
          <w:color w:val="auto"/>
        </w:rPr>
        <w:t>have the meaning set forth in Section 4.3.</w:t>
      </w:r>
    </w:p>
    <w:p>
      <w:pPr>
        <w:spacing w:after="0" w:line="252" w:lineRule="exact"/>
        <w:rPr>
          <w:sz w:val="20"/>
          <w:szCs w:val="20"/>
          <w:color w:val="auto"/>
        </w:rPr>
      </w:pPr>
    </w:p>
    <w:p>
      <w:pPr>
        <w:ind w:left="820" w:right="40" w:hanging="566"/>
        <w:spacing w:after="0" w:line="266" w:lineRule="auto"/>
        <w:tabs>
          <w:tab w:leader="none" w:pos="800" w:val="left"/>
        </w:tabs>
        <w:rPr>
          <w:sz w:val="20"/>
          <w:szCs w:val="20"/>
          <w:color w:val="auto"/>
        </w:rPr>
      </w:pPr>
      <w:r>
        <w:rPr>
          <w:rFonts w:ascii="Arial" w:cs="Arial" w:eastAsia="Arial" w:hAnsi="Arial"/>
          <w:sz w:val="18"/>
          <w:szCs w:val="18"/>
          <w:b w:val="1"/>
          <w:bCs w:val="1"/>
          <w:color w:val="auto"/>
        </w:rPr>
        <w:t>2.3</w:t>
        <w:tab/>
        <w:t xml:space="preserve">“Award” </w:t>
      </w:r>
      <w:r>
        <w:rPr>
          <w:rFonts w:ascii="Arial" w:cs="Arial" w:eastAsia="Arial" w:hAnsi="Arial"/>
          <w:sz w:val="18"/>
          <w:szCs w:val="18"/>
          <w:color w:val="auto"/>
        </w:rPr>
        <w:t>means, individually or collectively, a grant under this Plan of Nonqualified Stock Options, Incentive Stock Options, SARs,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Restricted Stock Units, Performance Shares, Performance Units, Cash-Based Awards, or Other Stock-Based Awards, in each case subject to the terms of this Plan.</w:t>
      </w:r>
    </w:p>
    <w:p>
      <w:pPr>
        <w:spacing w:after="0" w:line="203" w:lineRule="exact"/>
        <w:rPr>
          <w:sz w:val="20"/>
          <w:szCs w:val="20"/>
          <w:color w:val="auto"/>
        </w:rPr>
      </w:pPr>
    </w:p>
    <w:p>
      <w:pPr>
        <w:ind w:left="820" w:right="20" w:hanging="566"/>
        <w:spacing w:after="0" w:line="258" w:lineRule="auto"/>
        <w:tabs>
          <w:tab w:leader="none" w:pos="800" w:val="left"/>
        </w:tabs>
        <w:rPr>
          <w:sz w:val="20"/>
          <w:szCs w:val="20"/>
          <w:color w:val="auto"/>
        </w:rPr>
      </w:pPr>
      <w:r>
        <w:rPr>
          <w:rFonts w:ascii="Arial" w:cs="Arial" w:eastAsia="Arial" w:hAnsi="Arial"/>
          <w:sz w:val="18"/>
          <w:szCs w:val="18"/>
          <w:b w:val="1"/>
          <w:bCs w:val="1"/>
          <w:color w:val="auto"/>
        </w:rPr>
        <w:t>2.4</w:t>
        <w:tab/>
        <w:t xml:space="preserve">“Award Agreement” </w:t>
      </w:r>
      <w:r>
        <w:rPr>
          <w:rFonts w:ascii="Arial" w:cs="Arial" w:eastAsia="Arial" w:hAnsi="Arial"/>
          <w:sz w:val="18"/>
          <w:szCs w:val="18"/>
          <w:color w:val="auto"/>
        </w:rPr>
        <w:t>means either (i) an agreement entered into by the Company and a Participant setting forth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an Award granted under this Plan, or (ii)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20"/>
          </w:cols>
          <w:pgMar w:left="320" w:top="764" w:right="359" w:bottom="1440" w:gutter="0" w:footer="0" w:header="0"/>
        </w:sectPr>
      </w:pPr>
    </w:p>
    <w:bookmarkStart w:id="134" w:name="page135"/>
    <w:bookmarkEnd w:id="134"/>
    <w:p>
      <w:pPr>
        <w:ind w:left="400" w:right="680" w:hanging="566"/>
        <w:spacing w:after="0" w:line="282" w:lineRule="auto"/>
        <w:tabs>
          <w:tab w:leader="none" w:pos="380" w:val="left"/>
        </w:tabs>
        <w:rPr>
          <w:sz w:val="20"/>
          <w:szCs w:val="20"/>
          <w:color w:val="auto"/>
        </w:rPr>
      </w:pPr>
      <w:r>
        <w:rPr>
          <w:rFonts w:ascii="Arial" w:cs="Arial" w:eastAsia="Arial" w:hAnsi="Arial"/>
          <w:sz w:val="18"/>
          <w:szCs w:val="18"/>
          <w:b w:val="1"/>
          <w:bCs w:val="1"/>
          <w:color w:val="auto"/>
        </w:rPr>
        <w:t>2.5</w:t>
        <w:tab/>
        <w:t xml:space="preserve">“Beneficial Owner” </w:t>
      </w:r>
      <w:r>
        <w:rPr>
          <w:rFonts w:ascii="Arial" w:cs="Arial" w:eastAsia="Arial" w:hAnsi="Arial"/>
          <w:sz w:val="18"/>
          <w:szCs w:val="18"/>
          <w:color w:val="auto"/>
        </w:rPr>
        <w:t>or</w:t>
      </w:r>
      <w:r>
        <w:rPr>
          <w:rFonts w:ascii="Arial" w:cs="Arial" w:eastAsia="Arial" w:hAnsi="Arial"/>
          <w:sz w:val="18"/>
          <w:szCs w:val="18"/>
          <w:b w:val="1"/>
          <w:bCs w:val="1"/>
          <w:color w:val="auto"/>
        </w:rPr>
        <w:t xml:space="preserve"> “Beneficial Ownership” </w:t>
      </w:r>
      <w:r>
        <w:rPr>
          <w:rFonts w:ascii="Arial" w:cs="Arial" w:eastAsia="Arial" w:hAnsi="Arial"/>
          <w:sz w:val="18"/>
          <w:szCs w:val="18"/>
          <w:color w:val="auto"/>
        </w:rPr>
        <w:t>shall have the meaning ascribed to such term in Rule 13d-3 of the General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under the Exchange Act.</w:t>
      </w:r>
    </w:p>
    <w:p>
      <w:pPr>
        <w:spacing w:after="0" w:line="18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or</w:t>
      </w:r>
      <w:r>
        <w:rPr>
          <w:rFonts w:ascii="Arial" w:cs="Arial" w:eastAsia="Arial" w:hAnsi="Arial"/>
          <w:sz w:val="16"/>
          <w:szCs w:val="16"/>
          <w:b w:val="1"/>
          <w:bCs w:val="1"/>
          <w:color w:val="auto"/>
        </w:rPr>
        <w:t xml:space="preserve"> “Board of Directors” </w:t>
      </w:r>
      <w:r>
        <w:rPr>
          <w:rFonts w:ascii="Arial" w:cs="Arial" w:eastAsia="Arial" w:hAnsi="Arial"/>
          <w:sz w:val="16"/>
          <w:szCs w:val="16"/>
          <w:color w:val="auto"/>
        </w:rPr>
        <w:t>means the Board of Directors of the Company.</w:t>
      </w: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 xml:space="preserve">“Cash-Based Awards” </w:t>
      </w:r>
      <w:r>
        <w:rPr>
          <w:rFonts w:ascii="Arial" w:cs="Arial" w:eastAsia="Arial" w:hAnsi="Arial"/>
          <w:sz w:val="16"/>
          <w:szCs w:val="16"/>
          <w:color w:val="auto"/>
        </w:rPr>
        <w:t>means an Award granted to a Participant as described in Article 9 herein.</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shall mean any of the following events:</w:t>
      </w:r>
    </w:p>
    <w:p>
      <w:pPr>
        <w:spacing w:after="0" w:line="27" w:lineRule="exact"/>
        <w:rPr>
          <w:sz w:val="20"/>
          <w:szCs w:val="20"/>
          <w:color w:val="auto"/>
        </w:rPr>
      </w:pPr>
    </w:p>
    <w:p>
      <w:pPr>
        <w:jc w:val="both"/>
        <w:ind w:left="580" w:right="40" w:hanging="20"/>
        <w:spacing w:after="0" w:line="271" w:lineRule="auto"/>
        <w:tabs>
          <w:tab w:leader="none" w:pos="94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The acquisition in a transaction or series of transactions by any Person of Beneficial Ownership of thirty percent (30%) or more of the combined voting power of the then outstanding shares of common stock of the Company; provided, however, that for purposes of this Plan, the following acquisitions will not constitute a Change in Control: (A) any acquisition by the Company; (B) any acquisition of common stock of the Company by an underwriter holding securities of the Company in connection with a public offering thereof; and (C) any acquisition by any Person pursuant to a transaction which complies with </w:t>
      </w:r>
      <w:r>
        <w:rPr>
          <w:rFonts w:ascii="Arial" w:cs="Arial" w:eastAsia="Arial" w:hAnsi="Arial"/>
          <w:sz w:val="17"/>
          <w:szCs w:val="17"/>
          <w:u w:val="single" w:color="auto"/>
          <w:color w:val="auto"/>
        </w:rPr>
        <w:t>subsections (c)(i), (ii) and (iii)</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560" w:right="40"/>
        <w:spacing w:after="0" w:line="254" w:lineRule="auto"/>
        <w:tabs>
          <w:tab w:leader="none" w:pos="95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Individuals who, as of December 31, 2014 are members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Plan,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Arial" w:cs="Arial" w:eastAsia="Arial" w:hAnsi="Arial"/>
          <w:sz w:val="18"/>
          <w:szCs w:val="18"/>
          <w:b w:val="1"/>
          <w:bCs w:val="1"/>
          <w:color w:val="auto"/>
        </w:rPr>
        <w:t>Proxy Contest</w:t>
      </w:r>
      <w:r>
        <w:rPr>
          <w:rFonts w:ascii="Arial" w:cs="Arial" w:eastAsia="Arial" w:hAnsi="Arial"/>
          <w:sz w:val="18"/>
          <w:szCs w:val="18"/>
          <w:color w:val="auto"/>
        </w:rPr>
        <w:t>”) including by reason of any agreement intended to avoid or settle any Election Contest or Proxy Contest;</w:t>
      </w:r>
    </w:p>
    <w:p>
      <w:pPr>
        <w:spacing w:after="0" w:line="222" w:lineRule="exact"/>
        <w:rPr>
          <w:rFonts w:ascii="Arial" w:cs="Arial" w:eastAsia="Arial" w:hAnsi="Arial"/>
          <w:sz w:val="18"/>
          <w:szCs w:val="18"/>
          <w:color w:val="auto"/>
        </w:rPr>
      </w:pPr>
    </w:p>
    <w:p>
      <w:pPr>
        <w:ind w:left="560"/>
        <w:spacing w:after="0" w:line="268" w:lineRule="auto"/>
        <w:tabs>
          <w:tab w:leader="none" w:pos="9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Consummation, following shareholder approval, of a reorganization, merger, or consolidation of the Company, or a sale or other disposition of all or substantially all of the assets of the Company (each a “</w:t>
      </w:r>
      <w:r>
        <w:rPr>
          <w:rFonts w:ascii="Arial" w:cs="Arial" w:eastAsia="Arial" w:hAnsi="Arial"/>
          <w:sz w:val="17"/>
          <w:szCs w:val="17"/>
          <w:b w:val="1"/>
          <w:bCs w:val="1"/>
          <w:color w:val="auto"/>
        </w:rPr>
        <w:t>Business Combination</w:t>
      </w:r>
      <w:r>
        <w:rPr>
          <w:rFonts w:ascii="Arial" w:cs="Arial" w:eastAsia="Arial" w:hAnsi="Arial"/>
          <w:sz w:val="17"/>
          <w:szCs w:val="17"/>
          <w:color w:val="auto"/>
        </w:rPr>
        <w:t>”), unless, in each case, immediately following such Business Combination, all of the following have 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w:t>
      </w:r>
      <w:r>
        <w:rPr>
          <w:rFonts w:ascii="Arial" w:cs="Arial" w:eastAsia="Arial" w:hAnsi="Arial"/>
          <w:sz w:val="17"/>
          <w:szCs w:val="17"/>
          <w:b w:val="1"/>
          <w:bCs w:val="1"/>
          <w:color w:val="auto"/>
        </w:rPr>
        <w:t>Successor Entity</w:t>
      </w:r>
      <w:r>
        <w:rPr>
          <w:rFonts w:ascii="Arial" w:cs="Arial" w:eastAsia="Arial" w:hAnsi="Arial"/>
          <w:sz w:val="17"/>
          <w:szCs w:val="17"/>
          <w:color w:val="auto"/>
        </w:rPr>
        <w:t>”)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213" w:lineRule="exact"/>
        <w:rPr>
          <w:rFonts w:ascii="Arial" w:cs="Arial" w:eastAsia="Arial" w:hAnsi="Arial"/>
          <w:sz w:val="17"/>
          <w:szCs w:val="17"/>
          <w:color w:val="auto"/>
        </w:rPr>
      </w:pPr>
    </w:p>
    <w:p>
      <w:pPr>
        <w:ind w:left="560" w:right="260"/>
        <w:spacing w:after="0" w:line="277" w:lineRule="auto"/>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Approval by the shareholders of the Company of a complete liquidation or dissolution of the Company, except pursuant to a Business Combination that complies with </w:t>
      </w:r>
      <w:r>
        <w:rPr>
          <w:rFonts w:ascii="Arial" w:cs="Arial" w:eastAsia="Arial" w:hAnsi="Arial"/>
          <w:sz w:val="18"/>
          <w:szCs w:val="18"/>
          <w:u w:val="single" w:color="auto"/>
          <w:color w:val="auto"/>
        </w:rPr>
        <w:t>subsections (c)(i), (ii), and (iii)</w:t>
      </w:r>
      <w:r>
        <w:rPr>
          <w:rFonts w:ascii="Arial" w:cs="Arial" w:eastAsia="Arial" w:hAnsi="Arial"/>
          <w:sz w:val="18"/>
          <w:szCs w:val="18"/>
          <w:color w:val="auto"/>
        </w:rPr>
        <w:t xml:space="preserve"> above.</w:t>
      </w:r>
    </w:p>
    <w:p>
      <w:pPr>
        <w:spacing w:after="0" w:line="193" w:lineRule="exact"/>
        <w:rPr>
          <w:rFonts w:ascii="Arial" w:cs="Arial" w:eastAsia="Arial" w:hAnsi="Arial"/>
          <w:sz w:val="18"/>
          <w:szCs w:val="18"/>
          <w:color w:val="auto"/>
        </w:rPr>
      </w:pPr>
    </w:p>
    <w:p>
      <w:pPr>
        <w:ind w:left="560" w:right="40"/>
        <w:spacing w:after="0" w:line="273" w:lineRule="auto"/>
        <w:tabs>
          <w:tab w:leader="none" w:pos="93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Change in Control shall not be deemed to occur solely because any Person (the “</w:t>
      </w:r>
      <w:r>
        <w:rPr>
          <w:rFonts w:ascii="Arial" w:cs="Arial" w:eastAsia="Arial" w:hAnsi="Arial"/>
          <w:sz w:val="17"/>
          <w:szCs w:val="17"/>
          <w:b w:val="1"/>
          <w:bCs w:val="1"/>
          <w:color w:val="auto"/>
        </w:rPr>
        <w:t>Subject Person</w:t>
      </w:r>
      <w:r>
        <w:rPr>
          <w:rFonts w:ascii="Arial" w:cs="Arial" w:eastAsia="Arial" w:hAnsi="Arial"/>
          <w:sz w:val="17"/>
          <w:szCs w:val="17"/>
          <w:color w:val="auto"/>
        </w:rPr>
        <w:t>”) acquired Beneficial Ownership of more than the permitted amount of the then outstanding Common Stock as a result of the acquisition of 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202" w:lineRule="exact"/>
        <w:rPr>
          <w:rFonts w:ascii="Arial" w:cs="Arial" w:eastAsia="Arial" w:hAnsi="Arial"/>
          <w:sz w:val="17"/>
          <w:szCs w:val="17"/>
          <w:color w:val="auto"/>
        </w:rPr>
      </w:pPr>
    </w:p>
    <w:p>
      <w:pPr>
        <w:ind w:left="560" w:right="280"/>
        <w:spacing w:after="0" w:line="342" w:lineRule="auto"/>
        <w:tabs>
          <w:tab w:leader="none" w:pos="91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200" w:lineRule="exact"/>
        <w:rPr>
          <w:sz w:val="20"/>
          <w:szCs w:val="20"/>
          <w:color w:val="auto"/>
        </w:rPr>
      </w:pPr>
    </w:p>
    <w:p>
      <w:pPr>
        <w:spacing w:after="0" w:line="38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820"/>
          </w:cols>
          <w:pgMar w:left="740" w:top="769" w:right="339" w:bottom="1440" w:gutter="0" w:footer="0" w:header="0"/>
        </w:sectPr>
      </w:pPr>
    </w:p>
    <w:bookmarkStart w:id="135" w:name="page136"/>
    <w:bookmarkEnd w:id="135"/>
    <w:p>
      <w:pPr>
        <w:ind w:left="440" w:right="120" w:hanging="566"/>
        <w:spacing w:after="0" w:line="347" w:lineRule="auto"/>
        <w:tabs>
          <w:tab w:leader="none" w:pos="4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U.S. Internal Revenue Code of 1986, as amended from time to time. For purposes of this Plan, references to sections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shall be deemed to include references to any applicable regulations thereunder and any successor or similar provision.</w:t>
      </w:r>
    </w:p>
    <w:p>
      <w:pPr>
        <w:spacing w:after="0" w:line="143" w:lineRule="exact"/>
        <w:rPr>
          <w:sz w:val="20"/>
          <w:szCs w:val="20"/>
          <w:color w:val="auto"/>
        </w:rPr>
      </w:pPr>
    </w:p>
    <w:p>
      <w:pPr>
        <w:ind w:left="500" w:right="40" w:hanging="566"/>
        <w:spacing w:after="0" w:line="255" w:lineRule="auto"/>
        <w:tabs>
          <w:tab w:leader="none" w:pos="480" w:val="left"/>
        </w:tabs>
        <w:rPr>
          <w:sz w:val="20"/>
          <w:szCs w:val="20"/>
          <w:color w:val="auto"/>
        </w:rPr>
      </w:pPr>
      <w:r>
        <w:rPr>
          <w:rFonts w:ascii="Arial" w:cs="Arial" w:eastAsia="Arial" w:hAnsi="Arial"/>
          <w:sz w:val="18"/>
          <w:szCs w:val="18"/>
          <w:b w:val="1"/>
          <w:bCs w:val="1"/>
          <w:color w:val="auto"/>
        </w:rPr>
        <w:t>2.10</w:t>
        <w:tab/>
        <w:t xml:space="preserve">“Committee” </w:t>
      </w:r>
      <w:r>
        <w:rPr>
          <w:rFonts w:ascii="Arial" w:cs="Arial" w:eastAsia="Arial" w:hAnsi="Arial"/>
          <w:sz w:val="18"/>
          <w:szCs w:val="18"/>
          <w:color w:val="auto"/>
        </w:rPr>
        <w:t>means the Compensation Committee of the Board or a subcommittee thereof, or any other committee designated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to administer this Plan. The members of the Committee shall be appointed from time to time by and shall serve at the discretion of the Board. All members of the Committee shall be independent in accordance with any applicable standards and/or regulations adopted by the New York Stock Exchange (or, if not listed on such exchange, on any other national securities exchange on which the Shares are listed). If the Committee does not exist or cannot function for any reason, the Board may take any action under the Plan that would otherwise be the responsibility of the Committee. With respect to any decision relating to an Insider, the Committee shall consist of two or more Directors who are disinterested within the meaning of Rule 16b-3.</w:t>
      </w:r>
    </w:p>
    <w:p>
      <w:pPr>
        <w:spacing w:after="0" w:line="216" w:lineRule="exact"/>
        <w:rPr>
          <w:sz w:val="20"/>
          <w:szCs w:val="20"/>
          <w:color w:val="auto"/>
        </w:rPr>
      </w:pPr>
    </w:p>
    <w:p>
      <w:pPr>
        <w:ind w:left="480" w:right="20" w:hanging="566"/>
        <w:spacing w:after="0" w:line="266" w:lineRule="auto"/>
        <w:tabs>
          <w:tab w:leader="none" w:pos="460" w:val="left"/>
        </w:tabs>
        <w:rPr>
          <w:sz w:val="20"/>
          <w:szCs w:val="20"/>
          <w:color w:val="auto"/>
        </w:rPr>
      </w:pPr>
      <w:r>
        <w:rPr>
          <w:rFonts w:ascii="Arial" w:cs="Arial" w:eastAsia="Arial" w:hAnsi="Arial"/>
          <w:sz w:val="18"/>
          <w:szCs w:val="18"/>
          <w:b w:val="1"/>
          <w:bCs w:val="1"/>
          <w:color w:val="auto"/>
        </w:rPr>
        <w:t>2.11</w:t>
        <w:tab/>
        <w:t xml:space="preserve">“Company” </w:t>
      </w:r>
      <w:r>
        <w:rPr>
          <w:rFonts w:ascii="Arial" w:cs="Arial" w:eastAsia="Arial" w:hAnsi="Arial"/>
          <w:sz w:val="18"/>
          <w:szCs w:val="18"/>
          <w:color w:val="auto"/>
        </w:rPr>
        <w:t>means Black Hills Corporation, a South Dakota corporation, and any successor thereto as provided in Article 21 herein;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in the event the Company reincorporates to another jurisdiction, all references to the term “Company” shall refer to the Company in such new jurisdiction.</w:t>
      </w:r>
    </w:p>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 xml:space="preserve">“Director” </w:t>
      </w:r>
      <w:r>
        <w:rPr>
          <w:rFonts w:ascii="Arial" w:cs="Arial" w:eastAsia="Arial" w:hAnsi="Arial"/>
          <w:sz w:val="16"/>
          <w:szCs w:val="16"/>
          <w:color w:val="auto"/>
        </w:rPr>
        <w:t>means any individual who is a member of the Board of Directors of the Company.</w:t>
      </w:r>
    </w:p>
    <w:p>
      <w:pPr>
        <w:spacing w:after="0" w:line="252" w:lineRule="exact"/>
        <w:rPr>
          <w:sz w:val="20"/>
          <w:szCs w:val="20"/>
          <w:color w:val="auto"/>
        </w:rPr>
      </w:pPr>
    </w:p>
    <w:p>
      <w:pPr>
        <w:ind w:left="500" w:hanging="566"/>
        <w:spacing w:after="0" w:line="298" w:lineRule="auto"/>
        <w:tabs>
          <w:tab w:leader="none" w:pos="4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any person designated as an employee of the Company, its Affiliates, and/or its Subsidiaries on the payroll records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amended from time to time, or any successor act thereto.</w:t>
      </w:r>
    </w:p>
    <w:p>
      <w:pPr>
        <w:spacing w:after="0" w:line="252" w:lineRule="exact"/>
        <w:rPr>
          <w:sz w:val="20"/>
          <w:szCs w:val="20"/>
          <w:color w:val="auto"/>
        </w:rPr>
      </w:pPr>
    </w:p>
    <w:p>
      <w:pPr>
        <w:ind w:left="500" w:right="180" w:hanging="566"/>
        <w:spacing w:after="0" w:line="312" w:lineRule="auto"/>
        <w:tabs>
          <w:tab w:leader="none" w:pos="4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b w:val="1"/>
          <w:bCs w:val="1"/>
          <w:color w:val="auto"/>
        </w:rPr>
        <w:t xml:space="preserve">“Fair Market Value” </w:t>
      </w:r>
      <w:r>
        <w:rPr>
          <w:rFonts w:ascii="Arial" w:cs="Arial" w:eastAsia="Arial" w:hAnsi="Arial"/>
          <w:sz w:val="17"/>
          <w:szCs w:val="17"/>
          <w:color w:val="auto"/>
        </w:rPr>
        <w:t>or</w:t>
      </w:r>
      <w:r>
        <w:rPr>
          <w:rFonts w:ascii="Arial" w:cs="Arial" w:eastAsia="Arial" w:hAnsi="Arial"/>
          <w:sz w:val="17"/>
          <w:szCs w:val="17"/>
          <w:b w:val="1"/>
          <w:bCs w:val="1"/>
          <w:color w:val="auto"/>
        </w:rPr>
        <w:t xml:space="preserve"> “FMV” </w:t>
      </w:r>
      <w:r>
        <w:rPr>
          <w:rFonts w:ascii="Arial" w:cs="Arial" w:eastAsia="Arial" w:hAnsi="Arial"/>
          <w:sz w:val="17"/>
          <w:szCs w:val="17"/>
          <w:color w:val="auto"/>
        </w:rPr>
        <w:t>shall be determined on the basis of the closing sale price on the principal securities exchange on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traded or, if there is no such sale on the relevant date, then on the last previous day on which a sale was reported.</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 xml:space="preserve">“Freestanding SAR” </w:t>
      </w:r>
      <w:r>
        <w:rPr>
          <w:rFonts w:ascii="Arial" w:cs="Arial" w:eastAsia="Arial" w:hAnsi="Arial"/>
          <w:sz w:val="16"/>
          <w:szCs w:val="16"/>
          <w:color w:val="auto"/>
        </w:rPr>
        <w:t>means an SAR that is granted independently of any Options, as described in Article 7.</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 xml:space="preserve">“Full Value Award” </w:t>
      </w:r>
      <w:r>
        <w:rPr>
          <w:rFonts w:ascii="Arial" w:cs="Arial" w:eastAsia="Arial" w:hAnsi="Arial"/>
          <w:sz w:val="16"/>
          <w:szCs w:val="16"/>
          <w:color w:val="auto"/>
        </w:rPr>
        <w:t>means an Award other than in the form of an ISO, NQSO, or SAR, and which is settled by the issuance of Shares.</w:t>
      </w:r>
    </w:p>
    <w:p>
      <w:pPr>
        <w:spacing w:after="0" w:line="252" w:lineRule="exact"/>
        <w:rPr>
          <w:sz w:val="20"/>
          <w:szCs w:val="20"/>
          <w:color w:val="auto"/>
        </w:rPr>
      </w:pPr>
    </w:p>
    <w:p>
      <w:pPr>
        <w:ind w:left="500" w:right="20" w:hanging="566"/>
        <w:spacing w:after="0" w:line="282" w:lineRule="auto"/>
        <w:tabs>
          <w:tab w:leader="none" w:pos="480" w:val="left"/>
        </w:tabs>
        <w:rPr>
          <w:sz w:val="20"/>
          <w:szCs w:val="20"/>
          <w:color w:val="auto"/>
        </w:rPr>
      </w:pPr>
      <w:r>
        <w:rPr>
          <w:rFonts w:ascii="Arial" w:cs="Arial" w:eastAsia="Arial" w:hAnsi="Arial"/>
          <w:sz w:val="18"/>
          <w:szCs w:val="18"/>
          <w:b w:val="1"/>
          <w:bCs w:val="1"/>
          <w:color w:val="auto"/>
        </w:rPr>
        <w:t>2.21</w:t>
        <w:tab/>
        <w:t xml:space="preserve">“Grant Price” </w:t>
      </w:r>
      <w:r>
        <w:rPr>
          <w:rFonts w:ascii="Arial" w:cs="Arial" w:eastAsia="Arial" w:hAnsi="Arial"/>
          <w:sz w:val="18"/>
          <w:szCs w:val="18"/>
          <w:color w:val="auto"/>
        </w:rPr>
        <w:t>means the price established at the time of grant of a SAR pursuant to Article 7, used to determine whether there is any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upon exercise of the SAR.</w:t>
      </w:r>
    </w:p>
    <w:p>
      <w:pPr>
        <w:spacing w:after="0" w:line="189" w:lineRule="exact"/>
        <w:rPr>
          <w:sz w:val="20"/>
          <w:szCs w:val="20"/>
          <w:color w:val="auto"/>
        </w:rPr>
      </w:pPr>
    </w:p>
    <w:p>
      <w:pPr>
        <w:ind w:left="500" w:right="60" w:hanging="566"/>
        <w:spacing w:after="0" w:line="312" w:lineRule="auto"/>
        <w:tabs>
          <w:tab w:leader="none" w:pos="48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7"/>
          <w:szCs w:val="17"/>
          <w:b w:val="1"/>
          <w:bCs w:val="1"/>
          <w:color w:val="auto"/>
        </w:rPr>
        <w:t xml:space="preserve">“Incentive Stock Option” or “ISO” </w:t>
      </w:r>
      <w:r>
        <w:rPr>
          <w:rFonts w:ascii="Arial" w:cs="Arial" w:eastAsia="Arial" w:hAnsi="Arial"/>
          <w:sz w:val="17"/>
          <w:szCs w:val="17"/>
          <w:color w:val="auto"/>
        </w:rPr>
        <w:t>means an Option to purchase Shares granted under Article 6 to an Employee and that is designated as an</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Stock Option and that is intended to meet the requirements of Code Section 422, or any successor provision.</w:t>
      </w:r>
    </w:p>
    <w:p>
      <w:pPr>
        <w:spacing w:after="0" w:line="167" w:lineRule="exact"/>
        <w:rPr>
          <w:sz w:val="20"/>
          <w:szCs w:val="20"/>
          <w:color w:val="auto"/>
        </w:rPr>
      </w:pPr>
    </w:p>
    <w:p>
      <w:pPr>
        <w:ind w:left="500" w:right="40" w:hanging="566"/>
        <w:spacing w:after="0" w:line="266" w:lineRule="auto"/>
        <w:tabs>
          <w:tab w:leader="none" w:pos="480" w:val="left"/>
        </w:tabs>
        <w:rPr>
          <w:sz w:val="20"/>
          <w:szCs w:val="20"/>
          <w:color w:val="auto"/>
        </w:rPr>
      </w:pPr>
      <w:r>
        <w:rPr>
          <w:rFonts w:ascii="Arial" w:cs="Arial" w:eastAsia="Arial" w:hAnsi="Arial"/>
          <w:sz w:val="18"/>
          <w:szCs w:val="18"/>
          <w:b w:val="1"/>
          <w:bCs w:val="1"/>
          <w:color w:val="auto"/>
        </w:rPr>
        <w:t>2.23</w:t>
        <w:tab/>
        <w:t xml:space="preserve">“Insider” </w:t>
      </w:r>
      <w:r>
        <w:rPr>
          <w:rFonts w:ascii="Arial" w:cs="Arial" w:eastAsia="Arial" w:hAnsi="Arial"/>
          <w:sz w:val="18"/>
          <w:szCs w:val="18"/>
          <w:color w:val="auto"/>
        </w:rPr>
        <w:t>shall mean an individual who is, on the relevant date, an officer, or Director of the Company, or a more than ten percent (10%)</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any class of the Company’s equity securities that is registered pursuant to Section 12 of the Exchange Act, as determined by the Board in accordance with Section 16 of the Exchange Act.</w:t>
      </w:r>
    </w:p>
    <w:p>
      <w:pPr>
        <w:spacing w:after="0" w:line="20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 xml:space="preserve">“Nonemployee Director” </w:t>
      </w:r>
      <w:r>
        <w:rPr>
          <w:rFonts w:ascii="Arial" w:cs="Arial" w:eastAsia="Arial" w:hAnsi="Arial"/>
          <w:sz w:val="16"/>
          <w:szCs w:val="16"/>
          <w:color w:val="auto"/>
        </w:rPr>
        <w:t>means a Director who is not an Employee.</w:t>
      </w:r>
    </w:p>
    <w:p>
      <w:pPr>
        <w:spacing w:after="0" w:line="252" w:lineRule="exact"/>
        <w:rPr>
          <w:sz w:val="20"/>
          <w:szCs w:val="20"/>
          <w:color w:val="auto"/>
        </w:rPr>
      </w:pPr>
    </w:p>
    <w:p>
      <w:pPr>
        <w:jc w:val="both"/>
        <w:ind w:left="500" w:right="260" w:hanging="566"/>
        <w:spacing w:after="0" w:line="266" w:lineRule="auto"/>
        <w:tabs>
          <w:tab w:leader="none" w:pos="480" w:val="left"/>
        </w:tabs>
        <w:rPr>
          <w:sz w:val="20"/>
          <w:szCs w:val="20"/>
          <w:color w:val="auto"/>
        </w:rPr>
      </w:pPr>
      <w:r>
        <w:rPr>
          <w:rFonts w:ascii="Arial" w:cs="Arial" w:eastAsia="Arial" w:hAnsi="Arial"/>
          <w:sz w:val="18"/>
          <w:szCs w:val="18"/>
          <w:b w:val="1"/>
          <w:bCs w:val="1"/>
          <w:color w:val="auto"/>
        </w:rPr>
        <w:t>2.25</w:t>
        <w:tab/>
        <w:t xml:space="preserve">“Nonemployee Director Award” </w:t>
      </w:r>
      <w:r>
        <w:rPr>
          <w:rFonts w:ascii="Arial" w:cs="Arial" w:eastAsia="Arial" w:hAnsi="Arial"/>
          <w:sz w:val="18"/>
          <w:szCs w:val="18"/>
          <w:color w:val="auto"/>
        </w:rPr>
        <w:t>means any NQSO, SAR, or Full Value Award granted, whether singly, in combination, or in tandem,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who is a Nonemployee Director pursuant to such applicable terms, conditions, and limitations as the Board or Committee may establish in accordance with this Plan.</w:t>
      </w:r>
    </w:p>
    <w:p>
      <w:pPr>
        <w:spacing w:after="0" w:line="203" w:lineRule="exact"/>
        <w:rPr>
          <w:sz w:val="20"/>
          <w:szCs w:val="20"/>
          <w:color w:val="auto"/>
        </w:rPr>
      </w:pPr>
    </w:p>
    <w:p>
      <w:pPr>
        <w:ind w:left="500" w:right="580" w:hanging="566"/>
        <w:spacing w:after="0" w:line="282" w:lineRule="auto"/>
        <w:tabs>
          <w:tab w:leader="none" w:pos="480" w:val="left"/>
        </w:tabs>
        <w:rPr>
          <w:sz w:val="20"/>
          <w:szCs w:val="20"/>
          <w:color w:val="auto"/>
        </w:rPr>
      </w:pPr>
      <w:r>
        <w:rPr>
          <w:rFonts w:ascii="Arial" w:cs="Arial" w:eastAsia="Arial" w:hAnsi="Arial"/>
          <w:sz w:val="18"/>
          <w:szCs w:val="18"/>
          <w:b w:val="1"/>
          <w:bCs w:val="1"/>
          <w:color w:val="auto"/>
        </w:rPr>
        <w:t>2.26</w:t>
        <w:tab/>
        <w:t xml:space="preserve">“Nonqualified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“NQSO” </w:t>
      </w:r>
      <w:r>
        <w:rPr>
          <w:rFonts w:ascii="Arial" w:cs="Arial" w:eastAsia="Arial" w:hAnsi="Arial"/>
          <w:sz w:val="18"/>
          <w:szCs w:val="18"/>
          <w:color w:val="auto"/>
        </w:rPr>
        <w:t>means an Option that is not intended to meet the requirements of Code Section 422, or that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does not meet such requirements.</w:t>
      </w:r>
    </w:p>
    <w:p>
      <w:pPr>
        <w:spacing w:after="0" w:line="38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20"/>
          </w:cols>
          <w:pgMar w:left="740" w:top="769" w:right="339" w:bottom="1440" w:gutter="0" w:footer="0" w:header="0"/>
        </w:sectPr>
      </w:pPr>
    </w:p>
    <w:bookmarkStart w:id="136" w:name="page137"/>
    <w:bookmarkEnd w:id="136"/>
    <w:p>
      <w:pPr>
        <w:spacing w:after="0"/>
        <w:tabs>
          <w:tab w:leader="none" w:pos="48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 xml:space="preserve">“Option” </w:t>
      </w:r>
      <w:r>
        <w:rPr>
          <w:rFonts w:ascii="Arial" w:cs="Arial" w:eastAsia="Arial" w:hAnsi="Arial"/>
          <w:sz w:val="16"/>
          <w:szCs w:val="16"/>
          <w:color w:val="auto"/>
        </w:rPr>
        <w:t>means an Incentive Stock Option or a Nonqualified Stock Option, as described in Article 6.</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 xml:space="preserve">“Option Price” </w:t>
      </w:r>
      <w:r>
        <w:rPr>
          <w:rFonts w:ascii="Arial" w:cs="Arial" w:eastAsia="Arial" w:hAnsi="Arial"/>
          <w:sz w:val="16"/>
          <w:szCs w:val="16"/>
          <w:color w:val="auto"/>
        </w:rPr>
        <w:t>means the price at which a Share may be purchased by a Participant pursuant to an Option.</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b w:val="1"/>
          <w:bCs w:val="1"/>
          <w:color w:val="auto"/>
        </w:rPr>
        <w:t xml:space="preserve">“Original Effective Date” </w:t>
      </w:r>
      <w:r>
        <w:rPr>
          <w:rFonts w:ascii="Arial" w:cs="Arial" w:eastAsia="Arial" w:hAnsi="Arial"/>
          <w:sz w:val="16"/>
          <w:szCs w:val="16"/>
          <w:color w:val="auto"/>
        </w:rPr>
        <w:t>has the meaning set forth in Section 1.1.</w:t>
      </w:r>
    </w:p>
    <w:p>
      <w:pPr>
        <w:spacing w:after="0" w:line="252" w:lineRule="exact"/>
        <w:rPr>
          <w:sz w:val="20"/>
          <w:szCs w:val="20"/>
          <w:color w:val="auto"/>
        </w:rPr>
      </w:pPr>
    </w:p>
    <w:p>
      <w:pPr>
        <w:ind w:left="540" w:right="440" w:hanging="566"/>
        <w:spacing w:after="0" w:line="282" w:lineRule="auto"/>
        <w:tabs>
          <w:tab w:leader="none" w:pos="520" w:val="left"/>
        </w:tabs>
        <w:rPr>
          <w:sz w:val="20"/>
          <w:szCs w:val="20"/>
          <w:color w:val="auto"/>
        </w:rPr>
      </w:pPr>
      <w:r>
        <w:rPr>
          <w:rFonts w:ascii="Arial" w:cs="Arial" w:eastAsia="Arial" w:hAnsi="Arial"/>
          <w:sz w:val="18"/>
          <w:szCs w:val="18"/>
          <w:b w:val="1"/>
          <w:bCs w:val="1"/>
          <w:color w:val="auto"/>
        </w:rPr>
        <w:t>2.30</w:t>
        <w:tab/>
        <w:t xml:space="preserve">“Other Stock-Based Award” </w:t>
      </w:r>
      <w:r>
        <w:rPr>
          <w:rFonts w:ascii="Arial" w:cs="Arial" w:eastAsia="Arial" w:hAnsi="Arial"/>
          <w:sz w:val="18"/>
          <w:szCs w:val="18"/>
          <w:color w:val="auto"/>
        </w:rPr>
        <w:t>means an equity-based or equity-related Award not otherwise described by the terms of this Plan,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10.</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any eligible individual as set forth in Article 5 to whom an Award is granted.</w:t>
      </w:r>
    </w:p>
    <w:p>
      <w:pPr>
        <w:spacing w:after="0" w:line="252" w:lineRule="exact"/>
        <w:rPr>
          <w:sz w:val="20"/>
          <w:szCs w:val="20"/>
          <w:color w:val="auto"/>
        </w:rPr>
      </w:pPr>
    </w:p>
    <w:p>
      <w:pPr>
        <w:ind w:left="500" w:right="100" w:hanging="566"/>
        <w:spacing w:after="0" w:line="293" w:lineRule="auto"/>
        <w:tabs>
          <w:tab w:leader="none" w:pos="4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 xml:space="preserve">“Performance-Based Compensation” </w:t>
      </w:r>
      <w:r>
        <w:rPr>
          <w:rFonts w:ascii="Arial" w:cs="Arial" w:eastAsia="Arial" w:hAnsi="Arial"/>
          <w:sz w:val="16"/>
          <w:szCs w:val="16"/>
          <w:color w:val="auto"/>
        </w:rPr>
        <w:t>means any Award for which the vesting, or value of which at the time it is payable, is determined as a</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 of achievement of performance goals, including any such Cash-Based Award, Performance Share or Performance Unit.</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 xml:space="preserve">“Performance Measures” </w:t>
      </w:r>
      <w:r>
        <w:rPr>
          <w:rFonts w:ascii="Arial" w:cs="Arial" w:eastAsia="Arial" w:hAnsi="Arial"/>
          <w:sz w:val="16"/>
          <w:szCs w:val="16"/>
          <w:color w:val="auto"/>
        </w:rPr>
        <w:t>means measures as described in Article 11 on which the performance goals are based.</w:t>
      </w:r>
    </w:p>
    <w:p>
      <w:pPr>
        <w:spacing w:after="0" w:line="234" w:lineRule="exact"/>
        <w:rPr>
          <w:sz w:val="20"/>
          <w:szCs w:val="20"/>
          <w:color w:val="auto"/>
        </w:rPr>
      </w:pPr>
    </w:p>
    <w:p>
      <w:pPr>
        <w:ind w:left="500" w:right="100" w:hanging="566"/>
        <w:spacing w:after="0" w:line="282" w:lineRule="auto"/>
        <w:tabs>
          <w:tab w:leader="none" w:pos="480" w:val="left"/>
        </w:tabs>
        <w:rPr>
          <w:sz w:val="20"/>
          <w:szCs w:val="20"/>
          <w:color w:val="auto"/>
        </w:rPr>
      </w:pPr>
      <w:r>
        <w:rPr>
          <w:rFonts w:ascii="Arial" w:cs="Arial" w:eastAsia="Arial" w:hAnsi="Arial"/>
          <w:sz w:val="18"/>
          <w:szCs w:val="18"/>
          <w:b w:val="1"/>
          <w:bCs w:val="1"/>
          <w:color w:val="auto"/>
        </w:rPr>
        <w:t>2.34</w:t>
        <w:tab/>
        <w:t xml:space="preserve">“Performance Period” </w:t>
      </w:r>
      <w:r>
        <w:rPr>
          <w:rFonts w:ascii="Arial" w:cs="Arial" w:eastAsia="Arial" w:hAnsi="Arial"/>
          <w:sz w:val="18"/>
          <w:szCs w:val="18"/>
          <w:color w:val="auto"/>
        </w:rPr>
        <w:t>means the period of time during which the performance goals must be met in order to determine the degree of payout</w:t>
      </w:r>
      <w:r>
        <w:rPr>
          <w:rFonts w:ascii="Arial" w:cs="Arial" w:eastAsia="Arial" w:hAnsi="Arial"/>
          <w:sz w:val="18"/>
          <w:szCs w:val="18"/>
          <w:b w:val="1"/>
          <w:bCs w:val="1"/>
          <w:color w:val="auto"/>
        </w:rPr>
        <w:t xml:space="preserve"> </w:t>
      </w:r>
      <w:r>
        <w:rPr>
          <w:rFonts w:ascii="Arial" w:cs="Arial" w:eastAsia="Arial" w:hAnsi="Arial"/>
          <w:sz w:val="18"/>
          <w:szCs w:val="18"/>
          <w:color w:val="auto"/>
        </w:rPr>
        <w:t>and/or vesting with respect to an Award.</w:t>
      </w:r>
    </w:p>
    <w:p>
      <w:pPr>
        <w:spacing w:after="0" w:line="189" w:lineRule="exact"/>
        <w:rPr>
          <w:sz w:val="20"/>
          <w:szCs w:val="20"/>
          <w:color w:val="auto"/>
        </w:rPr>
      </w:pPr>
    </w:p>
    <w:p>
      <w:pPr>
        <w:ind w:left="500" w:hanging="566"/>
        <w:spacing w:after="0" w:line="312" w:lineRule="auto"/>
        <w:tabs>
          <w:tab w:leader="none" w:pos="4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b w:val="1"/>
          <w:bCs w:val="1"/>
          <w:color w:val="auto"/>
        </w:rPr>
        <w:t xml:space="preserve">“Performance Share” </w:t>
      </w:r>
      <w:r>
        <w:rPr>
          <w:rFonts w:ascii="Arial" w:cs="Arial" w:eastAsia="Arial" w:hAnsi="Arial"/>
          <w:sz w:val="17"/>
          <w:szCs w:val="17"/>
          <w:color w:val="auto"/>
        </w:rPr>
        <w:t>means an Award under Article 9 herein and subject to the terms of this Plan, denominated in Shares, the value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it is payable is determined as a function of the extent to which corresponding performance criteria have been achieved.</w:t>
      </w:r>
    </w:p>
    <w:p>
      <w:pPr>
        <w:spacing w:after="0" w:line="167" w:lineRule="exact"/>
        <w:rPr>
          <w:sz w:val="20"/>
          <w:szCs w:val="20"/>
          <w:color w:val="auto"/>
        </w:rPr>
      </w:pPr>
    </w:p>
    <w:p>
      <w:pPr>
        <w:jc w:val="both"/>
        <w:ind w:left="500" w:right="20" w:hanging="566"/>
        <w:spacing w:after="0" w:line="312" w:lineRule="auto"/>
        <w:tabs>
          <w:tab w:leader="none" w:pos="48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7"/>
          <w:szCs w:val="17"/>
          <w:b w:val="1"/>
          <w:bCs w:val="1"/>
          <w:color w:val="auto"/>
        </w:rPr>
        <w:t xml:space="preserve">“Performance Unit” </w:t>
      </w:r>
      <w:r>
        <w:rPr>
          <w:rFonts w:ascii="Arial" w:cs="Arial" w:eastAsia="Arial" w:hAnsi="Arial"/>
          <w:sz w:val="17"/>
          <w:szCs w:val="17"/>
          <w:color w:val="auto"/>
        </w:rPr>
        <w:t>means an Award under Article 9 herein and subject to the terms of this Plan, denominated in Units, the value of which at</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it is payable is determined as a function of the extent to which corresponding performance criteria have been achieved.</w:t>
      </w:r>
    </w:p>
    <w:p>
      <w:pPr>
        <w:spacing w:after="0" w:line="167" w:lineRule="exact"/>
        <w:rPr>
          <w:sz w:val="20"/>
          <w:szCs w:val="20"/>
          <w:color w:val="auto"/>
        </w:rPr>
      </w:pPr>
    </w:p>
    <w:p>
      <w:pPr>
        <w:jc w:val="both"/>
        <w:ind w:left="500" w:right="40" w:hanging="566"/>
        <w:spacing w:after="0" w:line="266" w:lineRule="auto"/>
        <w:tabs>
          <w:tab w:leader="none" w:pos="480" w:val="left"/>
        </w:tabs>
        <w:rPr>
          <w:sz w:val="20"/>
          <w:szCs w:val="20"/>
          <w:color w:val="auto"/>
        </w:rPr>
      </w:pPr>
      <w:r>
        <w:rPr>
          <w:rFonts w:ascii="Arial" w:cs="Arial" w:eastAsia="Arial" w:hAnsi="Arial"/>
          <w:sz w:val="18"/>
          <w:szCs w:val="18"/>
          <w:b w:val="1"/>
          <w:bCs w:val="1"/>
          <w:color w:val="auto"/>
        </w:rPr>
        <w:t>2.37</w:t>
        <w:tab/>
        <w:t xml:space="preserve">“Period of Restriction” </w:t>
      </w:r>
      <w:r>
        <w:rPr>
          <w:rFonts w:ascii="Arial" w:cs="Arial" w:eastAsia="Arial" w:hAnsi="Arial"/>
          <w:sz w:val="18"/>
          <w:szCs w:val="18"/>
          <w:color w:val="auto"/>
        </w:rPr>
        <w:t>means the period when Restricted Stock or Restricted Stock Units are subject to a substantial risk of forfeiture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passage of time, the achievement of performance goals, or upon the occurrence of other events as determined by the Committee, in its discretion), as provided in Article 8.</w:t>
      </w:r>
    </w:p>
    <w:p>
      <w:pPr>
        <w:spacing w:after="0" w:line="203" w:lineRule="exact"/>
        <w:rPr>
          <w:sz w:val="20"/>
          <w:szCs w:val="20"/>
          <w:color w:val="auto"/>
        </w:rPr>
      </w:pPr>
    </w:p>
    <w:p>
      <w:pPr>
        <w:ind w:left="500" w:right="200" w:hanging="566"/>
        <w:spacing w:after="0" w:line="282" w:lineRule="auto"/>
        <w:tabs>
          <w:tab w:leader="none" w:pos="480" w:val="left"/>
        </w:tabs>
        <w:rPr>
          <w:sz w:val="20"/>
          <w:szCs w:val="20"/>
          <w:color w:val="auto"/>
        </w:rPr>
      </w:pPr>
      <w:r>
        <w:rPr>
          <w:rFonts w:ascii="Arial" w:cs="Arial" w:eastAsia="Arial" w:hAnsi="Arial"/>
          <w:sz w:val="18"/>
          <w:szCs w:val="18"/>
          <w:b w:val="1"/>
          <w:bCs w:val="1"/>
          <w:color w:val="auto"/>
        </w:rPr>
        <w:t>2.38</w:t>
        <w:tab/>
        <w:t xml:space="preserve">“Person” </w:t>
      </w:r>
      <w:r>
        <w:rPr>
          <w:rFonts w:ascii="Arial" w:cs="Arial" w:eastAsia="Arial" w:hAnsi="Arial"/>
          <w:sz w:val="18"/>
          <w:szCs w:val="18"/>
          <w:color w:val="auto"/>
        </w:rPr>
        <w:t>shall have the meaning ascribed to such term in Section 3(a)(9) of the Exchange Act and used in Sections 13(d) and 14(d)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“group” as defined in Section 13(d) thereof.</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the Black Hills Corporation Amended and Restated 2015 Omnibus Incentive Plan.</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2.40</w:t>
      </w:r>
      <w:r>
        <w:rPr>
          <w:sz w:val="20"/>
          <w:szCs w:val="20"/>
          <w:color w:val="auto"/>
        </w:rPr>
        <w:tab/>
      </w:r>
      <w:r>
        <w:rPr>
          <w:rFonts w:ascii="Arial" w:cs="Arial" w:eastAsia="Arial" w:hAnsi="Arial"/>
          <w:sz w:val="16"/>
          <w:szCs w:val="16"/>
          <w:b w:val="1"/>
          <w:bCs w:val="1"/>
          <w:color w:val="auto"/>
        </w:rPr>
        <w:t xml:space="preserve">“Plan Year” </w:t>
      </w:r>
      <w:r>
        <w:rPr>
          <w:rFonts w:ascii="Arial" w:cs="Arial" w:eastAsia="Arial" w:hAnsi="Arial"/>
          <w:sz w:val="16"/>
          <w:szCs w:val="16"/>
          <w:color w:val="auto"/>
        </w:rPr>
        <w:t>means the calendar year.</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 xml:space="preserve">“Prior Plan” </w:t>
      </w:r>
      <w:r>
        <w:rPr>
          <w:rFonts w:ascii="Arial" w:cs="Arial" w:eastAsia="Arial" w:hAnsi="Arial"/>
          <w:sz w:val="16"/>
          <w:szCs w:val="16"/>
          <w:color w:val="auto"/>
        </w:rPr>
        <w:t>means the Black Hills Corporation 2005 Omnibus Incentive Compensation Plan dated May 25, 2005.</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 xml:space="preserve">“Restatement Effective Date” </w:t>
      </w:r>
      <w:r>
        <w:rPr>
          <w:rFonts w:ascii="Arial" w:cs="Arial" w:eastAsia="Arial" w:hAnsi="Arial"/>
          <w:sz w:val="16"/>
          <w:szCs w:val="16"/>
          <w:color w:val="auto"/>
        </w:rPr>
        <w:t>has the meaning set forth in Section 1.1.</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means an Award granted to a Participant pursuant to Article 8.</w:t>
      </w:r>
    </w:p>
    <w:p>
      <w:pPr>
        <w:spacing w:after="0" w:line="252" w:lineRule="exact"/>
        <w:rPr>
          <w:sz w:val="20"/>
          <w:szCs w:val="20"/>
          <w:color w:val="auto"/>
        </w:rPr>
      </w:pPr>
    </w:p>
    <w:p>
      <w:pPr>
        <w:ind w:left="500" w:right="700" w:hanging="566"/>
        <w:spacing w:after="0" w:line="282" w:lineRule="auto"/>
        <w:tabs>
          <w:tab w:leader="none" w:pos="480" w:val="left"/>
        </w:tabs>
        <w:rPr>
          <w:sz w:val="20"/>
          <w:szCs w:val="20"/>
          <w:color w:val="auto"/>
        </w:rPr>
      </w:pPr>
      <w:r>
        <w:rPr>
          <w:rFonts w:ascii="Arial" w:cs="Arial" w:eastAsia="Arial" w:hAnsi="Arial"/>
          <w:sz w:val="18"/>
          <w:szCs w:val="18"/>
          <w:b w:val="1"/>
          <w:bCs w:val="1"/>
          <w:color w:val="auto"/>
        </w:rPr>
        <w:t>2.44</w:t>
        <w:tab/>
        <w:t xml:space="preserve">“Restricted Stock Unit” </w:t>
      </w:r>
      <w:r>
        <w:rPr>
          <w:rFonts w:ascii="Arial" w:cs="Arial" w:eastAsia="Arial" w:hAnsi="Arial"/>
          <w:sz w:val="18"/>
          <w:szCs w:val="18"/>
          <w:color w:val="auto"/>
        </w:rPr>
        <w:t>means an Award granted to a Participant pursuant to Article 8, except no Shares are actually awarded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 the date of grant.</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 xml:space="preserve">“Share” </w:t>
      </w:r>
      <w:r>
        <w:rPr>
          <w:rFonts w:ascii="Arial" w:cs="Arial" w:eastAsia="Arial" w:hAnsi="Arial"/>
          <w:sz w:val="16"/>
          <w:szCs w:val="16"/>
          <w:color w:val="auto"/>
        </w:rPr>
        <w:t>means a Share of common stock of the Company, $1.00 par value per Share.</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b w:val="1"/>
          <w:bCs w:val="1"/>
          <w:color w:val="auto"/>
        </w:rPr>
        <w:t xml:space="preserve">“Stock Appreciation Right” </w:t>
      </w:r>
      <w:r>
        <w:rPr>
          <w:rFonts w:ascii="Arial" w:cs="Arial" w:eastAsia="Arial" w:hAnsi="Arial"/>
          <w:sz w:val="16"/>
          <w:szCs w:val="16"/>
          <w:color w:val="auto"/>
        </w:rPr>
        <w:t>or</w:t>
      </w:r>
      <w:r>
        <w:rPr>
          <w:rFonts w:ascii="Arial" w:cs="Arial" w:eastAsia="Arial" w:hAnsi="Arial"/>
          <w:sz w:val="16"/>
          <w:szCs w:val="16"/>
          <w:b w:val="1"/>
          <w:bCs w:val="1"/>
          <w:color w:val="auto"/>
        </w:rPr>
        <w:t xml:space="preserve"> “SAR” </w:t>
      </w:r>
      <w:r>
        <w:rPr>
          <w:rFonts w:ascii="Arial" w:cs="Arial" w:eastAsia="Arial" w:hAnsi="Arial"/>
          <w:sz w:val="16"/>
          <w:szCs w:val="16"/>
          <w:color w:val="auto"/>
        </w:rPr>
        <w:t>means an Award, designated as a SAR, pursuant to the terms of Article 7 herein.</w:t>
      </w:r>
    </w:p>
    <w:p>
      <w:pPr>
        <w:spacing w:after="0" w:line="252" w:lineRule="exact"/>
        <w:rPr>
          <w:sz w:val="20"/>
          <w:szCs w:val="20"/>
          <w:color w:val="auto"/>
        </w:rPr>
      </w:pPr>
    </w:p>
    <w:p>
      <w:pPr>
        <w:ind w:left="500" w:right="60" w:hanging="566"/>
        <w:spacing w:after="0" w:line="282" w:lineRule="auto"/>
        <w:tabs>
          <w:tab w:leader="none" w:pos="480" w:val="left"/>
        </w:tabs>
        <w:rPr>
          <w:sz w:val="20"/>
          <w:szCs w:val="20"/>
          <w:color w:val="auto"/>
        </w:rPr>
      </w:pPr>
      <w:r>
        <w:rPr>
          <w:rFonts w:ascii="Arial" w:cs="Arial" w:eastAsia="Arial" w:hAnsi="Arial"/>
          <w:sz w:val="18"/>
          <w:szCs w:val="18"/>
          <w:b w:val="1"/>
          <w:bCs w:val="1"/>
          <w:color w:val="auto"/>
        </w:rPr>
        <w:t>2.47</w:t>
        <w:tab/>
        <w:t xml:space="preserve">“Subsidiary” </w:t>
      </w:r>
      <w:r>
        <w:rPr>
          <w:rFonts w:ascii="Arial" w:cs="Arial" w:eastAsia="Arial" w:hAnsi="Arial"/>
          <w:sz w:val="18"/>
          <w:szCs w:val="18"/>
          <w:color w:val="auto"/>
        </w:rPr>
        <w:t>means any corporation or other entity, whether domestic or foreign, in which the Company has or obtains,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 proprietary interest of more than fifty percent (50%) by reason of stock ownership or otherwise.</w:t>
      </w:r>
    </w:p>
    <w:p>
      <w:pPr>
        <w:spacing w:after="0" w:line="38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00"/>
          </w:cols>
          <w:pgMar w:left="740" w:top="1012" w:right="359" w:bottom="1440" w:gutter="0" w:footer="0" w:header="0"/>
        </w:sectPr>
      </w:pPr>
    </w:p>
    <w:bookmarkStart w:id="137" w:name="page138"/>
    <w:bookmarkEnd w:id="137"/>
    <w:p>
      <w:pPr>
        <w:ind w:left="920" w:right="20" w:hanging="566"/>
        <w:spacing w:after="0" w:line="266" w:lineRule="auto"/>
        <w:tabs>
          <w:tab w:leader="none" w:pos="900" w:val="left"/>
        </w:tabs>
        <w:rPr>
          <w:sz w:val="20"/>
          <w:szCs w:val="20"/>
          <w:color w:val="auto"/>
        </w:rPr>
      </w:pPr>
      <w:r>
        <w:rPr>
          <w:rFonts w:ascii="Arial" w:cs="Arial" w:eastAsia="Arial" w:hAnsi="Arial"/>
          <w:sz w:val="18"/>
          <w:szCs w:val="18"/>
          <w:b w:val="1"/>
          <w:bCs w:val="1"/>
          <w:color w:val="auto"/>
        </w:rPr>
        <w:t>2.48</w:t>
        <w:tab/>
        <w:t xml:space="preserve">“Tandem SAR” </w:t>
      </w:r>
      <w:r>
        <w:rPr>
          <w:rFonts w:ascii="Arial" w:cs="Arial" w:eastAsia="Arial" w:hAnsi="Arial"/>
          <w:sz w:val="18"/>
          <w:szCs w:val="18"/>
          <w:color w:val="auto"/>
        </w:rPr>
        <w:t>means a SAR that is granted in connection with a related Option pursuant to Article 7 herein, the exercise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forfeiture of the right to purchase a Share under the related Option (and when a Share is purchased under the Option, the Tandem SAR shall similarly be canceled).</w:t>
      </w:r>
    </w:p>
    <w:p>
      <w:pPr>
        <w:spacing w:after="0" w:line="203" w:lineRule="exact"/>
        <w:rPr>
          <w:sz w:val="20"/>
          <w:szCs w:val="20"/>
          <w:color w:val="auto"/>
        </w:rPr>
      </w:pPr>
    </w:p>
    <w:p>
      <w:pPr>
        <w:ind w:left="920" w:right="120" w:hanging="566"/>
        <w:spacing w:after="0" w:line="266" w:lineRule="auto"/>
        <w:tabs>
          <w:tab w:leader="none" w:pos="900" w:val="left"/>
        </w:tabs>
        <w:rPr>
          <w:sz w:val="20"/>
          <w:szCs w:val="20"/>
          <w:color w:val="auto"/>
        </w:rPr>
      </w:pPr>
      <w:r>
        <w:rPr>
          <w:rFonts w:ascii="Arial" w:cs="Arial" w:eastAsia="Arial" w:hAnsi="Arial"/>
          <w:sz w:val="18"/>
          <w:szCs w:val="18"/>
          <w:b w:val="1"/>
          <w:bCs w:val="1"/>
          <w:color w:val="auto"/>
        </w:rPr>
        <w:t>2.49</w:t>
        <w:tab/>
        <w:t xml:space="preserve">“Units” </w:t>
      </w:r>
      <w:r>
        <w:rPr>
          <w:rFonts w:ascii="Arial" w:cs="Arial" w:eastAsia="Arial" w:hAnsi="Arial"/>
          <w:sz w:val="18"/>
          <w:szCs w:val="18"/>
          <w:color w:val="auto"/>
        </w:rPr>
        <w:t>means a unit of measurement equivalent to one share of Common Stock, with none of the attendant rights of a shareholder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(including among the rights which the holder of a Unit does not have are the right to vote such share and the right to receive dividends thereon), except to the extent otherwise specifically provided herein.</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Article 3. Administration</w:t>
      </w:r>
    </w:p>
    <w:p>
      <w:pPr>
        <w:spacing w:after="0" w:line="252" w:lineRule="exact"/>
        <w:rPr>
          <w:sz w:val="20"/>
          <w:szCs w:val="20"/>
          <w:color w:val="auto"/>
        </w:rPr>
      </w:pPr>
    </w:p>
    <w:p>
      <w:pPr>
        <w:ind w:right="200" w:firstLine="401"/>
        <w:spacing w:after="0" w:line="258"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Committee shall be responsible for administering this Plan, subject to this Article 3 and the other provisions of this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and all other interested individuals.</w:t>
      </w:r>
    </w:p>
    <w:p>
      <w:pPr>
        <w:spacing w:after="0" w:line="210" w:lineRule="exact"/>
        <w:rPr>
          <w:sz w:val="20"/>
          <w:szCs w:val="20"/>
          <w:color w:val="auto"/>
        </w:rPr>
      </w:pPr>
    </w:p>
    <w:p>
      <w:pPr>
        <w:ind w:firstLine="401"/>
        <w:spacing w:after="0" w:line="292" w:lineRule="auto"/>
        <w:rPr>
          <w:sz w:val="20"/>
          <w:szCs w:val="20"/>
          <w:color w:val="auto"/>
        </w:rPr>
      </w:pPr>
      <w:r>
        <w:rPr>
          <w:rFonts w:ascii="Arial" w:cs="Arial" w:eastAsia="Arial" w:hAnsi="Arial"/>
          <w:sz w:val="16"/>
          <w:szCs w:val="16"/>
          <w:b w:val="1"/>
          <w:bCs w:val="1"/>
          <w:color w:val="auto"/>
        </w:rPr>
        <w:t>3.2 Authority of the Committee</w:t>
      </w:r>
      <w:r>
        <w:rPr>
          <w:rFonts w:ascii="Arial" w:cs="Arial" w:eastAsia="Arial" w:hAnsi="Arial"/>
          <w:sz w:val="16"/>
          <w:szCs w:val="16"/>
          <w:color w:val="auto"/>
        </w:rPr>
        <w:t>. The Committee shall have full and exclusive discretionary power to interpret the terms and the intent of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Award Agreement or other agreement or document ancillary to or in connection with this Plan, to determine eligibility for Awards and to adopt such rules, regulations, forms, instruments, and guidelines for administering this Plan as the Committee may deem necessary or proper. Such authority shall include, but not be limited to, selecting Award recipients, establishing all Award terms and conditions, including the terms and conditions set forth in Award Agreements, granting Awards as an alternative to or as the form of payment for grants or rights earned or due under compensation plans or arrangements of the Company, and, subject to Article 18, adopting modifications and amendments to this Plan or any Award Agreement, including without limitation, any that are necessary to comply with the laws of the countries and other jurisdictions in which the Company, its Affiliates, and/or its Subsidiaries operate.</w:t>
      </w:r>
    </w:p>
    <w:p>
      <w:pPr>
        <w:spacing w:after="0" w:line="188" w:lineRule="exact"/>
        <w:rPr>
          <w:sz w:val="20"/>
          <w:szCs w:val="20"/>
          <w:color w:val="auto"/>
        </w:rPr>
      </w:pPr>
    </w:p>
    <w:p>
      <w:pPr>
        <w:ind w:right="40" w:firstLine="401"/>
        <w:spacing w:after="0" w:line="291" w:lineRule="auto"/>
        <w:rPr>
          <w:sz w:val="20"/>
          <w:szCs w:val="20"/>
          <w:color w:val="auto"/>
        </w:rPr>
      </w:pPr>
      <w:r>
        <w:rPr>
          <w:rFonts w:ascii="Arial" w:cs="Arial" w:eastAsia="Arial" w:hAnsi="Arial"/>
          <w:sz w:val="16"/>
          <w:szCs w:val="16"/>
          <w:b w:val="1"/>
          <w:bCs w:val="1"/>
          <w:color w:val="auto"/>
        </w:rPr>
        <w:t xml:space="preserve">3.3 Delegation. </w:t>
      </w:r>
      <w:r>
        <w:rPr>
          <w:rFonts w:ascii="Arial" w:cs="Arial" w:eastAsia="Arial" w:hAnsi="Arial"/>
          <w:sz w:val="16"/>
          <w:szCs w:val="16"/>
          <w:color w:val="auto"/>
        </w:rPr>
        <w:t>The Committee may delegate to one or more of its members or to one or more officers of the Company, and/or its Subsidiaries and</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officers of the Company to do one or both of the following on the same basis as can the Committee: (a) designate Employees to be recipients of Awards; and (b) determine the size of any such Awards; provided, however, (i) the Committee shall not delegate such responsibilities to any such officer for Awards granted to an Employee who is considered an Insider; (ii) the resolution providing such authorization sets forth the total number of Awards such officer(s) may grant; and (iii) the officer(s) shall report periodically to the Committee regarding the nature and scope of the Awards granted pursuant to the authority delegated.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this Plan and Maximum Awards</w:t>
      </w:r>
    </w:p>
    <w:p>
      <w:pPr>
        <w:spacing w:after="0" w:line="252"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Number of Shares Available for Awards</w:t>
      </w:r>
      <w:r>
        <w:rPr>
          <w:rFonts w:ascii="Arial" w:cs="Arial" w:eastAsia="Arial" w:hAnsi="Arial"/>
          <w:sz w:val="16"/>
          <w:szCs w:val="16"/>
          <w:color w:val="auto"/>
        </w:rPr>
        <w:t>.</w:t>
      </w:r>
    </w:p>
    <w:p>
      <w:pPr>
        <w:spacing w:after="0" w:line="252" w:lineRule="exact"/>
        <w:rPr>
          <w:sz w:val="20"/>
          <w:szCs w:val="20"/>
          <w:color w:val="auto"/>
        </w:rPr>
      </w:pPr>
    </w:p>
    <w:p>
      <w:pPr>
        <w:ind w:left="1360" w:right="60" w:hanging="570"/>
        <w:spacing w:after="0" w:line="283" w:lineRule="auto"/>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b w:val="1"/>
          <w:bCs w:val="1"/>
          <w:color w:val="auto"/>
        </w:rPr>
        <w:t xml:space="preserve">Maximum Shares Available Under the Plan. </w:t>
      </w:r>
      <w:r>
        <w:rPr>
          <w:rFonts w:ascii="Arial" w:cs="Arial" w:eastAsia="Arial" w:hAnsi="Arial"/>
          <w:sz w:val="16"/>
          <w:szCs w:val="16"/>
          <w:color w:val="auto"/>
        </w:rPr>
        <w:t>Subject to adjustment as provided in Section 4.3 herein, the maximum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for issuance to Participants under this Plan is 1,200,000. The 1,200,000 Shares include the number of Shares that were authorized but unissued under the Prior Plan as of February 28, 2015 (namely, 417,692 Shares</w:t>
      </w:r>
      <w:r>
        <w:rPr>
          <w:rFonts w:ascii="Arial" w:cs="Arial" w:eastAsia="Arial" w:hAnsi="Arial"/>
          <w:sz w:val="20"/>
          <w:szCs w:val="20"/>
          <w:color w:val="auto"/>
          <w:vertAlign w:val="superscript"/>
        </w:rPr>
        <w:t>1</w:t>
      </w:r>
      <w:r>
        <w:rPr>
          <w:rFonts w:ascii="Arial" w:cs="Arial" w:eastAsia="Arial" w:hAnsi="Arial"/>
          <w:sz w:val="16"/>
          <w:szCs w:val="16"/>
          <w:color w:val="auto"/>
        </w:rPr>
        <w:t>). The Shares to be delivered under the Plan may consist, in whole or in part, of authorized, but unissued Shares or treasury stock not reserved for any other purpose.</w:t>
      </w:r>
    </w:p>
    <w:p>
      <w:pPr>
        <w:spacing w:after="0" w:line="185" w:lineRule="exact"/>
        <w:rPr>
          <w:sz w:val="20"/>
          <w:szCs w:val="20"/>
          <w:color w:val="auto"/>
        </w:rPr>
      </w:pPr>
    </w:p>
    <w:p>
      <w:pPr>
        <w:jc w:val="both"/>
        <w:ind w:left="1360" w:right="300" w:hanging="570"/>
        <w:spacing w:after="0" w:line="266" w:lineRule="auto"/>
        <w:tabs>
          <w:tab w:leader="none" w:pos="1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b w:val="1"/>
          <w:bCs w:val="1"/>
          <w:color w:val="auto"/>
        </w:rPr>
        <w:t xml:space="preserve">Limit on ISOs. </w:t>
      </w:r>
      <w:r>
        <w:rPr>
          <w:rFonts w:ascii="Arial" w:cs="Arial" w:eastAsia="Arial" w:hAnsi="Arial"/>
          <w:sz w:val="18"/>
          <w:szCs w:val="18"/>
          <w:color w:val="auto"/>
        </w:rPr>
        <w:t>Subject to the limit set forth in Section 4.1(a) on the number of Shares that may be issued in the aggregate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maximum number of Shares that may be issued pursuant to ISOs shall be one million two hundred thousand (1,200,000)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1714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Note that these shares were not registered as part of the 2015 Omnibus Incentive Plan S-8.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012" w:right="339" w:bottom="1440" w:gutter="0" w:footer="0" w:header="0"/>
        </w:sectPr>
      </w:pPr>
    </w:p>
    <w:bookmarkStart w:id="138" w:name="page139"/>
    <w:bookmarkEnd w:id="138"/>
    <w:p>
      <w:pPr>
        <w:ind w:left="1560" w:hanging="580"/>
        <w:spacing w:after="0" w:line="272" w:lineRule="auto"/>
        <w:tabs>
          <w:tab w:leader="none" w:pos="136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Subject to adjustment in Section 4.3 and subject to the limit set forth in Section 4.1(a) on the number of Shares that may be issued in the aggregate under the Plan, the maximum number of Shares that may be issued to Nonemployee Directors shall be two hundred thousand (200,000) Shares, and no Nonemployee Director may be granted an award covering more than ten thousand (10,000) Shares in any Plan Year, except that this annual limit on Nonemployee Director Awards shall be increased to twenty-five thousand (25,000) Shares for any Nonemployee Director serving as Chairman of the Board; provided, however, that in the Plan Year in which an individual is first appointed or elected to the Board as a Nonemployee Director, such individual may be granted an Award covering up to an additional ten thousand (10,000) Shares (a “New Nonemployee Director Award”).</w:t>
      </w:r>
    </w:p>
    <w:p>
      <w:pPr>
        <w:spacing w:after="0" w:line="204" w:lineRule="exact"/>
        <w:rPr>
          <w:rFonts w:ascii="Arial" w:cs="Arial" w:eastAsia="Arial" w:hAnsi="Arial"/>
          <w:sz w:val="17"/>
          <w:szCs w:val="17"/>
          <w:color w:val="auto"/>
        </w:rPr>
      </w:pPr>
    </w:p>
    <w:p>
      <w:pPr>
        <w:ind w:left="1560" w:right="40" w:hanging="580"/>
        <w:spacing w:after="0" w:line="255" w:lineRule="auto"/>
        <w:tabs>
          <w:tab w:leader="none" w:pos="13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with respect to a maximum of five percent (5%) of the Shares authorized in Section 4.1(a), any Full Value Awards which vest on the basis of the Employee’s continued employment with or provision of service to the Company shall not provide for vesting which is any more rapid than annual pro rata vesting over a three (3) year period and any Full Value Awards which vest upon the attainment of performance goals shall provide for a performance period of at least twelve (12) months. Notwithstanding the foregoing, Full Value Awards that are accelerated due to death, disability, retirement or upon a Change in Control shall not be included and/or subject to the five percent (5%) limit outlined above.</w:t>
      </w:r>
    </w:p>
    <w:p>
      <w:pPr>
        <w:spacing w:after="0" w:line="215"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Share Counting.</w:t>
      </w:r>
    </w:p>
    <w:p>
      <w:pPr>
        <w:spacing w:after="0" w:line="27" w:lineRule="exact"/>
        <w:rPr>
          <w:sz w:val="20"/>
          <w:szCs w:val="20"/>
          <w:color w:val="auto"/>
        </w:rPr>
      </w:pPr>
    </w:p>
    <w:p>
      <w:pPr>
        <w:ind w:left="1560" w:right="280" w:hanging="580"/>
        <w:spacing w:after="0" w:line="250" w:lineRule="auto"/>
        <w:tabs>
          <w:tab w:leader="none" w:pos="136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an Award (or any award outstanding under the Prior Plan after February 28, 2015) terminates, expires, or lapses for any reason, the number of Shares subject to such Award shall again become available for the grant under the Plan.</w:t>
      </w:r>
    </w:p>
    <w:p>
      <w:pPr>
        <w:ind w:left="1560" w:right="220" w:hanging="580"/>
        <w:spacing w:after="0" w:line="260" w:lineRule="auto"/>
        <w:tabs>
          <w:tab w:leader="none" w:pos="137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an Award is settled in cash, the Shares used to measure the value of the award, if any, shall not reduce the Shares available for grant under the Plan.</w:t>
      </w:r>
    </w:p>
    <w:p>
      <w:pPr>
        <w:spacing w:after="0" w:line="212" w:lineRule="exact"/>
        <w:rPr>
          <w:rFonts w:ascii="Arial" w:cs="Arial" w:eastAsia="Arial" w:hAnsi="Arial"/>
          <w:sz w:val="18"/>
          <w:szCs w:val="18"/>
          <w:color w:val="auto"/>
        </w:rPr>
      </w:pPr>
    </w:p>
    <w:p>
      <w:pPr>
        <w:ind w:left="1560" w:right="20" w:hanging="580"/>
        <w:spacing w:after="0" w:line="263" w:lineRule="auto"/>
        <w:tabs>
          <w:tab w:leader="none" w:pos="136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exercise of a stock-settled SAR or broker-assisted “cashless” exercise of a stock option (or a portion thereof) shall reduce the Shares available for grant by the entire number of Shares subject to the Award (or applicable portion thereof), even though a smaller number of Shares will be issued upon such an exercise.</w:t>
      </w:r>
    </w:p>
    <w:p>
      <w:pPr>
        <w:spacing w:after="0" w:line="210" w:lineRule="exact"/>
        <w:rPr>
          <w:rFonts w:ascii="Arial" w:cs="Arial" w:eastAsia="Arial" w:hAnsi="Arial"/>
          <w:sz w:val="18"/>
          <w:szCs w:val="18"/>
          <w:color w:val="auto"/>
        </w:rPr>
      </w:pPr>
    </w:p>
    <w:p>
      <w:pPr>
        <w:ind w:left="1560" w:right="240" w:hanging="580"/>
        <w:spacing w:after="0" w:line="277" w:lineRule="auto"/>
        <w:tabs>
          <w:tab w:leader="none" w:pos="137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 equivalents paid in stock shall reduce the number of Shares available for grant by the number of Shares used to satisfy such dividend equivalent.</w:t>
      </w:r>
    </w:p>
    <w:p>
      <w:pPr>
        <w:spacing w:after="0" w:line="197" w:lineRule="exact"/>
        <w:rPr>
          <w:rFonts w:ascii="Arial" w:cs="Arial" w:eastAsia="Arial" w:hAnsi="Arial"/>
          <w:sz w:val="18"/>
          <w:szCs w:val="18"/>
          <w:color w:val="auto"/>
        </w:rPr>
      </w:pPr>
    </w:p>
    <w:p>
      <w:pPr>
        <w:ind w:left="1560" w:right="60" w:hanging="580"/>
        <w:spacing w:after="0" w:line="277" w:lineRule="auto"/>
        <w:tabs>
          <w:tab w:leader="none" w:pos="136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Shares tendered or withheld to pay the exercise price of an Option or tendered or withheld to satisfy a tax withholding obligation arising in connection with an Award shall not again become available for grant under the Plan.</w:t>
      </w:r>
    </w:p>
    <w:p>
      <w:pPr>
        <w:spacing w:after="0" w:line="197" w:lineRule="exact"/>
        <w:rPr>
          <w:rFonts w:ascii="Arial" w:cs="Arial" w:eastAsia="Arial" w:hAnsi="Arial"/>
          <w:sz w:val="18"/>
          <w:szCs w:val="18"/>
          <w:color w:val="auto"/>
        </w:rPr>
      </w:pPr>
    </w:p>
    <w:p>
      <w:pPr>
        <w:ind w:left="1560" w:right="500" w:hanging="580"/>
        <w:spacing w:after="0" w:line="277" w:lineRule="auto"/>
        <w:tabs>
          <w:tab w:leader="none" w:pos="13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Shares purchased on the open market with cash proceeds generated by the exercise of an Option shall not increase or replenish the number of Shares available for grant under the Plan.</w:t>
      </w:r>
    </w:p>
    <w:p>
      <w:pPr>
        <w:spacing w:after="0" w:line="193" w:lineRule="exact"/>
        <w:rPr>
          <w:sz w:val="20"/>
          <w:szCs w:val="20"/>
          <w:color w:val="auto"/>
        </w:rPr>
      </w:pPr>
    </w:p>
    <w:p>
      <w:pPr>
        <w:ind w:right="40" w:firstLine="401"/>
        <w:spacing w:after="0" w:line="272" w:lineRule="auto"/>
        <w:rPr>
          <w:sz w:val="20"/>
          <w:szCs w:val="20"/>
          <w:color w:val="auto"/>
        </w:rPr>
      </w:pPr>
      <w:r>
        <w:rPr>
          <w:rFonts w:ascii="Arial" w:cs="Arial" w:eastAsia="Arial" w:hAnsi="Arial"/>
          <w:sz w:val="17"/>
          <w:szCs w:val="17"/>
          <w:b w:val="1"/>
          <w:bCs w:val="1"/>
          <w:color w:val="auto"/>
        </w:rPr>
        <w:t>4.3 Adjustments in Authorized Shares</w:t>
      </w:r>
      <w:r>
        <w:rPr>
          <w:rFonts w:ascii="Arial" w:cs="Arial" w:eastAsia="Arial" w:hAnsi="Arial"/>
          <w:sz w:val="17"/>
          <w:szCs w:val="17"/>
          <w:color w:val="auto"/>
        </w:rPr>
        <w:t>. In the event of any corporate event or transaction (including, but not limited to, a change in the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the capitalization of the Company) such as a merger, consolidation, reorganization, recapitalization, separation, stock dividend, stock split, reverse stock split, split up, spin-off, or other distribution of stock or property of the Company, combination of Shares, exchange of Shares, dividend in kind, or other like change in capital structure or distribution (other than normal cash dividends) to shareholders of the Company, or any similar corporate event or transaction, the Committee, in its sole discretion, in order to prevent dilution or enlargement of Participants’ rights under this Plan, shall substitute or adjust, as applicable, the number and kind of Shares that may be issued under this Plan or under particular forms of Awards, the number and kind of Shares subject to outstanding Awards, the Option Price or Grant Price applicable to outstanding Awards, the Annual Award Limits, and other value determinations applicable to outstanding Awards.</w:t>
      </w:r>
    </w:p>
    <w:p>
      <w:pPr>
        <w:spacing w:after="0" w:line="203" w:lineRule="exact"/>
        <w:rPr>
          <w:sz w:val="20"/>
          <w:szCs w:val="20"/>
          <w:color w:val="auto"/>
        </w:rPr>
      </w:pPr>
    </w:p>
    <w:p>
      <w:pPr>
        <w:ind w:right="240" w:firstLine="401"/>
        <w:spacing w:after="0" w:line="311" w:lineRule="auto"/>
        <w:rPr>
          <w:sz w:val="20"/>
          <w:szCs w:val="20"/>
          <w:color w:val="auto"/>
        </w:rPr>
      </w:pPr>
      <w:r>
        <w:rPr>
          <w:rFonts w:ascii="Arial" w:cs="Arial" w:eastAsia="Arial" w:hAnsi="Arial"/>
          <w:sz w:val="16"/>
          <w:szCs w:val="16"/>
          <w:color w:val="auto"/>
        </w:rPr>
        <w:t>Subject to the provisions of Article 18,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subject to compliance with the ISO rules under Code Section 422, where applicable.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52"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Eligibility</w:t>
      </w:r>
      <w:r>
        <w:rPr>
          <w:rFonts w:ascii="Arial" w:cs="Arial" w:eastAsia="Arial" w:hAnsi="Arial"/>
          <w:sz w:val="16"/>
          <w:szCs w:val="16"/>
          <w:color w:val="auto"/>
        </w:rPr>
        <w:t>. Individuals eligible to participate in this Plan include all Employees and Directors.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20"/>
          </w:cols>
          <w:pgMar w:left="320" w:top="773" w:right="359" w:bottom="1440" w:gutter="0" w:footer="0" w:header="0"/>
        </w:sectPr>
      </w:pPr>
    </w:p>
    <w:bookmarkStart w:id="139" w:name="page140"/>
    <w:bookmarkEnd w:id="139"/>
    <w:p>
      <w:pPr>
        <w:ind w:right="60" w:firstLine="401"/>
        <w:spacing w:after="0" w:line="266" w:lineRule="auto"/>
        <w:rPr>
          <w:sz w:val="20"/>
          <w:szCs w:val="20"/>
          <w:color w:val="auto"/>
        </w:rPr>
      </w:pPr>
      <w:r>
        <w:rPr>
          <w:rFonts w:ascii="Arial" w:cs="Arial" w:eastAsia="Arial" w:hAnsi="Arial"/>
          <w:sz w:val="18"/>
          <w:szCs w:val="18"/>
          <w:b w:val="1"/>
          <w:bCs w:val="1"/>
          <w:color w:val="auto"/>
        </w:rPr>
        <w:t>5.2 Actual Participation</w:t>
      </w:r>
      <w:r>
        <w:rPr>
          <w:rFonts w:ascii="Arial" w:cs="Arial" w:eastAsia="Arial" w:hAnsi="Arial"/>
          <w:sz w:val="18"/>
          <w:szCs w:val="18"/>
          <w:color w:val="auto"/>
        </w:rPr>
        <w:t>. Subject to the provisions of this Plan, the Committee may, from time to time, select from all eligible individuals, those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to whom Awards shall be granted and shall determine, in its sole discretion, the nature of, any and all terms permissible by law, and the amount of each Award.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Options</w:t>
      </w:r>
    </w:p>
    <w:p>
      <w:pPr>
        <w:spacing w:after="0" w:line="252" w:lineRule="exact"/>
        <w:rPr>
          <w:sz w:val="20"/>
          <w:szCs w:val="20"/>
          <w:color w:val="auto"/>
        </w:rPr>
      </w:pPr>
    </w:p>
    <w:p>
      <w:pPr>
        <w:ind w:right="80" w:firstLine="401"/>
        <w:spacing w:after="0" w:line="258" w:lineRule="auto"/>
        <w:rPr>
          <w:sz w:val="20"/>
          <w:szCs w:val="20"/>
          <w:color w:val="auto"/>
        </w:rPr>
      </w:pPr>
      <w:r>
        <w:rPr>
          <w:rFonts w:ascii="Arial" w:cs="Arial" w:eastAsia="Arial" w:hAnsi="Arial"/>
          <w:sz w:val="18"/>
          <w:szCs w:val="18"/>
          <w:b w:val="1"/>
          <w:bCs w:val="1"/>
          <w:color w:val="auto"/>
        </w:rPr>
        <w:t>6.1 Grant of Options</w:t>
      </w:r>
      <w:r>
        <w:rPr>
          <w:rFonts w:ascii="Arial" w:cs="Arial" w:eastAsia="Arial" w:hAnsi="Arial"/>
          <w:sz w:val="18"/>
          <w:szCs w:val="18"/>
          <w:color w:val="auto"/>
        </w:rPr>
        <w:t>. Subject to the terms and provisions of this Plan, Options may be granted to Participants in such number, and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at any time and from time to time as shall be determined by the Committee, in its sole discretion; provided that ISOs may be granted only to eligible Employees of the Company or of any parent or subsidiary corporation (as permitted under Code Section 422). However, an Employee who is employed by an Affiliate and/or Subsidiary and is subject to Code Section 409A, may only be granted Options to the extent the Affiliate and/or Subsidiary is part of the Company’s consolidated group for United States federal tax purposes.</w:t>
      </w:r>
    </w:p>
    <w:p>
      <w:pPr>
        <w:spacing w:after="0" w:line="210" w:lineRule="exact"/>
        <w:rPr>
          <w:sz w:val="20"/>
          <w:szCs w:val="20"/>
          <w:color w:val="auto"/>
        </w:rPr>
      </w:pPr>
    </w:p>
    <w:p>
      <w:pPr>
        <w:ind w:right="20" w:firstLine="401"/>
        <w:spacing w:after="0" w:line="261" w:lineRule="auto"/>
        <w:rPr>
          <w:sz w:val="20"/>
          <w:szCs w:val="20"/>
          <w:color w:val="auto"/>
        </w:rPr>
      </w:pPr>
      <w:r>
        <w:rPr>
          <w:rFonts w:ascii="Arial" w:cs="Arial" w:eastAsia="Arial" w:hAnsi="Arial"/>
          <w:sz w:val="18"/>
          <w:szCs w:val="18"/>
          <w:b w:val="1"/>
          <w:bCs w:val="1"/>
          <w:color w:val="auto"/>
        </w:rPr>
        <w:t>6.2 Award Agreement</w:t>
      </w:r>
      <w:r>
        <w:rPr>
          <w:rFonts w:ascii="Arial" w:cs="Arial" w:eastAsia="Arial" w:hAnsi="Arial"/>
          <w:sz w:val="18"/>
          <w:szCs w:val="18"/>
          <w:color w:val="auto"/>
        </w:rPr>
        <w:t>. Each Option grant shall be evidenced by an Award Agreement that shall specify the Option Price, the maximum duration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 NQSO.</w:t>
      </w:r>
    </w:p>
    <w:p>
      <w:pPr>
        <w:spacing w:after="0" w:line="207" w:lineRule="exact"/>
        <w:rPr>
          <w:sz w:val="20"/>
          <w:szCs w:val="20"/>
          <w:color w:val="auto"/>
        </w:rPr>
      </w:pPr>
    </w:p>
    <w:p>
      <w:pPr>
        <w:ind w:right="40" w:firstLine="401"/>
        <w:spacing w:after="0" w:line="266"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grant of an Option under this Plan shall be determined by the Committee, in its discretion,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the Award Agreement; provided, however, the Option Price on the date of grant must be at least equal to one hundred percent (100%) of the FMV of the Shares on the date of grant.</w:t>
      </w:r>
    </w:p>
    <w:p>
      <w:pPr>
        <w:spacing w:after="0" w:line="203" w:lineRule="exact"/>
        <w:rPr>
          <w:sz w:val="20"/>
          <w:szCs w:val="20"/>
          <w:color w:val="auto"/>
        </w:rPr>
      </w:pPr>
    </w:p>
    <w:p>
      <w:pPr>
        <w:ind w:firstLine="401"/>
        <w:spacing w:after="0" w:line="261" w:lineRule="auto"/>
        <w:rPr>
          <w:sz w:val="20"/>
          <w:szCs w:val="20"/>
          <w:color w:val="auto"/>
        </w:rPr>
      </w:pPr>
      <w:r>
        <w:rPr>
          <w:rFonts w:ascii="Arial" w:cs="Arial" w:eastAsia="Arial" w:hAnsi="Arial"/>
          <w:sz w:val="17"/>
          <w:szCs w:val="17"/>
          <w:b w:val="1"/>
          <w:bCs w:val="1"/>
          <w:color w:val="auto"/>
        </w:rPr>
        <w:t>6.4 Term of Options</w:t>
      </w:r>
      <w:r>
        <w:rPr>
          <w:rFonts w:ascii="Arial" w:cs="Arial" w:eastAsia="Arial" w:hAnsi="Arial"/>
          <w:sz w:val="17"/>
          <w:szCs w:val="17"/>
          <w:color w:val="auto"/>
        </w:rPr>
        <w:t>. Each Option granted to a Participant shall expire at such time as the Committee shall determine at the time of grant;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no Option shall be exercisable later than the tenth (10</w:t>
      </w:r>
      <w:r>
        <w:rPr>
          <w:rFonts w:ascii="Arial" w:cs="Arial" w:eastAsia="Arial" w:hAnsi="Arial"/>
          <w:sz w:val="22"/>
          <w:szCs w:val="22"/>
          <w:color w:val="auto"/>
          <w:vertAlign w:val="superscript"/>
        </w:rPr>
        <w:t>th</w:t>
      </w:r>
      <w:r>
        <w:rPr>
          <w:rFonts w:ascii="Arial" w:cs="Arial" w:eastAsia="Arial" w:hAnsi="Arial"/>
          <w:sz w:val="17"/>
          <w:szCs w:val="17"/>
          <w:color w:val="auto"/>
        </w:rPr>
        <w:t>) anniversary date of its grant. Notwithstanding the foregoing, the Committee may provide in the terms of a NQSO (either at grant or by subsequent modification) that, to the extent consistent with Section 409A, in the event that on the last business day of the term of a NQSO (i) the exercise of the NQSO is prohibited by applicable law or (ii) Shares may not be purchased or sold by certain employees or directors of the Company due to the “black-out period” of a Company policy or a “lock-up” agreement undertaken in connection with an issuance of securities by the Company, the term of the NQSO shall be extended for a period of not more than thirty (30) days following the end of the legal prohibition, black-out period or lock-up agreement. Notwithstanding the foregoing, for NQSOs granted to Participants outside the United States, the Committee has the authority to grant NQSOs that have a term greater than ten (10) years.</w:t>
      </w:r>
    </w:p>
    <w:p>
      <w:pPr>
        <w:spacing w:after="0" w:line="208" w:lineRule="exact"/>
        <w:rPr>
          <w:sz w:val="20"/>
          <w:szCs w:val="20"/>
          <w:color w:val="auto"/>
        </w:rPr>
      </w:pPr>
    </w:p>
    <w:p>
      <w:pPr>
        <w:ind w:right="20" w:firstLine="401"/>
        <w:spacing w:after="0" w:line="347" w:lineRule="auto"/>
        <w:rPr>
          <w:sz w:val="20"/>
          <w:szCs w:val="20"/>
          <w:color w:val="auto"/>
        </w:rPr>
      </w:pPr>
      <w:r>
        <w:rPr>
          <w:rFonts w:ascii="Arial" w:cs="Arial" w:eastAsia="Arial" w:hAnsi="Arial"/>
          <w:sz w:val="16"/>
          <w:szCs w:val="16"/>
          <w:b w:val="1"/>
          <w:bCs w:val="1"/>
          <w:color w:val="auto"/>
        </w:rPr>
        <w:t>6.5 Exercise of Options</w:t>
      </w:r>
      <w:r>
        <w:rPr>
          <w:rFonts w:ascii="Arial" w:cs="Arial" w:eastAsia="Arial" w:hAnsi="Arial"/>
          <w:sz w:val="16"/>
          <w:szCs w:val="16"/>
          <w:color w:val="auto"/>
        </w:rPr>
        <w:t>. Options granted under this Article 6 shall be exercisable at such times and be subject to such restrictions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in each instance approve, which terms and restrictions need not be the same for each grant or for each Participant.</w:t>
      </w:r>
    </w:p>
    <w:p>
      <w:pPr>
        <w:spacing w:after="0" w:line="143" w:lineRule="exact"/>
        <w:rPr>
          <w:sz w:val="20"/>
          <w:szCs w:val="20"/>
          <w:color w:val="auto"/>
        </w:rPr>
      </w:pPr>
    </w:p>
    <w:p>
      <w:pPr>
        <w:ind w:right="100" w:firstLine="401"/>
        <w:spacing w:after="0" w:line="314" w:lineRule="auto"/>
        <w:rPr>
          <w:sz w:val="20"/>
          <w:szCs w:val="20"/>
          <w:color w:val="auto"/>
        </w:rPr>
      </w:pPr>
      <w:r>
        <w:rPr>
          <w:rFonts w:ascii="Arial" w:cs="Arial" w:eastAsia="Arial" w:hAnsi="Arial"/>
          <w:sz w:val="16"/>
          <w:szCs w:val="16"/>
          <w:b w:val="1"/>
          <w:bCs w:val="1"/>
          <w:color w:val="auto"/>
        </w:rPr>
        <w:t>6.6 Payment</w:t>
      </w:r>
      <w:r>
        <w:rPr>
          <w:rFonts w:ascii="Arial" w:cs="Arial" w:eastAsia="Arial" w:hAnsi="Arial"/>
          <w:sz w:val="16"/>
          <w:szCs w:val="16"/>
          <w:color w:val="auto"/>
        </w:rPr>
        <w:t>. Options granted under this Article 6 shall be exercised by the delivery of a notice of exercise to the Company or an agent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condition of the issuance of the Shares as to which an Option shall be exercised shall be the payment of the Option Price. The Option Price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shall be payable to the Company in full either:</w:t>
      </w:r>
    </w:p>
    <w:p>
      <w:pPr>
        <w:spacing w:after="0" w:line="238" w:lineRule="exact"/>
        <w:rPr>
          <w:sz w:val="20"/>
          <w:szCs w:val="20"/>
          <w:color w:val="auto"/>
        </w:rPr>
      </w:pPr>
    </w:p>
    <w:p>
      <w:pPr>
        <w:ind w:left="1400" w:hanging="420"/>
        <w:spacing w:after="0"/>
        <w:tabs>
          <w:tab w:leader="none" w:pos="14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cash or its equivalent;</w:t>
      </w:r>
    </w:p>
    <w:p>
      <w:pPr>
        <w:spacing w:after="0" w:line="252" w:lineRule="exact"/>
        <w:rPr>
          <w:rFonts w:ascii="Arial" w:cs="Arial" w:eastAsia="Arial" w:hAnsi="Arial"/>
          <w:sz w:val="18"/>
          <w:szCs w:val="18"/>
          <w:color w:val="auto"/>
        </w:rPr>
      </w:pPr>
    </w:p>
    <w:p>
      <w:pPr>
        <w:ind w:left="1560" w:right="180" w:hanging="580"/>
        <w:spacing w:after="0" w:line="263" w:lineRule="auto"/>
        <w:tabs>
          <w:tab w:leader="none" w:pos="14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 and are free and clear of any and all claims, pledges, liens and encumbrances, or any restrictions which would in any manner restrict the transfer of such shares;</w:t>
      </w:r>
    </w:p>
    <w:p>
      <w:pPr>
        <w:spacing w:after="0" w:line="210" w:lineRule="exact"/>
        <w:rPr>
          <w:rFonts w:ascii="Arial" w:cs="Arial" w:eastAsia="Arial" w:hAnsi="Arial"/>
          <w:sz w:val="18"/>
          <w:szCs w:val="18"/>
          <w:color w:val="auto"/>
        </w:rPr>
      </w:pPr>
    </w:p>
    <w:p>
      <w:pPr>
        <w:ind w:left="1400" w:hanging="420"/>
        <w:spacing w:after="0"/>
        <w:tabs>
          <w:tab w:leader="none" w:pos="14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a combination of (a) and (b); or</w:t>
      </w:r>
    </w:p>
    <w:p>
      <w:pPr>
        <w:spacing w:after="0" w:line="252" w:lineRule="exact"/>
        <w:rPr>
          <w:rFonts w:ascii="Arial" w:cs="Arial" w:eastAsia="Arial" w:hAnsi="Arial"/>
          <w:sz w:val="18"/>
          <w:szCs w:val="18"/>
          <w:color w:val="auto"/>
        </w:rPr>
      </w:pPr>
    </w:p>
    <w:p>
      <w:pPr>
        <w:ind w:left="1560" w:right="480" w:hanging="580"/>
        <w:spacing w:after="0" w:line="277" w:lineRule="auto"/>
        <w:tabs>
          <w:tab w:leader="none" w:pos="14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 including, without limitation, if the Committee so determines, a cashless (broker-assisted) exercise.</w:t>
      </w:r>
    </w:p>
    <w:p>
      <w:pPr>
        <w:spacing w:after="0" w:line="197" w:lineRule="exact"/>
        <w:rPr>
          <w:sz w:val="20"/>
          <w:szCs w:val="20"/>
          <w:color w:val="auto"/>
        </w:rPr>
      </w:pPr>
    </w:p>
    <w:p>
      <w:pPr>
        <w:ind w:right="500" w:firstLine="401"/>
        <w:spacing w:after="0" w:line="277"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the Participant evidence of book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20"/>
          </w:cols>
          <w:pgMar w:left="320" w:top="769" w:right="35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t>entry Shares, or upon the Participant’s request, Share certificates in an appropriate amount based upon the number of Shares purchased under the Option(s).</w:t>
      </w:r>
    </w:p>
    <w:p>
      <w:pPr>
        <w:spacing w:after="0" w:line="2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Unless otherwise determined by the Committee, all payments under all of the methods indicated above shall be paid in United States dollars.</w:t>
      </w:r>
    </w:p>
    <w:p>
      <w:pPr>
        <w:spacing w:after="0" w:line="260" w:lineRule="exact"/>
        <w:rPr>
          <w:sz w:val="20"/>
          <w:szCs w:val="20"/>
          <w:color w:val="auto"/>
        </w:rPr>
      </w:pPr>
    </w:p>
    <w:p>
      <w:pPr>
        <w:ind w:right="180" w:firstLine="401"/>
        <w:spacing w:after="0" w:line="261" w:lineRule="auto"/>
        <w:rPr>
          <w:sz w:val="20"/>
          <w:szCs w:val="20"/>
          <w:color w:val="auto"/>
        </w:rPr>
      </w:pPr>
      <w:r>
        <w:rPr>
          <w:rFonts w:ascii="Arial" w:cs="Arial" w:eastAsia="Arial" w:hAnsi="Arial"/>
          <w:sz w:val="18"/>
          <w:szCs w:val="18"/>
          <w:b w:val="1"/>
          <w:bCs w:val="1"/>
          <w:color w:val="auto"/>
        </w:rPr>
        <w:t>6.7 Restrictions on Share Transferability</w:t>
      </w:r>
      <w:r>
        <w:rPr>
          <w:rFonts w:ascii="Arial" w:cs="Arial" w:eastAsia="Arial" w:hAnsi="Arial"/>
          <w:sz w:val="18"/>
          <w:szCs w:val="18"/>
          <w:color w:val="auto"/>
        </w:rPr>
        <w:t>. The Committee may impose such restrictions on any Shares acquired pursuant to the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granted under this Article 6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207" w:lineRule="exact"/>
        <w:rPr>
          <w:sz w:val="20"/>
          <w:szCs w:val="20"/>
          <w:color w:val="auto"/>
        </w:rPr>
      </w:pPr>
    </w:p>
    <w:p>
      <w:pPr>
        <w:ind w:right="40" w:firstLine="401"/>
        <w:spacing w:after="0" w:line="303" w:lineRule="auto"/>
        <w:rPr>
          <w:sz w:val="20"/>
          <w:szCs w:val="20"/>
          <w:color w:val="auto"/>
        </w:rPr>
      </w:pPr>
      <w:r>
        <w:rPr>
          <w:rFonts w:ascii="Arial" w:cs="Arial" w:eastAsia="Arial" w:hAnsi="Arial"/>
          <w:sz w:val="16"/>
          <w:szCs w:val="16"/>
          <w:b w:val="1"/>
          <w:bCs w:val="1"/>
          <w:color w:val="auto"/>
        </w:rPr>
        <w:t>6.8 Termination of Employment</w:t>
      </w:r>
      <w:r>
        <w:rPr>
          <w:rFonts w:ascii="Arial" w:cs="Arial" w:eastAsia="Arial" w:hAnsi="Arial"/>
          <w:sz w:val="16"/>
          <w:szCs w:val="16"/>
          <w:color w:val="auto"/>
        </w:rPr>
        <w:t>. Each Participant’s Award Agreement shall set forth the extent to which the Participant shall have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the Option following termination of the Participant’s employment or provision of services to the Company, its Affiliates, and/or its Subsidiaries, as the case may be. Such provisions shall be determined in the sole discretion of the Committee, shall be included in the Award Agreement entered into with each Participant, need not be uniform among all Options issued pursuant to this Article 6, and may reflect distinctions based on the reasons for termination.</w:t>
      </w:r>
    </w:p>
    <w:p>
      <w:pPr>
        <w:spacing w:after="0" w:line="178" w:lineRule="exact"/>
        <w:rPr>
          <w:sz w:val="20"/>
          <w:szCs w:val="20"/>
          <w:color w:val="auto"/>
        </w:rPr>
      </w:pPr>
    </w:p>
    <w:p>
      <w:pPr>
        <w:ind w:right="20" w:firstLine="405"/>
        <w:spacing w:after="0" w:line="266" w:lineRule="auto"/>
        <w:rPr>
          <w:sz w:val="20"/>
          <w:szCs w:val="20"/>
          <w:color w:val="auto"/>
        </w:rPr>
      </w:pPr>
      <w:r>
        <w:rPr>
          <w:rFonts w:ascii="Arial" w:cs="Arial" w:eastAsia="Arial" w:hAnsi="Arial"/>
          <w:sz w:val="18"/>
          <w:szCs w:val="18"/>
          <w:b w:val="1"/>
          <w:bCs w:val="1"/>
          <w:color w:val="auto"/>
        </w:rPr>
        <w:t>6.9 Notification of Disqualifying Disposition</w:t>
      </w:r>
      <w:r>
        <w:rPr>
          <w:rFonts w:ascii="Arial" w:cs="Arial" w:eastAsia="Arial" w:hAnsi="Arial"/>
          <w:sz w:val="18"/>
          <w:szCs w:val="18"/>
          <w:color w:val="auto"/>
        </w:rPr>
        <w:t>. If any Participant shall make any disposition of Shares issued pursuant to the exercise of an ISO</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circumstances described in Code Section 421(b) (relating to certain disqualifying dispositions), such Participant shall notify the Company of such disposition within ten (10) days thereof.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252" w:lineRule="exact"/>
        <w:rPr>
          <w:sz w:val="20"/>
          <w:szCs w:val="20"/>
          <w:color w:val="auto"/>
        </w:rPr>
      </w:pPr>
    </w:p>
    <w:p>
      <w:pPr>
        <w:ind w:right="20" w:firstLine="401"/>
        <w:spacing w:after="0" w:line="281" w:lineRule="auto"/>
        <w:rPr>
          <w:sz w:val="20"/>
          <w:szCs w:val="20"/>
          <w:color w:val="auto"/>
        </w:rPr>
      </w:pPr>
      <w:r>
        <w:rPr>
          <w:rFonts w:ascii="Arial" w:cs="Arial" w:eastAsia="Arial" w:hAnsi="Arial"/>
          <w:sz w:val="17"/>
          <w:szCs w:val="17"/>
          <w:b w:val="1"/>
          <w:bCs w:val="1"/>
          <w:color w:val="auto"/>
        </w:rPr>
        <w:t>7.1 Grant of SARs</w:t>
      </w:r>
      <w:r>
        <w:rPr>
          <w:rFonts w:ascii="Arial" w:cs="Arial" w:eastAsia="Arial" w:hAnsi="Arial"/>
          <w:sz w:val="17"/>
          <w:szCs w:val="17"/>
          <w:color w:val="auto"/>
        </w:rPr>
        <w:t>. Subject to the terms and conditions of this Plan, SARs may be granted to Participants at any time and from time to time as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determined by the Committee. The Committee may grant Freestanding SARs, Tandem SARs, or any combination of these forms of SARs. However, an Employee who is employed by an Affiliate and/or Subsidiary and is subject to Code Section 409A, may only be granted SARs to the extent the Affiliate and/or Subsidiary is part of the Company’s consolidated group for United States federal tax purposes.</w:t>
      </w:r>
    </w:p>
    <w:p>
      <w:pPr>
        <w:spacing w:after="0" w:line="196" w:lineRule="exact"/>
        <w:rPr>
          <w:sz w:val="20"/>
          <w:szCs w:val="20"/>
          <w:color w:val="auto"/>
        </w:rPr>
      </w:pPr>
    </w:p>
    <w:p>
      <w:pPr>
        <w:ind w:right="280" w:firstLine="401"/>
        <w:spacing w:after="0" w:line="308" w:lineRule="auto"/>
        <w:rPr>
          <w:sz w:val="20"/>
          <w:szCs w:val="20"/>
          <w:color w:val="auto"/>
        </w:rPr>
      </w:pPr>
      <w:r>
        <w:rPr>
          <w:rFonts w:ascii="Arial" w:cs="Arial" w:eastAsia="Arial" w:hAnsi="Arial"/>
          <w:sz w:val="17"/>
          <w:szCs w:val="17"/>
          <w:color w:val="auto"/>
        </w:rPr>
        <w:t>Subject to the terms and conditions of this Plan, the Committee shall have complete discretion in determining the number of SARs granted to each Participant and, consistent with the provisions of this Plan, in determining the terms and conditions pertaining to such SARs.</w:t>
      </w:r>
    </w:p>
    <w:p>
      <w:pPr>
        <w:spacing w:after="0" w:line="173" w:lineRule="exact"/>
        <w:rPr>
          <w:sz w:val="20"/>
          <w:szCs w:val="20"/>
          <w:color w:val="auto"/>
        </w:rPr>
      </w:pPr>
    </w:p>
    <w:p>
      <w:pPr>
        <w:ind w:right="20" w:firstLine="401"/>
        <w:spacing w:after="0" w:line="263" w:lineRule="auto"/>
        <w:rPr>
          <w:sz w:val="20"/>
          <w:szCs w:val="20"/>
          <w:color w:val="auto"/>
        </w:rPr>
      </w:pPr>
      <w:r>
        <w:rPr>
          <w:rFonts w:ascii="Arial" w:cs="Arial" w:eastAsia="Arial" w:hAnsi="Arial"/>
          <w:sz w:val="18"/>
          <w:szCs w:val="18"/>
          <w:color w:val="auto"/>
        </w:rPr>
        <w:t>The Grant Price for each grant of a Freestanding SAR shall be determined by the Committee and shall be specified in the Award Agreement; provided, however, the Grant Price on the date of grant must be at least equal to one hundred percent (100%) of the FMV of the Shares on the date of grant. The Grant Price of Tandem SARs shall be equal to the Option Price of the related Option.</w:t>
      </w:r>
    </w:p>
    <w:p>
      <w:pPr>
        <w:spacing w:after="0" w:line="207" w:lineRule="exact"/>
        <w:rPr>
          <w:sz w:val="20"/>
          <w:szCs w:val="20"/>
          <w:color w:val="auto"/>
        </w:rPr>
      </w:pPr>
    </w:p>
    <w:p>
      <w:pPr>
        <w:ind w:right="340" w:firstLine="401"/>
        <w:spacing w:after="0" w:line="282" w:lineRule="auto"/>
        <w:rPr>
          <w:sz w:val="20"/>
          <w:szCs w:val="20"/>
          <w:color w:val="auto"/>
        </w:rPr>
      </w:pPr>
      <w:r>
        <w:rPr>
          <w:rFonts w:ascii="Arial" w:cs="Arial" w:eastAsia="Arial" w:hAnsi="Arial"/>
          <w:sz w:val="18"/>
          <w:szCs w:val="18"/>
          <w:b w:val="1"/>
          <w:bCs w:val="1"/>
          <w:color w:val="auto"/>
        </w:rPr>
        <w:t>7.2 SAR Agreement</w:t>
      </w:r>
      <w:r>
        <w:rPr>
          <w:rFonts w:ascii="Arial" w:cs="Arial" w:eastAsia="Arial" w:hAnsi="Arial"/>
          <w:sz w:val="18"/>
          <w:szCs w:val="18"/>
          <w:color w:val="auto"/>
        </w:rPr>
        <w:t>. Each SAR Award shall be evidenced by an Award Agreement that shall specify the Grant Price, the term of the SAR,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provisions as the Committee shall determine.</w:t>
      </w:r>
    </w:p>
    <w:p>
      <w:pPr>
        <w:spacing w:after="0" w:line="189" w:lineRule="exact"/>
        <w:rPr>
          <w:sz w:val="20"/>
          <w:szCs w:val="20"/>
          <w:color w:val="auto"/>
        </w:rPr>
      </w:pPr>
    </w:p>
    <w:p>
      <w:pPr>
        <w:ind w:firstLine="401"/>
        <w:spacing w:after="0" w:line="239" w:lineRule="auto"/>
        <w:rPr>
          <w:sz w:val="20"/>
          <w:szCs w:val="20"/>
          <w:color w:val="auto"/>
        </w:rPr>
      </w:pPr>
      <w:r>
        <w:rPr>
          <w:rFonts w:ascii="Arial" w:cs="Arial" w:eastAsia="Arial" w:hAnsi="Arial"/>
          <w:sz w:val="18"/>
          <w:szCs w:val="18"/>
          <w:b w:val="1"/>
          <w:bCs w:val="1"/>
          <w:color w:val="auto"/>
        </w:rPr>
        <w:t>7.3 Term of SAR</w:t>
      </w:r>
      <w:r>
        <w:rPr>
          <w:rFonts w:ascii="Arial" w:cs="Arial" w:eastAsia="Arial" w:hAnsi="Arial"/>
          <w:sz w:val="18"/>
          <w:szCs w:val="18"/>
          <w:color w:val="auto"/>
        </w:rPr>
        <w:t>. The term of a SAR granted under this Plan shall be determined by the Committee, in its sole discretion, and except as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by the Committee and specified in the SAR Award Agreement, no SAR shall be exercisable later than the tenth (10</w:t>
      </w:r>
      <w:r>
        <w:rPr>
          <w:rFonts w:ascii="Arial" w:cs="Arial" w:eastAsia="Arial" w:hAnsi="Arial"/>
          <w:sz w:val="23"/>
          <w:szCs w:val="23"/>
          <w:color w:val="auto"/>
          <w:vertAlign w:val="superscript"/>
        </w:rPr>
        <w:t>th</w:t>
      </w:r>
      <w:r>
        <w:rPr>
          <w:rFonts w:ascii="Arial" w:cs="Arial" w:eastAsia="Arial" w:hAnsi="Arial"/>
          <w:sz w:val="18"/>
          <w:szCs w:val="18"/>
          <w:color w:val="auto"/>
        </w:rPr>
        <w:t>) anniversary date of its grant. Notwithstanding the foregoing, for SARs granted to Participants outside the United States, the Committee has the authority to grant SARs that have a term greater than ten (10) years.</w:t>
      </w:r>
    </w:p>
    <w:p>
      <w:pPr>
        <w:spacing w:after="0" w:line="225" w:lineRule="exact"/>
        <w:rPr>
          <w:sz w:val="20"/>
          <w:szCs w:val="20"/>
          <w:color w:val="auto"/>
        </w:rPr>
      </w:pPr>
    </w:p>
    <w:p>
      <w:pPr>
        <w:ind w:right="740" w:firstLine="401"/>
        <w:spacing w:after="0" w:line="282" w:lineRule="auto"/>
        <w:rPr>
          <w:sz w:val="20"/>
          <w:szCs w:val="20"/>
          <w:color w:val="auto"/>
        </w:rPr>
      </w:pPr>
      <w:r>
        <w:rPr>
          <w:rFonts w:ascii="Arial" w:cs="Arial" w:eastAsia="Arial" w:hAnsi="Arial"/>
          <w:sz w:val="18"/>
          <w:szCs w:val="18"/>
          <w:b w:val="1"/>
          <w:bCs w:val="1"/>
          <w:color w:val="auto"/>
        </w:rPr>
        <w:t>7.4 Exercise of Freestanding SARs</w:t>
      </w:r>
      <w:r>
        <w:rPr>
          <w:rFonts w:ascii="Arial" w:cs="Arial" w:eastAsia="Arial" w:hAnsi="Arial"/>
          <w:sz w:val="18"/>
          <w:szCs w:val="18"/>
          <w:color w:val="auto"/>
        </w:rPr>
        <w:t>. Freestanding SARs may be exercised upon whatever terms and conditions the Committee,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imposes.</w:t>
      </w:r>
    </w:p>
    <w:p>
      <w:pPr>
        <w:spacing w:after="0" w:line="189" w:lineRule="exact"/>
        <w:rPr>
          <w:sz w:val="20"/>
          <w:szCs w:val="20"/>
          <w:color w:val="auto"/>
        </w:rPr>
      </w:pPr>
    </w:p>
    <w:p>
      <w:pPr>
        <w:jc w:val="both"/>
        <w:ind w:right="60" w:firstLine="401"/>
        <w:spacing w:after="0" w:line="266" w:lineRule="auto"/>
        <w:rPr>
          <w:sz w:val="20"/>
          <w:szCs w:val="20"/>
          <w:color w:val="auto"/>
        </w:rPr>
      </w:pPr>
      <w:r>
        <w:rPr>
          <w:rFonts w:ascii="Arial" w:cs="Arial" w:eastAsia="Arial" w:hAnsi="Arial"/>
          <w:sz w:val="18"/>
          <w:szCs w:val="18"/>
          <w:b w:val="1"/>
          <w:bCs w:val="1"/>
          <w:color w:val="auto"/>
        </w:rPr>
        <w:t>7.5. Exercise of Tandem SARs</w:t>
      </w:r>
      <w:r>
        <w:rPr>
          <w:rFonts w:ascii="Arial" w:cs="Arial" w:eastAsia="Arial" w:hAnsi="Arial"/>
          <w:sz w:val="18"/>
          <w:szCs w:val="18"/>
          <w:color w:val="auto"/>
        </w:rPr>
        <w:t>. Tandem SARs may be exercised for all or part of the Shares subject to the related Option upon the surrender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exercise the equivalent portion of the related Option. A Tandem SAR may be exercised only with respect to the Shares for which its related Option is then exercisable.</w:t>
      </w:r>
    </w:p>
    <w:p>
      <w:pPr>
        <w:spacing w:after="0" w:line="207" w:lineRule="exact"/>
        <w:rPr>
          <w:sz w:val="20"/>
          <w:szCs w:val="20"/>
          <w:color w:val="auto"/>
        </w:rPr>
      </w:pPr>
    </w:p>
    <w:p>
      <w:pPr>
        <w:ind w:right="20" w:firstLine="401"/>
        <w:spacing w:after="0" w:line="257" w:lineRule="auto"/>
        <w:rPr>
          <w:sz w:val="20"/>
          <w:szCs w:val="20"/>
          <w:color w:val="auto"/>
        </w:rPr>
      </w:pPr>
      <w:r>
        <w:rPr>
          <w:rFonts w:ascii="Arial" w:cs="Arial" w:eastAsia="Arial" w:hAnsi="Arial"/>
          <w:sz w:val="18"/>
          <w:szCs w:val="18"/>
          <w:color w:val="auto"/>
        </w:rPr>
        <w:t>Notwithstanding any other provision of this Plan to the contrary, with respect to a Tandem SAR granted in connection with an ISO: (a) the Tandem SAR will expire no later than the expiration of the underlying ISO; (b) the value of the payout with respect to the Tandem SAR may be for no more than one hundred percent (100%) of the excess of the Fair Market Value of the Shares subject to the underlying ISO at the time the Tandem SAR is exercised over the Option Price of the underlying ISO; and (c) the Tandem SAR may be exercised only when the Fair Market Value of the Shares subject to the ISO exceeds the Option Price of the ISO.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40"/>
          </w:cols>
          <w:pgMar w:left="320" w:top="773" w:right="339" w:bottom="1440" w:gutter="0" w:footer="0" w:header="0"/>
        </w:sectPr>
      </w:pPr>
    </w:p>
    <w:bookmarkStart w:id="141" w:name="page142"/>
    <w:bookmarkEnd w:id="141"/>
    <w:p>
      <w:pPr>
        <w:ind w:right="160" w:firstLine="401"/>
        <w:spacing w:after="0" w:line="282" w:lineRule="auto"/>
        <w:rPr>
          <w:sz w:val="20"/>
          <w:szCs w:val="20"/>
          <w:color w:val="auto"/>
        </w:rPr>
      </w:pPr>
      <w:r>
        <w:rPr>
          <w:rFonts w:ascii="Arial" w:cs="Arial" w:eastAsia="Arial" w:hAnsi="Arial"/>
          <w:sz w:val="18"/>
          <w:szCs w:val="18"/>
          <w:b w:val="1"/>
          <w:bCs w:val="1"/>
          <w:color w:val="auto"/>
        </w:rPr>
        <w:t>7.6 Settlement of SAR Amount</w:t>
      </w:r>
      <w:r>
        <w:rPr>
          <w:rFonts w:ascii="Arial" w:cs="Arial" w:eastAsia="Arial" w:hAnsi="Arial"/>
          <w:sz w:val="18"/>
          <w:szCs w:val="18"/>
          <w:color w:val="auto"/>
        </w:rPr>
        <w:t>. Upon the exercise of an SAR, a Participant shall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w:t>
      </w:r>
    </w:p>
    <w:p>
      <w:pPr>
        <w:spacing w:after="0" w:line="193" w:lineRule="exact"/>
        <w:rPr>
          <w:sz w:val="20"/>
          <w:szCs w:val="20"/>
          <w:color w:val="auto"/>
        </w:rPr>
      </w:pPr>
    </w:p>
    <w:p>
      <w:pPr>
        <w:ind w:left="1360" w:hanging="380"/>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252" w:lineRule="exact"/>
        <w:rPr>
          <w:rFonts w:ascii="Arial" w:cs="Arial" w:eastAsia="Arial" w:hAnsi="Arial"/>
          <w:sz w:val="18"/>
          <w:szCs w:val="18"/>
          <w:color w:val="auto"/>
        </w:rPr>
      </w:pPr>
    </w:p>
    <w:p>
      <w:pPr>
        <w:ind w:left="1360" w:hanging="380"/>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payment upon SAR exercise shall be in Shares.</w:t>
      </w:r>
    </w:p>
    <w:p>
      <w:pPr>
        <w:spacing w:after="0" w:line="248" w:lineRule="exact"/>
        <w:rPr>
          <w:sz w:val="20"/>
          <w:szCs w:val="20"/>
          <w:color w:val="auto"/>
        </w:rPr>
      </w:pPr>
    </w:p>
    <w:p>
      <w:pPr>
        <w:ind w:firstLine="401"/>
        <w:spacing w:after="0" w:line="303" w:lineRule="auto"/>
        <w:rPr>
          <w:sz w:val="20"/>
          <w:szCs w:val="20"/>
          <w:color w:val="auto"/>
        </w:rPr>
      </w:pPr>
      <w:r>
        <w:rPr>
          <w:rFonts w:ascii="Arial" w:cs="Arial" w:eastAsia="Arial" w:hAnsi="Arial"/>
          <w:sz w:val="16"/>
          <w:szCs w:val="16"/>
          <w:b w:val="1"/>
          <w:bCs w:val="1"/>
          <w:color w:val="auto"/>
        </w:rPr>
        <w:t>7.7 Termination of Employment</w:t>
      </w:r>
      <w:r>
        <w:rPr>
          <w:rFonts w:ascii="Arial" w:cs="Arial" w:eastAsia="Arial" w:hAnsi="Arial"/>
          <w:sz w:val="16"/>
          <w:szCs w:val="16"/>
          <w:color w:val="auto"/>
        </w:rPr>
        <w:t>. Each Award Agreement shall set forth the extent to which the Participant shall have the right to exercise the SAR</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termination of the Participant’s employment with or provision of services to the Company, its Affiliates, and/or its Subsidiaries, as the case may be. Such provisions shall be determined in the sole discretion of the Committee, shall be included in the Award Agreement entered into with Participants, need not be uniform among all SARs issued pursuant to this Plan, and may reflect distinctions based on the reasons for termination.</w:t>
      </w:r>
    </w:p>
    <w:p>
      <w:pPr>
        <w:spacing w:after="0" w:line="178" w:lineRule="exact"/>
        <w:rPr>
          <w:sz w:val="20"/>
          <w:szCs w:val="20"/>
          <w:color w:val="auto"/>
        </w:rPr>
      </w:pPr>
    </w:p>
    <w:p>
      <w:pPr>
        <w:ind w:right="440" w:firstLine="401"/>
        <w:spacing w:after="0" w:line="266" w:lineRule="auto"/>
        <w:rPr>
          <w:sz w:val="20"/>
          <w:szCs w:val="20"/>
          <w:color w:val="auto"/>
        </w:rPr>
      </w:pPr>
      <w:r>
        <w:rPr>
          <w:rFonts w:ascii="Arial" w:cs="Arial" w:eastAsia="Arial" w:hAnsi="Arial"/>
          <w:sz w:val="18"/>
          <w:szCs w:val="18"/>
          <w:b w:val="1"/>
          <w:bCs w:val="1"/>
          <w:color w:val="auto"/>
        </w:rPr>
        <w:t xml:space="preserve">7.8 Other Restrictions. </w:t>
      </w:r>
      <w:r>
        <w:rPr>
          <w:rFonts w:ascii="Arial" w:cs="Arial" w:eastAsia="Arial" w:hAnsi="Arial"/>
          <w:sz w:val="18"/>
          <w:szCs w:val="18"/>
          <w:color w:val="auto"/>
        </w:rPr>
        <w:t>The Committee shall impose such other conditions and/or restrictions on any Shares received upon exercise of a SAR</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pursuant to this Plan as it may deem advisable or desirable. These restrictions may include, but shall not be limited to, a requirement that the Participant hold the Shares received upon exercise of a SAR for a specified period of time.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and Restricted Stock Units</w:t>
      </w:r>
    </w:p>
    <w:p>
      <w:pPr>
        <w:spacing w:after="0" w:line="252" w:lineRule="exact"/>
        <w:rPr>
          <w:sz w:val="20"/>
          <w:szCs w:val="20"/>
          <w:color w:val="auto"/>
        </w:rPr>
      </w:pPr>
    </w:p>
    <w:p>
      <w:pPr>
        <w:ind w:right="240" w:firstLine="401"/>
        <w:spacing w:after="0" w:line="314" w:lineRule="auto"/>
        <w:rPr>
          <w:sz w:val="20"/>
          <w:szCs w:val="20"/>
          <w:color w:val="auto"/>
        </w:rPr>
      </w:pPr>
      <w:r>
        <w:rPr>
          <w:rFonts w:ascii="Arial" w:cs="Arial" w:eastAsia="Arial" w:hAnsi="Arial"/>
          <w:sz w:val="16"/>
          <w:szCs w:val="16"/>
          <w:b w:val="1"/>
          <w:bCs w:val="1"/>
          <w:color w:val="auto"/>
        </w:rPr>
        <w:t>8.1 Grant of Restricted Stock or Restricted Stock Units</w:t>
      </w:r>
      <w:r>
        <w:rPr>
          <w:rFonts w:ascii="Arial" w:cs="Arial" w:eastAsia="Arial" w:hAnsi="Arial"/>
          <w:sz w:val="16"/>
          <w:szCs w:val="16"/>
          <w:color w:val="auto"/>
        </w:rPr>
        <w:t>. Subject to the terms and provisions of this Plan, the Committee, at any time and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may grant Shares of Restricted Stock and/or Restricted Stock Units to Participants in such amounts as the Committee shall determine. Restricted Stock Units shall be similar to Restricted Stock except that no Shares are actually awarded to the Participant on the date of grant.</w:t>
      </w:r>
    </w:p>
    <w:p>
      <w:pPr>
        <w:spacing w:after="0" w:line="169" w:lineRule="exact"/>
        <w:rPr>
          <w:sz w:val="20"/>
          <w:szCs w:val="20"/>
          <w:color w:val="auto"/>
        </w:rPr>
      </w:pPr>
    </w:p>
    <w:p>
      <w:pPr>
        <w:ind w:right="60" w:firstLine="401"/>
        <w:spacing w:after="0" w:line="266" w:lineRule="auto"/>
        <w:rPr>
          <w:sz w:val="20"/>
          <w:szCs w:val="20"/>
          <w:color w:val="auto"/>
        </w:rPr>
      </w:pPr>
      <w:r>
        <w:rPr>
          <w:rFonts w:ascii="Arial" w:cs="Arial" w:eastAsia="Arial" w:hAnsi="Arial"/>
          <w:sz w:val="18"/>
          <w:szCs w:val="18"/>
          <w:b w:val="1"/>
          <w:bCs w:val="1"/>
          <w:color w:val="auto"/>
        </w:rPr>
        <w:t>8.2 Restricted Stock or Restricted Stock Unit Agreement</w:t>
      </w:r>
      <w:r>
        <w:rPr>
          <w:rFonts w:ascii="Arial" w:cs="Arial" w:eastAsia="Arial" w:hAnsi="Arial"/>
          <w:sz w:val="18"/>
          <w:szCs w:val="18"/>
          <w:color w:val="auto"/>
        </w:rPr>
        <w:t>. Each Restricted Stock and/or Restricted Stock Unit grant shall be evidenced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that shall specify the Period(s) of Restriction, the number of Shares of Restricted Stock or the number of Restricted Stock Units granted, and such other provisions as the Committee shall determine.</w:t>
      </w:r>
    </w:p>
    <w:p>
      <w:pPr>
        <w:spacing w:after="0" w:line="203" w:lineRule="exact"/>
        <w:rPr>
          <w:sz w:val="20"/>
          <w:szCs w:val="20"/>
          <w:color w:val="auto"/>
        </w:rPr>
      </w:pPr>
    </w:p>
    <w:p>
      <w:pPr>
        <w:ind w:right="20" w:firstLine="405"/>
        <w:spacing w:after="0" w:line="274" w:lineRule="auto"/>
        <w:rPr>
          <w:sz w:val="20"/>
          <w:szCs w:val="20"/>
          <w:color w:val="auto"/>
        </w:rPr>
      </w:pPr>
      <w:r>
        <w:rPr>
          <w:rFonts w:ascii="Arial" w:cs="Arial" w:eastAsia="Arial" w:hAnsi="Arial"/>
          <w:sz w:val="17"/>
          <w:szCs w:val="17"/>
          <w:b w:val="1"/>
          <w:bCs w:val="1"/>
          <w:color w:val="auto"/>
        </w:rPr>
        <w:t>8.3 Other Restrictions</w:t>
      </w:r>
      <w:r>
        <w:rPr>
          <w:rFonts w:ascii="Arial" w:cs="Arial" w:eastAsia="Arial" w:hAnsi="Arial"/>
          <w:sz w:val="17"/>
          <w:szCs w:val="17"/>
          <w:color w:val="auto"/>
        </w:rPr>
        <w:t>. The Committee shall impose such other conditions and/or restrictions on any Shares of Restricted Stock or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Units granted pursuant to this Plan as it may deem advisable including, without limitation,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204" w:lineRule="exact"/>
        <w:rPr>
          <w:sz w:val="20"/>
          <w:szCs w:val="20"/>
          <w:color w:val="auto"/>
        </w:rPr>
      </w:pPr>
    </w:p>
    <w:p>
      <w:pPr>
        <w:ind w:right="800" w:firstLine="401"/>
        <w:spacing w:after="0" w:line="342" w:lineRule="auto"/>
        <w:rPr>
          <w:sz w:val="20"/>
          <w:szCs w:val="20"/>
          <w:color w:val="auto"/>
        </w:rPr>
      </w:pPr>
      <w:r>
        <w:rPr>
          <w:rFonts w:ascii="Arial" w:cs="Arial" w:eastAsia="Arial" w:hAnsi="Arial"/>
          <w:sz w:val="16"/>
          <w:szCs w:val="16"/>
          <w:color w:val="auto"/>
        </w:rPr>
        <w:t>To the extent deemed appropriate by the Committee, the Company may retain the certificates representing Shares of Restricted Stock in the Company’s possession until such time as all conditions and/or restrictions applicable to such Shares have been satisfied or lapse.</w:t>
      </w:r>
    </w:p>
    <w:p>
      <w:pPr>
        <w:spacing w:after="0" w:line="151" w:lineRule="exact"/>
        <w:rPr>
          <w:sz w:val="20"/>
          <w:szCs w:val="20"/>
          <w:color w:val="auto"/>
        </w:rPr>
      </w:pPr>
    </w:p>
    <w:p>
      <w:pPr>
        <w:ind w:right="20" w:firstLine="401"/>
        <w:spacing w:after="0" w:line="259" w:lineRule="auto"/>
        <w:rPr>
          <w:sz w:val="20"/>
          <w:szCs w:val="20"/>
          <w:color w:val="auto"/>
        </w:rPr>
      </w:pPr>
      <w:r>
        <w:rPr>
          <w:rFonts w:ascii="Arial" w:cs="Arial" w:eastAsia="Arial" w:hAnsi="Arial"/>
          <w:sz w:val="18"/>
          <w:szCs w:val="18"/>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paid in cash, Shares, or a combination of cash and Shares as the Committee, in its sole discretion shall determine.</w:t>
      </w:r>
    </w:p>
    <w:p>
      <w:pPr>
        <w:spacing w:after="0" w:line="210" w:lineRule="exact"/>
        <w:rPr>
          <w:sz w:val="20"/>
          <w:szCs w:val="20"/>
          <w:color w:val="auto"/>
        </w:rPr>
      </w:pPr>
    </w:p>
    <w:p>
      <w:pPr>
        <w:ind w:right="140" w:firstLine="401"/>
        <w:spacing w:after="0" w:line="347" w:lineRule="auto"/>
        <w:rPr>
          <w:sz w:val="20"/>
          <w:szCs w:val="20"/>
          <w:color w:val="auto"/>
        </w:rPr>
      </w:pPr>
      <w:r>
        <w:rPr>
          <w:rFonts w:ascii="Arial" w:cs="Arial" w:eastAsia="Arial" w:hAnsi="Arial"/>
          <w:sz w:val="16"/>
          <w:szCs w:val="16"/>
          <w:b w:val="1"/>
          <w:bCs w:val="1"/>
          <w:color w:val="auto"/>
        </w:rPr>
        <w:t>8.4 Certificate Legend</w:t>
      </w:r>
      <w:r>
        <w:rPr>
          <w:rFonts w:ascii="Arial" w:cs="Arial" w:eastAsia="Arial" w:hAnsi="Arial"/>
          <w:sz w:val="16"/>
          <w:szCs w:val="16"/>
          <w:color w:val="auto"/>
        </w:rPr>
        <w:t>. In addition to any legends placed on certificates pursuant to Section 8.3, each certificate representing Shares of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granted pursuant to this Plan may bear a legend such as the following or as otherwise determined by the Committee in its sole discretion:</w:t>
      </w:r>
    </w:p>
    <w:p>
      <w:pPr>
        <w:spacing w:after="0" w:line="147" w:lineRule="exact"/>
        <w:rPr>
          <w:sz w:val="20"/>
          <w:szCs w:val="20"/>
          <w:color w:val="auto"/>
        </w:rPr>
      </w:pPr>
    </w:p>
    <w:p>
      <w:pPr>
        <w:ind w:right="300" w:firstLine="401"/>
        <w:spacing w:after="0" w:line="263" w:lineRule="auto"/>
        <w:rPr>
          <w:sz w:val="20"/>
          <w:szCs w:val="20"/>
          <w:color w:val="auto"/>
        </w:rPr>
      </w:pPr>
      <w:r>
        <w:rPr>
          <w:rFonts w:ascii="Arial" w:cs="Arial" w:eastAsia="Arial" w:hAnsi="Arial"/>
          <w:sz w:val="18"/>
          <w:szCs w:val="18"/>
          <w:color w:val="auto"/>
        </w:rPr>
        <w:t>The sale or transfer of Shares of stock represented by this certificate, whether voluntary, involuntary, or by operation of law, is subject to certain restrictions on transfer as set forth in the Black Hills Corporation 2005 Omnibus Incentive Plan, and in the associated Award Agreement. A copy of this Plan and such Award Agreement may be obtained from Black Hills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1012" w:right="339" w:bottom="1440" w:gutter="0" w:footer="0" w:header="0"/>
        </w:sectPr>
      </w:pPr>
    </w:p>
    <w:bookmarkStart w:id="142" w:name="page143"/>
    <w:bookmarkEnd w:id="142"/>
    <w:p>
      <w:pPr>
        <w:ind w:firstLine="401"/>
        <w:spacing w:after="0" w:line="261" w:lineRule="auto"/>
        <w:rPr>
          <w:sz w:val="20"/>
          <w:szCs w:val="20"/>
          <w:color w:val="auto"/>
        </w:rPr>
      </w:pPr>
      <w:r>
        <w:rPr>
          <w:rFonts w:ascii="Arial" w:cs="Arial" w:eastAsia="Arial" w:hAnsi="Arial"/>
          <w:sz w:val="18"/>
          <w:szCs w:val="18"/>
          <w:b w:val="1"/>
          <w:bCs w:val="1"/>
          <w:color w:val="auto"/>
        </w:rPr>
        <w:t>8.5 Voting Rights</w:t>
      </w:r>
      <w:r>
        <w:rPr>
          <w:rFonts w:ascii="Arial" w:cs="Arial" w:eastAsia="Arial" w:hAnsi="Arial"/>
          <w:sz w:val="18"/>
          <w:szCs w:val="18"/>
          <w:color w:val="auto"/>
        </w:rPr>
        <w:t>. Unless otherwise determined by the Committee and set forth in a Participant’s Award Agreement, to the extent permitted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 as determined by the Committee, Participants holding Shares of Restricted Stock granted hereunder may be granted the right to exercise full voting rights with respect to those Shares during the Period of Restriction. A Participant shall have no voting rights with respect to any Restricted Stock Units granted hereunder.</w:t>
      </w:r>
    </w:p>
    <w:p>
      <w:pPr>
        <w:spacing w:after="0" w:line="207" w:lineRule="exact"/>
        <w:rPr>
          <w:sz w:val="20"/>
          <w:szCs w:val="20"/>
          <w:color w:val="auto"/>
        </w:rPr>
      </w:pPr>
    </w:p>
    <w:p>
      <w:pPr>
        <w:ind w:right="60" w:firstLine="401"/>
        <w:spacing w:after="0" w:line="258" w:lineRule="auto"/>
        <w:rPr>
          <w:sz w:val="20"/>
          <w:szCs w:val="20"/>
          <w:color w:val="auto"/>
        </w:rPr>
      </w:pPr>
      <w:r>
        <w:rPr>
          <w:rFonts w:ascii="Arial" w:cs="Arial" w:eastAsia="Arial" w:hAnsi="Arial"/>
          <w:sz w:val="18"/>
          <w:szCs w:val="18"/>
          <w:b w:val="1"/>
          <w:bCs w:val="1"/>
          <w:color w:val="auto"/>
        </w:rPr>
        <w:t>8.6 Termination of Employment</w:t>
      </w:r>
      <w:r>
        <w:rPr>
          <w:rFonts w:ascii="Arial" w:cs="Arial" w:eastAsia="Arial" w:hAnsi="Arial"/>
          <w:sz w:val="18"/>
          <w:szCs w:val="18"/>
          <w:color w:val="auto"/>
        </w:rPr>
        <w:t>. Each Award Agreement shall set forth the extent to which the Participant shall have the right to retain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and/or Restricted Stock Units following termination of the Participant’s employment with or provision of services to the Company, its Affiliates, and/or its Subsidiaries, as the case may be. Such provisions shall be determined in the sole discretion of the Committee, shall be included in the Award Agreement entered into with each Participant, need not be uniform among all Shares of Restricted Stock or Restricted Stock Units issued pursuant to this Plan, and may reflect distinctions based on the reasons for termination.</w:t>
      </w:r>
    </w:p>
    <w:p>
      <w:pPr>
        <w:spacing w:after="0" w:line="210" w:lineRule="exact"/>
        <w:rPr>
          <w:sz w:val="20"/>
          <w:szCs w:val="20"/>
          <w:color w:val="auto"/>
        </w:rPr>
      </w:pPr>
    </w:p>
    <w:p>
      <w:pPr>
        <w:ind w:right="160" w:firstLine="401"/>
        <w:spacing w:after="0" w:line="314" w:lineRule="auto"/>
        <w:rPr>
          <w:sz w:val="20"/>
          <w:szCs w:val="20"/>
          <w:color w:val="auto"/>
        </w:rPr>
      </w:pPr>
      <w:r>
        <w:rPr>
          <w:rFonts w:ascii="Arial" w:cs="Arial" w:eastAsia="Arial" w:hAnsi="Arial"/>
          <w:sz w:val="16"/>
          <w:szCs w:val="16"/>
          <w:b w:val="1"/>
          <w:bCs w:val="1"/>
          <w:color w:val="auto"/>
        </w:rPr>
        <w:t>8.7 Section 83(b) Election</w:t>
      </w:r>
      <w:r>
        <w:rPr>
          <w:rFonts w:ascii="Arial" w:cs="Arial" w:eastAsia="Arial" w:hAnsi="Arial"/>
          <w:sz w:val="16"/>
          <w:szCs w:val="16"/>
          <w:color w:val="auto"/>
        </w:rPr>
        <w:t>. The Committee may provide in an Award Agreement that the Award of Restricted Stock is conditioned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making or refraining from making an election with respect to the Award under Code Section 83(b). If a Participant makes an election pursuant to Code Section 83(b) concerning a Restricted Stock Award, the Participant shall be required to file promptly a copy of such election with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Performance Units, Performance Shares and Cash-Based Awards</w:t>
      </w:r>
    </w:p>
    <w:p>
      <w:pPr>
        <w:spacing w:after="0" w:line="252" w:lineRule="exact"/>
        <w:rPr>
          <w:sz w:val="20"/>
          <w:szCs w:val="20"/>
          <w:color w:val="auto"/>
        </w:rPr>
      </w:pPr>
    </w:p>
    <w:p>
      <w:pPr>
        <w:ind w:right="500" w:firstLine="401"/>
        <w:spacing w:after="0" w:line="266" w:lineRule="auto"/>
        <w:rPr>
          <w:sz w:val="20"/>
          <w:szCs w:val="20"/>
          <w:color w:val="auto"/>
        </w:rPr>
      </w:pPr>
      <w:r>
        <w:rPr>
          <w:rFonts w:ascii="Arial" w:cs="Arial" w:eastAsia="Arial" w:hAnsi="Arial"/>
          <w:sz w:val="18"/>
          <w:szCs w:val="18"/>
          <w:b w:val="1"/>
          <w:bCs w:val="1"/>
          <w:color w:val="auto"/>
        </w:rPr>
        <w:t>9.1 Grant of Performance Units, Performance Shares, and Cash-Based Awards</w:t>
      </w:r>
      <w:r>
        <w:rPr>
          <w:rFonts w:ascii="Arial" w:cs="Arial" w:eastAsia="Arial" w:hAnsi="Arial"/>
          <w:sz w:val="18"/>
          <w:szCs w:val="18"/>
          <w:color w:val="auto"/>
        </w:rPr>
        <w:t>. Subject to the terms and provisions of this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at any time and from time to time, may grant Performance Units, Performance Shares, and/or Cash-Based Awards to Participants in such amounts and upon such terms as the Committee shall determine.</w:t>
      </w:r>
    </w:p>
    <w:p>
      <w:pPr>
        <w:spacing w:after="0" w:line="203" w:lineRule="exact"/>
        <w:rPr>
          <w:sz w:val="20"/>
          <w:szCs w:val="20"/>
          <w:color w:val="auto"/>
        </w:rPr>
      </w:pPr>
    </w:p>
    <w:p>
      <w:pPr>
        <w:ind w:right="80" w:firstLine="401"/>
        <w:spacing w:after="0" w:line="258" w:lineRule="auto"/>
        <w:rPr>
          <w:sz w:val="20"/>
          <w:szCs w:val="20"/>
          <w:color w:val="auto"/>
        </w:rPr>
      </w:pPr>
      <w:r>
        <w:rPr>
          <w:rFonts w:ascii="Arial" w:cs="Arial" w:eastAsia="Arial" w:hAnsi="Arial"/>
          <w:sz w:val="18"/>
          <w:szCs w:val="18"/>
          <w:b w:val="1"/>
          <w:bCs w:val="1"/>
          <w:color w:val="auto"/>
        </w:rPr>
        <w:t>9.2 Value of Performance Units, Performance Shares, and Cash-Based Awards</w:t>
      </w:r>
      <w:r>
        <w:rPr>
          <w:rFonts w:ascii="Arial" w:cs="Arial" w:eastAsia="Arial" w:hAnsi="Arial"/>
          <w:sz w:val="18"/>
          <w:szCs w:val="18"/>
          <w:color w:val="auto"/>
        </w:rPr>
        <w:t>. Each Performance Unit shall have an initial value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Committee at the time of grant. Each Performance Share shall have an initial value equal to the Fair Market Value of a Share on the date of grant. Each Cash-Based Award shall have a value as determined by the Committee. The Committee shall set performance goals in its discretion which, depending on the extent to which they are met, will determine the value and/or number of Performance Units, Performance Shares or Cash-Based Awards that will be paid out to the Participant.</w:t>
      </w:r>
    </w:p>
    <w:p>
      <w:pPr>
        <w:spacing w:after="0" w:line="210" w:lineRule="exact"/>
        <w:rPr>
          <w:sz w:val="20"/>
          <w:szCs w:val="20"/>
          <w:color w:val="auto"/>
        </w:rPr>
      </w:pPr>
    </w:p>
    <w:p>
      <w:pPr>
        <w:ind w:right="20" w:firstLine="401"/>
        <w:spacing w:after="0" w:line="261" w:lineRule="auto"/>
        <w:rPr>
          <w:sz w:val="20"/>
          <w:szCs w:val="20"/>
          <w:color w:val="auto"/>
        </w:rPr>
      </w:pPr>
      <w:r>
        <w:rPr>
          <w:rFonts w:ascii="Arial" w:cs="Arial" w:eastAsia="Arial" w:hAnsi="Arial"/>
          <w:sz w:val="18"/>
          <w:szCs w:val="18"/>
          <w:b w:val="1"/>
          <w:bCs w:val="1"/>
          <w:color w:val="auto"/>
        </w:rPr>
        <w:t>9.3 Earning of Performance Units, Performance Shares and Cash-Based Awards</w:t>
      </w:r>
      <w:r>
        <w:rPr>
          <w:rFonts w:ascii="Arial" w:cs="Arial" w:eastAsia="Arial" w:hAnsi="Arial"/>
          <w:sz w:val="18"/>
          <w:szCs w:val="18"/>
          <w:color w:val="auto"/>
        </w:rPr>
        <w:t>. Subject to the terms of this Plan, after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has ended, the holder of Performance Units, Performance Shares or Cash-Based Awards shall be entitled to receive payout on the value and number of Performance Units, Performance Shares or Cash-Based Awards earned by the Participant over the Performance Period, to be determined as a function of the extent to which the corresponding performance goals have been achieved.</w:t>
      </w:r>
    </w:p>
    <w:p>
      <w:pPr>
        <w:spacing w:after="0" w:line="207" w:lineRule="exact"/>
        <w:rPr>
          <w:sz w:val="20"/>
          <w:szCs w:val="20"/>
          <w:color w:val="auto"/>
        </w:rPr>
      </w:pPr>
    </w:p>
    <w:p>
      <w:pPr>
        <w:ind w:right="20" w:firstLine="401"/>
        <w:spacing w:after="0" w:line="273" w:lineRule="auto"/>
        <w:rPr>
          <w:sz w:val="20"/>
          <w:szCs w:val="20"/>
          <w:color w:val="auto"/>
        </w:rPr>
      </w:pPr>
      <w:r>
        <w:rPr>
          <w:rFonts w:ascii="Arial" w:cs="Arial" w:eastAsia="Arial" w:hAnsi="Arial"/>
          <w:sz w:val="17"/>
          <w:szCs w:val="17"/>
          <w:b w:val="1"/>
          <w:bCs w:val="1"/>
          <w:color w:val="auto"/>
        </w:rPr>
        <w:t>9.4 Form and Timing of Payment of Performance Units, Performance Shares, and Cash-Based Awards</w:t>
      </w:r>
      <w:r>
        <w:rPr>
          <w:rFonts w:ascii="Arial" w:cs="Arial" w:eastAsia="Arial" w:hAnsi="Arial"/>
          <w:sz w:val="17"/>
          <w:szCs w:val="17"/>
          <w:color w:val="auto"/>
        </w:rPr>
        <w:t>. Payment of earned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Units, Performance Shares or Cash-Based Awards shall be as determined by the Committee and as evidenced in the Award Agreement. Subject to the terms of this Plan, the Committee, in its sole discretion, may pay earned Performance Units, Performance Shares or Cash-Based Awards in the form of cash or in Shares (or in a combination thereof) equal to the value of the earned Performance Units, Performance Shares, or Cash-Based Awards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99" w:lineRule="exact"/>
        <w:rPr>
          <w:sz w:val="20"/>
          <w:szCs w:val="20"/>
          <w:color w:val="auto"/>
        </w:rPr>
      </w:pPr>
    </w:p>
    <w:p>
      <w:pPr>
        <w:ind w:right="40" w:firstLine="401"/>
        <w:spacing w:after="0" w:line="277" w:lineRule="auto"/>
        <w:rPr>
          <w:sz w:val="20"/>
          <w:szCs w:val="20"/>
          <w:color w:val="auto"/>
        </w:rPr>
      </w:pPr>
      <w:r>
        <w:rPr>
          <w:rFonts w:ascii="Arial" w:cs="Arial" w:eastAsia="Arial" w:hAnsi="Arial"/>
          <w:sz w:val="17"/>
          <w:szCs w:val="17"/>
          <w:b w:val="1"/>
          <w:bCs w:val="1"/>
          <w:color w:val="auto"/>
        </w:rPr>
        <w:t>9.5 Termination of Employment</w:t>
      </w:r>
      <w:r>
        <w:rPr>
          <w:rFonts w:ascii="Arial" w:cs="Arial" w:eastAsia="Arial" w:hAnsi="Arial"/>
          <w:sz w:val="17"/>
          <w:szCs w:val="17"/>
          <w:color w:val="auto"/>
        </w:rPr>
        <w:t>. Each Award Agreement shall set forth the extent to which the Participant shall have the right to retain</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Units, Performance Shares, and/or Cash-Based Awards following termination of the Participant’s employment with or provision of services to the Company, its Affiliates, and/or its Subsidiaries, as the case may be. Such provisions shall be determined in the sole discretion of the Committee, shall be included in the Award Agreement entered into with each Participant, need not be uniform among all Awards of Performance Units, Performance Shares, or Cash-Based Awards issued pursuant to this Plan, and may reflect distinctions based on the reasons for termination.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Other Stock-Based Awards</w:t>
      </w:r>
    </w:p>
    <w:p>
      <w:pPr>
        <w:spacing w:after="0" w:line="252" w:lineRule="exact"/>
        <w:rPr>
          <w:sz w:val="20"/>
          <w:szCs w:val="20"/>
          <w:color w:val="auto"/>
        </w:rPr>
      </w:pPr>
    </w:p>
    <w:p>
      <w:pPr>
        <w:jc w:val="both"/>
        <w:ind w:right="140" w:firstLine="401"/>
        <w:spacing w:after="0" w:line="258" w:lineRule="auto"/>
        <w:rPr>
          <w:sz w:val="20"/>
          <w:szCs w:val="20"/>
          <w:color w:val="auto"/>
        </w:rPr>
      </w:pPr>
      <w:r>
        <w:rPr>
          <w:rFonts w:ascii="Arial" w:cs="Arial" w:eastAsia="Arial" w:hAnsi="Arial"/>
          <w:sz w:val="18"/>
          <w:szCs w:val="18"/>
          <w:b w:val="1"/>
          <w:bCs w:val="1"/>
          <w:color w:val="auto"/>
        </w:rPr>
        <w:t>10.1 Other Stock-Based Awards</w:t>
      </w:r>
      <w:r>
        <w:rPr>
          <w:rFonts w:ascii="Arial" w:cs="Arial" w:eastAsia="Arial" w:hAnsi="Arial"/>
          <w:sz w:val="18"/>
          <w:szCs w:val="18"/>
          <w:color w:val="auto"/>
        </w:rPr>
        <w:t>. The Committee may grant other types of equity-based or equity-related Awards not otherwise described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Plan (including the grant or offer for sale of unrestricted Shares) in such amounts and subject to such terms and conditions, as the Committee shall determine. Such Awards may involve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769" w:right="339" w:bottom="1440" w:gutter="0" w:footer="0" w:header="0"/>
        </w:sectPr>
      </w:pPr>
    </w:p>
    <w:bookmarkStart w:id="143" w:name="page144"/>
    <w:bookmarkEnd w:id="143"/>
    <w:p>
      <w:pPr>
        <w:ind w:right="260" w:firstLine="401"/>
        <w:spacing w:after="0" w:line="261" w:lineRule="auto"/>
        <w:rPr>
          <w:sz w:val="20"/>
          <w:szCs w:val="20"/>
          <w:color w:val="auto"/>
        </w:rPr>
      </w:pPr>
      <w:r>
        <w:rPr>
          <w:rFonts w:ascii="Arial" w:cs="Arial" w:eastAsia="Arial" w:hAnsi="Arial"/>
          <w:sz w:val="18"/>
          <w:szCs w:val="18"/>
          <w:b w:val="1"/>
          <w:bCs w:val="1"/>
          <w:color w:val="auto"/>
        </w:rPr>
        <w:t>10.2 Value of Other Stock-Based Awards</w:t>
      </w:r>
      <w:r>
        <w:rPr>
          <w:rFonts w:ascii="Arial" w:cs="Arial" w:eastAsia="Arial" w:hAnsi="Arial"/>
          <w:sz w:val="18"/>
          <w:szCs w:val="18"/>
          <w:color w:val="auto"/>
        </w:rPr>
        <w:t>. Each Other Stock-Based Award shall be expressed in terms of Shares or Units based on Shares,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Committee. The Committee may establish performance goals in its discretion. If the Committee exercises its discretion to establish performance goals, the number and/or value of Other Stock-Based Awards that will be paid out to the Participant will depend on the extent to which the performance goals are met.</w:t>
      </w:r>
    </w:p>
    <w:p>
      <w:pPr>
        <w:spacing w:after="0" w:line="207" w:lineRule="exact"/>
        <w:rPr>
          <w:sz w:val="20"/>
          <w:szCs w:val="20"/>
          <w:color w:val="auto"/>
        </w:rPr>
      </w:pPr>
    </w:p>
    <w:p>
      <w:pPr>
        <w:ind w:right="80" w:firstLine="401"/>
        <w:spacing w:after="0" w:line="282" w:lineRule="auto"/>
        <w:rPr>
          <w:sz w:val="20"/>
          <w:szCs w:val="20"/>
          <w:color w:val="auto"/>
        </w:rPr>
      </w:pPr>
      <w:r>
        <w:rPr>
          <w:rFonts w:ascii="Arial" w:cs="Arial" w:eastAsia="Arial" w:hAnsi="Arial"/>
          <w:sz w:val="18"/>
          <w:szCs w:val="18"/>
          <w:b w:val="1"/>
          <w:bCs w:val="1"/>
          <w:color w:val="auto"/>
        </w:rPr>
        <w:t>10.3 Payment of Other Stock-Based Awards</w:t>
      </w:r>
      <w:r>
        <w:rPr>
          <w:rFonts w:ascii="Arial" w:cs="Arial" w:eastAsia="Arial" w:hAnsi="Arial"/>
          <w:sz w:val="18"/>
          <w:szCs w:val="18"/>
          <w:color w:val="auto"/>
        </w:rPr>
        <w:t>. Payment, if any, with respect to an Other Stock-Based Award shall be made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Award, in cash or Shares as the Committee determines.</w:t>
      </w:r>
    </w:p>
    <w:p>
      <w:pPr>
        <w:spacing w:after="0" w:line="189" w:lineRule="exact"/>
        <w:rPr>
          <w:sz w:val="20"/>
          <w:szCs w:val="20"/>
          <w:color w:val="auto"/>
        </w:rPr>
      </w:pPr>
    </w:p>
    <w:p>
      <w:pPr>
        <w:ind w:firstLine="401"/>
        <w:spacing w:after="0" w:line="258" w:lineRule="auto"/>
        <w:rPr>
          <w:sz w:val="20"/>
          <w:szCs w:val="20"/>
          <w:color w:val="auto"/>
        </w:rPr>
      </w:pPr>
      <w:r>
        <w:rPr>
          <w:rFonts w:ascii="Arial" w:cs="Arial" w:eastAsia="Arial" w:hAnsi="Arial"/>
          <w:sz w:val="18"/>
          <w:szCs w:val="18"/>
          <w:b w:val="1"/>
          <w:bCs w:val="1"/>
          <w:color w:val="auto"/>
        </w:rPr>
        <w:t>10.4 Termination of Employment</w:t>
      </w:r>
      <w:r>
        <w:rPr>
          <w:rFonts w:ascii="Arial" w:cs="Arial" w:eastAsia="Arial" w:hAnsi="Arial"/>
          <w:sz w:val="18"/>
          <w:szCs w:val="18"/>
          <w:color w:val="auto"/>
        </w:rPr>
        <w:t>. The Committee shall determine the extent to which the Participant shall have the right to receive Other Stock-Based Awards following termination of the Participant’s employment with or provision of services to the Company, its Affiliates, and/or its Subsidiaries, as the case may be. Such provisions shall be determined in the sole discretion of the Committee, such provisions may be included in an Award Agreement entered into with each Participant, but need not be uniform among all Awards of Other Stock-Based Awards issued pursuant to this Plan, and may reflect distinctions based on the reasons for termination.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Transferability of Awards</w:t>
      </w:r>
    </w:p>
    <w:p>
      <w:pPr>
        <w:spacing w:after="0" w:line="252" w:lineRule="exact"/>
        <w:rPr>
          <w:sz w:val="20"/>
          <w:szCs w:val="20"/>
          <w:color w:val="auto"/>
        </w:rPr>
      </w:pPr>
    </w:p>
    <w:p>
      <w:pPr>
        <w:ind w:right="160" w:firstLine="401"/>
        <w:spacing w:after="0" w:line="281" w:lineRule="auto"/>
        <w:rPr>
          <w:sz w:val="20"/>
          <w:szCs w:val="20"/>
          <w:color w:val="auto"/>
        </w:rPr>
      </w:pPr>
      <w:r>
        <w:rPr>
          <w:rFonts w:ascii="Arial" w:cs="Arial" w:eastAsia="Arial" w:hAnsi="Arial"/>
          <w:sz w:val="17"/>
          <w:szCs w:val="17"/>
          <w:b w:val="1"/>
          <w:bCs w:val="1"/>
          <w:color w:val="auto"/>
        </w:rPr>
        <w:t xml:space="preserve">Transferability. </w:t>
      </w:r>
      <w:r>
        <w:rPr>
          <w:rFonts w:ascii="Arial" w:cs="Arial" w:eastAsia="Arial" w:hAnsi="Arial"/>
          <w:sz w:val="17"/>
          <w:szCs w:val="17"/>
          <w:color w:val="auto"/>
        </w:rPr>
        <w:t>Except as otherwise provided in a Participant’s Award Agreement, Awards may not be sold, transferred, pledged, assigned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 Notwithstanding the foregoing, an Award may never be transferred for value (as defined in the General Instructions to Form S-8).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Performance Measures</w:t>
      </w:r>
    </w:p>
    <w:p>
      <w:pPr>
        <w:spacing w:after="0" w:line="252" w:lineRule="exact"/>
        <w:rPr>
          <w:sz w:val="20"/>
          <w:szCs w:val="20"/>
          <w:color w:val="auto"/>
        </w:rPr>
      </w:pPr>
    </w:p>
    <w:p>
      <w:pPr>
        <w:ind w:right="180" w:firstLine="401"/>
        <w:spacing w:after="0" w:line="294" w:lineRule="auto"/>
        <w:rPr>
          <w:sz w:val="20"/>
          <w:szCs w:val="20"/>
          <w:color w:val="auto"/>
        </w:rPr>
      </w:pPr>
      <w:r>
        <w:rPr>
          <w:rFonts w:ascii="Arial" w:cs="Arial" w:eastAsia="Arial" w:hAnsi="Arial"/>
          <w:sz w:val="16"/>
          <w:szCs w:val="16"/>
          <w:b w:val="1"/>
          <w:bCs w:val="1"/>
          <w:color w:val="auto"/>
        </w:rPr>
        <w:t xml:space="preserve">12.1 Performance Measures. </w:t>
      </w:r>
      <w:r>
        <w:rPr>
          <w:rFonts w:ascii="Arial" w:cs="Arial" w:eastAsia="Arial" w:hAnsi="Arial"/>
          <w:sz w:val="16"/>
          <w:szCs w:val="16"/>
          <w:color w:val="auto"/>
        </w:rPr>
        <w:t>For each Award of Performance-Based Compensation, the Committee shall, not later than 90 days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of each performance period, (i) designate all Participants for such performance period and (ii) establish the objective performance factors for each Participant for that performance period on the basis of one or more of the performance goals, the outcome of which is substantially uncertain at the time the Committee actually establishes the performance goal. The Committee shall have sole discretion to determine the applicable performance period, provided that in the case of a performance period less than 12 months, in no event shall a performance goal be considered to be pre-established if it is established after 25 percent of the performance period (as scheduled in good faith at the time the performance goal is established) has elapsed.</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performance goals upon which the payment or vesting of an Award may be based on one or more of the following:</w:t>
      </w:r>
    </w:p>
    <w:p>
      <w:pPr>
        <w:spacing w:after="0" w:line="252" w:lineRule="exact"/>
        <w:rPr>
          <w:sz w:val="20"/>
          <w:szCs w:val="20"/>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3"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sales, or revenue);</w:t>
      </w:r>
    </w:p>
    <w:p>
      <w:pPr>
        <w:spacing w:after="0" w:line="9" w:lineRule="exact"/>
        <w:rPr>
          <w:rFonts w:ascii="Arial" w:cs="Arial" w:eastAsia="Arial" w:hAnsi="Arial"/>
          <w:sz w:val="18"/>
          <w:szCs w:val="18"/>
          <w:color w:val="auto"/>
        </w:rPr>
      </w:pPr>
    </w:p>
    <w:p>
      <w:pPr>
        <w:ind w:left="1560" w:right="660" w:hanging="580"/>
        <w:spacing w:after="0" w:line="250" w:lineRule="auto"/>
        <w:tabs>
          <w:tab w:leader="none" w:pos="13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 return on investment);</w:t>
      </w: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 w:lineRule="exact"/>
        <w:rPr>
          <w:rFonts w:ascii="Arial" w:cs="Arial" w:eastAsia="Arial" w:hAnsi="Arial"/>
          <w:sz w:val="18"/>
          <w:szCs w:val="18"/>
          <w:color w:val="auto"/>
        </w:rPr>
      </w:pPr>
    </w:p>
    <w:p>
      <w:pPr>
        <w:ind w:left="1320" w:hanging="340"/>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 w:lineRule="exact"/>
        <w:rPr>
          <w:rFonts w:ascii="Arial" w:cs="Arial" w:eastAsia="Arial" w:hAnsi="Arial"/>
          <w:sz w:val="18"/>
          <w:szCs w:val="18"/>
          <w:color w:val="auto"/>
        </w:rPr>
      </w:pPr>
    </w:p>
    <w:p>
      <w:pPr>
        <w:ind w:left="1320" w:hanging="340"/>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 w:lineRule="exact"/>
        <w:rPr>
          <w:rFonts w:ascii="Arial" w:cs="Arial" w:eastAsia="Arial" w:hAnsi="Arial"/>
          <w:sz w:val="18"/>
          <w:szCs w:val="18"/>
          <w:color w:val="auto"/>
        </w:rPr>
      </w:pPr>
    </w:p>
    <w:p>
      <w:pPr>
        <w:ind w:left="1320" w:hanging="340"/>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Average cost to serve;</w:t>
      </w:r>
    </w:p>
    <w:p>
      <w:pPr>
        <w:spacing w:after="0" w:line="9" w:lineRule="exact"/>
        <w:rPr>
          <w:rFonts w:ascii="Arial" w:cs="Arial" w:eastAsia="Arial" w:hAnsi="Arial"/>
          <w:sz w:val="18"/>
          <w:szCs w:val="18"/>
          <w:color w:val="auto"/>
        </w:rPr>
      </w:pPr>
    </w:p>
    <w:p>
      <w:pPr>
        <w:ind w:left="1420" w:hanging="440"/>
        <w:spacing w:after="0"/>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Margins;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 w:lineRule="exact"/>
        <w:rPr>
          <w:rFonts w:ascii="Arial" w:cs="Arial" w:eastAsia="Arial" w:hAnsi="Arial"/>
          <w:sz w:val="18"/>
          <w:szCs w:val="18"/>
          <w:color w:val="auto"/>
        </w:rPr>
      </w:pPr>
    </w:p>
    <w:p>
      <w:pPr>
        <w:ind w:left="1340" w:hanging="360"/>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Internal rate of return or increase in net present value;</w:t>
      </w:r>
    </w:p>
    <w:p>
      <w:pPr>
        <w:spacing w:after="0" w:line="9" w:lineRule="exact"/>
        <w:rPr>
          <w:rFonts w:ascii="Arial" w:cs="Arial" w:eastAsia="Arial" w:hAnsi="Arial"/>
          <w:sz w:val="18"/>
          <w:szCs w:val="18"/>
          <w:color w:val="auto"/>
        </w:rPr>
      </w:pPr>
    </w:p>
    <w:p>
      <w:pPr>
        <w:ind w:left="1340" w:hanging="360"/>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Dividends paid;</w:t>
      </w:r>
    </w:p>
    <w:p>
      <w:pPr>
        <w:spacing w:after="0" w:line="9" w:lineRule="exact"/>
        <w:rPr>
          <w:rFonts w:ascii="Arial" w:cs="Arial" w:eastAsia="Arial" w:hAnsi="Arial"/>
          <w:sz w:val="18"/>
          <w:szCs w:val="18"/>
          <w:color w:val="auto"/>
        </w:rPr>
      </w:pPr>
    </w:p>
    <w:p>
      <w:pPr>
        <w:ind w:left="1320" w:hanging="340"/>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00"/>
          </w:cols>
          <w:pgMar w:left="320" w:top="1012" w:right="379" w:bottom="1440" w:gutter="0" w:footer="0" w:header="0"/>
        </w:sectPr>
      </w:pPr>
    </w:p>
    <w:bookmarkStart w:id="144" w:name="page145"/>
    <w:bookmarkEnd w:id="144"/>
    <w:p>
      <w:pPr>
        <w:ind w:left="1360" w:hanging="380"/>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Economic value added or 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operating profit after tax minus the sum of capital multiplied by the cost of capital); and</w:t>
      </w:r>
    </w:p>
    <w:p>
      <w:pPr>
        <w:ind w:left="1360" w:hanging="380"/>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other measure of performance as determined by the Committee.</w:t>
      </w:r>
    </w:p>
    <w:p>
      <w:pPr>
        <w:spacing w:after="0" w:line="236" w:lineRule="exact"/>
        <w:rPr>
          <w:sz w:val="20"/>
          <w:szCs w:val="20"/>
          <w:color w:val="auto"/>
        </w:rPr>
      </w:pPr>
    </w:p>
    <w:p>
      <w:pPr>
        <w:ind w:firstLine="401"/>
        <w:spacing w:after="0" w:line="273" w:lineRule="auto"/>
        <w:rPr>
          <w:sz w:val="20"/>
          <w:szCs w:val="20"/>
          <w:color w:val="auto"/>
        </w:rPr>
      </w:pPr>
      <w:r>
        <w:rPr>
          <w:rFonts w:ascii="Arial" w:cs="Arial" w:eastAsia="Arial" w:hAnsi="Arial"/>
          <w:sz w:val="17"/>
          <w:szCs w:val="17"/>
          <w:color w:val="auto"/>
        </w:rPr>
        <w:t>Any Performance Measure(s) may be used to measure the performance of (i) the Company, Subsidiary, and/or Affiliate as a whole, (ii) any business unit of the Company, Subsidiary, and/or Affiliate, or (iii) the individual Participant, or any combination thereof, as the Committee may deem appropriate, or any of the Performance Measures expressed in absolute amounts or as compared to the performance of a group of comparator companies, or published or special index that the Committee, in its sole discretion, deems appropriate, or the Company may select Performance Measure (j) above as compared to various stock market indices. The Committee also has the authority to provide for accelerated vesting of any Award based on the achievement of performance goals pursuant to the Performance Measures specified in this Article 12.</w:t>
      </w:r>
    </w:p>
    <w:p>
      <w:pPr>
        <w:spacing w:after="0" w:line="201" w:lineRule="exact"/>
        <w:rPr>
          <w:sz w:val="20"/>
          <w:szCs w:val="20"/>
          <w:color w:val="auto"/>
        </w:rPr>
      </w:pPr>
    </w:p>
    <w:p>
      <w:pPr>
        <w:ind w:right="120" w:firstLine="401"/>
        <w:spacing w:after="0" w:line="261" w:lineRule="auto"/>
        <w:rPr>
          <w:sz w:val="20"/>
          <w:szCs w:val="20"/>
          <w:color w:val="auto"/>
        </w:rPr>
      </w:pPr>
      <w:r>
        <w:rPr>
          <w:rFonts w:ascii="Arial" w:cs="Arial" w:eastAsia="Arial" w:hAnsi="Arial"/>
          <w:sz w:val="18"/>
          <w:szCs w:val="18"/>
          <w:b w:val="1"/>
          <w:bCs w:val="1"/>
          <w:color w:val="auto"/>
        </w:rPr>
        <w:t xml:space="preserve">12.2 Evaluation of Performance. </w:t>
      </w:r>
      <w:r>
        <w:rPr>
          <w:rFonts w:ascii="Arial" w:cs="Arial" w:eastAsia="Arial" w:hAnsi="Arial"/>
          <w:sz w:val="18"/>
          <w:szCs w:val="18"/>
          <w:color w:val="auto"/>
        </w:rPr>
        <w:t>The Committee may provide in any such Award that any evaluation of performance may include or exclude any</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unusual or nonrecurring events that occur during a Performance Period, such as:</w:t>
      </w:r>
    </w:p>
    <w:p>
      <w:pPr>
        <w:ind w:left="1400" w:hanging="420"/>
        <w:spacing w:after="0"/>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 w:lineRule="exact"/>
        <w:rPr>
          <w:rFonts w:ascii="Arial" w:cs="Arial" w:eastAsia="Arial" w:hAnsi="Arial"/>
          <w:sz w:val="18"/>
          <w:szCs w:val="18"/>
          <w:color w:val="auto"/>
        </w:rPr>
      </w:pPr>
    </w:p>
    <w:p>
      <w:pPr>
        <w:ind w:left="1420" w:hanging="440"/>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 w:lineRule="exact"/>
        <w:rPr>
          <w:rFonts w:ascii="Arial" w:cs="Arial" w:eastAsia="Arial" w:hAnsi="Arial"/>
          <w:sz w:val="18"/>
          <w:szCs w:val="18"/>
          <w:color w:val="auto"/>
        </w:rPr>
      </w:pPr>
    </w:p>
    <w:p>
      <w:pPr>
        <w:ind w:left="1400" w:hanging="420"/>
        <w:spacing w:after="0"/>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provisions affecting reported results;</w:t>
      </w:r>
    </w:p>
    <w:p>
      <w:pPr>
        <w:spacing w:after="0" w:line="9" w:lineRule="exact"/>
        <w:rPr>
          <w:rFonts w:ascii="Arial" w:cs="Arial" w:eastAsia="Arial" w:hAnsi="Arial"/>
          <w:sz w:val="18"/>
          <w:szCs w:val="18"/>
          <w:color w:val="auto"/>
        </w:rPr>
      </w:pPr>
    </w:p>
    <w:p>
      <w:pPr>
        <w:ind w:left="1400" w:hanging="420"/>
        <w:spacing w:after="0"/>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Extraordinary, nonrecurring, or other items that are not indicative of on-going operations;</w:t>
      </w:r>
    </w:p>
    <w:p>
      <w:pPr>
        <w:spacing w:after="0" w:line="9" w:lineRule="exact"/>
        <w:rPr>
          <w:rFonts w:ascii="Arial" w:cs="Arial" w:eastAsia="Arial" w:hAnsi="Arial"/>
          <w:sz w:val="18"/>
          <w:szCs w:val="18"/>
          <w:color w:val="auto"/>
        </w:rPr>
      </w:pPr>
    </w:p>
    <w:p>
      <w:pPr>
        <w:ind w:left="1320" w:hanging="340"/>
        <w:spacing w:after="0"/>
        <w:tabs>
          <w:tab w:leader="none" w:pos="1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Acquisitions or divestitures; and</w:t>
      </w:r>
    </w:p>
    <w:p>
      <w:pPr>
        <w:spacing w:after="0" w:line="9" w:lineRule="exact"/>
        <w:rPr>
          <w:rFonts w:ascii="Arial" w:cs="Arial" w:eastAsia="Arial" w:hAnsi="Arial"/>
          <w:sz w:val="18"/>
          <w:szCs w:val="18"/>
          <w:color w:val="auto"/>
        </w:rPr>
      </w:pPr>
    </w:p>
    <w:p>
      <w:pPr>
        <w:ind w:left="1420" w:hanging="440"/>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Foreign exchange gains and losses.</w:t>
      </w:r>
    </w:p>
    <w:p>
      <w:pPr>
        <w:spacing w:after="0" w:line="238" w:lineRule="exact"/>
        <w:rPr>
          <w:sz w:val="20"/>
          <w:szCs w:val="20"/>
          <w:color w:val="auto"/>
        </w:rPr>
      </w:pPr>
    </w:p>
    <w:p>
      <w:pPr>
        <w:jc w:val="both"/>
        <w:ind w:right="180" w:firstLine="401"/>
        <w:spacing w:after="0" w:line="263" w:lineRule="auto"/>
        <w:rPr>
          <w:sz w:val="20"/>
          <w:szCs w:val="20"/>
          <w:color w:val="auto"/>
        </w:rPr>
      </w:pPr>
      <w:r>
        <w:rPr>
          <w:rFonts w:ascii="Arial" w:cs="Arial" w:eastAsia="Arial" w:hAnsi="Arial"/>
          <w:sz w:val="18"/>
          <w:szCs w:val="18"/>
          <w:color w:val="auto"/>
        </w:rPr>
        <w:t>Following the close of each Performance Period and prior to payment of any amount to a Participant with respect to an Award, the Committee shall certify in writing as to the attainment of all factors (including the performance factors for a Participant) upon which any payments to a Participant for that performance period are to be based.</w:t>
      </w:r>
    </w:p>
    <w:p>
      <w:pPr>
        <w:spacing w:after="0" w:line="207" w:lineRule="exact"/>
        <w:rPr>
          <w:sz w:val="20"/>
          <w:szCs w:val="20"/>
          <w:color w:val="auto"/>
        </w:rPr>
      </w:pPr>
    </w:p>
    <w:p>
      <w:pPr>
        <w:ind w:right="60" w:firstLine="401"/>
        <w:spacing w:after="0" w:line="266" w:lineRule="auto"/>
        <w:rPr>
          <w:sz w:val="20"/>
          <w:szCs w:val="20"/>
          <w:color w:val="auto"/>
        </w:rPr>
      </w:pPr>
      <w:r>
        <w:rPr>
          <w:rFonts w:ascii="Arial" w:cs="Arial" w:eastAsia="Arial" w:hAnsi="Arial"/>
          <w:sz w:val="18"/>
          <w:szCs w:val="18"/>
          <w:b w:val="1"/>
          <w:bCs w:val="1"/>
          <w:color w:val="auto"/>
        </w:rPr>
        <w:t xml:space="preserve">12.3 Adjustment of Performance-Based Compensation Payments and Committee Discretion. </w:t>
      </w:r>
      <w:r>
        <w:rPr>
          <w:rFonts w:ascii="Arial" w:cs="Arial" w:eastAsia="Arial" w:hAnsi="Arial"/>
          <w:sz w:val="18"/>
          <w:szCs w:val="18"/>
          <w:color w:val="auto"/>
        </w:rPr>
        <w:t>The Committee may adjust any Award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upward or downward, either on a formula or discretionary basis or any combination, as the Committee determines. In addition, the Committee shall have sole discretion to alter the Performance Measures.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Nonemployee Director Awards</w:t>
      </w:r>
    </w:p>
    <w:p>
      <w:pPr>
        <w:spacing w:after="0" w:line="25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Nonemployee Directors may only be granted Awards under the Plan in accordance with this Article 13 and which shall not be subject to management’s discretion. From time to time, the Board shall set the amount(s) and type(s) of equity awards that shall be granted to all Nonemployee Directors on a periodic, nondiscriminatory basis pursuant to the Plan, as well as any additional amount(s), if any, to be awarded, also on a periodic, nondiscriminatory basis. In determining Awards for any Nonemployee Directors, the Board may consider, among other things: the number of committees of the Board on which a Nonemployee Director serves, service of a Nonemployee Director as the chair of a Committee of the Board, service of a Nonemployee Director as Chairman of the Board, or the first selection or appointment of an individual to the Board as a Nonemployee Director. Subject to the limits set forth in Section 4.1(c) and the foregoing, the Board shall grant such Awards to Nonemployee Directors and any Nonemployee Chairman of the Board, and grant New Nonemployee Director Awards, as it shall from time to time determine.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Dividends and Dividend Equivalents</w:t>
      </w:r>
    </w:p>
    <w:p>
      <w:pPr>
        <w:spacing w:after="0" w:line="256" w:lineRule="exact"/>
        <w:rPr>
          <w:sz w:val="20"/>
          <w:szCs w:val="20"/>
          <w:color w:val="auto"/>
        </w:rPr>
      </w:pPr>
    </w:p>
    <w:p>
      <w:pPr>
        <w:ind w:right="40" w:firstLine="401"/>
        <w:spacing w:after="0" w:line="273" w:lineRule="auto"/>
        <w:rPr>
          <w:sz w:val="20"/>
          <w:szCs w:val="20"/>
          <w:color w:val="auto"/>
        </w:rPr>
      </w:pPr>
      <w:r>
        <w:rPr>
          <w:rFonts w:ascii="Arial" w:cs="Arial" w:eastAsia="Arial" w:hAnsi="Arial"/>
          <w:sz w:val="17"/>
          <w:szCs w:val="17"/>
          <w:color w:val="auto"/>
        </w:rPr>
        <w:t>The Committee may grant dividends or dividend equivalents based on the dividends declared on Shares that are subject to any Award except for Options and SARs. The dividends or dividend equivalents may be credited as of the dividend payment dates, during the period between the date the Award is granted and the date the Award vests; provided, however, a dividend or dividend equivalent awarded in connection with an award that vests based on the achievement of performance goals shall not be paid unless and until the award is earned by satisfaction of the applicable performance goals. The dividends or dividend equivalents may be subject to any limitations and/or restrictions determined by the Committee. Dividend equivalents shall be converted to cash or additional Shares by such formula and at such time as may be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40"/>
          </w:cols>
          <w:pgMar w:left="320" w:top="74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Article 15. Beneficiary Designation</w:t>
      </w:r>
    </w:p>
    <w:p>
      <w:pPr>
        <w:spacing w:after="0" w:line="256" w:lineRule="exact"/>
        <w:rPr>
          <w:sz w:val="20"/>
          <w:szCs w:val="20"/>
          <w:color w:val="auto"/>
        </w:rPr>
      </w:pPr>
    </w:p>
    <w:p>
      <w:pPr>
        <w:ind w:firstLine="401"/>
        <w:spacing w:after="0" w:line="296" w:lineRule="auto"/>
        <w:rPr>
          <w:sz w:val="20"/>
          <w:szCs w:val="20"/>
          <w:color w:val="auto"/>
        </w:rPr>
      </w:pPr>
      <w:r>
        <w:rPr>
          <w:rFonts w:ascii="Arial" w:cs="Arial" w:eastAsia="Arial" w:hAnsi="Arial"/>
          <w:sz w:val="16"/>
          <w:szCs w:val="16"/>
          <w:color w:val="auto"/>
        </w:rPr>
        <w:t>Each Participant under this Plan may, from time to time, name any beneficiary or beneficiaries (who may be named contingently or successively) to whom any benefit under this Plan is to be paid in case of his death before he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or exercised by the Participant’s executor, administrator, or legal representative.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Rights of Participants</w:t>
      </w:r>
    </w:p>
    <w:p>
      <w:pPr>
        <w:spacing w:after="0" w:line="252" w:lineRule="exact"/>
        <w:rPr>
          <w:sz w:val="20"/>
          <w:szCs w:val="20"/>
          <w:color w:val="auto"/>
        </w:rPr>
      </w:pPr>
    </w:p>
    <w:p>
      <w:pPr>
        <w:ind w:right="200" w:firstLine="401"/>
        <w:spacing w:after="0" w:line="289" w:lineRule="auto"/>
        <w:rPr>
          <w:sz w:val="20"/>
          <w:szCs w:val="20"/>
          <w:color w:val="auto"/>
        </w:rPr>
      </w:pPr>
      <w:r>
        <w:rPr>
          <w:rFonts w:ascii="Arial" w:cs="Arial" w:eastAsia="Arial" w:hAnsi="Arial"/>
          <w:sz w:val="17"/>
          <w:szCs w:val="17"/>
          <w:b w:val="1"/>
          <w:bCs w:val="1"/>
          <w:color w:val="auto"/>
        </w:rPr>
        <w:t>16.1 Employment</w:t>
      </w:r>
      <w:r>
        <w:rPr>
          <w:rFonts w:ascii="Arial" w:cs="Arial" w:eastAsia="Arial" w:hAnsi="Arial"/>
          <w:sz w:val="17"/>
          <w:szCs w:val="17"/>
          <w:color w:val="auto"/>
        </w:rPr>
        <w:t>. Nothing in this Plan or an Award Agreement shall interfere with or limit in any way the right of the Company,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and/or its Subsidiaries, to terminate any Participant’s employment or service on the Board at any time or for any reason not prohibited by law, nor confer upon any Participant any right to continue his employment or service as a Director for any specified period of time.</w:t>
      </w:r>
    </w:p>
    <w:p>
      <w:pPr>
        <w:spacing w:after="0" w:line="189" w:lineRule="exact"/>
        <w:rPr>
          <w:sz w:val="20"/>
          <w:szCs w:val="20"/>
          <w:color w:val="auto"/>
        </w:rPr>
      </w:pPr>
    </w:p>
    <w:p>
      <w:pPr>
        <w:ind w:right="320" w:firstLine="401"/>
        <w:spacing w:after="0" w:line="286" w:lineRule="auto"/>
        <w:rPr>
          <w:sz w:val="20"/>
          <w:szCs w:val="20"/>
          <w:color w:val="auto"/>
        </w:rPr>
      </w:pPr>
      <w:r>
        <w:rPr>
          <w:rFonts w:ascii="Arial" w:cs="Arial" w:eastAsia="Arial" w:hAnsi="Arial"/>
          <w:sz w:val="17"/>
          <w:szCs w:val="17"/>
          <w:color w:val="auto"/>
        </w:rPr>
        <w:t>Neither an Award nor any benefits arising under this Plan shall constitute an employment contract with the Company, its Affiliates, and/or its Subsidiaries and, accordingly, subject to Articles 3 and 18, this Plan and the benefits hereunder may be terminated at any time in the sole and exclusive discretion of the Committee without giving rise to any liability on the part of the Company, its Affiliates, and/or its Subsidiaries.</w:t>
      </w:r>
    </w:p>
    <w:p>
      <w:pPr>
        <w:spacing w:after="0" w:line="188" w:lineRule="exact"/>
        <w:rPr>
          <w:sz w:val="20"/>
          <w:szCs w:val="20"/>
          <w:color w:val="auto"/>
        </w:rPr>
      </w:pPr>
    </w:p>
    <w:p>
      <w:pPr>
        <w:ind w:right="60" w:firstLine="401"/>
        <w:spacing w:after="0" w:line="282" w:lineRule="auto"/>
        <w:rPr>
          <w:sz w:val="20"/>
          <w:szCs w:val="20"/>
          <w:color w:val="auto"/>
        </w:rPr>
      </w:pPr>
      <w:r>
        <w:rPr>
          <w:rFonts w:ascii="Arial" w:cs="Arial" w:eastAsia="Arial" w:hAnsi="Arial"/>
          <w:sz w:val="18"/>
          <w:szCs w:val="18"/>
          <w:b w:val="1"/>
          <w:bCs w:val="1"/>
          <w:color w:val="auto"/>
        </w:rPr>
        <w:t>16.2 Participation</w:t>
      </w:r>
      <w:r>
        <w:rPr>
          <w:rFonts w:ascii="Arial" w:cs="Arial" w:eastAsia="Arial" w:hAnsi="Arial"/>
          <w:sz w:val="18"/>
          <w:szCs w:val="18"/>
          <w:color w:val="auto"/>
        </w:rPr>
        <w:t>. No individual shall have the right to be selected to receive an Award under this Plan, or, having been so selected, to be selected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receive a future Award.</w:t>
      </w:r>
    </w:p>
    <w:p>
      <w:pPr>
        <w:spacing w:after="0" w:line="189" w:lineRule="exact"/>
        <w:rPr>
          <w:sz w:val="20"/>
          <w:szCs w:val="20"/>
          <w:color w:val="auto"/>
        </w:rPr>
      </w:pPr>
    </w:p>
    <w:p>
      <w:pPr>
        <w:ind w:right="380" w:firstLine="401"/>
        <w:spacing w:after="0" w:line="282" w:lineRule="auto"/>
        <w:rPr>
          <w:sz w:val="20"/>
          <w:szCs w:val="20"/>
          <w:color w:val="auto"/>
        </w:rPr>
      </w:pPr>
      <w:r>
        <w:rPr>
          <w:rFonts w:ascii="Arial" w:cs="Arial" w:eastAsia="Arial" w:hAnsi="Arial"/>
          <w:sz w:val="18"/>
          <w:szCs w:val="18"/>
          <w:b w:val="1"/>
          <w:bCs w:val="1"/>
          <w:color w:val="auto"/>
        </w:rPr>
        <w:t>16.3 Rights as a Shareholder</w:t>
      </w:r>
      <w:r>
        <w:rPr>
          <w:rFonts w:ascii="Arial" w:cs="Arial" w:eastAsia="Arial" w:hAnsi="Arial"/>
          <w:sz w:val="18"/>
          <w:szCs w:val="18"/>
          <w:color w:val="auto"/>
        </w:rPr>
        <w:t>. Except as otherwise provided herein, a Participant shall have none of the rights of a shareholder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Shares covered by any Award until the Participant becomes the record holder of such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Change of Control</w:t>
      </w:r>
    </w:p>
    <w:p>
      <w:pPr>
        <w:spacing w:after="0" w:line="256" w:lineRule="exact"/>
        <w:rPr>
          <w:sz w:val="20"/>
          <w:szCs w:val="20"/>
          <w:color w:val="auto"/>
        </w:rPr>
      </w:pPr>
    </w:p>
    <w:p>
      <w:pPr>
        <w:ind w:right="80" w:firstLine="198"/>
        <w:spacing w:after="0" w:line="263" w:lineRule="auto"/>
        <w:rPr>
          <w:sz w:val="20"/>
          <w:szCs w:val="20"/>
          <w:color w:val="auto"/>
        </w:rPr>
      </w:pPr>
      <w:r>
        <w:rPr>
          <w:rFonts w:ascii="Arial" w:cs="Arial" w:eastAsia="Arial" w:hAnsi="Arial"/>
          <w:sz w:val="18"/>
          <w:szCs w:val="18"/>
          <w:color w:val="auto"/>
        </w:rPr>
        <w:t>The treatment of an Award upon the occurrence of a Change in Control shall be set forth in the Participant’s Award Agreement. If however, such treatment is not set forth in a Participant’s Award Agreement, the Board shall determine the treatment of all outstanding Awards upon a Change in Control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Amendment, Modification, Suspension, and Termination</w:t>
      </w:r>
    </w:p>
    <w:p>
      <w:pPr>
        <w:spacing w:after="0" w:line="252" w:lineRule="exact"/>
        <w:rPr>
          <w:sz w:val="20"/>
          <w:szCs w:val="20"/>
          <w:color w:val="auto"/>
        </w:rPr>
      </w:pPr>
    </w:p>
    <w:p>
      <w:pPr>
        <w:ind w:right="100" w:firstLine="401"/>
        <w:spacing w:after="0" w:line="277" w:lineRule="auto"/>
        <w:rPr>
          <w:sz w:val="20"/>
          <w:szCs w:val="20"/>
          <w:color w:val="auto"/>
        </w:rPr>
      </w:pPr>
      <w:r>
        <w:rPr>
          <w:rFonts w:ascii="Arial" w:cs="Arial" w:eastAsia="Arial" w:hAnsi="Arial"/>
          <w:sz w:val="17"/>
          <w:szCs w:val="17"/>
          <w:b w:val="1"/>
          <w:bCs w:val="1"/>
          <w:color w:val="auto"/>
        </w:rPr>
        <w:t>18.1 Amendment, Modification, Suspension, and Termination</w:t>
      </w:r>
      <w:r>
        <w:rPr>
          <w:rFonts w:ascii="Arial" w:cs="Arial" w:eastAsia="Arial" w:hAnsi="Arial"/>
          <w:sz w:val="17"/>
          <w:szCs w:val="17"/>
          <w:color w:val="auto"/>
        </w:rPr>
        <w:t>. Subject to Section 18.3, the Committee may, at any time and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alter, amend, modify, suspend, or terminate this Plan and any Award Agreement in whole or in part; provided, however, that, without the prior approval of the Company’s shareholders and except as provided in Section 4.3, the terms of outstanding awards may not be amended to reduce the exercise price of outstanding Options or SARs or cancel, exchange, buyout or surrender outstanding Options or SARS in exchange for cash, other awards or Options or SARs with an exercise price that is less than the exercise price of the original Options or SARs.</w:t>
      </w:r>
    </w:p>
    <w:p>
      <w:pPr>
        <w:spacing w:after="0" w:line="195" w:lineRule="exact"/>
        <w:rPr>
          <w:sz w:val="20"/>
          <w:szCs w:val="20"/>
          <w:color w:val="auto"/>
        </w:rPr>
      </w:pPr>
    </w:p>
    <w:p>
      <w:pPr>
        <w:ind w:firstLine="401"/>
        <w:spacing w:after="0" w:line="274" w:lineRule="auto"/>
        <w:rPr>
          <w:sz w:val="20"/>
          <w:szCs w:val="20"/>
          <w:color w:val="auto"/>
        </w:rPr>
      </w:pPr>
      <w:r>
        <w:rPr>
          <w:rFonts w:ascii="Arial" w:cs="Arial" w:eastAsia="Arial" w:hAnsi="Arial"/>
          <w:sz w:val="17"/>
          <w:szCs w:val="17"/>
          <w:b w:val="1"/>
          <w:bCs w:val="1"/>
          <w:color w:val="auto"/>
        </w:rPr>
        <w:t>18.2 Adjustment of Awards upon the Occurrence of Certain Unusual or Nonrecurring Events</w:t>
      </w:r>
      <w:r>
        <w:rPr>
          <w:rFonts w:ascii="Arial" w:cs="Arial" w:eastAsia="Arial" w:hAnsi="Arial"/>
          <w:sz w:val="17"/>
          <w:szCs w:val="17"/>
          <w:color w:val="auto"/>
        </w:rPr>
        <w:t>. The Committee may make adjustments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of, and the criteria included in, Awards in recognition of unusual or nonrecurring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w:t>
      </w:r>
    </w:p>
    <w:p>
      <w:pPr>
        <w:spacing w:after="0" w:line="200" w:lineRule="exact"/>
        <w:rPr>
          <w:sz w:val="20"/>
          <w:szCs w:val="20"/>
          <w:color w:val="auto"/>
        </w:rPr>
      </w:pPr>
    </w:p>
    <w:p>
      <w:pPr>
        <w:jc w:val="both"/>
        <w:ind w:right="380" w:firstLine="401"/>
        <w:spacing w:after="0" w:line="266" w:lineRule="auto"/>
        <w:rPr>
          <w:sz w:val="20"/>
          <w:szCs w:val="20"/>
          <w:color w:val="auto"/>
        </w:rPr>
      </w:pPr>
      <w:r>
        <w:rPr>
          <w:rFonts w:ascii="Arial" w:cs="Arial" w:eastAsia="Arial" w:hAnsi="Arial"/>
          <w:sz w:val="18"/>
          <w:szCs w:val="18"/>
          <w:b w:val="1"/>
          <w:bCs w:val="1"/>
          <w:color w:val="auto"/>
        </w:rPr>
        <w:t>18.3 Awards Previously Granted</w:t>
      </w:r>
      <w:r>
        <w:rPr>
          <w:rFonts w:ascii="Arial" w:cs="Arial" w:eastAsia="Arial" w:hAnsi="Arial"/>
          <w:sz w:val="18"/>
          <w:szCs w:val="18"/>
          <w:color w:val="auto"/>
        </w:rPr>
        <w:t>. Notwithstanding any other provision of this Plan to the contrary (other than Section 18.4), no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suspension, or modification of this Plan or an Award Agreement shall adversely affect in any material way any Award previously granted under this Plan, without the written consent of the Participant holding such Award.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00"/>
          </w:cols>
          <w:pgMar w:left="320" w:top="769" w:right="379" w:bottom="1440" w:gutter="0" w:footer="0" w:header="0"/>
        </w:sectPr>
      </w:pPr>
    </w:p>
    <w:bookmarkStart w:id="146" w:name="page147"/>
    <w:bookmarkEnd w:id="146"/>
    <w:p>
      <w:pPr>
        <w:ind w:right="300" w:firstLine="401"/>
        <w:spacing w:after="0" w:line="261" w:lineRule="auto"/>
        <w:rPr>
          <w:sz w:val="20"/>
          <w:szCs w:val="20"/>
          <w:color w:val="auto"/>
        </w:rPr>
      </w:pPr>
      <w:r>
        <w:rPr>
          <w:rFonts w:ascii="Arial" w:cs="Arial" w:eastAsia="Arial" w:hAnsi="Arial"/>
          <w:sz w:val="18"/>
          <w:szCs w:val="18"/>
          <w:b w:val="1"/>
          <w:bCs w:val="1"/>
          <w:color w:val="auto"/>
        </w:rPr>
        <w:t xml:space="preserve">18.4 Amendment to Conform to Law. </w:t>
      </w:r>
      <w:r>
        <w:rPr>
          <w:rFonts w:ascii="Arial" w:cs="Arial" w:eastAsia="Arial" w:hAnsi="Arial"/>
          <w:sz w:val="18"/>
          <w:szCs w:val="18"/>
          <w:color w:val="auto"/>
        </w:rPr>
        <w:t>Notwithstanding any other provision of this Plan to the contrary, the Board of Directors may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or an Award Agreement, to take effect retroactively or otherwise, as deemed necessary or advisable for the purpose of conforming the Plan or an Award Agreement to any present or future law relating to plans of this or similar nature (including, but not limited to, Code Section 409A), and to the administrative regulations and rulings promulgated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Withholding</w:t>
      </w:r>
    </w:p>
    <w:p>
      <w:pPr>
        <w:spacing w:after="0" w:line="252" w:lineRule="exact"/>
        <w:rPr>
          <w:sz w:val="20"/>
          <w:szCs w:val="20"/>
          <w:color w:val="auto"/>
        </w:rPr>
      </w:pPr>
    </w:p>
    <w:p>
      <w:pPr>
        <w:ind w:firstLine="401"/>
        <w:spacing w:after="0" w:line="261" w:lineRule="auto"/>
        <w:rPr>
          <w:sz w:val="20"/>
          <w:szCs w:val="20"/>
          <w:color w:val="auto"/>
        </w:rPr>
      </w:pPr>
      <w:r>
        <w:rPr>
          <w:rFonts w:ascii="Arial" w:cs="Arial" w:eastAsia="Arial" w:hAnsi="Arial"/>
          <w:sz w:val="18"/>
          <w:szCs w:val="18"/>
          <w:b w:val="1"/>
          <w:bCs w:val="1"/>
          <w:color w:val="auto"/>
        </w:rPr>
        <w:t>19.1 Tax Withholding</w:t>
      </w:r>
      <w:r>
        <w:rPr>
          <w:rFonts w:ascii="Arial" w:cs="Arial" w:eastAsia="Arial" w:hAnsi="Arial"/>
          <w:sz w:val="18"/>
          <w:szCs w:val="18"/>
          <w:color w:val="auto"/>
        </w:rPr>
        <w:t>. The Company shall have the power and the right to deduct or withhold, or require a Participant to remit to the Company,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equal to the tax withholding obligations to satisfy federal, state, and local taxes, domestic or foreign, required by law or regulation to be withheld (but not to exceed the maximum individual statutory tax rate in each applicable jurisdiction) with respect to any taxable event arising as a result of this Plan.</w:t>
      </w:r>
    </w:p>
    <w:p>
      <w:pPr>
        <w:spacing w:after="0" w:line="207" w:lineRule="exact"/>
        <w:rPr>
          <w:sz w:val="20"/>
          <w:szCs w:val="20"/>
          <w:color w:val="auto"/>
        </w:rPr>
      </w:pPr>
    </w:p>
    <w:p>
      <w:pPr>
        <w:ind w:right="120" w:firstLine="401"/>
        <w:spacing w:after="0" w:line="258" w:lineRule="auto"/>
        <w:rPr>
          <w:sz w:val="20"/>
          <w:szCs w:val="20"/>
          <w:color w:val="auto"/>
        </w:rPr>
      </w:pPr>
      <w:r>
        <w:rPr>
          <w:rFonts w:ascii="Arial" w:cs="Arial" w:eastAsia="Arial" w:hAnsi="Arial"/>
          <w:sz w:val="18"/>
          <w:szCs w:val="18"/>
          <w:b w:val="1"/>
          <w:bCs w:val="1"/>
          <w:color w:val="auto"/>
        </w:rPr>
        <w:t>19.2 Share Withholding</w:t>
      </w:r>
      <w:r>
        <w:rPr>
          <w:rFonts w:ascii="Arial" w:cs="Arial" w:eastAsia="Arial" w:hAnsi="Arial"/>
          <w:sz w:val="18"/>
          <w:szCs w:val="18"/>
          <w:color w:val="auto"/>
        </w:rPr>
        <w:t>. With respect to withholding required upon the exercise of Options or SARs, upon the lapse of restrictions on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Restricted Stock Units, or upon the achievement of performance goals related to Performance Shares, or any other taxable event arising as a result of an Award granted hereunder, Participants may elect to satisfy the withholding requirement, in whole or in part, by having the Company withhold Shares having a Fair Market Value on the date the tax is to be determined. All such elections shall be subject to any restrictions or limitations that the Committee, in its sole discretion, deems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Successors</w:t>
      </w:r>
    </w:p>
    <w:p>
      <w:pPr>
        <w:spacing w:after="0" w:line="256" w:lineRule="exact"/>
        <w:rPr>
          <w:sz w:val="20"/>
          <w:szCs w:val="20"/>
          <w:color w:val="auto"/>
        </w:rPr>
      </w:pPr>
    </w:p>
    <w:p>
      <w:pPr>
        <w:ind w:right="20" w:firstLine="401"/>
        <w:spacing w:after="0" w:line="263"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General Provisions</w:t>
      </w:r>
    </w:p>
    <w:p>
      <w:pPr>
        <w:spacing w:after="0" w:line="252" w:lineRule="exact"/>
        <w:rPr>
          <w:sz w:val="20"/>
          <w:szCs w:val="20"/>
          <w:color w:val="auto"/>
        </w:rPr>
      </w:pPr>
    </w:p>
    <w:p>
      <w:pPr>
        <w:ind w:left="400"/>
        <w:spacing w:after="0"/>
        <w:tabs>
          <w:tab w:leader="none" w:pos="8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Forfeiture Events and Clawbacks</w:t>
      </w:r>
      <w:r>
        <w:rPr>
          <w:rFonts w:ascii="Arial" w:cs="Arial" w:eastAsia="Arial" w:hAnsi="Arial"/>
          <w:sz w:val="16"/>
          <w:szCs w:val="16"/>
          <w:color w:val="auto"/>
        </w:rPr>
        <w:t>.</w:t>
      </w:r>
    </w:p>
    <w:p>
      <w:pPr>
        <w:spacing w:after="0" w:line="229" w:lineRule="exact"/>
        <w:rPr>
          <w:sz w:val="20"/>
          <w:szCs w:val="20"/>
          <w:color w:val="auto"/>
        </w:rPr>
      </w:pPr>
    </w:p>
    <w:p>
      <w:pPr>
        <w:ind w:left="1560" w:right="80" w:hanging="580"/>
        <w:spacing w:after="0" w:line="272" w:lineRule="auto"/>
        <w:tabs>
          <w:tab w:leader="none" w:pos="13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Committee may specify in an Award Agreement that the Participant’s rights, payments, and benefits with respect to an Award shall be subject to reduction, cancellation, forfeiture, clawback or recoupment upon the occurrence of certain specified events, in addition to any otherwise applicable vesting or performance conditions of an Award. Such events may include, but shall not be limited to, termination of employment for cause, termination of the Participant’s provision of services to the Company, Affiliate, and/or Subsidiary, violation of material Company, Affiliate, and/or Subsidiary policies, breach of noncompetition, confidentiality, or other restrictive covenants that may apply to the Participant, or other conduct by the Participant that is detrimental to the business or reputation of the Company, its Affiliates, and/or its Subsidiaries.</w:t>
      </w:r>
    </w:p>
    <w:p>
      <w:pPr>
        <w:spacing w:after="0" w:line="204" w:lineRule="exact"/>
        <w:rPr>
          <w:rFonts w:ascii="Arial" w:cs="Arial" w:eastAsia="Arial" w:hAnsi="Arial"/>
          <w:sz w:val="17"/>
          <w:szCs w:val="17"/>
          <w:color w:val="auto"/>
        </w:rPr>
      </w:pPr>
    </w:p>
    <w:p>
      <w:pPr>
        <w:ind w:left="1540" w:right="160" w:hanging="560"/>
        <w:spacing w:after="0" w:line="272" w:lineRule="auto"/>
        <w:tabs>
          <w:tab w:leader="none" w:pos="136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the Company is required to prepare an accounting restatement due to the material noncompliance of the Company, as a result of misconduct, with any financial reporting requirement under the securities laws, if the Participant knowingly or grossly negligently engaged in the misconduct, or knowingly or grossly negligently failed to prevent the misconduct, or if the Participant is one of the individuals subject to automatic forfeiture under Section 304 of the Sarbanes-Oxley Act of 2002, the Participant shall reimburse the Company the amount of any payment in settlement of an Award earned or accrued during the twelve- (12-) month period following the first public issuance or filing with the United States Securities and Exchange Commission (whichever just occurred) of the financial document embodying such financial reporting requirement.</w:t>
      </w:r>
    </w:p>
    <w:p>
      <w:pPr>
        <w:spacing w:after="0" w:line="204" w:lineRule="exact"/>
        <w:rPr>
          <w:sz w:val="20"/>
          <w:szCs w:val="20"/>
          <w:color w:val="auto"/>
        </w:rPr>
      </w:pPr>
    </w:p>
    <w:p>
      <w:pPr>
        <w:ind w:left="1540"/>
        <w:spacing w:after="0" w:line="254" w:lineRule="auto"/>
        <w:rPr>
          <w:sz w:val="20"/>
          <w:szCs w:val="20"/>
          <w:color w:val="auto"/>
        </w:rPr>
      </w:pPr>
      <w:r>
        <w:rPr>
          <w:rFonts w:ascii="Arial" w:cs="Arial" w:eastAsia="Arial" w:hAnsi="Arial"/>
          <w:sz w:val="18"/>
          <w:szCs w:val="18"/>
          <w:color w:val="auto"/>
        </w:rPr>
        <w:t>Notwithstanding any provision of the Plan to the contrary, the Committee shall include provisions calling for the recapture or clawback of all or any portion of an Award to the extent necessary to comply with Company policy or applicable law in effect on the date of the Award Agreement, including, but not limited to, the final rules issued by the Securities and Exchange Commission and the NYSE pursuant to Section 954 of the Dodd-Frank Wall Street Reform and Consumers Protection Act. The Committee also may include other clawback provisions in the Award Agreement as it determines to be appropriate. By accepting an Award, each Participant agrees to be bound by, and comply with, the terms of any such recapture or clawback provisions and with any Company request or demand for recapture or clawback.</w:t>
      </w:r>
    </w:p>
    <w:p>
      <w:pPr>
        <w:spacing w:after="0" w:line="218" w:lineRule="exact"/>
        <w:rPr>
          <w:sz w:val="20"/>
          <w:szCs w:val="20"/>
          <w:color w:val="auto"/>
        </w:rPr>
      </w:pPr>
    </w:p>
    <w:p>
      <w:pPr>
        <w:ind w:right="140" w:firstLine="401"/>
        <w:spacing w:after="0" w:line="282" w:lineRule="auto"/>
        <w:rPr>
          <w:sz w:val="20"/>
          <w:szCs w:val="20"/>
          <w:color w:val="auto"/>
        </w:rPr>
      </w:pPr>
      <w:r>
        <w:rPr>
          <w:rFonts w:ascii="Arial" w:cs="Arial" w:eastAsia="Arial" w:hAnsi="Arial"/>
          <w:sz w:val="18"/>
          <w:szCs w:val="18"/>
          <w:b w:val="1"/>
          <w:bCs w:val="1"/>
          <w:color w:val="auto"/>
        </w:rPr>
        <w:t>21.2 Legend</w:t>
      </w:r>
      <w:r>
        <w:rPr>
          <w:rFonts w:ascii="Arial" w:cs="Arial" w:eastAsia="Arial" w:hAnsi="Arial"/>
          <w:sz w:val="18"/>
          <w:szCs w:val="18"/>
          <w:color w:val="auto"/>
        </w:rPr>
        <w:t>. The certificates for Shares may include any legend which the Committee deems appropriate to reflect any restrictions on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80"/>
          </w:cols>
          <w:pgMar w:left="320" w:top="769" w:right="399" w:bottom="1440" w:gutter="0" w:footer="0" w:header="0"/>
        </w:sectPr>
      </w:pPr>
    </w:p>
    <w:bookmarkStart w:id="147" w:name="page148"/>
    <w:bookmarkEnd w:id="147"/>
    <w:p>
      <w:pPr>
        <w:ind w:right="200" w:firstLine="401"/>
        <w:spacing w:after="0" w:line="282" w:lineRule="auto"/>
        <w:rPr>
          <w:sz w:val="20"/>
          <w:szCs w:val="20"/>
          <w:color w:val="auto"/>
        </w:rPr>
      </w:pPr>
      <w:r>
        <w:rPr>
          <w:rFonts w:ascii="Arial" w:cs="Arial" w:eastAsia="Arial" w:hAnsi="Arial"/>
          <w:sz w:val="18"/>
          <w:szCs w:val="18"/>
          <w:b w:val="1"/>
          <w:bCs w:val="1"/>
          <w:color w:val="auto"/>
        </w:rPr>
        <w:t>21.3 Gender and Number</w:t>
      </w:r>
      <w:r>
        <w:rPr>
          <w:rFonts w:ascii="Arial" w:cs="Arial" w:eastAsia="Arial" w:hAnsi="Arial"/>
          <w:sz w:val="18"/>
          <w:szCs w:val="18"/>
          <w:color w:val="auto"/>
        </w:rPr>
        <w:t>. Except where otherwise indicated by the context, any masculine term used herein also shall include the feminine, the</w:t>
      </w:r>
      <w:r>
        <w:rPr>
          <w:rFonts w:ascii="Arial" w:cs="Arial" w:eastAsia="Arial" w:hAnsi="Arial"/>
          <w:sz w:val="18"/>
          <w:szCs w:val="18"/>
          <w:b w:val="1"/>
          <w:bCs w:val="1"/>
          <w:color w:val="auto"/>
        </w:rPr>
        <w:t xml:space="preserve"> </w:t>
      </w:r>
      <w:r>
        <w:rPr>
          <w:rFonts w:ascii="Arial" w:cs="Arial" w:eastAsia="Arial" w:hAnsi="Arial"/>
          <w:sz w:val="18"/>
          <w:szCs w:val="18"/>
          <w:color w:val="auto"/>
        </w:rPr>
        <w:t>plural shall include the singular, and the singular shall include the plural.</w:t>
      </w:r>
    </w:p>
    <w:p>
      <w:pPr>
        <w:spacing w:after="0" w:line="189" w:lineRule="exact"/>
        <w:rPr>
          <w:sz w:val="20"/>
          <w:szCs w:val="20"/>
          <w:color w:val="auto"/>
        </w:rPr>
      </w:pPr>
    </w:p>
    <w:p>
      <w:pPr>
        <w:ind w:firstLine="401"/>
        <w:spacing w:after="0" w:line="312" w:lineRule="auto"/>
        <w:rPr>
          <w:sz w:val="20"/>
          <w:szCs w:val="20"/>
          <w:color w:val="auto"/>
        </w:rPr>
      </w:pPr>
      <w:r>
        <w:rPr>
          <w:rFonts w:ascii="Arial" w:cs="Arial" w:eastAsia="Arial" w:hAnsi="Arial"/>
          <w:sz w:val="17"/>
          <w:szCs w:val="17"/>
          <w:b w:val="1"/>
          <w:bCs w:val="1"/>
          <w:color w:val="auto"/>
        </w:rPr>
        <w:t>21.4 Severability</w:t>
      </w:r>
      <w:r>
        <w:rPr>
          <w:rFonts w:ascii="Arial" w:cs="Arial" w:eastAsia="Arial" w:hAnsi="Arial"/>
          <w:sz w:val="17"/>
          <w:szCs w:val="17"/>
          <w:color w:val="auto"/>
        </w:rPr>
        <w:t>. In the event any provision of this Plan shall be held illegal or invalid for any reason, the illegality or invalidity shall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remaining parts of this Plan, and this Plan shall be construed and enforced as if the illegal or invalid provision had not been included.</w:t>
      </w:r>
    </w:p>
    <w:p>
      <w:pPr>
        <w:spacing w:after="0" w:line="167" w:lineRule="exact"/>
        <w:rPr>
          <w:sz w:val="20"/>
          <w:szCs w:val="20"/>
          <w:color w:val="auto"/>
        </w:rPr>
      </w:pPr>
    </w:p>
    <w:p>
      <w:pPr>
        <w:ind w:right="280" w:firstLine="401"/>
        <w:spacing w:after="0" w:line="282" w:lineRule="auto"/>
        <w:rPr>
          <w:sz w:val="20"/>
          <w:szCs w:val="20"/>
          <w:color w:val="auto"/>
        </w:rPr>
      </w:pPr>
      <w:r>
        <w:rPr>
          <w:rFonts w:ascii="Arial" w:cs="Arial" w:eastAsia="Arial" w:hAnsi="Arial"/>
          <w:sz w:val="18"/>
          <w:szCs w:val="18"/>
          <w:b w:val="1"/>
          <w:bCs w:val="1"/>
          <w:color w:val="auto"/>
        </w:rPr>
        <w:t>21.5 Requirements of Law</w:t>
      </w:r>
      <w:r>
        <w:rPr>
          <w:rFonts w:ascii="Arial" w:cs="Arial" w:eastAsia="Arial" w:hAnsi="Arial"/>
          <w:sz w:val="18"/>
          <w:szCs w:val="18"/>
          <w:color w:val="auto"/>
        </w:rPr>
        <w:t>. The granting of Awards and the issuance of Shares under this Plan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governmental agencies or national securities exchanges as may be required.</w:t>
      </w:r>
    </w:p>
    <w:p>
      <w:pPr>
        <w:spacing w:after="0" w:line="189" w:lineRule="exact"/>
        <w:rPr>
          <w:sz w:val="20"/>
          <w:szCs w:val="20"/>
          <w:color w:val="auto"/>
        </w:rPr>
      </w:pPr>
    </w:p>
    <w:p>
      <w:pPr>
        <w:ind w:left="400"/>
        <w:spacing w:after="0"/>
        <w:tabs>
          <w:tab w:leader="none" w:pos="8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Delivery of Title</w:t>
      </w:r>
      <w:r>
        <w:rPr>
          <w:rFonts w:ascii="Arial" w:cs="Arial" w:eastAsia="Arial" w:hAnsi="Arial"/>
          <w:sz w:val="16"/>
          <w:szCs w:val="16"/>
          <w:color w:val="auto"/>
        </w:rPr>
        <w:t>. The Company shall have no obligation to issue or deliver evidence of title for Shares issued under this Plan prior to:</w:t>
      </w:r>
    </w:p>
    <w:p>
      <w:pPr>
        <w:spacing w:after="0" w:line="256" w:lineRule="exact"/>
        <w:rPr>
          <w:sz w:val="20"/>
          <w:szCs w:val="20"/>
          <w:color w:val="auto"/>
        </w:rPr>
      </w:pPr>
    </w:p>
    <w:p>
      <w:pPr>
        <w:ind w:left="1360" w:hanging="380"/>
        <w:spacing w:after="0"/>
        <w:tabs>
          <w:tab w:leader="none" w:pos="13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52" w:lineRule="exact"/>
        <w:rPr>
          <w:rFonts w:ascii="Arial" w:cs="Arial" w:eastAsia="Arial" w:hAnsi="Arial"/>
          <w:sz w:val="18"/>
          <w:szCs w:val="18"/>
          <w:color w:val="auto"/>
        </w:rPr>
      </w:pPr>
    </w:p>
    <w:p>
      <w:pPr>
        <w:ind w:left="1540" w:right="680" w:hanging="560"/>
        <w:spacing w:after="0" w:line="277" w:lineRule="auto"/>
        <w:tabs>
          <w:tab w:leader="none" w:pos="136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national or foreign law or ruling of any governmental body that the Company determines to be necessary or advisable.</w:t>
      </w:r>
    </w:p>
    <w:p>
      <w:pPr>
        <w:spacing w:after="0" w:line="193" w:lineRule="exact"/>
        <w:rPr>
          <w:sz w:val="20"/>
          <w:szCs w:val="20"/>
          <w:color w:val="auto"/>
        </w:rPr>
      </w:pPr>
    </w:p>
    <w:p>
      <w:pPr>
        <w:ind w:right="200" w:firstLine="401"/>
        <w:spacing w:after="0" w:line="289" w:lineRule="auto"/>
        <w:rPr>
          <w:sz w:val="20"/>
          <w:szCs w:val="20"/>
          <w:color w:val="auto"/>
        </w:rPr>
      </w:pPr>
      <w:r>
        <w:rPr>
          <w:rFonts w:ascii="Arial" w:cs="Arial" w:eastAsia="Arial" w:hAnsi="Arial"/>
          <w:sz w:val="17"/>
          <w:szCs w:val="17"/>
          <w:b w:val="1"/>
          <w:bCs w:val="1"/>
          <w:color w:val="auto"/>
        </w:rPr>
        <w:t>21.7 Inability to Obtain Authority</w:t>
      </w:r>
      <w:r>
        <w:rPr>
          <w:rFonts w:ascii="Arial" w:cs="Arial" w:eastAsia="Arial" w:hAnsi="Arial"/>
          <w:sz w:val="17"/>
          <w:szCs w:val="17"/>
          <w:color w:val="auto"/>
        </w:rPr>
        <w:t>. The inability of the Company to obtain authority from any regulatory body having jurisdiction, which</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5" w:lineRule="exact"/>
        <w:rPr>
          <w:sz w:val="20"/>
          <w:szCs w:val="20"/>
          <w:color w:val="auto"/>
        </w:rPr>
      </w:pPr>
    </w:p>
    <w:p>
      <w:pPr>
        <w:ind w:right="140" w:firstLine="401"/>
        <w:spacing w:after="0" w:line="347" w:lineRule="auto"/>
        <w:rPr>
          <w:sz w:val="20"/>
          <w:szCs w:val="20"/>
          <w:color w:val="auto"/>
        </w:rPr>
      </w:pPr>
      <w:r>
        <w:rPr>
          <w:rFonts w:ascii="Arial" w:cs="Arial" w:eastAsia="Arial" w:hAnsi="Arial"/>
          <w:sz w:val="16"/>
          <w:szCs w:val="16"/>
          <w:b w:val="1"/>
          <w:bCs w:val="1"/>
          <w:color w:val="auto"/>
        </w:rPr>
        <w:t>21.8 Investment Representations</w:t>
      </w:r>
      <w:r>
        <w:rPr>
          <w:rFonts w:ascii="Arial" w:cs="Arial" w:eastAsia="Arial" w:hAnsi="Arial"/>
          <w:sz w:val="16"/>
          <w:szCs w:val="16"/>
          <w:color w:val="auto"/>
        </w:rPr>
        <w:t>. The Committee may require any individual receiving Shares pursuant to an Award under this Plan to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and warrant in writing that the individual is acquiring the Shares for investment and without any present intention to sell or distribute such Shares.</w:t>
      </w:r>
    </w:p>
    <w:p>
      <w:pPr>
        <w:spacing w:after="0" w:line="143" w:lineRule="exact"/>
        <w:rPr>
          <w:sz w:val="20"/>
          <w:szCs w:val="20"/>
          <w:color w:val="auto"/>
        </w:rPr>
      </w:pPr>
    </w:p>
    <w:p>
      <w:pPr>
        <w:ind w:right="100" w:firstLine="401"/>
        <w:spacing w:after="0" w:line="257" w:lineRule="auto"/>
        <w:rPr>
          <w:sz w:val="20"/>
          <w:szCs w:val="20"/>
          <w:color w:val="auto"/>
        </w:rPr>
      </w:pPr>
      <w:r>
        <w:rPr>
          <w:rFonts w:ascii="Arial" w:cs="Arial" w:eastAsia="Arial" w:hAnsi="Arial"/>
          <w:sz w:val="18"/>
          <w:szCs w:val="18"/>
          <w:b w:val="1"/>
          <w:bCs w:val="1"/>
          <w:color w:val="auto"/>
        </w:rPr>
        <w:t>21.9 Employees Based Outside of the United States</w:t>
      </w:r>
      <w:r>
        <w:rPr>
          <w:rFonts w:ascii="Arial" w:cs="Arial" w:eastAsia="Arial" w:hAnsi="Arial"/>
          <w:sz w:val="18"/>
          <w:szCs w:val="18"/>
          <w:color w:val="auto"/>
        </w:rPr>
        <w:t>. Notwithstanding any provision of this Plan to the contrary, in order to comply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in other countries in which the Company, its Affiliates, and/or its Subsidiaries operate or have Employees or Directors, the Committee, in its sole discretion, shall have the power and authority to:</w:t>
      </w:r>
    </w:p>
    <w:p>
      <w:pPr>
        <w:spacing w:after="0" w:line="1" w:lineRule="exact"/>
        <w:rPr>
          <w:sz w:val="20"/>
          <w:szCs w:val="20"/>
          <w:color w:val="auto"/>
        </w:rPr>
      </w:pPr>
    </w:p>
    <w:p>
      <w:pPr>
        <w:ind w:left="1360" w:hanging="380"/>
        <w:spacing w:after="0"/>
        <w:tabs>
          <w:tab w:leader="none" w:pos="1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which Employees and/or Directors outside the United States are eligible to participate in this Plan;</w:t>
      </w:r>
    </w:p>
    <w:p>
      <w:pPr>
        <w:spacing w:after="0" w:line="9" w:lineRule="exact"/>
        <w:rPr>
          <w:rFonts w:ascii="Arial" w:cs="Arial" w:eastAsia="Arial" w:hAnsi="Arial"/>
          <w:sz w:val="18"/>
          <w:szCs w:val="18"/>
          <w:color w:val="auto"/>
        </w:rPr>
      </w:pPr>
    </w:p>
    <w:p>
      <w:pPr>
        <w:ind w:left="1540" w:right="680" w:hanging="560"/>
        <w:spacing w:after="0" w:line="250" w:lineRule="auto"/>
        <w:tabs>
          <w:tab w:leader="none" w:pos="13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and/or Directors outside the United States to comply with applicable foreign laws;</w:t>
      </w:r>
    </w:p>
    <w:p>
      <w:pPr>
        <w:ind w:left="1540" w:right="180" w:hanging="560"/>
        <w:spacing w:after="0" w:line="250" w:lineRule="auto"/>
        <w:tabs>
          <w:tab w:leader="none" w:pos="13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21.9 by the Committee shall be attached to this Plan document as appendices; and</w:t>
      </w:r>
    </w:p>
    <w:p>
      <w:pPr>
        <w:spacing w:after="0" w:line="1" w:lineRule="exact"/>
        <w:rPr>
          <w:rFonts w:ascii="Arial" w:cs="Arial" w:eastAsia="Arial" w:hAnsi="Arial"/>
          <w:sz w:val="18"/>
          <w:szCs w:val="18"/>
          <w:color w:val="auto"/>
        </w:rPr>
      </w:pPr>
    </w:p>
    <w:p>
      <w:pPr>
        <w:ind w:left="1540" w:right="600" w:hanging="560"/>
        <w:spacing w:after="0" w:line="250" w:lineRule="auto"/>
        <w:tabs>
          <w:tab w:leader="none" w:pos="13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Notwithstanding the above, the Committee may not take any actions hereunder, and no Awards shall be granted, that would violate applicable law.</w:t>
      </w:r>
    </w:p>
    <w:p>
      <w:pPr>
        <w:spacing w:after="0" w:line="257" w:lineRule="exact"/>
        <w:rPr>
          <w:sz w:val="20"/>
          <w:szCs w:val="20"/>
          <w:color w:val="auto"/>
        </w:rPr>
      </w:pPr>
    </w:p>
    <w:p>
      <w:pPr>
        <w:ind w:right="200" w:firstLine="401"/>
        <w:spacing w:after="0" w:line="312" w:lineRule="auto"/>
        <w:rPr>
          <w:sz w:val="20"/>
          <w:szCs w:val="20"/>
          <w:color w:val="auto"/>
        </w:rPr>
      </w:pPr>
      <w:r>
        <w:rPr>
          <w:rFonts w:ascii="Arial" w:cs="Arial" w:eastAsia="Arial" w:hAnsi="Arial"/>
          <w:sz w:val="17"/>
          <w:szCs w:val="17"/>
          <w:b w:val="1"/>
          <w:bCs w:val="1"/>
          <w:color w:val="auto"/>
        </w:rPr>
        <w:t>21.10 Uncertificated Shares</w:t>
      </w:r>
      <w:r>
        <w:rPr>
          <w:rFonts w:ascii="Arial" w:cs="Arial" w:eastAsia="Arial" w:hAnsi="Arial"/>
          <w:sz w:val="17"/>
          <w:szCs w:val="17"/>
          <w:color w:val="auto"/>
        </w:rPr>
        <w:t>. To the extent that this Plan provides for issuance of certificates to reflect the transfer of Shares, the transfer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may be affected on a noncertificated basis, to the extent not prohibited by applicable law or the rules of any stock exchange.</w:t>
      </w:r>
    </w:p>
    <w:p>
      <w:pPr>
        <w:spacing w:after="0" w:line="167" w:lineRule="exact"/>
        <w:rPr>
          <w:sz w:val="20"/>
          <w:szCs w:val="20"/>
          <w:color w:val="auto"/>
        </w:rPr>
      </w:pPr>
    </w:p>
    <w:p>
      <w:pPr>
        <w:ind w:right="20" w:firstLine="401"/>
        <w:spacing w:after="0" w:line="254" w:lineRule="auto"/>
        <w:rPr>
          <w:sz w:val="20"/>
          <w:szCs w:val="20"/>
          <w:color w:val="auto"/>
        </w:rPr>
      </w:pPr>
      <w:r>
        <w:rPr>
          <w:rFonts w:ascii="Arial" w:cs="Arial" w:eastAsia="Arial" w:hAnsi="Arial"/>
          <w:sz w:val="18"/>
          <w:szCs w:val="18"/>
          <w:b w:val="1"/>
          <w:bCs w:val="1"/>
          <w:color w:val="auto"/>
        </w:rPr>
        <w:t>21.11 Unfunded Plan</w:t>
      </w:r>
      <w:r>
        <w:rPr>
          <w:rFonts w:ascii="Arial" w:cs="Arial" w:eastAsia="Arial" w:hAnsi="Arial"/>
          <w:sz w:val="18"/>
          <w:szCs w:val="18"/>
          <w:color w:val="auto"/>
        </w:rPr>
        <w:t>. Participants shall have no right, title, or interest whatsoever in or to any investments that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person acquires a right to receive payments from the Company, its Subsidiaries, and/or its Affiliates under this Plan, such right shall be no greater than the right of an unsecured general creditor of the Company, a Subsidiary, or an Affiliate, as the case may be. All payments to be made hereunder shall be paid from the general funds of the Company, a Subsidiary, or an Affiliate, as the case may be and no special or separate fund shall be established and no segregation of assets shall be made to assure payment of such amounts except as expressly set forth in this Plan.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20"/>
          </w:cols>
          <w:pgMar w:left="320" w:top="1012" w:right="359" w:bottom="1440" w:gutter="0" w:footer="0" w:header="0"/>
        </w:sectPr>
      </w:pPr>
    </w:p>
    <w:bookmarkStart w:id="148" w:name="page149"/>
    <w:bookmarkEnd w:id="148"/>
    <w:p>
      <w:pPr>
        <w:jc w:val="both"/>
        <w:ind w:right="140" w:firstLine="401"/>
        <w:spacing w:after="0" w:line="266" w:lineRule="auto"/>
        <w:rPr>
          <w:sz w:val="20"/>
          <w:szCs w:val="20"/>
          <w:color w:val="auto"/>
        </w:rPr>
      </w:pPr>
      <w:r>
        <w:rPr>
          <w:rFonts w:ascii="Arial" w:cs="Arial" w:eastAsia="Arial" w:hAnsi="Arial"/>
          <w:sz w:val="18"/>
          <w:szCs w:val="18"/>
          <w:b w:val="1"/>
          <w:bCs w:val="1"/>
          <w:color w:val="auto"/>
        </w:rPr>
        <w:t>21.12 No Fractional Shares</w:t>
      </w:r>
      <w:r>
        <w:rPr>
          <w:rFonts w:ascii="Arial" w:cs="Arial" w:eastAsia="Arial" w:hAnsi="Arial"/>
          <w:sz w:val="18"/>
          <w:szCs w:val="18"/>
          <w:color w:val="auto"/>
        </w:rPr>
        <w:t>. No fractional Shares shall be issued or delivered pursuant to this Plan or any Award. The Committee shall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cash, Awards, or other property shall be issued or paid in lieu of fractional Shares or whether such fractional Shares or any rights thereto shall be forfeited or otherwise eliminated.</w:t>
      </w:r>
    </w:p>
    <w:p>
      <w:pPr>
        <w:spacing w:after="0" w:line="203" w:lineRule="exact"/>
        <w:rPr>
          <w:sz w:val="20"/>
          <w:szCs w:val="20"/>
          <w:color w:val="auto"/>
        </w:rPr>
      </w:pPr>
    </w:p>
    <w:p>
      <w:pPr>
        <w:ind w:right="100" w:firstLine="401"/>
        <w:spacing w:after="0" w:line="281" w:lineRule="auto"/>
        <w:rPr>
          <w:sz w:val="20"/>
          <w:szCs w:val="20"/>
          <w:color w:val="auto"/>
        </w:rPr>
      </w:pPr>
      <w:r>
        <w:rPr>
          <w:rFonts w:ascii="Arial" w:cs="Arial" w:eastAsia="Arial" w:hAnsi="Arial"/>
          <w:sz w:val="17"/>
          <w:szCs w:val="17"/>
          <w:b w:val="1"/>
          <w:bCs w:val="1"/>
          <w:color w:val="auto"/>
        </w:rPr>
        <w:t>21.13 Retirement and Welfare Plans</w:t>
      </w:r>
      <w:r>
        <w:rPr>
          <w:rFonts w:ascii="Arial" w:cs="Arial" w:eastAsia="Arial" w:hAnsi="Arial"/>
          <w:sz w:val="17"/>
          <w:szCs w:val="17"/>
          <w:color w:val="auto"/>
        </w:rPr>
        <w:t>. Neither Awards made under this Plan nor Shares or cash paid pursuant to such Awards, except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Employee Annual Incentive 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92" w:lineRule="exact"/>
        <w:rPr>
          <w:sz w:val="20"/>
          <w:szCs w:val="20"/>
          <w:color w:val="auto"/>
        </w:rPr>
      </w:pPr>
    </w:p>
    <w:p>
      <w:pPr>
        <w:ind w:right="180" w:firstLine="401"/>
        <w:spacing w:after="0" w:line="277" w:lineRule="auto"/>
        <w:rPr>
          <w:sz w:val="20"/>
          <w:szCs w:val="20"/>
          <w:color w:val="auto"/>
        </w:rPr>
      </w:pPr>
      <w:r>
        <w:rPr>
          <w:rFonts w:ascii="Arial" w:cs="Arial" w:eastAsia="Arial" w:hAnsi="Arial"/>
          <w:sz w:val="17"/>
          <w:szCs w:val="17"/>
          <w:b w:val="1"/>
          <w:bCs w:val="1"/>
          <w:color w:val="auto"/>
        </w:rPr>
        <w:t xml:space="preserve">21.14 No Deferred Compensation. </w:t>
      </w:r>
      <w:r>
        <w:rPr>
          <w:rFonts w:ascii="Arial" w:cs="Arial" w:eastAsia="Arial" w:hAnsi="Arial"/>
          <w:sz w:val="17"/>
          <w:szCs w:val="17"/>
          <w:color w:val="auto"/>
        </w:rPr>
        <w:t>No deferral of compensation (as defined under Code Section 409A or guidance thereto) shall be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Plan. However, the Committee may permit deferrals of compensation pursuant to a separate plan or a subplan which meets the requirements of Code Section 409A and the regulations thereunder. Additionally, to the extent any Award is subject to Code Section 409A, notwithstanding any provision herein to the contrary, the Plan does not permit the acceleration of the time or schedule of any distribution related to such Award, except as permitted by Code Section 409A, the regulations thereunder, and/or the Secretary of the United States Treasury.</w:t>
      </w:r>
    </w:p>
    <w:p>
      <w:pPr>
        <w:spacing w:after="0" w:line="195" w:lineRule="exact"/>
        <w:rPr>
          <w:sz w:val="20"/>
          <w:szCs w:val="20"/>
          <w:color w:val="auto"/>
        </w:rPr>
      </w:pPr>
    </w:p>
    <w:p>
      <w:pPr>
        <w:ind w:right="620" w:firstLine="401"/>
        <w:spacing w:after="0" w:line="282" w:lineRule="auto"/>
        <w:rPr>
          <w:sz w:val="20"/>
          <w:szCs w:val="20"/>
          <w:color w:val="auto"/>
        </w:rPr>
      </w:pPr>
      <w:r>
        <w:rPr>
          <w:rFonts w:ascii="Arial" w:cs="Arial" w:eastAsia="Arial" w:hAnsi="Arial"/>
          <w:sz w:val="18"/>
          <w:szCs w:val="18"/>
          <w:b w:val="1"/>
          <w:bCs w:val="1"/>
          <w:color w:val="auto"/>
        </w:rPr>
        <w:t>21.15 Nonexclusivity of this Plan</w:t>
      </w:r>
      <w:r>
        <w:rPr>
          <w:rFonts w:ascii="Arial" w:cs="Arial" w:eastAsia="Arial" w:hAnsi="Arial"/>
          <w:sz w:val="18"/>
          <w:szCs w:val="18"/>
          <w:color w:val="auto"/>
        </w:rPr>
        <w:t>. The adoption of this Plan shall not be construed as creating any limitations on the power of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adopt such other compensation arrangements as it may deem desirable for any Participant.</w:t>
      </w:r>
    </w:p>
    <w:p>
      <w:pPr>
        <w:spacing w:after="0" w:line="189" w:lineRule="exact"/>
        <w:rPr>
          <w:sz w:val="20"/>
          <w:szCs w:val="20"/>
          <w:color w:val="auto"/>
        </w:rPr>
      </w:pPr>
    </w:p>
    <w:p>
      <w:pPr>
        <w:jc w:val="both"/>
        <w:ind w:right="360" w:firstLine="401"/>
        <w:spacing w:after="0" w:line="281" w:lineRule="auto"/>
        <w:rPr>
          <w:sz w:val="20"/>
          <w:szCs w:val="20"/>
          <w:color w:val="auto"/>
        </w:rPr>
      </w:pPr>
      <w:r>
        <w:rPr>
          <w:rFonts w:ascii="Arial" w:cs="Arial" w:eastAsia="Arial" w:hAnsi="Arial"/>
          <w:sz w:val="17"/>
          <w:szCs w:val="17"/>
          <w:b w:val="1"/>
          <w:bCs w:val="1"/>
          <w:color w:val="auto"/>
        </w:rPr>
        <w:t xml:space="preserve">21.16 No Constraint on Corporate Action. </w:t>
      </w:r>
      <w:r>
        <w:rPr>
          <w:rFonts w:ascii="Arial" w:cs="Arial" w:eastAsia="Arial" w:hAnsi="Arial"/>
          <w:sz w:val="17"/>
          <w:szCs w:val="17"/>
          <w:color w:val="auto"/>
        </w:rPr>
        <w:t>Nothing in this Plan shall be construed to: (i) limit, impair, or otherwise affect the Company’s or a</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Subsidiary’s or an Affiliate’s right or power to make adjustments, reclassifications, reorganizations, or changes of its capital or business structure, or to merge or consolidate, or dissolve, liquidate, sell, or transfer all or any part of its business or assets; or, (ii) limit the right or power of the Company or a Subsidiary or an Affiliate to take any action which such entity deems to be necessary or appropriate.</w:t>
      </w:r>
    </w:p>
    <w:p>
      <w:pPr>
        <w:spacing w:after="0" w:line="192" w:lineRule="exact"/>
        <w:rPr>
          <w:sz w:val="20"/>
          <w:szCs w:val="20"/>
          <w:color w:val="auto"/>
        </w:rPr>
      </w:pPr>
    </w:p>
    <w:p>
      <w:pPr>
        <w:ind w:right="40" w:firstLine="401"/>
        <w:spacing w:after="0" w:line="303" w:lineRule="auto"/>
        <w:rPr>
          <w:sz w:val="20"/>
          <w:szCs w:val="20"/>
          <w:color w:val="auto"/>
        </w:rPr>
      </w:pPr>
      <w:r>
        <w:rPr>
          <w:rFonts w:ascii="Arial" w:cs="Arial" w:eastAsia="Arial" w:hAnsi="Arial"/>
          <w:sz w:val="16"/>
          <w:szCs w:val="16"/>
          <w:b w:val="1"/>
          <w:bCs w:val="1"/>
          <w:color w:val="auto"/>
        </w:rPr>
        <w:t>21.17 Governing Law</w:t>
      </w:r>
      <w:r>
        <w:rPr>
          <w:rFonts w:ascii="Arial" w:cs="Arial" w:eastAsia="Arial" w:hAnsi="Arial"/>
          <w:sz w:val="16"/>
          <w:szCs w:val="16"/>
          <w:color w:val="auto"/>
        </w:rPr>
        <w:t>. The Plan and each Award Agreement shall be governed by the laws of the State of South Dakota, excluding any conflicts or</w:t>
      </w:r>
      <w:r>
        <w:rPr>
          <w:rFonts w:ascii="Arial" w:cs="Arial" w:eastAsia="Arial" w:hAnsi="Arial"/>
          <w:sz w:val="16"/>
          <w:szCs w:val="16"/>
          <w:b w:val="1"/>
          <w:bCs w:val="1"/>
          <w:color w:val="auto"/>
        </w:rPr>
        <w:t xml:space="preserve"> </w:t>
      </w:r>
      <w:r>
        <w:rPr>
          <w:rFonts w:ascii="Arial" w:cs="Arial" w:eastAsia="Arial" w:hAnsi="Arial"/>
          <w:sz w:val="16"/>
          <w:szCs w:val="16"/>
          <w:color w:val="auto"/>
        </w:rPr>
        <w:t>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South Dakota, to resolve any and all issues that may arise out of or relate to this Plan or any related Award Agreement.</w:t>
      </w:r>
    </w:p>
    <w:p>
      <w:pPr>
        <w:spacing w:after="0" w:line="178" w:lineRule="exact"/>
        <w:rPr>
          <w:sz w:val="20"/>
          <w:szCs w:val="20"/>
          <w:color w:val="auto"/>
        </w:rPr>
      </w:pPr>
    </w:p>
    <w:p>
      <w:pPr>
        <w:ind w:right="60" w:firstLine="401"/>
        <w:spacing w:after="0" w:line="254" w:lineRule="auto"/>
        <w:rPr>
          <w:sz w:val="20"/>
          <w:szCs w:val="20"/>
          <w:color w:val="auto"/>
        </w:rPr>
      </w:pPr>
      <w:r>
        <w:rPr>
          <w:rFonts w:ascii="Arial" w:cs="Arial" w:eastAsia="Arial" w:hAnsi="Arial"/>
          <w:sz w:val="18"/>
          <w:szCs w:val="18"/>
          <w:b w:val="1"/>
          <w:bCs w:val="1"/>
          <w:color w:val="auto"/>
        </w:rPr>
        <w:t xml:space="preserve">21.18 Indemnification. </w:t>
      </w:r>
      <w:r>
        <w:rPr>
          <w:rFonts w:ascii="Arial" w:cs="Arial" w:eastAsia="Arial" w:hAnsi="Arial"/>
          <w:sz w:val="18"/>
          <w:szCs w:val="18"/>
          <w:color w:val="auto"/>
        </w:rPr>
        <w:t>Subject to requirements of South Dakota law, each individual who is or shall have been a member of the Board, or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the individual in connection with or resulting from any claim, action, suit, or proceeding to which the individual may be a party or in which he or she may be involved by reason of any action taken or failure to act under this Plan and against and from any and all amounts paid by the individual in settlement thereof, with the Company’s approval, or paid by the individual in satisfaction of any judgment in any such action, suit, or proceeding against the individual, provided the individual shall give the Company an opportunity, at its own expense, to handle and defend the same before the individual undertakes to handle and defend it on the individuals own behalf, unless such loss, cost, liability, or expense is a result of the individuals own willful misconduct or except as expressly provided by statute.</w:t>
      </w:r>
    </w:p>
    <w:p>
      <w:pPr>
        <w:spacing w:after="0" w:line="219" w:lineRule="exact"/>
        <w:rPr>
          <w:sz w:val="20"/>
          <w:szCs w:val="20"/>
          <w:color w:val="auto"/>
        </w:rPr>
      </w:pPr>
    </w:p>
    <w:p>
      <w:pPr>
        <w:ind w:firstLine="401"/>
        <w:spacing w:after="0" w:line="263"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individual may be entitled under the Company’s Certificate of Incorporation or Bylaws, as a matter of law, or otherwise, or any power that the Company may have to indemnify them or hold them harmless.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40"/>
          </w:cols>
          <w:pgMar w:left="320" w:top="1012" w:right="339" w:bottom="1440" w:gutter="0" w:footer="0" w:header="0"/>
        </w:sectPr>
      </w:pPr>
    </w:p>
    <w:bookmarkStart w:id="149" w:name="page150"/>
    <w:bookmarkEnd w:id="149"/>
    <w:p>
      <w:pPr>
        <w:spacing w:after="0"/>
        <w:rPr>
          <w:sz w:val="20"/>
          <w:szCs w:val="20"/>
          <w:color w:val="auto"/>
        </w:rPr>
      </w:pPr>
      <w:r>
        <w:rPr>
          <w:rFonts w:ascii="Arial" w:cs="Arial" w:eastAsia="Arial" w:hAnsi="Arial"/>
          <w:sz w:val="32"/>
          <w:szCs w:val="32"/>
          <w:b w:val="1"/>
          <w:bCs w:val="1"/>
          <w:color w:val="auto"/>
        </w:rPr>
        <w:t>Black Hills Corporation</w:t>
      </w:r>
    </w:p>
    <w:p>
      <w:pPr>
        <w:spacing w:after="0" w:line="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2015 Omnibus Incentive Plan</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Restricted Stock Award Agreement</w:t>
      </w:r>
    </w:p>
    <w:p>
      <w:pPr>
        <w:spacing w:after="0" w:line="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(Effective for Awards granted on or after January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65836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Dear _______________:</w:t>
      </w:r>
    </w:p>
    <w:p>
      <w:pPr>
        <w:spacing w:after="0" w:line="247"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Congratulations on your selection as a Participant under Black Hills Corporation’s 2015 Omnibus Incentive Plan (the “Plan”). This Agreement and the Plan together govern your rights to the Award and set forth all of the conditions and limitations affecting such rights. All capitalized terms shall have the meanings ascribed to them in the Plan unless specifically set forth otherwise herein. If there is any inconsistency between the terms of this Agreement and the terms of the Plan, the Plan’s terms shall supersede and replace the conflicting terms of this Agreement. By signing below, you agree to be bound by all the provisions of the Plan and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Overview of Your Award</w:t>
      </w:r>
    </w:p>
    <w:p>
      <w:pPr>
        <w:spacing w:after="0" w:line="262" w:lineRule="exact"/>
        <w:rPr>
          <w:sz w:val="20"/>
          <w:szCs w:val="20"/>
          <w:color w:val="auto"/>
        </w:rPr>
      </w:pPr>
    </w:p>
    <w:p>
      <w:pPr>
        <w:ind w:left="500" w:hanging="492"/>
        <w:spacing w:after="0"/>
        <w:tabs>
          <w:tab w:leader="none" w:pos="500" w:val="left"/>
        </w:tabs>
        <w:numPr>
          <w:ilvl w:val="0"/>
          <w:numId w:val="111"/>
        </w:numPr>
        <w:rPr>
          <w:rFonts w:ascii="Arial" w:cs="Arial" w:eastAsia="Arial" w:hAnsi="Arial"/>
          <w:sz w:val="22"/>
          <w:szCs w:val="22"/>
          <w:color w:val="auto"/>
        </w:rPr>
      </w:pPr>
      <w:r>
        <w:rPr>
          <w:rFonts w:ascii="Arial" w:cs="Arial" w:eastAsia="Arial" w:hAnsi="Arial"/>
          <w:sz w:val="22"/>
          <w:szCs w:val="22"/>
          <w:b w:val="1"/>
          <w:bCs w:val="1"/>
          <w:color w:val="auto"/>
        </w:rPr>
        <w:t xml:space="preserve">Number of Restricted Shares Granted.   </w:t>
      </w:r>
      <w:r>
        <w:rPr>
          <w:rFonts w:ascii="Arial" w:cs="Arial" w:eastAsia="Arial" w:hAnsi="Arial"/>
          <w:sz w:val="22"/>
          <w:szCs w:val="22"/>
          <w:color w:val="auto"/>
        </w:rPr>
        <w:t>____ Shares</w:t>
      </w:r>
    </w:p>
    <w:p>
      <w:pPr>
        <w:spacing w:after="0" w:line="247" w:lineRule="exact"/>
        <w:rPr>
          <w:sz w:val="20"/>
          <w:szCs w:val="20"/>
          <w:color w:val="auto"/>
        </w:rPr>
      </w:pPr>
    </w:p>
    <w:p>
      <w:pPr>
        <w:spacing w:after="0"/>
        <w:tabs>
          <w:tab w:leader="none" w:pos="480" w:val="left"/>
          <w:tab w:leader="none" w:pos="2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b w:val="1"/>
          <w:bCs w:val="1"/>
          <w:color w:val="auto"/>
        </w:rPr>
        <w:t>Date of Grant.</w:t>
      </w:r>
      <w:r>
        <w:rPr>
          <w:sz w:val="20"/>
          <w:szCs w:val="20"/>
          <w:color w:val="auto"/>
        </w:rPr>
        <w:tab/>
      </w:r>
      <w:r>
        <w:rPr>
          <w:rFonts w:ascii="Arial" w:cs="Arial" w:eastAsia="Arial" w:hAnsi="Arial"/>
          <w:sz w:val="19"/>
          <w:szCs w:val="19"/>
          <w:color w:val="auto"/>
        </w:rPr>
        <w:t>_______</w:t>
      </w:r>
    </w:p>
    <w:p>
      <w:pPr>
        <w:spacing w:after="0" w:line="247" w:lineRule="exact"/>
        <w:rPr>
          <w:sz w:val="20"/>
          <w:szCs w:val="20"/>
          <w:color w:val="auto"/>
        </w:rPr>
      </w:pPr>
    </w:p>
    <w:p>
      <w:pPr>
        <w:ind w:left="500" w:hanging="492"/>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22"/>
          <w:szCs w:val="22"/>
          <w:b w:val="1"/>
          <w:bCs w:val="1"/>
          <w:color w:val="auto"/>
        </w:rPr>
        <w:t>Date of Lapse of Restrictions</w:t>
      </w:r>
      <w:r>
        <w:rPr>
          <w:rFonts w:ascii="Arial" w:cs="Arial" w:eastAsia="Arial" w:hAnsi="Arial"/>
          <w:sz w:val="22"/>
          <w:szCs w:val="22"/>
          <w:color w:val="auto"/>
        </w:rPr>
        <w:t>.</w:t>
      </w:r>
    </w:p>
    <w:p>
      <w:pPr>
        <w:spacing w:after="0" w:line="291"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3"/>
              </w:rPr>
              <w:t>Shares</w:t>
            </w:r>
          </w:p>
        </w:tc>
        <w:tc>
          <w:tcPr>
            <w:tcW w:w="1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Date</w:t>
            </w:r>
          </w:p>
        </w:tc>
        <w:tc>
          <w:tcPr>
            <w:tcW w:w="280" w:type="dxa"/>
            <w:vAlign w:val="bottom"/>
          </w:tcPr>
          <w:p>
            <w:pPr>
              <w:spacing w:after="0"/>
              <w:rPr>
                <w:sz w:val="21"/>
                <w:szCs w:val="21"/>
                <w:color w:val="auto"/>
              </w:rPr>
            </w:pPr>
          </w:p>
        </w:tc>
      </w:tr>
      <w:tr>
        <w:trPr>
          <w:trHeight w:val="611"/>
        </w:trPr>
        <w:tc>
          <w:tcPr>
            <w:tcW w:w="580" w:type="dxa"/>
            <w:vAlign w:val="bottom"/>
          </w:tcPr>
          <w:p>
            <w:pPr>
              <w:jc w:val="center"/>
              <w:spacing w:after="0"/>
              <w:rPr>
                <w:sz w:val="20"/>
                <w:szCs w:val="20"/>
                <w:color w:val="auto"/>
              </w:rPr>
            </w:pPr>
            <w:r>
              <w:rPr>
                <w:rFonts w:ascii="Arial" w:cs="Arial" w:eastAsia="Arial" w:hAnsi="Arial"/>
                <w:sz w:val="22"/>
                <w:szCs w:val="22"/>
                <w:color w:val="auto"/>
                <w:w w:val="85"/>
              </w:rPr>
              <w:t>____</w:t>
            </w:r>
          </w:p>
        </w:tc>
        <w:tc>
          <w:tcPr>
            <w:tcW w:w="1160" w:type="dxa"/>
            <w:vAlign w:val="bottom"/>
          </w:tcPr>
          <w:p>
            <w:pPr>
              <w:spacing w:after="0"/>
              <w:rPr>
                <w:sz w:val="24"/>
                <w:szCs w:val="24"/>
                <w:color w:val="auto"/>
              </w:rPr>
            </w:pPr>
          </w:p>
        </w:tc>
        <w:tc>
          <w:tcPr>
            <w:tcW w:w="2140" w:type="dxa"/>
            <w:vAlign w:val="bottom"/>
            <w:gridSpan w:val="3"/>
          </w:tcPr>
          <w:p>
            <w:pPr>
              <w:jc w:val="center"/>
              <w:ind w:left="1052"/>
              <w:spacing w:after="0"/>
              <w:rPr>
                <w:sz w:val="20"/>
                <w:szCs w:val="20"/>
                <w:color w:val="auto"/>
              </w:rPr>
            </w:pPr>
            <w:r>
              <w:rPr>
                <w:rFonts w:ascii="Arial" w:cs="Arial" w:eastAsia="Arial" w:hAnsi="Arial"/>
                <w:sz w:val="22"/>
                <w:szCs w:val="22"/>
                <w:color w:val="auto"/>
                <w:w w:val="88"/>
              </w:rPr>
              <w:t>_________</w:t>
            </w:r>
          </w:p>
        </w:tc>
      </w:tr>
      <w:tr>
        <w:trPr>
          <w:trHeight w:val="310"/>
        </w:trPr>
        <w:tc>
          <w:tcPr>
            <w:tcW w:w="580" w:type="dxa"/>
            <w:vAlign w:val="bottom"/>
          </w:tcPr>
          <w:p>
            <w:pPr>
              <w:jc w:val="center"/>
              <w:spacing w:after="0"/>
              <w:rPr>
                <w:sz w:val="20"/>
                <w:szCs w:val="20"/>
                <w:color w:val="auto"/>
              </w:rPr>
            </w:pPr>
            <w:r>
              <w:rPr>
                <w:rFonts w:ascii="Arial" w:cs="Arial" w:eastAsia="Arial" w:hAnsi="Arial"/>
                <w:sz w:val="22"/>
                <w:szCs w:val="22"/>
                <w:color w:val="auto"/>
                <w:w w:val="85"/>
              </w:rPr>
              <w:t>____</w:t>
            </w:r>
          </w:p>
        </w:tc>
        <w:tc>
          <w:tcPr>
            <w:tcW w:w="1160" w:type="dxa"/>
            <w:vAlign w:val="bottom"/>
          </w:tcPr>
          <w:p>
            <w:pPr>
              <w:spacing w:after="0"/>
              <w:rPr>
                <w:sz w:val="24"/>
                <w:szCs w:val="24"/>
                <w:color w:val="auto"/>
              </w:rPr>
            </w:pPr>
          </w:p>
        </w:tc>
        <w:tc>
          <w:tcPr>
            <w:tcW w:w="2140" w:type="dxa"/>
            <w:vAlign w:val="bottom"/>
            <w:gridSpan w:val="3"/>
          </w:tcPr>
          <w:p>
            <w:pPr>
              <w:jc w:val="center"/>
              <w:ind w:left="1052"/>
              <w:spacing w:after="0"/>
              <w:rPr>
                <w:sz w:val="20"/>
                <w:szCs w:val="20"/>
                <w:color w:val="auto"/>
              </w:rPr>
            </w:pPr>
            <w:r>
              <w:rPr>
                <w:rFonts w:ascii="Arial" w:cs="Arial" w:eastAsia="Arial" w:hAnsi="Arial"/>
                <w:sz w:val="22"/>
                <w:szCs w:val="22"/>
                <w:color w:val="auto"/>
                <w:w w:val="88"/>
              </w:rPr>
              <w:t>_________</w:t>
            </w:r>
          </w:p>
        </w:tc>
      </w:tr>
      <w:tr>
        <w:trPr>
          <w:trHeight w:val="310"/>
        </w:trPr>
        <w:tc>
          <w:tcPr>
            <w:tcW w:w="580" w:type="dxa"/>
            <w:vAlign w:val="bottom"/>
          </w:tcPr>
          <w:p>
            <w:pPr>
              <w:jc w:val="center"/>
              <w:spacing w:after="0"/>
              <w:rPr>
                <w:sz w:val="20"/>
                <w:szCs w:val="20"/>
                <w:color w:val="auto"/>
              </w:rPr>
            </w:pPr>
            <w:r>
              <w:rPr>
                <w:rFonts w:ascii="Arial" w:cs="Arial" w:eastAsia="Arial" w:hAnsi="Arial"/>
                <w:sz w:val="22"/>
                <w:szCs w:val="22"/>
                <w:color w:val="auto"/>
                <w:w w:val="85"/>
              </w:rPr>
              <w:t>____</w:t>
            </w:r>
          </w:p>
        </w:tc>
        <w:tc>
          <w:tcPr>
            <w:tcW w:w="1160" w:type="dxa"/>
            <w:vAlign w:val="bottom"/>
          </w:tcPr>
          <w:p>
            <w:pPr>
              <w:spacing w:after="0"/>
              <w:rPr>
                <w:sz w:val="24"/>
                <w:szCs w:val="24"/>
                <w:color w:val="auto"/>
              </w:rPr>
            </w:pPr>
          </w:p>
        </w:tc>
        <w:tc>
          <w:tcPr>
            <w:tcW w:w="2140" w:type="dxa"/>
            <w:vAlign w:val="bottom"/>
            <w:gridSpan w:val="3"/>
          </w:tcPr>
          <w:p>
            <w:pPr>
              <w:jc w:val="center"/>
              <w:ind w:left="1052"/>
              <w:spacing w:after="0"/>
              <w:rPr>
                <w:sz w:val="20"/>
                <w:szCs w:val="20"/>
                <w:color w:val="auto"/>
              </w:rPr>
            </w:pPr>
            <w:r>
              <w:rPr>
                <w:rFonts w:ascii="Arial" w:cs="Arial" w:eastAsia="Arial" w:hAnsi="Arial"/>
                <w:sz w:val="22"/>
                <w:szCs w:val="22"/>
                <w:color w:val="auto"/>
                <w:w w:val="88"/>
              </w:rPr>
              <w:t>_________</w:t>
            </w:r>
          </w:p>
        </w:tc>
      </w:tr>
    </w:tbl>
    <w:p>
      <w:pPr>
        <w:spacing w:after="0" w:line="368" w:lineRule="exact"/>
        <w:rPr>
          <w:sz w:val="20"/>
          <w:szCs w:val="20"/>
          <w:color w:val="auto"/>
        </w:rPr>
      </w:pPr>
    </w:p>
    <w:p>
      <w:pPr>
        <w:ind w:left="500" w:right="180" w:hanging="492"/>
        <w:spacing w:after="0" w:line="304" w:lineRule="auto"/>
        <w:tabs>
          <w:tab w:leader="none" w:pos="500"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Employment by the Company</w:t>
      </w:r>
      <w:r>
        <w:rPr>
          <w:rFonts w:ascii="Arial" w:cs="Arial" w:eastAsia="Arial" w:hAnsi="Arial"/>
          <w:sz w:val="19"/>
          <w:szCs w:val="19"/>
          <w:color w:val="auto"/>
        </w:rPr>
        <w:t>. This Restricted Stock is awarded on the condition that the Participant remain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 of Black Hills Corporation and its Affiliates (the “Company”) from the Date of Grant through (and including) the Dates of Lapse of Restrictions. The Award of this Restricted Stock, however, shall not impose upon the Company any obligations to retain the Participant in its employ for any given period or upon any specific terms of employment.</w:t>
      </w:r>
    </w:p>
    <w:p>
      <w:pPr>
        <w:sectPr>
          <w:pgSz w:w="11900" w:h="16838" w:orient="portrait"/>
          <w:cols w:equalWidth="0" w:num="1">
            <w:col w:w="11180"/>
          </w:cols>
          <w:pgMar w:left="320" w:top="101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180"/>
          </w:cols>
          <w:pgMar w:left="320" w:top="1016" w:right="399" w:bottom="1440" w:gutter="0" w:footer="0" w:header="0"/>
          <w:type w:val="continuous"/>
        </w:sectPr>
      </w:pPr>
    </w:p>
    <w:bookmarkStart w:id="150" w:name="page151"/>
    <w:bookmarkEnd w:id="150"/>
    <w:p>
      <w:pPr>
        <w:ind w:left="492" w:right="320" w:hanging="492"/>
        <w:spacing w:after="0" w:line="269" w:lineRule="auto"/>
        <w:tabs>
          <w:tab w:leader="none" w:pos="492"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Certificate Legend</w:t>
      </w:r>
      <w:r>
        <w:rPr>
          <w:rFonts w:ascii="Arial" w:cs="Arial" w:eastAsia="Arial" w:hAnsi="Arial"/>
          <w:sz w:val="22"/>
          <w:szCs w:val="22"/>
          <w:color w:val="auto"/>
        </w:rPr>
        <w:t>. Shares of Restricted Stock granted pursuant to the Plan shall be held by the Company in book entry</w:t>
      </w:r>
      <w:r>
        <w:rPr>
          <w:rFonts w:ascii="Arial" w:cs="Arial" w:eastAsia="Arial" w:hAnsi="Arial"/>
          <w:sz w:val="22"/>
          <w:szCs w:val="22"/>
          <w:b w:val="1"/>
          <w:bCs w:val="1"/>
          <w:color w:val="auto"/>
        </w:rPr>
        <w:t xml:space="preserve"> </w:t>
      </w:r>
      <w:r>
        <w:rPr>
          <w:rFonts w:ascii="Arial" w:cs="Arial" w:eastAsia="Arial" w:hAnsi="Arial"/>
          <w:sz w:val="22"/>
          <w:szCs w:val="22"/>
          <w:color w:val="auto"/>
        </w:rPr>
        <w:t>form and shall be designated to have the following legend:</w:t>
      </w:r>
    </w:p>
    <w:p>
      <w:pPr>
        <w:spacing w:after="0" w:line="195" w:lineRule="exact"/>
        <w:rPr>
          <w:sz w:val="20"/>
          <w:szCs w:val="20"/>
          <w:color w:val="auto"/>
        </w:rPr>
      </w:pPr>
    </w:p>
    <w:p>
      <w:pPr>
        <w:ind w:left="1132" w:right="1000" w:hanging="701"/>
        <w:spacing w:after="0" w:line="302" w:lineRule="auto"/>
        <w:rPr>
          <w:sz w:val="20"/>
          <w:szCs w:val="20"/>
          <w:color w:val="auto"/>
        </w:rPr>
      </w:pPr>
      <w:r>
        <w:rPr>
          <w:rFonts w:ascii="Arial" w:cs="Arial" w:eastAsia="Arial" w:hAnsi="Arial"/>
          <w:sz w:val="19"/>
          <w:szCs w:val="19"/>
          <w:color w:val="auto"/>
        </w:rPr>
        <w:t>“The sale or other transfer of the shares of stock represented by this certificate, whether voluntary, involuntary, or by operation of law, is subject to certain restrictions on transfer set forth in the Black Hills Corporation 2015 Omnibus Incentive Plan and in a Restricted Stock Award Agreement. A copy of the Plan and such Restricted Stock Agreement may be obtained from the Secretary of Black Hills Corporation.”</w:t>
      </w:r>
    </w:p>
    <w:p>
      <w:pPr>
        <w:spacing w:after="0" w:line="163" w:lineRule="exact"/>
        <w:rPr>
          <w:sz w:val="20"/>
          <w:szCs w:val="20"/>
          <w:color w:val="auto"/>
        </w:rPr>
      </w:pPr>
    </w:p>
    <w:p>
      <w:pPr>
        <w:ind w:left="492" w:right="120" w:hanging="492"/>
        <w:spacing w:after="0" w:line="256" w:lineRule="auto"/>
        <w:tabs>
          <w:tab w:leader="none" w:pos="492" w:val="left"/>
        </w:tabs>
        <w:numPr>
          <w:ilvl w:val="0"/>
          <w:numId w:val="115"/>
        </w:numPr>
        <w:rPr>
          <w:rFonts w:ascii="Arial" w:cs="Arial" w:eastAsia="Arial" w:hAnsi="Arial"/>
          <w:sz w:val="22"/>
          <w:szCs w:val="22"/>
          <w:color w:val="auto"/>
        </w:rPr>
      </w:pPr>
      <w:r>
        <w:rPr>
          <w:rFonts w:ascii="Arial" w:cs="Arial" w:eastAsia="Arial" w:hAnsi="Arial"/>
          <w:sz w:val="22"/>
          <w:szCs w:val="22"/>
          <w:b w:val="1"/>
          <w:bCs w:val="1"/>
          <w:color w:val="auto"/>
        </w:rPr>
        <w:t>Removal of Restrictions</w:t>
      </w:r>
      <w:r>
        <w:rPr>
          <w:rFonts w:ascii="Arial" w:cs="Arial" w:eastAsia="Arial" w:hAnsi="Arial"/>
          <w:sz w:val="22"/>
          <w:szCs w:val="22"/>
          <w:color w:val="auto"/>
        </w:rPr>
        <w:t>. Except as otherwise provided in the Plan, each of the Shares of Restricted Stock granted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become freely transferable by the Participant on each of the “Dates of Lapse of Restrictions” set forth on Paragraph 3 herein.</w:t>
      </w:r>
    </w:p>
    <w:p>
      <w:pPr>
        <w:spacing w:after="0" w:line="209" w:lineRule="exact"/>
        <w:rPr>
          <w:rFonts w:ascii="Arial" w:cs="Arial" w:eastAsia="Arial" w:hAnsi="Arial"/>
          <w:sz w:val="22"/>
          <w:szCs w:val="22"/>
          <w:color w:val="auto"/>
        </w:rPr>
      </w:pPr>
    </w:p>
    <w:p>
      <w:pPr>
        <w:ind w:left="492" w:right="340"/>
        <w:spacing w:after="0" w:line="343" w:lineRule="auto"/>
        <w:rPr>
          <w:rFonts w:ascii="Arial" w:cs="Arial" w:eastAsia="Arial" w:hAnsi="Arial"/>
          <w:sz w:val="22"/>
          <w:szCs w:val="22"/>
          <w:color w:val="auto"/>
        </w:rPr>
      </w:pPr>
      <w:r>
        <w:rPr>
          <w:rFonts w:ascii="Arial" w:cs="Arial" w:eastAsia="Arial" w:hAnsi="Arial"/>
          <w:sz w:val="19"/>
          <w:szCs w:val="19"/>
          <w:color w:val="auto"/>
        </w:rPr>
        <w:t>Once the Shares are released from the restrictions, the Participant shall be entitled to receive certificates representing the Shares of stock which have been vested, without the restrictive legend required by Paragraph 5 of this Agreement.</w:t>
      </w:r>
    </w:p>
    <w:p>
      <w:pPr>
        <w:spacing w:after="0" w:line="131" w:lineRule="exact"/>
        <w:rPr>
          <w:rFonts w:ascii="Arial" w:cs="Arial" w:eastAsia="Arial" w:hAnsi="Arial"/>
          <w:sz w:val="22"/>
          <w:szCs w:val="22"/>
          <w:color w:val="auto"/>
        </w:rPr>
      </w:pPr>
    </w:p>
    <w:p>
      <w:pPr>
        <w:ind w:left="492" w:right="100"/>
        <w:spacing w:after="0" w:line="263" w:lineRule="auto"/>
        <w:rPr>
          <w:rFonts w:ascii="Arial" w:cs="Arial" w:eastAsia="Arial" w:hAnsi="Arial"/>
          <w:sz w:val="22"/>
          <w:szCs w:val="22"/>
          <w:color w:val="auto"/>
        </w:rPr>
      </w:pPr>
      <w:r>
        <w:rPr>
          <w:rFonts w:ascii="Arial" w:cs="Arial" w:eastAsia="Arial" w:hAnsi="Arial"/>
          <w:sz w:val="22"/>
          <w:szCs w:val="22"/>
          <w:color w:val="auto"/>
        </w:rPr>
        <w:t>Notwithstanding the terms of this Agreement, no stock shall be issued by the Corporation while its stock transfer books are closed.</w:t>
      </w:r>
    </w:p>
    <w:p>
      <w:pPr>
        <w:spacing w:after="0" w:line="195" w:lineRule="exact"/>
        <w:rPr>
          <w:rFonts w:ascii="Arial" w:cs="Arial" w:eastAsia="Arial" w:hAnsi="Arial"/>
          <w:sz w:val="22"/>
          <w:szCs w:val="22"/>
          <w:color w:val="auto"/>
        </w:rPr>
      </w:pPr>
    </w:p>
    <w:p>
      <w:pPr>
        <w:ind w:left="492" w:right="80" w:hanging="492"/>
        <w:spacing w:after="0" w:line="304" w:lineRule="auto"/>
        <w:tabs>
          <w:tab w:leader="none" w:pos="492"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Voting Rights and Dividends</w:t>
      </w:r>
      <w:r>
        <w:rPr>
          <w:rFonts w:ascii="Arial" w:cs="Arial" w:eastAsia="Arial" w:hAnsi="Arial"/>
          <w:sz w:val="19"/>
          <w:szCs w:val="19"/>
          <w:color w:val="auto"/>
        </w:rPr>
        <w:t>. During the Period of Restriction, the Participant may exercise full voting rights and is</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receive all dividends and other distributions paid with respect to the Shares of Restricted Stock while they are held. If any such dividends or distributions are paid in Shares of common stock of the Company, the Shares shall be subject to the same restrictions on transferability as the Shares of Restricted Stock with respect to which they were paid.</w:t>
      </w:r>
    </w:p>
    <w:p>
      <w:pPr>
        <w:spacing w:after="0" w:line="162" w:lineRule="exact"/>
        <w:rPr>
          <w:rFonts w:ascii="Arial" w:cs="Arial" w:eastAsia="Arial" w:hAnsi="Arial"/>
          <w:sz w:val="19"/>
          <w:szCs w:val="19"/>
          <w:color w:val="auto"/>
        </w:rPr>
      </w:pPr>
    </w:p>
    <w:p>
      <w:pPr>
        <w:ind w:left="492" w:hanging="492"/>
        <w:spacing w:after="0" w:line="298" w:lineRule="auto"/>
        <w:tabs>
          <w:tab w:leader="none" w:pos="492"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Termination of Employment By Reasons of Death or Disability, and Vesting in Connection with a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the Participant’s employment is terminated by reason of Death or Disability, or in the event of a Change in Control prior to the Dates of Lapse of Restrictions, all Shares of Restricted Stock then outstanding shall immediately vest one hundred percent (100%), and as soon as is administratively practicable, the common stock representing the Shares of Restricted Stock without any restrictions or legend thereon, shall be delivered to the Participant’s beneficiary or estate.</w:t>
      </w:r>
    </w:p>
    <w:p>
      <w:pPr>
        <w:spacing w:after="0" w:line="175" w:lineRule="exact"/>
        <w:rPr>
          <w:rFonts w:ascii="Arial" w:cs="Arial" w:eastAsia="Arial" w:hAnsi="Arial"/>
          <w:sz w:val="19"/>
          <w:szCs w:val="19"/>
          <w:color w:val="auto"/>
        </w:rPr>
      </w:pPr>
    </w:p>
    <w:p>
      <w:pPr>
        <w:ind w:left="492" w:right="300"/>
        <w:spacing w:after="0" w:line="263" w:lineRule="auto"/>
        <w:rPr>
          <w:rFonts w:ascii="Arial" w:cs="Arial" w:eastAsia="Arial" w:hAnsi="Arial"/>
          <w:sz w:val="19"/>
          <w:szCs w:val="19"/>
          <w:color w:val="auto"/>
        </w:rPr>
      </w:pPr>
      <w:r>
        <w:rPr>
          <w:rFonts w:ascii="Arial" w:cs="Arial" w:eastAsia="Arial" w:hAnsi="Arial"/>
          <w:sz w:val="22"/>
          <w:szCs w:val="22"/>
          <w:color w:val="auto"/>
        </w:rPr>
        <w:t>"Change in Control" of the Company shall be deemed to have occurred (as of a particular day, as specified by the Board) upon the occurrence of any of the following events:</w:t>
      </w:r>
    </w:p>
    <w:p>
      <w:pPr>
        <w:spacing w:after="0" w:line="201" w:lineRule="exact"/>
        <w:rPr>
          <w:rFonts w:ascii="Arial" w:cs="Arial" w:eastAsia="Arial" w:hAnsi="Arial"/>
          <w:sz w:val="19"/>
          <w:szCs w:val="19"/>
          <w:color w:val="auto"/>
        </w:rPr>
      </w:pPr>
    </w:p>
    <w:p>
      <w:pPr>
        <w:ind w:left="1292" w:right="40" w:hanging="644"/>
        <w:spacing w:after="0" w:line="247" w:lineRule="auto"/>
        <w:tabs>
          <w:tab w:leader="none" w:pos="1289"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acquisition in a transaction or series of transactions by any Person of Beneficial Ownership of thirty percent (30%) or more of the combined voting power of the then outstanding Shares; provided, however, that for purposes of this Agreement, the following acquisitions will not constitute a Change in Control: (A) any acquisition by the Company; (B) any acquisition of Shares by an underwriter holding securities of the Company in connection with a public offering thereof; and (C) any acquisition by any Person pursuant to a transaction which complies with subsections (c) (i), (ii)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32"/>
          </w:cols>
          <w:pgMar w:left="328" w:top="1030" w:right="339" w:bottom="1440" w:gutter="0" w:footer="0" w:header="0"/>
        </w:sectPr>
      </w:pPr>
    </w:p>
    <w:bookmarkStart w:id="151" w:name="page152"/>
    <w:bookmarkEnd w:id="151"/>
    <w:p>
      <w:pPr>
        <w:ind w:left="644" w:hanging="644"/>
        <w:spacing w:after="0" w:line="289" w:lineRule="auto"/>
        <w:tabs>
          <w:tab w:leader="none" w:pos="63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Individuals who, as of December 31, 2020 are members of the Board (the "Incumbent Board"),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Plan, be considered as a member of the Incumbent Board; provided further, however, that no individual shall be considered a member of the Incumbent Board if such individual initially assumed office as a result of either an actual or threatened "Election Contest" (as described in Rule 14a 11 promulgated under the Exchange Act) or other actual or threatened solicitation of proxies or consents by or on behalf of a Person other than the Board (a "Proxy Contest") including by reason of any agreement intended to avoid or settle any Election Contest or Proxy Contest;</w:t>
      </w:r>
    </w:p>
    <w:p>
      <w:pPr>
        <w:spacing w:after="0" w:line="156" w:lineRule="exact"/>
        <w:rPr>
          <w:rFonts w:ascii="Arial" w:cs="Arial" w:eastAsia="Arial" w:hAnsi="Arial"/>
          <w:sz w:val="19"/>
          <w:szCs w:val="19"/>
          <w:color w:val="auto"/>
        </w:rPr>
      </w:pPr>
    </w:p>
    <w:p>
      <w:pPr>
        <w:ind w:left="644" w:hanging="644"/>
        <w:spacing w:after="0" w:line="286" w:lineRule="auto"/>
        <w:tabs>
          <w:tab w:leader="none" w:pos="64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(Consummation, following shareholder approval, of a reorganization, merger, or consolidation of the Company, or a sale or other disposition of all or substantially all of the assets of the Company (each a “Business Combination”), unless, in each case, immediately following such Business Combination, all of the following have occurred: (i) all or substantially all of the individuals and entities who were beneficial owners of Shares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“Successor Entity”);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158" w:lineRule="exact"/>
        <w:rPr>
          <w:rFonts w:ascii="Arial" w:cs="Arial" w:eastAsia="Arial" w:hAnsi="Arial"/>
          <w:sz w:val="19"/>
          <w:szCs w:val="19"/>
          <w:color w:val="auto"/>
        </w:rPr>
      </w:pPr>
    </w:p>
    <w:p>
      <w:pPr>
        <w:ind w:left="644" w:right="360" w:hanging="644"/>
        <w:spacing w:after="0" w:line="287" w:lineRule="auto"/>
        <w:tabs>
          <w:tab w:leader="none" w:pos="639"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Approval by the shareholders of the Company of a complete liquidation or dissolution of the Company, except pursuant to a Business Combination that complies with subsections (c) (i), (ii), and (iii) above.</w:t>
      </w:r>
    </w:p>
    <w:p>
      <w:pPr>
        <w:spacing w:after="0" w:line="151" w:lineRule="exact"/>
        <w:rPr>
          <w:rFonts w:ascii="Arial" w:cs="Arial" w:eastAsia="Arial" w:hAnsi="Arial"/>
          <w:sz w:val="21"/>
          <w:szCs w:val="21"/>
          <w:color w:val="auto"/>
        </w:rPr>
      </w:pPr>
    </w:p>
    <w:p>
      <w:pPr>
        <w:ind w:left="644" w:right="140" w:hanging="644"/>
        <w:spacing w:after="0" w:line="290" w:lineRule="auto"/>
        <w:tabs>
          <w:tab w:leader="none" w:pos="64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 Change in Control shall not be deemed to occur solely because any Person (the "Subject Person") acquired Beneficial Ownership of more than the permitted amount of the then outstanding Shares as a result of the acquisition of Shares by the Company which, by reducing the number of Shares then outstanding, increases the proportional number of Shares Beneficially Owned by the Subject Persons, provided that if a Change in Control would occur (but for the operation of this sentence) as a result of the acquisition of Shares by the Company, and after such stock acquisition by the Company, the Subject Person becomes the Beneficial Owner of any additional Shares which increases the percentage of the then outstanding Shares Beneficially Owned by the Subject Person, then a Change in Control shall occur.</w:t>
      </w:r>
    </w:p>
    <w:p>
      <w:pPr>
        <w:spacing w:after="0" w:line="200" w:lineRule="exact"/>
        <w:rPr>
          <w:sz w:val="20"/>
          <w:szCs w:val="20"/>
          <w:color w:val="auto"/>
        </w:rPr>
      </w:pPr>
    </w:p>
    <w:p>
      <w:pPr>
        <w:spacing w:after="0" w:line="39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976" w:top="1036" w:right="359" w:bottom="1440" w:gutter="0" w:footer="0" w:header="0"/>
        </w:sectPr>
      </w:pPr>
    </w:p>
    <w:bookmarkStart w:id="152" w:name="page153"/>
    <w:bookmarkEnd w:id="152"/>
    <w:p>
      <w:pPr>
        <w:ind w:left="1300" w:right="100" w:hanging="644"/>
        <w:spacing w:after="0" w:line="253" w:lineRule="auto"/>
        <w:tabs>
          <w:tab w:leader="none" w:pos="1291" w:val="left"/>
        </w:tabs>
        <w:numPr>
          <w:ilvl w:val="0"/>
          <w:numId w:val="117"/>
        </w:numPr>
        <w:rPr>
          <w:rFonts w:ascii="Arial" w:cs="Arial" w:eastAsia="Arial" w:hAnsi="Arial"/>
          <w:sz w:val="18"/>
          <w:szCs w:val="18"/>
          <w:color w:val="auto"/>
        </w:rPr>
      </w:pPr>
      <w:r>
        <w:rPr>
          <w:rFonts w:ascii="Arial" w:cs="Arial" w:eastAsia="Arial" w:hAnsi="Arial"/>
          <w:sz w:val="22"/>
          <w:szCs w:val="22"/>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185"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Notwithstanding the above provisions of this definition, to the extent that any payment under the Agreement due to a Change in Control is subject to Code Section 409A for deferred compensation, then the term “Change in Control” shall be construed in a manner that is consistent with Code Section 409A(a)(2)(A)(v), but only to the extent inconsistent with the above provisions as determined by the Board.</w:t>
      </w:r>
    </w:p>
    <w:p>
      <w:pPr>
        <w:spacing w:after="0" w:line="182" w:lineRule="exact"/>
        <w:rPr>
          <w:sz w:val="20"/>
          <w:szCs w:val="20"/>
          <w:color w:val="auto"/>
        </w:rPr>
      </w:pPr>
    </w:p>
    <w:p>
      <w:pPr>
        <w:ind w:left="500" w:hanging="492"/>
        <w:spacing w:after="0" w:line="248" w:lineRule="auto"/>
        <w:tabs>
          <w:tab w:leader="none" w:pos="500" w:val="left"/>
        </w:tabs>
        <w:numPr>
          <w:ilvl w:val="0"/>
          <w:numId w:val="118"/>
        </w:numPr>
        <w:rPr>
          <w:rFonts w:ascii="Arial" w:cs="Arial" w:eastAsia="Arial" w:hAnsi="Arial"/>
          <w:sz w:val="22"/>
          <w:szCs w:val="22"/>
          <w:color w:val="auto"/>
        </w:rPr>
      </w:pPr>
      <w:r>
        <w:rPr>
          <w:rFonts w:ascii="Arial" w:cs="Arial" w:eastAsia="Arial" w:hAnsi="Arial"/>
          <w:sz w:val="22"/>
          <w:szCs w:val="22"/>
          <w:b w:val="1"/>
          <w:bCs w:val="1"/>
          <w:color w:val="auto"/>
        </w:rPr>
        <w:t>Beneficiary Designation</w:t>
      </w:r>
      <w:r>
        <w:rPr>
          <w:rFonts w:ascii="Arial" w:cs="Arial" w:eastAsia="Arial" w:hAnsi="Arial"/>
          <w:sz w:val="22"/>
          <w:szCs w:val="22"/>
          <w:color w:val="auto"/>
        </w:rPr>
        <w:t>. The Participant may, from time to time, name any beneficiary or beneficiaries (who may be</w:t>
      </w:r>
      <w:r>
        <w:rPr>
          <w:rFonts w:ascii="Arial" w:cs="Arial" w:eastAsia="Arial" w:hAnsi="Arial"/>
          <w:sz w:val="22"/>
          <w:szCs w:val="22"/>
          <w:b w:val="1"/>
          <w:bCs w:val="1"/>
          <w:color w:val="auto"/>
        </w:rPr>
        <w:t xml:space="preserve"> </w:t>
      </w:r>
      <w:r>
        <w:rPr>
          <w:rFonts w:ascii="Arial" w:cs="Arial" w:eastAsia="Arial" w:hAnsi="Arial"/>
          <w:sz w:val="22"/>
          <w:szCs w:val="22"/>
          <w:color w:val="auto"/>
        </w:rPr>
        <w:t>named contingently or successively) to whom any benefit under this Agreement is to be paid in case of his or her death prior to the Dates of Lapse of Restrictions. Each such designation shall revoke all prior designations by the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left="500" w:hanging="492"/>
        <w:spacing w:after="0"/>
        <w:tabs>
          <w:tab w:leader="none" w:pos="500" w:val="left"/>
        </w:tabs>
        <w:numPr>
          <w:ilvl w:val="0"/>
          <w:numId w:val="118"/>
        </w:numPr>
        <w:rPr>
          <w:rFonts w:ascii="Arial" w:cs="Arial" w:eastAsia="Arial" w:hAnsi="Arial"/>
          <w:sz w:val="22"/>
          <w:szCs w:val="22"/>
          <w:color w:val="auto"/>
        </w:rPr>
      </w:pPr>
      <w:r>
        <w:rPr>
          <w:rFonts w:ascii="Arial" w:cs="Arial" w:eastAsia="Arial" w:hAnsi="Arial"/>
          <w:sz w:val="22"/>
          <w:szCs w:val="22"/>
          <w:b w:val="1"/>
          <w:bCs w:val="1"/>
          <w:color w:val="auto"/>
        </w:rPr>
        <w:t>Forfeiture and Repayment.</w:t>
      </w:r>
    </w:p>
    <w:p>
      <w:pPr>
        <w:spacing w:after="0" w:line="225" w:lineRule="exact"/>
        <w:rPr>
          <w:rFonts w:ascii="Arial" w:cs="Arial" w:eastAsia="Arial" w:hAnsi="Arial"/>
          <w:sz w:val="22"/>
          <w:szCs w:val="22"/>
          <w:color w:val="auto"/>
        </w:rPr>
      </w:pPr>
    </w:p>
    <w:p>
      <w:pPr>
        <w:ind w:left="1300" w:right="160" w:hanging="644"/>
        <w:spacing w:after="0" w:line="253" w:lineRule="auto"/>
        <w:tabs>
          <w:tab w:leader="none" w:pos="1297"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In the event the Participant’s employment is terminated for reasons other than those described in Section 8 herein prior to the Dates of the Lapse of Restrictions, all outstanding Shares of unvested Restricted Stock granted hereunder shall immediately be forfeited by the Participant.</w:t>
      </w:r>
    </w:p>
    <w:p>
      <w:pPr>
        <w:spacing w:after="0" w:line="185" w:lineRule="exact"/>
        <w:rPr>
          <w:rFonts w:ascii="Arial" w:cs="Arial" w:eastAsia="Arial" w:hAnsi="Arial"/>
          <w:sz w:val="22"/>
          <w:szCs w:val="22"/>
          <w:color w:val="auto"/>
        </w:rPr>
      </w:pPr>
    </w:p>
    <w:p>
      <w:pPr>
        <w:jc w:val="both"/>
        <w:ind w:left="1300" w:right="440" w:hanging="644"/>
        <w:spacing w:after="0" w:line="312" w:lineRule="auto"/>
        <w:tabs>
          <w:tab w:leader="none" w:pos="1295" w:val="left"/>
        </w:tabs>
        <w:numPr>
          <w:ilvl w:val="1"/>
          <w:numId w:val="118"/>
        </w:numPr>
        <w:rPr>
          <w:rFonts w:ascii="Arial" w:cs="Arial" w:eastAsia="Arial" w:hAnsi="Arial"/>
          <w:sz w:val="19"/>
          <w:szCs w:val="19"/>
          <w:color w:val="auto"/>
        </w:rPr>
      </w:pPr>
      <w:r>
        <w:rPr>
          <w:rFonts w:ascii="Arial" w:cs="Arial" w:eastAsia="Arial" w:hAnsi="Arial"/>
          <w:sz w:val="19"/>
          <w:szCs w:val="19"/>
          <w:color w:val="auto"/>
        </w:rPr>
        <w:t>Without limiting the generality of Section 10(a), the Company reserves the right to cancel all Restricted Stock awarded hereunder, whether or not vested, and require the Participant to repay all income or gains previously realized in respect of such Restricted Stock, in the event of the occurrence of any of the following events:</w:t>
      </w:r>
    </w:p>
    <w:p>
      <w:pPr>
        <w:spacing w:after="0" w:line="133" w:lineRule="exact"/>
        <w:rPr>
          <w:rFonts w:ascii="Arial" w:cs="Arial" w:eastAsia="Arial" w:hAnsi="Arial"/>
          <w:sz w:val="19"/>
          <w:szCs w:val="19"/>
          <w:color w:val="auto"/>
        </w:rPr>
      </w:pPr>
    </w:p>
    <w:p>
      <w:pPr>
        <w:ind w:left="1960" w:hanging="860"/>
        <w:spacing w:after="0"/>
        <w:tabs>
          <w:tab w:leader="none" w:pos="196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termination of Participant’s employment for Cause;</w:t>
      </w:r>
    </w:p>
    <w:p>
      <w:pPr>
        <w:spacing w:after="0" w:line="219" w:lineRule="exact"/>
        <w:rPr>
          <w:rFonts w:ascii="Arial" w:cs="Arial" w:eastAsia="Arial" w:hAnsi="Arial"/>
          <w:sz w:val="22"/>
          <w:szCs w:val="22"/>
          <w:color w:val="auto"/>
        </w:rPr>
      </w:pPr>
    </w:p>
    <w:p>
      <w:pPr>
        <w:ind w:left="1960" w:right="340" w:hanging="919"/>
        <w:spacing w:after="0" w:line="253" w:lineRule="auto"/>
        <w:tabs>
          <w:tab w:leader="none" w:pos="196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within one year following any termination of Participant’s employment, the Board determines that the Participant engaged in conduct before the Participant’s termination date that would have constituted the basis for a termination of employment for Cause;</w:t>
      </w:r>
    </w:p>
    <w:p>
      <w:pPr>
        <w:spacing w:after="0" w:line="185" w:lineRule="exact"/>
        <w:rPr>
          <w:rFonts w:ascii="Arial" w:cs="Arial" w:eastAsia="Arial" w:hAnsi="Arial"/>
          <w:sz w:val="22"/>
          <w:szCs w:val="22"/>
          <w:color w:val="auto"/>
        </w:rPr>
      </w:pPr>
    </w:p>
    <w:p>
      <w:pPr>
        <w:ind w:left="1960" w:right="340" w:hanging="979"/>
        <w:spacing w:after="0" w:line="263" w:lineRule="auto"/>
        <w:tabs>
          <w:tab w:leader="none" w:pos="196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at any time during the Participant’s employment or the twelve month period immediately following any termination of employment, Participant:</w:t>
      </w:r>
    </w:p>
    <w:p>
      <w:pPr>
        <w:spacing w:after="0" w:line="174" w:lineRule="exact"/>
        <w:rPr>
          <w:rFonts w:ascii="Arial" w:cs="Arial" w:eastAsia="Arial" w:hAnsi="Arial"/>
          <w:sz w:val="22"/>
          <w:szCs w:val="22"/>
          <w:color w:val="auto"/>
        </w:rPr>
      </w:pPr>
    </w:p>
    <w:p>
      <w:pPr>
        <w:ind w:left="2600" w:right="60" w:hanging="648"/>
        <w:spacing w:after="0" w:line="312" w:lineRule="auto"/>
        <w:tabs>
          <w:tab w:leader="none" w:pos="2420" w:val="left"/>
        </w:tabs>
        <w:numPr>
          <w:ilvl w:val="3"/>
          <w:numId w:val="118"/>
        </w:numPr>
        <w:rPr>
          <w:rFonts w:ascii="Arial" w:cs="Arial" w:eastAsia="Arial" w:hAnsi="Arial"/>
          <w:sz w:val="19"/>
          <w:szCs w:val="19"/>
          <w:color w:val="auto"/>
        </w:rPr>
      </w:pPr>
      <w:r>
        <w:rPr>
          <w:rFonts w:ascii="Arial" w:cs="Arial" w:eastAsia="Arial" w:hAnsi="Arial"/>
          <w:sz w:val="19"/>
          <w:szCs w:val="19"/>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33" w:lineRule="exact"/>
        <w:rPr>
          <w:rFonts w:ascii="Arial" w:cs="Arial" w:eastAsia="Arial" w:hAnsi="Arial"/>
          <w:sz w:val="19"/>
          <w:szCs w:val="19"/>
          <w:color w:val="auto"/>
        </w:rPr>
      </w:pPr>
    </w:p>
    <w:p>
      <w:pPr>
        <w:ind w:left="2600" w:right="280" w:hanging="648"/>
        <w:spacing w:after="0" w:line="263" w:lineRule="auto"/>
        <w:tabs>
          <w:tab w:leader="none" w:pos="2420" w:val="left"/>
        </w:tabs>
        <w:numPr>
          <w:ilvl w:val="3"/>
          <w:numId w:val="118"/>
        </w:numPr>
        <w:rPr>
          <w:rFonts w:ascii="Arial" w:cs="Arial" w:eastAsia="Arial" w:hAnsi="Arial"/>
          <w:sz w:val="22"/>
          <w:szCs w:val="22"/>
          <w:color w:val="auto"/>
        </w:rPr>
      </w:pPr>
      <w:r>
        <w:rPr>
          <w:rFonts w:ascii="Arial" w:cs="Arial" w:eastAsia="Arial" w:hAnsi="Arial"/>
          <w:sz w:val="22"/>
          <w:szCs w:val="22"/>
          <w:color w:val="auto"/>
        </w:rPr>
        <w:t>violates in any material respect any policy or any code of ethics or standard of behavior or conduct generally applicable to Participant, including the Code of Conduct; 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6" w:right="339" w:bottom="1440" w:gutter="0" w:footer="0" w:header="0"/>
        </w:sectPr>
      </w:pPr>
    </w:p>
    <w:bookmarkStart w:id="153" w:name="page154"/>
    <w:bookmarkEnd w:id="153"/>
    <w:p>
      <w:pPr>
        <w:ind w:left="1304" w:right="440" w:hanging="968"/>
        <w:spacing w:after="0" w:line="253" w:lineRule="auto"/>
        <w:tabs>
          <w:tab w:leader="none" w:pos="1304" w:val="left"/>
        </w:tabs>
        <w:numPr>
          <w:ilvl w:val="1"/>
          <w:numId w:val="119"/>
        </w:numPr>
        <w:rPr>
          <w:rFonts w:ascii="Arial" w:cs="Arial" w:eastAsia="Arial" w:hAnsi="Arial"/>
          <w:sz w:val="22"/>
          <w:szCs w:val="22"/>
          <w:color w:val="auto"/>
        </w:rPr>
      </w:pPr>
      <w:r>
        <w:rPr>
          <w:rFonts w:ascii="Arial" w:cs="Arial" w:eastAsia="Arial" w:hAnsi="Arial"/>
          <w:sz w:val="22"/>
          <w:szCs w:val="22"/>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185" w:lineRule="exact"/>
        <w:rPr>
          <w:rFonts w:ascii="Arial" w:cs="Arial" w:eastAsia="Arial" w:hAnsi="Arial"/>
          <w:sz w:val="22"/>
          <w:szCs w:val="22"/>
          <w:color w:val="auto"/>
        </w:rPr>
      </w:pPr>
    </w:p>
    <w:p>
      <w:pPr>
        <w:ind w:left="644" w:right="100" w:hanging="644"/>
        <w:spacing w:after="0" w:line="253" w:lineRule="auto"/>
        <w:tabs>
          <w:tab w:leader="none" w:pos="64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If the Committee determines that the Participant’s conduct, activities or circumstances constitute events described in Section 10(b), in addition to any other remedies the Company has available to it, the Company may in its sole discretion:</w:t>
      </w:r>
    </w:p>
    <w:p>
      <w:pPr>
        <w:spacing w:after="0" w:line="185" w:lineRule="exact"/>
        <w:rPr>
          <w:rFonts w:ascii="Arial" w:cs="Arial" w:eastAsia="Arial" w:hAnsi="Arial"/>
          <w:sz w:val="22"/>
          <w:szCs w:val="22"/>
          <w:color w:val="auto"/>
        </w:rPr>
      </w:pPr>
    </w:p>
    <w:p>
      <w:pPr>
        <w:ind w:left="1304" w:hanging="860"/>
        <w:spacing w:after="0"/>
        <w:tabs>
          <w:tab w:leader="none" w:pos="130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cancel any Shares of Restricted Stock awarded hereby, whether or not vested; and/or</w:t>
      </w:r>
    </w:p>
    <w:p>
      <w:pPr>
        <w:spacing w:after="0" w:line="219" w:lineRule="exact"/>
        <w:rPr>
          <w:rFonts w:ascii="Arial" w:cs="Arial" w:eastAsia="Arial" w:hAnsi="Arial"/>
          <w:sz w:val="22"/>
          <w:szCs w:val="22"/>
          <w:color w:val="auto"/>
        </w:rPr>
      </w:pPr>
    </w:p>
    <w:p>
      <w:pPr>
        <w:ind w:left="1304" w:right="560" w:hanging="919"/>
        <w:spacing w:after="0" w:line="250" w:lineRule="auto"/>
        <w:tabs>
          <w:tab w:leader="none" w:pos="130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require the Participant to repay an amount equal to all income or gain realized in respect of all such Restricted Stock. The amount of repayment shall include, without limitation, amounts received in connection with the delivery or sale of Shares of such Restricted Stock or cash paid in respect of any Restricted Stock.</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There shall be no forfeiture or repayment under Section 10(b) following a Change-in-Control.</w:t>
      </w:r>
    </w:p>
    <w:p>
      <w:pPr>
        <w:spacing w:after="0" w:line="220" w:lineRule="exact"/>
        <w:rPr>
          <w:sz w:val="20"/>
          <w:szCs w:val="20"/>
          <w:color w:val="auto"/>
        </w:rPr>
      </w:pPr>
    </w:p>
    <w:p>
      <w:pPr>
        <w:ind w:left="644" w:hanging="644"/>
        <w:spacing w:after="0" w:line="260" w:lineRule="auto"/>
        <w:tabs>
          <w:tab w:leader="none" w:pos="639"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Committee, in its discretion, shall determine whether a Participant’s conduct, activities or circumstances constitute events described in Section 10(b) and whether and to what extent the Shares of Restricted Stock awarded hereby shall be forfeited by Participant and/or a Participant shall be required to repay an amount pursuant to Section 10(c). The Committee shall have the authority to suspend the payment, delivery or settlement of all or any portion of such Participant’s outstanding Shares of Restricted Stock pending an investigation of a bona fide dispute regarding Participant’s eligibility to receive a payment under the terms of this Agreement as determined by the Committee in good faith.</w:t>
      </w:r>
    </w:p>
    <w:p>
      <w:pPr>
        <w:spacing w:after="0" w:line="180" w:lineRule="exact"/>
        <w:rPr>
          <w:rFonts w:ascii="Arial" w:cs="Arial" w:eastAsia="Arial" w:hAnsi="Arial"/>
          <w:sz w:val="21"/>
          <w:szCs w:val="21"/>
          <w:color w:val="auto"/>
        </w:rPr>
      </w:pPr>
    </w:p>
    <w:p>
      <w:pPr>
        <w:ind w:left="644" w:hanging="644"/>
        <w:spacing w:after="0"/>
        <w:tabs>
          <w:tab w:leader="none" w:pos="6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For purposes of applying this provision:</w:t>
      </w:r>
    </w:p>
    <w:p>
      <w:pPr>
        <w:spacing w:after="0" w:line="219" w:lineRule="exact"/>
        <w:rPr>
          <w:rFonts w:ascii="Arial" w:cs="Arial" w:eastAsia="Arial" w:hAnsi="Arial"/>
          <w:sz w:val="22"/>
          <w:szCs w:val="22"/>
          <w:color w:val="auto"/>
        </w:rPr>
      </w:pPr>
    </w:p>
    <w:p>
      <w:pPr>
        <w:ind w:left="1304" w:hanging="860"/>
        <w:spacing w:after="0"/>
        <w:tabs>
          <w:tab w:leader="none" w:pos="1304" w:val="left"/>
        </w:tabs>
        <w:numPr>
          <w:ilvl w:val="1"/>
          <w:numId w:val="121"/>
        </w:numPr>
        <w:rPr>
          <w:rFonts w:ascii="Arial" w:cs="Arial" w:eastAsia="Arial" w:hAnsi="Arial"/>
          <w:sz w:val="22"/>
          <w:szCs w:val="22"/>
          <w:color w:val="auto"/>
        </w:rPr>
      </w:pPr>
      <w:r>
        <w:rPr>
          <w:rFonts w:ascii="Arial" w:cs="Arial" w:eastAsia="Arial" w:hAnsi="Arial"/>
          <w:sz w:val="22"/>
          <w:szCs w:val="22"/>
          <w:color w:val="auto"/>
        </w:rPr>
        <w:t>“Cause” means any of the following:</w:t>
      </w:r>
    </w:p>
    <w:p>
      <w:pPr>
        <w:spacing w:after="0" w:line="219" w:lineRule="exact"/>
        <w:rPr>
          <w:rFonts w:ascii="Arial" w:cs="Arial" w:eastAsia="Arial" w:hAnsi="Arial"/>
          <w:sz w:val="22"/>
          <w:szCs w:val="22"/>
          <w:color w:val="auto"/>
        </w:rPr>
      </w:pPr>
    </w:p>
    <w:p>
      <w:pPr>
        <w:ind w:left="1944" w:right="340" w:hanging="648"/>
        <w:spacing w:after="0" w:line="343" w:lineRule="auto"/>
        <w:tabs>
          <w:tab w:leader="none" w:pos="1764" w:val="left"/>
        </w:tabs>
        <w:numPr>
          <w:ilvl w:val="2"/>
          <w:numId w:val="121"/>
        </w:numPr>
        <w:rPr>
          <w:rFonts w:ascii="Arial" w:cs="Arial" w:eastAsia="Arial" w:hAnsi="Arial"/>
          <w:sz w:val="19"/>
          <w:szCs w:val="19"/>
          <w:color w:val="auto"/>
        </w:rPr>
      </w:pPr>
      <w:r>
        <w:rPr>
          <w:rFonts w:ascii="Arial" w:cs="Arial" w:eastAsia="Arial" w:hAnsi="Arial"/>
          <w:sz w:val="19"/>
          <w:szCs w:val="19"/>
          <w:color w:val="auto"/>
        </w:rPr>
        <w:t>a Participant’s violation of his or her material duties to the Company or any of its affiliates, which continues after written notice from the Company or any affiliate to cure such violation;</w:t>
      </w:r>
    </w:p>
    <w:p>
      <w:pPr>
        <w:spacing w:after="0" w:line="104" w:lineRule="exact"/>
        <w:rPr>
          <w:rFonts w:ascii="Arial" w:cs="Arial" w:eastAsia="Arial" w:hAnsi="Arial"/>
          <w:sz w:val="19"/>
          <w:szCs w:val="19"/>
          <w:color w:val="auto"/>
        </w:rPr>
      </w:pPr>
    </w:p>
    <w:p>
      <w:pPr>
        <w:ind w:left="1944" w:right="360" w:hanging="648"/>
        <w:spacing w:after="0" w:line="263" w:lineRule="auto"/>
        <w:tabs>
          <w:tab w:leader="none" w:pos="1764" w:val="left"/>
        </w:tabs>
        <w:numPr>
          <w:ilvl w:val="2"/>
          <w:numId w:val="121"/>
        </w:numPr>
        <w:rPr>
          <w:rFonts w:ascii="Arial" w:cs="Arial" w:eastAsia="Arial" w:hAnsi="Arial"/>
          <w:sz w:val="22"/>
          <w:szCs w:val="22"/>
          <w:color w:val="auto"/>
        </w:rPr>
      </w:pPr>
      <w:r>
        <w:rPr>
          <w:rFonts w:ascii="Arial" w:cs="Arial" w:eastAsia="Arial" w:hAnsi="Arial"/>
          <w:sz w:val="22"/>
          <w:szCs w:val="22"/>
          <w:color w:val="auto"/>
        </w:rPr>
        <w:t>Participant’s willful failure to follow the lawful written directives of the Company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976" w:top="1036" w:right="359" w:bottom="1440" w:gutter="0" w:footer="0" w:header="0"/>
        </w:sectPr>
      </w:pPr>
    </w:p>
    <w:bookmarkStart w:id="154" w:name="page155"/>
    <w:bookmarkEnd w:id="154"/>
    <w:p>
      <w:pPr>
        <w:ind w:left="2600" w:right="120" w:hanging="648"/>
        <w:spacing w:after="0" w:line="260" w:lineRule="auto"/>
        <w:tabs>
          <w:tab w:leader="none" w:pos="2468" w:val="left"/>
        </w:tabs>
        <w:numPr>
          <w:ilvl w:val="3"/>
          <w:numId w:val="122"/>
        </w:numPr>
        <w:rPr>
          <w:rFonts w:ascii="Arial" w:cs="Arial" w:eastAsia="Arial" w:hAnsi="Arial"/>
          <w:sz w:val="21"/>
          <w:szCs w:val="21"/>
          <w:color w:val="auto"/>
        </w:rPr>
      </w:pPr>
      <w:r>
        <w:rPr>
          <w:rFonts w:ascii="Arial" w:cs="Arial" w:eastAsia="Arial" w:hAnsi="Arial"/>
          <w:sz w:val="21"/>
          <w:szCs w:val="21"/>
          <w:color w:val="auto"/>
        </w:rPr>
        <w:t>Participant’s willful misconduct in connection with the performance of any of his or her duties, including but not limited to falsifying or attempting to falsify documents, books or records of the Company or any of its affiliates, making or delivering a false representation, statement or certification of compliance to the Company, misappropriating or attempting to misappropriate funds or other property of the Company or any of its Affiliates, or securing or attempting to secure any personal profit in connection with any transaction entered into on behalf of the Company or any of its Affiliates;</w:t>
      </w:r>
    </w:p>
    <w:p>
      <w:pPr>
        <w:spacing w:after="0" w:line="180" w:lineRule="exact"/>
        <w:rPr>
          <w:rFonts w:ascii="Arial" w:cs="Arial" w:eastAsia="Arial" w:hAnsi="Arial"/>
          <w:sz w:val="21"/>
          <w:szCs w:val="21"/>
          <w:color w:val="auto"/>
        </w:rPr>
      </w:pPr>
    </w:p>
    <w:p>
      <w:pPr>
        <w:ind w:left="2600" w:hanging="648"/>
        <w:spacing w:after="0" w:line="253" w:lineRule="auto"/>
        <w:tabs>
          <w:tab w:leader="none" w:pos="2420" w:val="left"/>
        </w:tabs>
        <w:numPr>
          <w:ilvl w:val="3"/>
          <w:numId w:val="122"/>
        </w:numPr>
        <w:rPr>
          <w:rFonts w:ascii="Arial" w:cs="Arial" w:eastAsia="Arial" w:hAnsi="Arial"/>
          <w:sz w:val="22"/>
          <w:szCs w:val="22"/>
          <w:color w:val="auto"/>
        </w:rPr>
      </w:pPr>
      <w:r>
        <w:rPr>
          <w:rFonts w:ascii="Arial" w:cs="Arial" w:eastAsia="Arial" w:hAnsi="Arial"/>
          <w:sz w:val="22"/>
          <w:szCs w:val="22"/>
          <w:color w:val="auto"/>
        </w:rPr>
        <w:t>Participant’s breach of any material provisions of this Agreement or any other non-competition, non-interference, non-disclosure, confidentiality or other similar agreement executed by Participant with the Company or any of its Affiliates;</w:t>
      </w:r>
    </w:p>
    <w:p>
      <w:pPr>
        <w:spacing w:after="0" w:line="185" w:lineRule="exact"/>
        <w:rPr>
          <w:rFonts w:ascii="Arial" w:cs="Arial" w:eastAsia="Arial" w:hAnsi="Arial"/>
          <w:sz w:val="22"/>
          <w:szCs w:val="22"/>
          <w:color w:val="auto"/>
        </w:rPr>
      </w:pPr>
    </w:p>
    <w:p>
      <w:pPr>
        <w:ind w:left="2600" w:right="160" w:hanging="648"/>
        <w:spacing w:after="0" w:line="253" w:lineRule="auto"/>
        <w:tabs>
          <w:tab w:leader="none" w:pos="2420" w:val="left"/>
        </w:tabs>
        <w:numPr>
          <w:ilvl w:val="3"/>
          <w:numId w:val="122"/>
        </w:numPr>
        <w:rPr>
          <w:rFonts w:ascii="Arial" w:cs="Arial" w:eastAsia="Arial" w:hAnsi="Arial"/>
          <w:sz w:val="22"/>
          <w:szCs w:val="22"/>
          <w:color w:val="auto"/>
        </w:rPr>
      </w:pPr>
      <w:r>
        <w:rPr>
          <w:rFonts w:ascii="Arial" w:cs="Arial" w:eastAsia="Arial" w:hAnsi="Arial"/>
          <w:sz w:val="22"/>
          <w:szCs w:val="22"/>
          <w:color w:val="auto"/>
        </w:rPr>
        <w:t xml:space="preserve">conviction (or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of the Participant of any felony, or a misdemeanor involving false statement, in connection with conduct involving the Company or any of its Subsidiaries or Affiliates; or</w:t>
      </w:r>
    </w:p>
    <w:p>
      <w:pPr>
        <w:spacing w:after="0" w:line="185" w:lineRule="exact"/>
        <w:rPr>
          <w:rFonts w:ascii="Arial" w:cs="Arial" w:eastAsia="Arial" w:hAnsi="Arial"/>
          <w:sz w:val="22"/>
          <w:szCs w:val="22"/>
          <w:color w:val="auto"/>
        </w:rPr>
      </w:pPr>
    </w:p>
    <w:p>
      <w:pPr>
        <w:ind w:left="2600" w:right="80" w:hanging="648"/>
        <w:spacing w:after="0" w:line="263" w:lineRule="auto"/>
        <w:tabs>
          <w:tab w:leader="none" w:pos="2408" w:val="left"/>
        </w:tabs>
        <w:numPr>
          <w:ilvl w:val="3"/>
          <w:numId w:val="122"/>
        </w:numPr>
        <w:rPr>
          <w:rFonts w:ascii="Arial" w:cs="Arial" w:eastAsia="Arial" w:hAnsi="Arial"/>
          <w:sz w:val="22"/>
          <w:szCs w:val="22"/>
          <w:color w:val="auto"/>
        </w:rPr>
      </w:pPr>
      <w:r>
        <w:rPr>
          <w:rFonts w:ascii="Arial" w:cs="Arial" w:eastAsia="Arial" w:hAnsi="Arial"/>
          <w:sz w:val="22"/>
          <w:szCs w:val="22"/>
          <w:color w:val="auto"/>
        </w:rPr>
        <w:t>intentional engagement in any activity which would constitute or cause a breach of duty of loyalty, or any fiduciary duty to the Company or any of its Subsidiaries or Affiliates.</w:t>
      </w:r>
    </w:p>
    <w:p>
      <w:pPr>
        <w:spacing w:after="0" w:line="174" w:lineRule="exact"/>
        <w:rPr>
          <w:rFonts w:ascii="Arial" w:cs="Arial" w:eastAsia="Arial" w:hAnsi="Arial"/>
          <w:sz w:val="22"/>
          <w:szCs w:val="22"/>
          <w:color w:val="auto"/>
        </w:rPr>
      </w:pPr>
    </w:p>
    <w:p>
      <w:pPr>
        <w:ind w:left="1960" w:right="20" w:hanging="919"/>
        <w:spacing w:after="0" w:line="265" w:lineRule="auto"/>
        <w:tabs>
          <w:tab w:leader="none" w:pos="1960" w:val="left"/>
        </w:tabs>
        <w:numPr>
          <w:ilvl w:val="2"/>
          <w:numId w:val="123"/>
        </w:numPr>
        <w:rPr>
          <w:rFonts w:ascii="Arial" w:cs="Arial" w:eastAsia="Arial" w:hAnsi="Arial"/>
          <w:sz w:val="21"/>
          <w:szCs w:val="21"/>
          <w:color w:val="auto"/>
        </w:rPr>
      </w:pPr>
      <w:r>
        <w:rPr>
          <w:rFonts w:ascii="Arial" w:cs="Arial" w:eastAsia="Arial" w:hAnsi="Arial"/>
          <w:sz w:val="21"/>
          <w:szCs w:val="21"/>
          <w:color w:val="auto"/>
        </w:rPr>
        <w:t>“Code of Conduct” means any code of ethics or code of conduct now or hereafter adopted by the Company or any of its Affiliates, including to the extent applicable the Company’s Code of Business Conduct, as amended or supplemented from time to time, and the Company’s or subsidiary Risk Management Policies and Procedures, as amended, supplemented or replaced from time to time.</w:t>
      </w:r>
    </w:p>
    <w:p>
      <w:pPr>
        <w:spacing w:after="0" w:line="175" w:lineRule="exact"/>
        <w:rPr>
          <w:rFonts w:ascii="Arial" w:cs="Arial" w:eastAsia="Arial" w:hAnsi="Arial"/>
          <w:sz w:val="21"/>
          <w:szCs w:val="21"/>
          <w:color w:val="auto"/>
        </w:rPr>
      </w:pPr>
    </w:p>
    <w:p>
      <w:pPr>
        <w:ind w:left="1300" w:right="20" w:hanging="644"/>
        <w:spacing w:after="0" w:line="250" w:lineRule="auto"/>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Participant agrees that the provisions of this Section 10 are entered into in consideration of, and as a material inducement to, the agreements by the Company herein as well as an inducement for the Company to enter into this Agreement, and that, but for Participant’s agreement to the provisions of this Section 10, the Company would not have entered into this Agreement.</w:t>
      </w:r>
    </w:p>
    <w:p>
      <w:pPr>
        <w:spacing w:after="0" w:line="181" w:lineRule="exact"/>
        <w:rPr>
          <w:rFonts w:ascii="Arial" w:cs="Arial" w:eastAsia="Arial" w:hAnsi="Arial"/>
          <w:sz w:val="22"/>
          <w:szCs w:val="22"/>
          <w:color w:val="auto"/>
        </w:rPr>
      </w:pPr>
    </w:p>
    <w:p>
      <w:pPr>
        <w:ind w:left="500" w:right="180" w:hanging="492"/>
        <w:spacing w:after="0" w:line="262" w:lineRule="auto"/>
        <w:tabs>
          <w:tab w:leader="none" w:pos="492" w:val="left"/>
        </w:tabs>
        <w:numPr>
          <w:ilvl w:val="0"/>
          <w:numId w:val="125"/>
        </w:numPr>
        <w:rPr>
          <w:rFonts w:ascii="Arial" w:cs="Arial" w:eastAsia="Arial" w:hAnsi="Arial"/>
          <w:sz w:val="21"/>
          <w:szCs w:val="21"/>
          <w:color w:val="auto"/>
        </w:rPr>
      </w:pPr>
      <w:r>
        <w:rPr>
          <w:rFonts w:ascii="Arial" w:cs="Arial" w:eastAsia="Arial" w:hAnsi="Arial"/>
          <w:sz w:val="21"/>
          <w:szCs w:val="21"/>
          <w:b w:val="1"/>
          <w:bCs w:val="1"/>
          <w:color w:val="auto"/>
        </w:rPr>
        <w:t>Transferability</w:t>
      </w:r>
      <w:r>
        <w:rPr>
          <w:rFonts w:ascii="Arial" w:cs="Arial" w:eastAsia="Arial" w:hAnsi="Arial"/>
          <w:sz w:val="21"/>
          <w:szCs w:val="21"/>
          <w:color w:val="auto"/>
        </w:rPr>
        <w:t>. This Restricted Stock is not transferable by the Participant, whether voluntarily or involuntarily, by</w:t>
      </w:r>
      <w:r>
        <w:rPr>
          <w:rFonts w:ascii="Arial" w:cs="Arial" w:eastAsia="Arial" w:hAnsi="Arial"/>
          <w:sz w:val="21"/>
          <w:szCs w:val="21"/>
          <w:b w:val="1"/>
          <w:bCs w:val="1"/>
          <w:color w:val="auto"/>
        </w:rPr>
        <w:t xml:space="preserve"> </w:t>
      </w:r>
      <w:r>
        <w:rPr>
          <w:rFonts w:ascii="Arial" w:cs="Arial" w:eastAsia="Arial" w:hAnsi="Arial"/>
          <w:sz w:val="21"/>
          <w:szCs w:val="21"/>
          <w:color w:val="auto"/>
        </w:rPr>
        <w:t>operation of laws or otherwise, during the Restriction Period, except as provided in the Plan. If any assessment, pledge, transfer, or other disposition, voluntary or involuntary, of this Restricted Stock shall be made, or if any attachment, execution, garnishment, or claim shall be issued against or placed upon the Restricted Stock, then the Participant’s right to the Restricted Stock shall immediately cease and terminate and the Participant shall promptly forfeit to the Company all Restricted Stock awarded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36" w:right="339" w:bottom="1440" w:gutter="0" w:footer="0" w:header="0"/>
        </w:sectPr>
      </w:pPr>
    </w:p>
    <w:bookmarkStart w:id="155" w:name="page156"/>
    <w:bookmarkEnd w:id="155"/>
    <w:p>
      <w:pPr>
        <w:ind w:left="500" w:right="20" w:hanging="492"/>
        <w:spacing w:after="0" w:line="274" w:lineRule="auto"/>
        <w:tabs>
          <w:tab w:leader="none" w:pos="500" w:val="left"/>
        </w:tabs>
        <w:numPr>
          <w:ilvl w:val="0"/>
          <w:numId w:val="126"/>
        </w:numPr>
        <w:rPr>
          <w:rFonts w:ascii="Arial" w:cs="Arial" w:eastAsia="Arial" w:hAnsi="Arial"/>
          <w:sz w:val="21"/>
          <w:szCs w:val="21"/>
          <w:color w:val="auto"/>
        </w:rPr>
      </w:pPr>
      <w:r>
        <w:rPr>
          <w:rFonts w:ascii="Arial" w:cs="Arial" w:eastAsia="Arial" w:hAnsi="Arial"/>
          <w:sz w:val="21"/>
          <w:szCs w:val="21"/>
          <w:b w:val="1"/>
          <w:bCs w:val="1"/>
          <w:color w:val="auto"/>
        </w:rPr>
        <w:t>Tax Treatment</w:t>
      </w:r>
      <w:r>
        <w:rPr>
          <w:rFonts w:ascii="Arial" w:cs="Arial" w:eastAsia="Arial" w:hAnsi="Arial"/>
          <w:sz w:val="21"/>
          <w:szCs w:val="21"/>
          <w:color w:val="auto"/>
        </w:rPr>
        <w:t>. The following is a brief summary of the principal federal income tax consequences related to grants of</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This summary is based on the Company’s understanding of present federal income tax law and regulations. The summary does not purport to be complete or applicable to every specific situation.</w:t>
      </w:r>
    </w:p>
    <w:p>
      <w:pPr>
        <w:spacing w:after="0" w:line="191" w:lineRule="exact"/>
        <w:rPr>
          <w:rFonts w:ascii="Arial" w:cs="Arial" w:eastAsia="Arial" w:hAnsi="Arial"/>
          <w:sz w:val="21"/>
          <w:szCs w:val="21"/>
          <w:color w:val="auto"/>
        </w:rPr>
      </w:pPr>
    </w:p>
    <w:p>
      <w:pPr>
        <w:ind w:left="500"/>
        <w:spacing w:after="0" w:line="263" w:lineRule="auto"/>
        <w:rPr>
          <w:rFonts w:ascii="Arial" w:cs="Arial" w:eastAsia="Arial" w:hAnsi="Arial"/>
          <w:sz w:val="21"/>
          <w:szCs w:val="21"/>
          <w:color w:val="auto"/>
        </w:rPr>
      </w:pPr>
      <w:r>
        <w:rPr>
          <w:rFonts w:ascii="Arial" w:cs="Arial" w:eastAsia="Arial" w:hAnsi="Arial"/>
          <w:sz w:val="21"/>
          <w:szCs w:val="21"/>
          <w:color w:val="auto"/>
        </w:rPr>
        <w:t>The value of restricted stock granted to the Participant will be taxable to the Participant in the year in which it is no longer subject to substantial risk of forfeiture (i.e., when the restrictions lapse). When the restrictions lapse, there is an ordinary income tax event to the Participant equal to the number of shares multiplied by the market price of the shares at the time the restrictions lapse. The Participant must satisfy federal and state withholding requirements and may do so by having the Company sell sufficient shares to meet the withholding requirements.</w:t>
      </w:r>
    </w:p>
    <w:p>
      <w:pPr>
        <w:spacing w:after="0" w:line="202" w:lineRule="exact"/>
        <w:rPr>
          <w:rFonts w:ascii="Arial" w:cs="Arial" w:eastAsia="Arial" w:hAnsi="Arial"/>
          <w:sz w:val="21"/>
          <w:szCs w:val="21"/>
          <w:color w:val="auto"/>
        </w:rPr>
      </w:pPr>
    </w:p>
    <w:p>
      <w:pPr>
        <w:ind w:left="500" w:right="40"/>
        <w:spacing w:after="0" w:line="247" w:lineRule="auto"/>
        <w:rPr>
          <w:rFonts w:ascii="Arial" w:cs="Arial" w:eastAsia="Arial" w:hAnsi="Arial"/>
          <w:sz w:val="21"/>
          <w:szCs w:val="21"/>
          <w:color w:val="auto"/>
        </w:rPr>
      </w:pPr>
      <w:r>
        <w:rPr>
          <w:rFonts w:ascii="Arial" w:cs="Arial" w:eastAsia="Arial" w:hAnsi="Arial"/>
          <w:sz w:val="22"/>
          <w:szCs w:val="22"/>
          <w:color w:val="auto"/>
        </w:rPr>
        <w:t>The Participant has the option to make a Code Section 83(b) election on a grant of restricted stock. Code Section 83(b) allows the Participant to choose to be taxed immediately on the amounts received in connection with a substantially “nonvested” right (i.e., compensation that has not been constructively received). This is accomplished by the Participant filing an election with the IRS stating that he or she will pay ordinary income on the value as measured at the time of grant. Any future appreciation in the stock property will be treated as capital gain when sold. This election must be made within 30 days of the Date of Grant.</w:t>
      </w:r>
    </w:p>
    <w:p>
      <w:pPr>
        <w:spacing w:after="0" w:line="219" w:lineRule="exact"/>
        <w:rPr>
          <w:rFonts w:ascii="Arial" w:cs="Arial" w:eastAsia="Arial" w:hAnsi="Arial"/>
          <w:sz w:val="21"/>
          <w:szCs w:val="21"/>
          <w:color w:val="auto"/>
        </w:rPr>
      </w:pPr>
    </w:p>
    <w:p>
      <w:pPr>
        <w:ind w:left="500"/>
        <w:spacing w:after="0" w:line="253" w:lineRule="auto"/>
        <w:rPr>
          <w:rFonts w:ascii="Arial" w:cs="Arial" w:eastAsia="Arial" w:hAnsi="Arial"/>
          <w:sz w:val="21"/>
          <w:szCs w:val="21"/>
          <w:color w:val="auto"/>
        </w:rPr>
      </w:pPr>
      <w:r>
        <w:rPr>
          <w:rFonts w:ascii="Arial" w:cs="Arial" w:eastAsia="Arial" w:hAnsi="Arial"/>
          <w:sz w:val="22"/>
          <w:szCs w:val="22"/>
          <w:color w:val="auto"/>
        </w:rPr>
        <w:t xml:space="preserve">If the Participant elects Section 83(b) treatment and later forfeits the subject stock, he or she will not be entitled to any refund for the taxes paid; however, he or she will be entitled to treat the forfeiture as a sale of the stock at a loss (i.e., capital loss) </w:t>
      </w:r>
      <w:r>
        <w:rPr>
          <w:rFonts w:ascii="Arial" w:cs="Arial" w:eastAsia="Arial" w:hAnsi="Arial"/>
          <w:sz w:val="22"/>
          <w:szCs w:val="22"/>
          <w:i w:val="1"/>
          <w:iCs w:val="1"/>
          <w:color w:val="auto"/>
        </w:rPr>
        <w:t>(limited to the amount paid for shares--typically zero).</w:t>
      </w:r>
    </w:p>
    <w:p>
      <w:pPr>
        <w:spacing w:after="0" w:line="200" w:lineRule="exact"/>
        <w:rPr>
          <w:rFonts w:ascii="Arial" w:cs="Arial" w:eastAsia="Arial" w:hAnsi="Arial"/>
          <w:sz w:val="21"/>
          <w:szCs w:val="21"/>
          <w:color w:val="auto"/>
        </w:rPr>
      </w:pPr>
    </w:p>
    <w:p>
      <w:pPr>
        <w:spacing w:after="0" w:line="249" w:lineRule="exact"/>
        <w:rPr>
          <w:rFonts w:ascii="Arial" w:cs="Arial" w:eastAsia="Arial" w:hAnsi="Arial"/>
          <w:sz w:val="21"/>
          <w:szCs w:val="21"/>
          <w:color w:val="auto"/>
        </w:rPr>
      </w:pPr>
    </w:p>
    <w:p>
      <w:pPr>
        <w:ind w:left="500" w:hanging="492"/>
        <w:spacing w:after="0"/>
        <w:tabs>
          <w:tab w:leader="none" w:pos="500"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253" w:lineRule="exact"/>
        <w:rPr>
          <w:sz w:val="20"/>
          <w:szCs w:val="20"/>
          <w:color w:val="auto"/>
        </w:rPr>
      </w:pPr>
    </w:p>
    <w:p>
      <w:pPr>
        <w:ind w:right="40" w:firstLine="216"/>
        <w:spacing w:after="0" w:line="261" w:lineRule="auto"/>
        <w:rPr>
          <w:sz w:val="20"/>
          <w:szCs w:val="20"/>
          <w:color w:val="auto"/>
        </w:rPr>
      </w:pPr>
      <w:r>
        <w:rPr>
          <w:rFonts w:ascii="Arial" w:cs="Arial" w:eastAsia="Arial" w:hAnsi="Arial"/>
          <w:sz w:val="21"/>
          <w:szCs w:val="21"/>
          <w:color w:val="auto"/>
        </w:rPr>
        <w:t>Neither the Company nor any of its Affiliates shall be liable or responsible in any way for the tax consequences relating to the award of Units, their vesting and the settlement of vested Units in Shares. The Participant agrees to determine and be responsible for any and all tax consequences to the Participant relating to the award, vesting and settlement of Units hereunder. If the Company is obligated to withhold an amount on account of any tax imposed as a result of the grant, vesting or settlement of the Units, the provisions of Section 19.2 of the Plan regarding the satisfaction of tax withholding obligations shall apply (including any required payments by the Participant).</w:t>
      </w:r>
    </w:p>
    <w:p>
      <w:pPr>
        <w:spacing w:after="0" w:line="200" w:lineRule="exact"/>
        <w:rPr>
          <w:sz w:val="20"/>
          <w:szCs w:val="20"/>
          <w:color w:val="auto"/>
        </w:rPr>
      </w:pPr>
    </w:p>
    <w:p>
      <w:pPr>
        <w:ind w:left="500" w:right="40" w:hanging="492"/>
        <w:spacing w:after="0" w:line="349" w:lineRule="auto"/>
        <w:tabs>
          <w:tab w:leader="none" w:pos="500"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Requirements of Law</w:t>
      </w:r>
      <w:r>
        <w:rPr>
          <w:rFonts w:ascii="Arial" w:cs="Arial" w:eastAsia="Arial" w:hAnsi="Arial"/>
          <w:sz w:val="19"/>
          <w:szCs w:val="19"/>
          <w:color w:val="auto"/>
        </w:rPr>
        <w:t>. The issuance of Shares under the Plan shall be subject to all applicable laws, rules,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to such approvals by any governmental agencies or national securities exchanges as may be required.</w:t>
      </w:r>
    </w:p>
    <w:p>
      <w:pPr>
        <w:spacing w:after="0" w:line="120" w:lineRule="exact"/>
        <w:rPr>
          <w:rFonts w:ascii="Arial" w:cs="Arial" w:eastAsia="Arial" w:hAnsi="Arial"/>
          <w:sz w:val="19"/>
          <w:szCs w:val="19"/>
          <w:color w:val="auto"/>
        </w:rPr>
      </w:pPr>
    </w:p>
    <w:p>
      <w:pPr>
        <w:ind w:left="500" w:right="20" w:hanging="492"/>
        <w:spacing w:after="0" w:line="252" w:lineRule="auto"/>
        <w:tabs>
          <w:tab w:leader="none" w:pos="500" w:val="left"/>
        </w:tabs>
        <w:numPr>
          <w:ilvl w:val="0"/>
          <w:numId w:val="127"/>
        </w:numPr>
        <w:rPr>
          <w:rFonts w:ascii="Arial" w:cs="Arial" w:eastAsia="Arial" w:hAnsi="Arial"/>
          <w:sz w:val="22"/>
          <w:szCs w:val="22"/>
          <w:color w:val="auto"/>
        </w:rPr>
      </w:pPr>
      <w:r>
        <w:rPr>
          <w:rFonts w:ascii="Arial" w:cs="Arial" w:eastAsia="Arial" w:hAnsi="Arial"/>
          <w:sz w:val="22"/>
          <w:szCs w:val="22"/>
          <w:b w:val="1"/>
          <w:bCs w:val="1"/>
          <w:color w:val="auto"/>
        </w:rPr>
        <w:t>Inability to Obtain Authorization</w:t>
      </w:r>
      <w:r>
        <w:rPr>
          <w:rFonts w:ascii="Arial" w:cs="Arial" w:eastAsia="Arial" w:hAnsi="Arial"/>
          <w:sz w:val="22"/>
          <w:szCs w:val="22"/>
          <w:color w:val="auto"/>
        </w:rPr>
        <w:t>. The inability of the Company to obtain authority from any regulatory body having</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which authority is deemed by the Company’s counsel to be necessary to the lawful issuance of any Shares hereunder, shall relieve the Company of any liability in respect of the failure to issue such Shares as to which such requisite authority shall not have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030" w:right="379" w:bottom="1440" w:gutter="0" w:footer="0" w:header="0"/>
        </w:sectPr>
      </w:pPr>
    </w:p>
    <w:bookmarkStart w:id="156" w:name="page157"/>
    <w:bookmarkEnd w:id="156"/>
    <w:p>
      <w:pPr>
        <w:jc w:val="both"/>
        <w:ind w:left="500" w:hanging="492"/>
        <w:spacing w:after="0" w:line="256" w:lineRule="auto"/>
        <w:tabs>
          <w:tab w:leader="none" w:pos="500"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In the event any provision of this Agreement shall be held to be illegal or invalid for any reason, the illegality</w:t>
      </w:r>
      <w:r>
        <w:rPr>
          <w:rFonts w:ascii="Arial" w:cs="Arial" w:eastAsia="Arial" w:hAnsi="Arial"/>
          <w:sz w:val="22"/>
          <w:szCs w:val="22"/>
          <w:b w:val="1"/>
          <w:bCs w:val="1"/>
          <w:color w:val="auto"/>
        </w:rPr>
        <w:t xml:space="preserve"> </w:t>
      </w:r>
      <w:r>
        <w:rPr>
          <w:rFonts w:ascii="Arial" w:cs="Arial" w:eastAsia="Arial" w:hAnsi="Arial"/>
          <w:sz w:val="22"/>
          <w:szCs w:val="22"/>
          <w:color w:val="auto"/>
        </w:rPr>
        <w:t>or invalidity shall not affect the remaining parts of this Agreement, and the Agreement shall be construed and enforced as if the illegal or invalid provision had not been included.</w:t>
      </w:r>
    </w:p>
    <w:p>
      <w:pPr>
        <w:spacing w:after="0" w:line="203" w:lineRule="exact"/>
        <w:rPr>
          <w:rFonts w:ascii="Arial" w:cs="Arial" w:eastAsia="Arial" w:hAnsi="Arial"/>
          <w:sz w:val="22"/>
          <w:szCs w:val="22"/>
          <w:color w:val="auto"/>
        </w:rPr>
      </w:pPr>
    </w:p>
    <w:p>
      <w:pPr>
        <w:ind w:left="500" w:right="120" w:hanging="492"/>
        <w:spacing w:after="0" w:line="262" w:lineRule="auto"/>
        <w:tabs>
          <w:tab w:leader="none" w:pos="500" w:val="left"/>
        </w:tabs>
        <w:numPr>
          <w:ilvl w:val="0"/>
          <w:numId w:val="128"/>
        </w:numPr>
        <w:rPr>
          <w:rFonts w:ascii="Arial" w:cs="Arial" w:eastAsia="Arial" w:hAnsi="Arial"/>
          <w:sz w:val="21"/>
          <w:szCs w:val="21"/>
          <w:color w:val="auto"/>
        </w:rPr>
      </w:pPr>
      <w:r>
        <w:rPr>
          <w:rFonts w:ascii="Arial" w:cs="Arial" w:eastAsia="Arial" w:hAnsi="Arial"/>
          <w:sz w:val="21"/>
          <w:szCs w:val="21"/>
          <w:b w:val="1"/>
          <w:bCs w:val="1"/>
          <w:color w:val="auto"/>
        </w:rPr>
        <w:t>Continuation of Employment</w:t>
      </w:r>
      <w:r>
        <w:rPr>
          <w:rFonts w:ascii="Arial" w:cs="Arial" w:eastAsia="Arial" w:hAnsi="Arial"/>
          <w:sz w:val="21"/>
          <w:szCs w:val="21"/>
          <w:color w:val="auto"/>
        </w:rPr>
        <w:t>. This Agreement shall not confer upon the Participant any right to continuation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by the Company, nor shall this Agreement interfere in any way with the Company’s right to terminate the Participant’s employment at any time, for any reason. Participant further agrees that awards made pursuant to this Agreement are discretionary, and do not constitute a benefit which the Company is obligated to make available to Participant, and therefore, nothing in this Agreement shall be deemed to constitute a contract of employment, or otherwise alter the at-will employment relationship between Participant and the Company.</w:t>
      </w:r>
    </w:p>
    <w:p>
      <w:pPr>
        <w:spacing w:after="0" w:line="200" w:lineRule="exact"/>
        <w:rPr>
          <w:rFonts w:ascii="Arial" w:cs="Arial" w:eastAsia="Arial" w:hAnsi="Arial"/>
          <w:sz w:val="21"/>
          <w:szCs w:val="21"/>
          <w:color w:val="auto"/>
        </w:rPr>
      </w:pPr>
    </w:p>
    <w:p>
      <w:pPr>
        <w:ind w:left="500" w:right="140" w:hanging="492"/>
        <w:spacing w:after="0" w:line="298" w:lineRule="auto"/>
        <w:tabs>
          <w:tab w:leader="none" w:pos="500"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Applicable Laws and Consent to Jurisdiction</w:t>
      </w:r>
      <w:r>
        <w:rPr>
          <w:rFonts w:ascii="Arial" w:cs="Arial" w:eastAsia="Arial" w:hAnsi="Arial"/>
          <w:sz w:val="19"/>
          <w:szCs w:val="19"/>
          <w:color w:val="auto"/>
        </w:rPr>
        <w:t>. The validity, construction, interpretation and enforceability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determined and governed by the laws of the State of South Dakota without giving effect to the principles of conflicts of law. For the purpose of litigating any dispute that arises under this Agreement, the parties hereby consent to exclusive jurisdiction in South Dakota and agree that such litigation shall be conducted in the courts of Pennington County or the federal courts of the United States for the District of South Dakota, Western Division.</w:t>
      </w:r>
    </w:p>
    <w:p>
      <w:pPr>
        <w:spacing w:after="0" w:line="169" w:lineRule="exact"/>
        <w:rPr>
          <w:rFonts w:ascii="Arial" w:cs="Arial" w:eastAsia="Arial" w:hAnsi="Arial"/>
          <w:sz w:val="19"/>
          <w:szCs w:val="19"/>
          <w:color w:val="auto"/>
        </w:rPr>
      </w:pPr>
    </w:p>
    <w:p>
      <w:pPr>
        <w:ind w:left="500" w:right="120" w:hanging="492"/>
        <w:spacing w:after="0" w:line="274" w:lineRule="auto"/>
        <w:tabs>
          <w:tab w:leader="none" w:pos="500" w:val="left"/>
        </w:tabs>
        <w:numPr>
          <w:ilvl w:val="0"/>
          <w:numId w:val="128"/>
        </w:numPr>
        <w:rPr>
          <w:rFonts w:ascii="Arial" w:cs="Arial" w:eastAsia="Arial" w:hAnsi="Arial"/>
          <w:sz w:val="21"/>
          <w:szCs w:val="21"/>
          <w:color w:val="auto"/>
        </w:rPr>
      </w:pPr>
      <w:r>
        <w:rPr>
          <w:rFonts w:ascii="Arial" w:cs="Arial" w:eastAsia="Arial" w:hAnsi="Arial"/>
          <w:sz w:val="21"/>
          <w:szCs w:val="21"/>
          <w:b w:val="1"/>
          <w:bCs w:val="1"/>
          <w:color w:val="auto"/>
        </w:rPr>
        <w:t>Miscellaneous</w:t>
      </w:r>
      <w:r>
        <w:rPr>
          <w:rFonts w:ascii="Arial" w:cs="Arial" w:eastAsia="Arial" w:hAnsi="Arial"/>
          <w:sz w:val="21"/>
          <w:szCs w:val="21"/>
          <w:color w:val="auto"/>
        </w:rPr>
        <w:t>. The Plan may be amended by the Committee pursuant to Article 18 of the Plan. No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or modification of the Plan shall adversely affect in any material way any Award previously granted under the Plan, without the written consent of the Participant holding such Award, except as required by law.</w:t>
      </w:r>
    </w:p>
    <w:p>
      <w:pPr>
        <w:spacing w:after="0" w:line="200" w:lineRule="exact"/>
        <w:rPr>
          <w:sz w:val="20"/>
          <w:szCs w:val="20"/>
          <w:color w:val="auto"/>
        </w:rPr>
      </w:pPr>
    </w:p>
    <w:p>
      <w:pPr>
        <w:spacing w:after="0" w:line="234" w:lineRule="exact"/>
        <w:rPr>
          <w:sz w:val="20"/>
          <w:szCs w:val="20"/>
          <w:color w:val="auto"/>
        </w:rPr>
      </w:pPr>
    </w:p>
    <w:p>
      <w:pPr>
        <w:ind w:left="500" w:right="420"/>
        <w:spacing w:after="0" w:line="263" w:lineRule="auto"/>
        <w:rPr>
          <w:sz w:val="20"/>
          <w:szCs w:val="20"/>
          <w:color w:val="auto"/>
        </w:rPr>
      </w:pPr>
      <w:r>
        <w:rPr>
          <w:rFonts w:ascii="Arial" w:cs="Arial" w:eastAsia="Arial" w:hAnsi="Arial"/>
          <w:sz w:val="22"/>
          <w:szCs w:val="22"/>
          <w:color w:val="auto"/>
        </w:rPr>
        <w:t>The Plan and this Agreement are binding upon Participant, as well as his/her heirs, executors, personal representatives, trustees, attorneys, agents, administrators, and successors.</w:t>
      </w:r>
    </w:p>
    <w:p>
      <w:pPr>
        <w:spacing w:after="0" w:line="202" w:lineRule="exact"/>
        <w:rPr>
          <w:sz w:val="20"/>
          <w:szCs w:val="20"/>
          <w:color w:val="auto"/>
        </w:rPr>
      </w:pPr>
    </w:p>
    <w:p>
      <w:pPr>
        <w:ind w:right="660"/>
        <w:spacing w:after="0" w:line="343" w:lineRule="auto"/>
        <w:rPr>
          <w:sz w:val="20"/>
          <w:szCs w:val="20"/>
          <w:color w:val="auto"/>
        </w:rPr>
      </w:pPr>
      <w:r>
        <w:rPr>
          <w:rFonts w:ascii="Arial" w:cs="Arial" w:eastAsia="Arial" w:hAnsi="Arial"/>
          <w:sz w:val="19"/>
          <w:szCs w:val="19"/>
          <w:color w:val="auto"/>
        </w:rPr>
        <w:t>Please refer any questions you may have regarding your restricted stock to Amy K. Koenig, Vice President - Governance, Corporate Secretary and Deputy General Counsel. Once again, congratulations on receipt of your restricted stock.</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Amy K. Koenig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 Governance, Corporate Secretary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 Deputy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1030" w:right="399" w:bottom="1440" w:gutter="0" w:footer="0" w:header="0"/>
        </w:sectPr>
      </w:pPr>
    </w:p>
    <w:bookmarkStart w:id="157" w:name="page158"/>
    <w:bookmarkEnd w:id="157"/>
    <w:p>
      <w:pPr>
        <w:spacing w:after="0" w:line="263" w:lineRule="auto"/>
        <w:rPr>
          <w:sz w:val="20"/>
          <w:szCs w:val="20"/>
          <w:color w:val="auto"/>
        </w:rPr>
      </w:pPr>
      <w:r>
        <w:rPr>
          <w:rFonts w:ascii="Arial" w:cs="Arial" w:eastAsia="Arial" w:hAnsi="Arial"/>
          <w:sz w:val="22"/>
          <w:szCs w:val="22"/>
          <w:color w:val="auto"/>
        </w:rPr>
        <w:t>Please acknowledge your agreement to participate in the Plan and this Agreement, and to abide by all of the governing terms and provisions, by signing the following representation:</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Agreement to Participate</w:t>
      </w:r>
    </w:p>
    <w:p>
      <w:pPr>
        <w:spacing w:after="0" w:line="253" w:lineRule="exact"/>
        <w:rPr>
          <w:sz w:val="20"/>
          <w:szCs w:val="20"/>
          <w:color w:val="auto"/>
        </w:rPr>
      </w:pPr>
    </w:p>
    <w:p>
      <w:pPr>
        <w:ind w:left="980" w:right="860" w:hanging="701"/>
        <w:spacing w:after="0" w:line="261" w:lineRule="auto"/>
        <w:rPr>
          <w:sz w:val="20"/>
          <w:szCs w:val="20"/>
          <w:color w:val="auto"/>
        </w:rPr>
      </w:pPr>
      <w:r>
        <w:rPr>
          <w:rFonts w:ascii="Arial" w:cs="Arial" w:eastAsia="Arial" w:hAnsi="Arial"/>
          <w:sz w:val="21"/>
          <w:szCs w:val="21"/>
          <w:color w:val="auto"/>
        </w:rPr>
        <w:t>By signing a copy of this Agreement and returning it to Amy K. Koenig, Vice President - Governance, Corporate Secretary and Deputy General Counsel of Black Hills Corporation, I acknowledge that I have read the Plan, and that I fully understand all of my rights under the Plan, as well as all of the terms and conditions which may limit my eligibility to exercise this Award. Without limiting the generality of the preceding sentence, I understand that my right to exercise this Award is conditioned upon my continued employment with Black Hills Corporation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___________________________________</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320" w:top="1036" w:right="419" w:bottom="1440" w:gutter="0" w:footer="0" w:header="0"/>
        </w:sectPr>
      </w:pPr>
    </w:p>
    <w:bookmarkStart w:id="158" w:name="page159"/>
    <w:bookmarkEnd w:id="158"/>
    <w:p>
      <w:pPr>
        <w:spacing w:after="0" w:line="20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Hills Corporation</w:t>
      </w: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Short- Term Incentive Plan for Officers</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Award Agreement</w:t>
      </w:r>
    </w:p>
    <w:p>
      <w:pPr>
        <w:spacing w:after="0" w:line="9" w:lineRule="exact"/>
        <w:rPr>
          <w:sz w:val="20"/>
          <w:szCs w:val="20"/>
          <w:color w:val="auto"/>
        </w:rPr>
      </w:pPr>
    </w:p>
    <w:p>
      <w:pPr>
        <w:spacing w:after="0"/>
        <w:rPr>
          <w:sz w:val="20"/>
          <w:szCs w:val="20"/>
          <w:color w:val="auto"/>
        </w:rPr>
      </w:pPr>
      <w:r>
        <w:rPr>
          <w:rFonts w:ascii="Arial" w:cs="Arial" w:eastAsia="Arial" w:hAnsi="Arial"/>
          <w:sz w:val="23"/>
          <w:szCs w:val="23"/>
          <w:color w:val="auto"/>
        </w:rPr>
        <w:t>(Effective for Plan Years Beginning on or after January 1, 2021)</w:t>
      </w:r>
    </w:p>
    <w:p>
      <w:pPr>
        <w:sectPr>
          <w:pgSz w:w="11900" w:h="16838" w:orient="portrait"/>
          <w:cols w:equalWidth="0" w:num="1">
            <w:col w:w="10139"/>
          </w:cols>
          <w:pgMar w:left="320" w:top="1440" w:right="1440" w:bottom="1440" w:gutter="0" w:footer="0" w:header="0"/>
        </w:sectPr>
      </w:pPr>
    </w:p>
    <w:bookmarkStart w:id="159" w:name="page160"/>
    <w:bookmarkEnd w:id="159"/>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698627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4">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1400" w:type="dxa"/>
            <w:vAlign w:val="bottom"/>
          </w:tcPr>
          <w:p>
            <w:pPr>
              <w:spacing w:after="0"/>
              <w:rPr>
                <w:sz w:val="20"/>
                <w:szCs w:val="20"/>
                <w:color w:val="auto"/>
              </w:rPr>
            </w:pPr>
            <w:r>
              <w:rPr>
                <w:rFonts w:ascii="Arial" w:cs="Arial" w:eastAsia="Arial" w:hAnsi="Arial"/>
                <w:sz w:val="22"/>
                <w:szCs w:val="22"/>
                <w:color w:val="auto"/>
              </w:rPr>
              <w:t>Article 1</w:t>
            </w:r>
          </w:p>
        </w:tc>
        <w:tc>
          <w:tcPr>
            <w:tcW w:w="7120" w:type="dxa"/>
            <w:vAlign w:val="bottom"/>
          </w:tcPr>
          <w:p>
            <w:pPr>
              <w:ind w:left="460"/>
              <w:spacing w:after="0"/>
              <w:rPr>
                <w:rFonts w:ascii="Arial" w:cs="Arial" w:eastAsia="Arial" w:hAnsi="Arial"/>
                <w:sz w:val="22"/>
                <w:szCs w:val="22"/>
                <w:u w:val="single" w:color="auto"/>
                <w:color w:val="0000FF"/>
              </w:rPr>
            </w:pPr>
            <w:hyperlink w:anchor="page161">
              <w:r>
                <w:rPr>
                  <w:rFonts w:ascii="Arial" w:cs="Arial" w:eastAsia="Arial" w:hAnsi="Arial"/>
                  <w:sz w:val="22"/>
                  <w:szCs w:val="22"/>
                  <w:u w:val="single" w:color="auto"/>
                  <w:color w:val="0000FF"/>
                </w:rPr>
                <w:t>Effective Date and Purpose of Plan</w:t>
              </w:r>
            </w:hyperlink>
          </w:p>
        </w:tc>
        <w:tc>
          <w:tcPr>
            <w:tcW w:w="2160" w:type="dxa"/>
            <w:vAlign w:val="bottom"/>
          </w:tcPr>
          <w:p>
            <w:pPr>
              <w:jc w:val="right"/>
              <w:spacing w:after="0"/>
              <w:rPr>
                <w:rFonts w:ascii="Arial" w:cs="Arial" w:eastAsia="Arial" w:hAnsi="Arial"/>
                <w:sz w:val="22"/>
                <w:szCs w:val="22"/>
                <w:u w:val="single" w:color="auto"/>
                <w:color w:val="auto"/>
              </w:rPr>
            </w:pPr>
            <w:hyperlink w:anchor="page161">
              <w:r>
                <w:rPr>
                  <w:rFonts w:ascii="Arial" w:cs="Arial" w:eastAsia="Arial" w:hAnsi="Arial"/>
                  <w:sz w:val="22"/>
                  <w:szCs w:val="22"/>
                  <w:u w:val="single" w:color="auto"/>
                  <w:color w:val="auto"/>
                </w:rPr>
                <w:t>1</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2</w:t>
            </w:r>
          </w:p>
        </w:tc>
        <w:tc>
          <w:tcPr>
            <w:tcW w:w="7120" w:type="dxa"/>
            <w:vAlign w:val="bottom"/>
          </w:tcPr>
          <w:p>
            <w:pPr>
              <w:ind w:left="460"/>
              <w:spacing w:after="0"/>
              <w:rPr>
                <w:rFonts w:ascii="Arial" w:cs="Arial" w:eastAsia="Arial" w:hAnsi="Arial"/>
                <w:sz w:val="22"/>
                <w:szCs w:val="22"/>
                <w:u w:val="single" w:color="auto"/>
                <w:color w:val="0000FF"/>
              </w:rPr>
            </w:pPr>
            <w:hyperlink w:anchor="page161">
              <w:r>
                <w:rPr>
                  <w:rFonts w:ascii="Arial" w:cs="Arial" w:eastAsia="Arial" w:hAnsi="Arial"/>
                  <w:sz w:val="22"/>
                  <w:szCs w:val="22"/>
                  <w:u w:val="single" w:color="auto"/>
                  <w:color w:val="0000FF"/>
                </w:rPr>
                <w:t>Definitions</w:t>
              </w:r>
            </w:hyperlink>
          </w:p>
        </w:tc>
        <w:tc>
          <w:tcPr>
            <w:tcW w:w="2160" w:type="dxa"/>
            <w:vAlign w:val="bottom"/>
          </w:tcPr>
          <w:p>
            <w:pPr>
              <w:jc w:val="right"/>
              <w:spacing w:after="0"/>
              <w:rPr>
                <w:rFonts w:ascii="Arial" w:cs="Arial" w:eastAsia="Arial" w:hAnsi="Arial"/>
                <w:sz w:val="22"/>
                <w:szCs w:val="22"/>
                <w:u w:val="single" w:color="auto"/>
                <w:color w:val="auto"/>
              </w:rPr>
            </w:pPr>
            <w:hyperlink w:anchor="page161">
              <w:r>
                <w:rPr>
                  <w:rFonts w:ascii="Arial" w:cs="Arial" w:eastAsia="Arial" w:hAnsi="Arial"/>
                  <w:sz w:val="22"/>
                  <w:szCs w:val="22"/>
                  <w:u w:val="single" w:color="auto"/>
                  <w:color w:val="auto"/>
                </w:rPr>
                <w:t>1</w:t>
              </w:r>
            </w:hyperlink>
          </w:p>
        </w:tc>
      </w:tr>
      <w:tr>
        <w:trPr>
          <w:trHeight w:val="581"/>
        </w:trPr>
        <w:tc>
          <w:tcPr>
            <w:tcW w:w="1400" w:type="dxa"/>
            <w:vAlign w:val="bottom"/>
          </w:tcPr>
          <w:p>
            <w:pPr>
              <w:spacing w:after="0"/>
              <w:rPr>
                <w:sz w:val="20"/>
                <w:szCs w:val="20"/>
                <w:color w:val="auto"/>
              </w:rPr>
            </w:pPr>
            <w:r>
              <w:rPr>
                <w:rFonts w:ascii="Arial" w:cs="Arial" w:eastAsia="Arial" w:hAnsi="Arial"/>
                <w:sz w:val="22"/>
                <w:szCs w:val="22"/>
                <w:color w:val="auto"/>
              </w:rPr>
              <w:t>Article 3</w:t>
            </w:r>
          </w:p>
        </w:tc>
        <w:tc>
          <w:tcPr>
            <w:tcW w:w="7120" w:type="dxa"/>
            <w:vAlign w:val="bottom"/>
          </w:tcPr>
          <w:p>
            <w:pPr>
              <w:ind w:left="460"/>
              <w:spacing w:after="0"/>
              <w:rPr>
                <w:rFonts w:ascii="Arial" w:cs="Arial" w:eastAsia="Arial" w:hAnsi="Arial"/>
                <w:sz w:val="22"/>
                <w:szCs w:val="22"/>
                <w:u w:val="single" w:color="auto"/>
                <w:color w:val="0000FF"/>
              </w:rPr>
            </w:pPr>
            <w:hyperlink w:anchor="page162">
              <w:r>
                <w:rPr>
                  <w:rFonts w:ascii="Arial" w:cs="Arial" w:eastAsia="Arial" w:hAnsi="Arial"/>
                  <w:sz w:val="22"/>
                  <w:szCs w:val="22"/>
                  <w:u w:val="single" w:color="auto"/>
                  <w:color w:val="0000FF"/>
                </w:rPr>
                <w:t>Eligibility and Participants</w:t>
              </w:r>
            </w:hyperlink>
          </w:p>
        </w:tc>
        <w:tc>
          <w:tcPr>
            <w:tcW w:w="2160" w:type="dxa"/>
            <w:vAlign w:val="bottom"/>
          </w:tcPr>
          <w:p>
            <w:pPr>
              <w:jc w:val="right"/>
              <w:spacing w:after="0"/>
              <w:rPr>
                <w:rFonts w:ascii="Arial" w:cs="Arial" w:eastAsia="Arial" w:hAnsi="Arial"/>
                <w:sz w:val="22"/>
                <w:szCs w:val="22"/>
                <w:u w:val="single" w:color="auto"/>
                <w:color w:val="auto"/>
              </w:rPr>
            </w:pPr>
            <w:hyperlink w:anchor="page162">
              <w:r>
                <w:rPr>
                  <w:rFonts w:ascii="Arial" w:cs="Arial" w:eastAsia="Arial" w:hAnsi="Arial"/>
                  <w:sz w:val="22"/>
                  <w:szCs w:val="22"/>
                  <w:u w:val="single" w:color="auto"/>
                  <w:color w:val="auto"/>
                </w:rPr>
                <w:t>2</w:t>
              </w:r>
            </w:hyperlink>
          </w:p>
        </w:tc>
      </w:tr>
      <w:tr>
        <w:trPr>
          <w:trHeight w:val="581"/>
        </w:trPr>
        <w:tc>
          <w:tcPr>
            <w:tcW w:w="1400" w:type="dxa"/>
            <w:vAlign w:val="bottom"/>
          </w:tcPr>
          <w:p>
            <w:pPr>
              <w:spacing w:after="0"/>
              <w:rPr>
                <w:sz w:val="20"/>
                <w:szCs w:val="20"/>
                <w:color w:val="auto"/>
              </w:rPr>
            </w:pPr>
            <w:r>
              <w:rPr>
                <w:rFonts w:ascii="Arial" w:cs="Arial" w:eastAsia="Arial" w:hAnsi="Arial"/>
                <w:sz w:val="22"/>
                <w:szCs w:val="22"/>
                <w:color w:val="auto"/>
              </w:rPr>
              <w:t>Article 4</w:t>
            </w:r>
          </w:p>
        </w:tc>
        <w:tc>
          <w:tcPr>
            <w:tcW w:w="7120" w:type="dxa"/>
            <w:vAlign w:val="bottom"/>
          </w:tcPr>
          <w:p>
            <w:pPr>
              <w:ind w:left="460"/>
              <w:spacing w:after="0"/>
              <w:rPr>
                <w:rFonts w:ascii="Arial" w:cs="Arial" w:eastAsia="Arial" w:hAnsi="Arial"/>
                <w:sz w:val="22"/>
                <w:szCs w:val="22"/>
                <w:u w:val="single" w:color="auto"/>
                <w:color w:val="0000FF"/>
              </w:rPr>
            </w:pPr>
            <w:hyperlink w:anchor="page162">
              <w:r>
                <w:rPr>
                  <w:rFonts w:ascii="Arial" w:cs="Arial" w:eastAsia="Arial" w:hAnsi="Arial"/>
                  <w:sz w:val="22"/>
                  <w:szCs w:val="22"/>
                  <w:u w:val="single" w:color="auto"/>
                  <w:color w:val="0000FF"/>
                </w:rPr>
                <w:t>Administration of the Plan</w:t>
              </w:r>
            </w:hyperlink>
          </w:p>
        </w:tc>
        <w:tc>
          <w:tcPr>
            <w:tcW w:w="2160" w:type="dxa"/>
            <w:vAlign w:val="bottom"/>
          </w:tcPr>
          <w:p>
            <w:pPr>
              <w:jc w:val="right"/>
              <w:spacing w:after="0"/>
              <w:rPr>
                <w:rFonts w:ascii="Arial" w:cs="Arial" w:eastAsia="Arial" w:hAnsi="Arial"/>
                <w:sz w:val="22"/>
                <w:szCs w:val="22"/>
                <w:u w:val="single" w:color="auto"/>
                <w:color w:val="auto"/>
              </w:rPr>
            </w:pPr>
            <w:hyperlink w:anchor="page162">
              <w:r>
                <w:rPr>
                  <w:rFonts w:ascii="Arial" w:cs="Arial" w:eastAsia="Arial" w:hAnsi="Arial"/>
                  <w:sz w:val="22"/>
                  <w:szCs w:val="22"/>
                  <w:u w:val="single" w:color="auto"/>
                  <w:color w:val="auto"/>
                </w:rPr>
                <w:t>2</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5</w:t>
            </w:r>
          </w:p>
        </w:tc>
        <w:tc>
          <w:tcPr>
            <w:tcW w:w="7120" w:type="dxa"/>
            <w:vAlign w:val="bottom"/>
          </w:tcPr>
          <w:p>
            <w:pPr>
              <w:ind w:left="460"/>
              <w:spacing w:after="0"/>
              <w:rPr>
                <w:rFonts w:ascii="Arial" w:cs="Arial" w:eastAsia="Arial" w:hAnsi="Arial"/>
                <w:sz w:val="22"/>
                <w:szCs w:val="22"/>
                <w:u w:val="single" w:color="auto"/>
                <w:color w:val="0000FF"/>
              </w:rPr>
            </w:pPr>
            <w:hyperlink w:anchor="page162">
              <w:r>
                <w:rPr>
                  <w:rFonts w:ascii="Arial" w:cs="Arial" w:eastAsia="Arial" w:hAnsi="Arial"/>
                  <w:sz w:val="22"/>
                  <w:szCs w:val="22"/>
                  <w:u w:val="single" w:color="auto"/>
                  <w:color w:val="0000FF"/>
                </w:rPr>
                <w:t>Target Incentive Award and Performance Measures</w:t>
              </w:r>
            </w:hyperlink>
          </w:p>
        </w:tc>
        <w:tc>
          <w:tcPr>
            <w:tcW w:w="2160" w:type="dxa"/>
            <w:vAlign w:val="bottom"/>
          </w:tcPr>
          <w:p>
            <w:pPr>
              <w:jc w:val="right"/>
              <w:spacing w:after="0"/>
              <w:rPr>
                <w:rFonts w:ascii="Arial" w:cs="Arial" w:eastAsia="Arial" w:hAnsi="Arial"/>
                <w:sz w:val="22"/>
                <w:szCs w:val="22"/>
                <w:u w:val="single" w:color="auto"/>
                <w:color w:val="auto"/>
              </w:rPr>
            </w:pPr>
            <w:hyperlink w:anchor="page162">
              <w:r>
                <w:rPr>
                  <w:rFonts w:ascii="Arial" w:cs="Arial" w:eastAsia="Arial" w:hAnsi="Arial"/>
                  <w:sz w:val="22"/>
                  <w:szCs w:val="22"/>
                  <w:u w:val="single" w:color="auto"/>
                  <w:color w:val="auto"/>
                </w:rPr>
                <w:t>2</w:t>
              </w:r>
            </w:hyperlink>
          </w:p>
        </w:tc>
      </w:tr>
      <w:tr>
        <w:trPr>
          <w:trHeight w:val="581"/>
        </w:trPr>
        <w:tc>
          <w:tcPr>
            <w:tcW w:w="1400" w:type="dxa"/>
            <w:vAlign w:val="bottom"/>
          </w:tcPr>
          <w:p>
            <w:pPr>
              <w:spacing w:after="0"/>
              <w:rPr>
                <w:sz w:val="20"/>
                <w:szCs w:val="20"/>
                <w:color w:val="auto"/>
              </w:rPr>
            </w:pPr>
            <w:r>
              <w:rPr>
                <w:rFonts w:ascii="Arial" w:cs="Arial" w:eastAsia="Arial" w:hAnsi="Arial"/>
                <w:sz w:val="22"/>
                <w:szCs w:val="22"/>
                <w:color w:val="auto"/>
              </w:rPr>
              <w:t>Article 6</w:t>
            </w:r>
          </w:p>
        </w:tc>
        <w:tc>
          <w:tcPr>
            <w:tcW w:w="7120" w:type="dxa"/>
            <w:vAlign w:val="bottom"/>
          </w:tcPr>
          <w:p>
            <w:pPr>
              <w:ind w:left="460"/>
              <w:spacing w:after="0"/>
              <w:rPr>
                <w:rFonts w:ascii="Arial" w:cs="Arial" w:eastAsia="Arial" w:hAnsi="Arial"/>
                <w:sz w:val="22"/>
                <w:szCs w:val="22"/>
                <w:u w:val="single" w:color="auto"/>
                <w:color w:val="0000FF"/>
              </w:rPr>
            </w:pPr>
            <w:hyperlink w:anchor="page163">
              <w:r>
                <w:rPr>
                  <w:rFonts w:ascii="Arial" w:cs="Arial" w:eastAsia="Arial" w:hAnsi="Arial"/>
                  <w:sz w:val="22"/>
                  <w:szCs w:val="22"/>
                  <w:u w:val="single" w:color="auto"/>
                  <w:color w:val="0000FF"/>
                </w:rPr>
                <w:t>Termination Provisions</w:t>
              </w:r>
            </w:hyperlink>
          </w:p>
        </w:tc>
        <w:tc>
          <w:tcPr>
            <w:tcW w:w="2160" w:type="dxa"/>
            <w:vAlign w:val="bottom"/>
          </w:tcPr>
          <w:p>
            <w:pPr>
              <w:jc w:val="right"/>
              <w:spacing w:after="0"/>
              <w:rPr>
                <w:rFonts w:ascii="Arial" w:cs="Arial" w:eastAsia="Arial" w:hAnsi="Arial"/>
                <w:sz w:val="22"/>
                <w:szCs w:val="22"/>
                <w:u w:val="single" w:color="auto"/>
                <w:color w:val="auto"/>
              </w:rPr>
            </w:pPr>
            <w:hyperlink w:anchor="page163">
              <w:r>
                <w:rPr>
                  <w:rFonts w:ascii="Arial" w:cs="Arial" w:eastAsia="Arial" w:hAnsi="Arial"/>
                  <w:sz w:val="22"/>
                  <w:szCs w:val="22"/>
                  <w:u w:val="single" w:color="auto"/>
                  <w:color w:val="auto"/>
                </w:rPr>
                <w:t>3</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7</w:t>
            </w:r>
          </w:p>
        </w:tc>
        <w:tc>
          <w:tcPr>
            <w:tcW w:w="7120" w:type="dxa"/>
            <w:vAlign w:val="bottom"/>
          </w:tcPr>
          <w:p>
            <w:pPr>
              <w:ind w:left="460"/>
              <w:spacing w:after="0"/>
              <w:rPr>
                <w:rFonts w:ascii="Arial" w:cs="Arial" w:eastAsia="Arial" w:hAnsi="Arial"/>
                <w:sz w:val="22"/>
                <w:szCs w:val="22"/>
                <w:u w:val="single" w:color="auto"/>
                <w:color w:val="0000FF"/>
              </w:rPr>
            </w:pPr>
            <w:hyperlink w:anchor="page163">
              <w:r>
                <w:rPr>
                  <w:rFonts w:ascii="Arial" w:cs="Arial" w:eastAsia="Arial" w:hAnsi="Arial"/>
                  <w:sz w:val="22"/>
                  <w:szCs w:val="22"/>
                  <w:u w:val="single" w:color="auto"/>
                  <w:color w:val="0000FF"/>
                </w:rPr>
                <w:t>Change in Control</w:t>
              </w:r>
            </w:hyperlink>
          </w:p>
        </w:tc>
        <w:tc>
          <w:tcPr>
            <w:tcW w:w="2160" w:type="dxa"/>
            <w:vAlign w:val="bottom"/>
          </w:tcPr>
          <w:p>
            <w:pPr>
              <w:jc w:val="right"/>
              <w:spacing w:after="0"/>
              <w:rPr>
                <w:rFonts w:ascii="Arial" w:cs="Arial" w:eastAsia="Arial" w:hAnsi="Arial"/>
                <w:sz w:val="22"/>
                <w:szCs w:val="22"/>
                <w:u w:val="single" w:color="auto"/>
                <w:color w:val="auto"/>
              </w:rPr>
            </w:pPr>
            <w:hyperlink w:anchor="page163">
              <w:r>
                <w:rPr>
                  <w:rFonts w:ascii="Arial" w:cs="Arial" w:eastAsia="Arial" w:hAnsi="Arial"/>
                  <w:sz w:val="22"/>
                  <w:szCs w:val="22"/>
                  <w:u w:val="single" w:color="auto"/>
                  <w:color w:val="auto"/>
                </w:rPr>
                <w:t>3</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8</w:t>
            </w:r>
          </w:p>
        </w:tc>
        <w:tc>
          <w:tcPr>
            <w:tcW w:w="7120" w:type="dxa"/>
            <w:vAlign w:val="bottom"/>
          </w:tcPr>
          <w:p>
            <w:pPr>
              <w:ind w:left="460"/>
              <w:spacing w:after="0"/>
              <w:rPr>
                <w:rFonts w:ascii="Arial" w:cs="Arial" w:eastAsia="Arial" w:hAnsi="Arial"/>
                <w:sz w:val="22"/>
                <w:szCs w:val="22"/>
                <w:u w:val="single" w:color="auto"/>
                <w:color w:val="0000FF"/>
              </w:rPr>
            </w:pPr>
            <w:hyperlink w:anchor="page164">
              <w:r>
                <w:rPr>
                  <w:rFonts w:ascii="Arial" w:cs="Arial" w:eastAsia="Arial" w:hAnsi="Arial"/>
                  <w:sz w:val="22"/>
                  <w:szCs w:val="22"/>
                  <w:u w:val="single" w:color="auto"/>
                  <w:color w:val="0000FF"/>
                </w:rPr>
                <w:t>Forfeiture and Repayment</w:t>
              </w:r>
            </w:hyperlink>
          </w:p>
        </w:tc>
        <w:tc>
          <w:tcPr>
            <w:tcW w:w="2160" w:type="dxa"/>
            <w:vAlign w:val="bottom"/>
          </w:tcPr>
          <w:p>
            <w:pPr>
              <w:jc w:val="right"/>
              <w:spacing w:after="0"/>
              <w:rPr>
                <w:rFonts w:ascii="Arial" w:cs="Arial" w:eastAsia="Arial" w:hAnsi="Arial"/>
                <w:sz w:val="22"/>
                <w:szCs w:val="22"/>
                <w:u w:val="single" w:color="auto"/>
                <w:color w:val="auto"/>
              </w:rPr>
            </w:pPr>
            <w:hyperlink w:anchor="page164">
              <w:r>
                <w:rPr>
                  <w:rFonts w:ascii="Arial" w:cs="Arial" w:eastAsia="Arial" w:hAnsi="Arial"/>
                  <w:sz w:val="22"/>
                  <w:szCs w:val="22"/>
                  <w:u w:val="single" w:color="auto"/>
                  <w:color w:val="auto"/>
                </w:rPr>
                <w:t>4</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9</w:t>
            </w:r>
          </w:p>
        </w:tc>
        <w:tc>
          <w:tcPr>
            <w:tcW w:w="7120" w:type="dxa"/>
            <w:vAlign w:val="bottom"/>
          </w:tcPr>
          <w:p>
            <w:pPr>
              <w:ind w:left="460"/>
              <w:spacing w:after="0"/>
              <w:rPr>
                <w:rFonts w:ascii="Arial" w:cs="Arial" w:eastAsia="Arial" w:hAnsi="Arial"/>
                <w:sz w:val="22"/>
                <w:szCs w:val="22"/>
                <w:u w:val="single" w:color="auto"/>
                <w:color w:val="0000FF"/>
              </w:rPr>
            </w:pPr>
            <w:hyperlink w:anchor="page166">
              <w:r>
                <w:rPr>
                  <w:rFonts w:ascii="Arial" w:cs="Arial" w:eastAsia="Arial" w:hAnsi="Arial"/>
                  <w:sz w:val="22"/>
                  <w:szCs w:val="22"/>
                  <w:u w:val="single" w:color="auto"/>
                  <w:color w:val="0000FF"/>
                </w:rPr>
                <w:t>Payment of Incentive Award</w:t>
              </w:r>
            </w:hyperlink>
          </w:p>
        </w:tc>
        <w:tc>
          <w:tcPr>
            <w:tcW w:w="2160" w:type="dxa"/>
            <w:vAlign w:val="bottom"/>
          </w:tcPr>
          <w:p>
            <w:pPr>
              <w:jc w:val="right"/>
              <w:spacing w:after="0"/>
              <w:rPr>
                <w:rFonts w:ascii="Arial" w:cs="Arial" w:eastAsia="Arial" w:hAnsi="Arial"/>
                <w:sz w:val="22"/>
                <w:szCs w:val="22"/>
                <w:u w:val="single" w:color="auto"/>
                <w:color w:val="auto"/>
              </w:rPr>
            </w:pPr>
            <w:hyperlink w:anchor="page166">
              <w:r>
                <w:rPr>
                  <w:rFonts w:ascii="Arial" w:cs="Arial" w:eastAsia="Arial" w:hAnsi="Arial"/>
                  <w:sz w:val="22"/>
                  <w:szCs w:val="22"/>
                  <w:u w:val="single" w:color="auto"/>
                  <w:color w:val="auto"/>
                </w:rPr>
                <w:t>6</w:t>
              </w:r>
            </w:hyperlink>
          </w:p>
        </w:tc>
      </w:tr>
      <w:tr>
        <w:trPr>
          <w:trHeight w:val="581"/>
        </w:trPr>
        <w:tc>
          <w:tcPr>
            <w:tcW w:w="1400" w:type="dxa"/>
            <w:vAlign w:val="bottom"/>
          </w:tcPr>
          <w:p>
            <w:pPr>
              <w:spacing w:after="0"/>
              <w:rPr>
                <w:sz w:val="20"/>
                <w:szCs w:val="20"/>
                <w:color w:val="auto"/>
              </w:rPr>
            </w:pPr>
            <w:r>
              <w:rPr>
                <w:rFonts w:ascii="Arial" w:cs="Arial" w:eastAsia="Arial" w:hAnsi="Arial"/>
                <w:sz w:val="22"/>
                <w:szCs w:val="22"/>
                <w:color w:val="auto"/>
              </w:rPr>
              <w:t>Article 10</w:t>
            </w:r>
          </w:p>
        </w:tc>
        <w:tc>
          <w:tcPr>
            <w:tcW w:w="7120" w:type="dxa"/>
            <w:vAlign w:val="bottom"/>
          </w:tcPr>
          <w:p>
            <w:pPr>
              <w:ind w:left="460"/>
              <w:spacing w:after="0"/>
              <w:rPr>
                <w:rFonts w:ascii="Arial" w:cs="Arial" w:eastAsia="Arial" w:hAnsi="Arial"/>
                <w:sz w:val="22"/>
                <w:szCs w:val="22"/>
                <w:u w:val="single" w:color="auto"/>
                <w:color w:val="0000FF"/>
              </w:rPr>
            </w:pPr>
            <w:hyperlink w:anchor="page166">
              <w:r>
                <w:rPr>
                  <w:rFonts w:ascii="Arial" w:cs="Arial" w:eastAsia="Arial" w:hAnsi="Arial"/>
                  <w:sz w:val="22"/>
                  <w:szCs w:val="22"/>
                  <w:u w:val="single" w:color="auto"/>
                  <w:color w:val="0000FF"/>
                </w:rPr>
                <w:t>Powers of Board of Directors</w:t>
              </w:r>
            </w:hyperlink>
          </w:p>
        </w:tc>
        <w:tc>
          <w:tcPr>
            <w:tcW w:w="2160" w:type="dxa"/>
            <w:vAlign w:val="bottom"/>
          </w:tcPr>
          <w:p>
            <w:pPr>
              <w:jc w:val="right"/>
              <w:spacing w:after="0"/>
              <w:rPr>
                <w:rFonts w:ascii="Arial" w:cs="Arial" w:eastAsia="Arial" w:hAnsi="Arial"/>
                <w:sz w:val="22"/>
                <w:szCs w:val="22"/>
                <w:u w:val="single" w:color="auto"/>
                <w:color w:val="auto"/>
              </w:rPr>
            </w:pPr>
            <w:hyperlink w:anchor="page166">
              <w:r>
                <w:rPr>
                  <w:rFonts w:ascii="Arial" w:cs="Arial" w:eastAsia="Arial" w:hAnsi="Arial"/>
                  <w:sz w:val="22"/>
                  <w:szCs w:val="22"/>
                  <w:u w:val="single" w:color="auto"/>
                  <w:color w:val="auto"/>
                </w:rPr>
                <w:t>7</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11</w:t>
            </w:r>
          </w:p>
        </w:tc>
        <w:tc>
          <w:tcPr>
            <w:tcW w:w="7120" w:type="dxa"/>
            <w:vAlign w:val="bottom"/>
          </w:tcPr>
          <w:p>
            <w:pPr>
              <w:ind w:left="460"/>
              <w:spacing w:after="0"/>
              <w:rPr>
                <w:rFonts w:ascii="Arial" w:cs="Arial" w:eastAsia="Arial" w:hAnsi="Arial"/>
                <w:sz w:val="22"/>
                <w:szCs w:val="22"/>
                <w:u w:val="single" w:color="auto"/>
                <w:color w:val="0000FF"/>
              </w:rPr>
            </w:pPr>
            <w:hyperlink w:anchor="page167">
              <w:r>
                <w:rPr>
                  <w:rFonts w:ascii="Arial" w:cs="Arial" w:eastAsia="Arial" w:hAnsi="Arial"/>
                  <w:sz w:val="22"/>
                  <w:szCs w:val="22"/>
                  <w:u w:val="single" w:color="auto"/>
                  <w:color w:val="0000FF"/>
                </w:rPr>
                <w:t>Assignability</w:t>
              </w:r>
            </w:hyperlink>
          </w:p>
        </w:tc>
        <w:tc>
          <w:tcPr>
            <w:tcW w:w="2160" w:type="dxa"/>
            <w:vAlign w:val="bottom"/>
          </w:tcPr>
          <w:p>
            <w:pPr>
              <w:jc w:val="right"/>
              <w:spacing w:after="0"/>
              <w:rPr>
                <w:rFonts w:ascii="Arial" w:cs="Arial" w:eastAsia="Arial" w:hAnsi="Arial"/>
                <w:sz w:val="22"/>
                <w:szCs w:val="22"/>
                <w:u w:val="single" w:color="auto"/>
                <w:color w:val="auto"/>
              </w:rPr>
            </w:pPr>
            <w:hyperlink w:anchor="page167">
              <w:r>
                <w:rPr>
                  <w:rFonts w:ascii="Arial" w:cs="Arial" w:eastAsia="Arial" w:hAnsi="Arial"/>
                  <w:sz w:val="22"/>
                  <w:szCs w:val="22"/>
                  <w:u w:val="single" w:color="auto"/>
                  <w:color w:val="auto"/>
                </w:rPr>
                <w:t>7</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12</w:t>
            </w:r>
          </w:p>
        </w:tc>
        <w:tc>
          <w:tcPr>
            <w:tcW w:w="7120" w:type="dxa"/>
            <w:vAlign w:val="bottom"/>
          </w:tcPr>
          <w:p>
            <w:pPr>
              <w:ind w:left="460"/>
              <w:spacing w:after="0"/>
              <w:rPr>
                <w:rFonts w:ascii="Arial" w:cs="Arial" w:eastAsia="Arial" w:hAnsi="Arial"/>
                <w:sz w:val="22"/>
                <w:szCs w:val="22"/>
                <w:u w:val="single" w:color="auto"/>
                <w:color w:val="0000FF"/>
              </w:rPr>
            </w:pPr>
            <w:hyperlink w:anchor="page167">
              <w:r>
                <w:rPr>
                  <w:rFonts w:ascii="Arial" w:cs="Arial" w:eastAsia="Arial" w:hAnsi="Arial"/>
                  <w:sz w:val="22"/>
                  <w:szCs w:val="22"/>
                  <w:u w:val="single" w:color="auto"/>
                  <w:color w:val="0000FF"/>
                </w:rPr>
                <w:t>No Contract of Employment</w:t>
              </w:r>
            </w:hyperlink>
          </w:p>
        </w:tc>
        <w:tc>
          <w:tcPr>
            <w:tcW w:w="2160" w:type="dxa"/>
            <w:vAlign w:val="bottom"/>
          </w:tcPr>
          <w:p>
            <w:pPr>
              <w:jc w:val="right"/>
              <w:spacing w:after="0"/>
              <w:rPr>
                <w:rFonts w:ascii="Arial" w:cs="Arial" w:eastAsia="Arial" w:hAnsi="Arial"/>
                <w:sz w:val="22"/>
                <w:szCs w:val="22"/>
                <w:u w:val="single" w:color="auto"/>
                <w:color w:val="auto"/>
              </w:rPr>
            </w:pPr>
            <w:hyperlink w:anchor="page167">
              <w:r>
                <w:rPr>
                  <w:rFonts w:ascii="Arial" w:cs="Arial" w:eastAsia="Arial" w:hAnsi="Arial"/>
                  <w:sz w:val="22"/>
                  <w:szCs w:val="22"/>
                  <w:u w:val="single" w:color="auto"/>
                  <w:color w:val="auto"/>
                </w:rPr>
                <w:t>7</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13</w:t>
            </w:r>
          </w:p>
        </w:tc>
        <w:tc>
          <w:tcPr>
            <w:tcW w:w="7120" w:type="dxa"/>
            <w:vAlign w:val="bottom"/>
          </w:tcPr>
          <w:p>
            <w:pPr>
              <w:ind w:left="460"/>
              <w:spacing w:after="0"/>
              <w:rPr>
                <w:rFonts w:ascii="Arial" w:cs="Arial" w:eastAsia="Arial" w:hAnsi="Arial"/>
                <w:sz w:val="22"/>
                <w:szCs w:val="22"/>
                <w:u w:val="single" w:color="auto"/>
                <w:color w:val="0000FF"/>
              </w:rPr>
            </w:pPr>
            <w:hyperlink w:anchor="page167">
              <w:r>
                <w:rPr>
                  <w:rFonts w:ascii="Arial" w:cs="Arial" w:eastAsia="Arial" w:hAnsi="Arial"/>
                  <w:sz w:val="22"/>
                  <w:szCs w:val="22"/>
                  <w:u w:val="single" w:color="auto"/>
                  <w:color w:val="0000FF"/>
                </w:rPr>
                <w:t>Right to Incentive Award</w:t>
              </w:r>
            </w:hyperlink>
          </w:p>
        </w:tc>
        <w:tc>
          <w:tcPr>
            <w:tcW w:w="2160" w:type="dxa"/>
            <w:vAlign w:val="bottom"/>
          </w:tcPr>
          <w:p>
            <w:pPr>
              <w:jc w:val="right"/>
              <w:spacing w:after="0"/>
              <w:rPr>
                <w:rFonts w:ascii="Arial" w:cs="Arial" w:eastAsia="Arial" w:hAnsi="Arial"/>
                <w:sz w:val="22"/>
                <w:szCs w:val="22"/>
                <w:u w:val="single" w:color="auto"/>
                <w:color w:val="auto"/>
              </w:rPr>
            </w:pPr>
            <w:hyperlink w:anchor="page167">
              <w:r>
                <w:rPr>
                  <w:rFonts w:ascii="Arial" w:cs="Arial" w:eastAsia="Arial" w:hAnsi="Arial"/>
                  <w:sz w:val="22"/>
                  <w:szCs w:val="22"/>
                  <w:u w:val="single" w:color="auto"/>
                  <w:color w:val="auto"/>
                </w:rPr>
                <w:t>7</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14</w:t>
            </w:r>
          </w:p>
        </w:tc>
        <w:tc>
          <w:tcPr>
            <w:tcW w:w="7120" w:type="dxa"/>
            <w:vAlign w:val="bottom"/>
          </w:tcPr>
          <w:p>
            <w:pPr>
              <w:ind w:left="460"/>
              <w:spacing w:after="0"/>
              <w:rPr>
                <w:rFonts w:ascii="Arial" w:cs="Arial" w:eastAsia="Arial" w:hAnsi="Arial"/>
                <w:sz w:val="22"/>
                <w:szCs w:val="22"/>
                <w:u w:val="single" w:color="auto"/>
                <w:color w:val="0000FF"/>
              </w:rPr>
            </w:pPr>
            <w:hyperlink w:anchor="page167">
              <w:r>
                <w:rPr>
                  <w:rFonts w:ascii="Arial" w:cs="Arial" w:eastAsia="Arial" w:hAnsi="Arial"/>
                  <w:sz w:val="22"/>
                  <w:szCs w:val="22"/>
                  <w:u w:val="single" w:color="auto"/>
                  <w:color w:val="0000FF"/>
                </w:rPr>
                <w:t>Governing Law</w:t>
              </w:r>
            </w:hyperlink>
          </w:p>
        </w:tc>
        <w:tc>
          <w:tcPr>
            <w:tcW w:w="2160" w:type="dxa"/>
            <w:vAlign w:val="bottom"/>
          </w:tcPr>
          <w:p>
            <w:pPr>
              <w:jc w:val="right"/>
              <w:spacing w:after="0"/>
              <w:rPr>
                <w:rFonts w:ascii="Arial" w:cs="Arial" w:eastAsia="Arial" w:hAnsi="Arial"/>
                <w:sz w:val="22"/>
                <w:szCs w:val="22"/>
                <w:u w:val="single" w:color="auto"/>
                <w:color w:val="auto"/>
              </w:rPr>
            </w:pPr>
            <w:hyperlink w:anchor="page167">
              <w:r>
                <w:rPr>
                  <w:rFonts w:ascii="Arial" w:cs="Arial" w:eastAsia="Arial" w:hAnsi="Arial"/>
                  <w:sz w:val="22"/>
                  <w:szCs w:val="22"/>
                  <w:u w:val="single" w:color="auto"/>
                  <w:color w:val="auto"/>
                </w:rPr>
                <w:t>7</w:t>
              </w:r>
            </w:hyperlink>
          </w:p>
        </w:tc>
      </w:tr>
      <w:tr>
        <w:trPr>
          <w:trHeight w:val="580"/>
        </w:trPr>
        <w:tc>
          <w:tcPr>
            <w:tcW w:w="1400" w:type="dxa"/>
            <w:vAlign w:val="bottom"/>
          </w:tcPr>
          <w:p>
            <w:pPr>
              <w:spacing w:after="0"/>
              <w:rPr>
                <w:sz w:val="20"/>
                <w:szCs w:val="20"/>
                <w:color w:val="auto"/>
              </w:rPr>
            </w:pPr>
            <w:r>
              <w:rPr>
                <w:rFonts w:ascii="Arial" w:cs="Arial" w:eastAsia="Arial" w:hAnsi="Arial"/>
                <w:sz w:val="22"/>
                <w:szCs w:val="22"/>
                <w:color w:val="auto"/>
              </w:rPr>
              <w:t>Article 15</w:t>
            </w:r>
          </w:p>
        </w:tc>
        <w:tc>
          <w:tcPr>
            <w:tcW w:w="7120" w:type="dxa"/>
            <w:vAlign w:val="bottom"/>
          </w:tcPr>
          <w:p>
            <w:pPr>
              <w:ind w:left="460"/>
              <w:spacing w:after="0"/>
              <w:rPr>
                <w:rFonts w:ascii="Arial" w:cs="Arial" w:eastAsia="Arial" w:hAnsi="Arial"/>
                <w:sz w:val="22"/>
                <w:szCs w:val="22"/>
                <w:u w:val="single" w:color="auto"/>
                <w:color w:val="0000FF"/>
              </w:rPr>
            </w:pPr>
            <w:hyperlink w:anchor="page167">
              <w:r>
                <w:rPr>
                  <w:rFonts w:ascii="Arial" w:cs="Arial" w:eastAsia="Arial" w:hAnsi="Arial"/>
                  <w:sz w:val="22"/>
                  <w:szCs w:val="22"/>
                  <w:u w:val="single" w:color="auto"/>
                  <w:color w:val="0000FF"/>
                </w:rPr>
                <w:t>No Tax Qualified or ERISA Plan</w:t>
              </w:r>
            </w:hyperlink>
          </w:p>
        </w:tc>
        <w:tc>
          <w:tcPr>
            <w:tcW w:w="2160" w:type="dxa"/>
            <w:vAlign w:val="bottom"/>
          </w:tcPr>
          <w:p>
            <w:pPr>
              <w:jc w:val="right"/>
              <w:spacing w:after="0"/>
              <w:rPr>
                <w:rFonts w:ascii="Arial" w:cs="Arial" w:eastAsia="Arial" w:hAnsi="Arial"/>
                <w:sz w:val="22"/>
                <w:szCs w:val="22"/>
                <w:u w:val="single" w:color="auto"/>
                <w:color w:val="auto"/>
              </w:rPr>
            </w:pPr>
            <w:hyperlink w:anchor="page167">
              <w:r>
                <w:rPr>
                  <w:rFonts w:ascii="Arial" w:cs="Arial" w:eastAsia="Arial" w:hAnsi="Arial"/>
                  <w:sz w:val="22"/>
                  <w:szCs w:val="22"/>
                  <w:u w:val="single" w:color="auto"/>
                  <w:color w:val="auto"/>
                </w:rPr>
                <w:t>7</w:t>
              </w:r>
            </w:hyperlink>
          </w:p>
        </w:tc>
      </w:tr>
    </w:tbl>
    <w:p>
      <w:pPr>
        <w:sectPr>
          <w:pgSz w:w="11900" w:h="16838" w:orient="portrait"/>
          <w:cols w:equalWidth="0" w:num="1">
            <w:col w:w="10700"/>
          </w:cols>
          <w:pgMar w:left="320" w:top="1440" w:right="879" w:bottom="1440" w:gutter="0" w:footer="0" w:header="0"/>
        </w:sectPr>
      </w:pPr>
    </w:p>
    <w:bookmarkStart w:id="160" w:name="page161"/>
    <w:bookmarkEnd w:id="160"/>
    <w:p>
      <w:pPr>
        <w:spacing w:after="0"/>
        <w:rPr>
          <w:sz w:val="20"/>
          <w:szCs w:val="20"/>
          <w:color w:val="auto"/>
        </w:rPr>
      </w:pPr>
      <w:r>
        <w:rPr>
          <w:rFonts w:ascii="Arial" w:cs="Arial" w:eastAsia="Arial" w:hAnsi="Arial"/>
          <w:sz w:val="29"/>
          <w:szCs w:val="29"/>
          <w:b w:val="1"/>
          <w:bCs w:val="1"/>
          <w:color w:val="auto"/>
        </w:rPr>
        <w:t>Black Hills Corporation</w:t>
      </w: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Short-Term Incentive Plan for Officers</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Award Agreement</w:t>
      </w:r>
    </w:p>
    <w:p>
      <w:pPr>
        <w:spacing w:after="0" w:line="9" w:lineRule="exact"/>
        <w:rPr>
          <w:sz w:val="20"/>
          <w:szCs w:val="20"/>
          <w:color w:val="auto"/>
        </w:rPr>
      </w:pPr>
    </w:p>
    <w:p>
      <w:pPr>
        <w:spacing w:after="0"/>
        <w:rPr>
          <w:sz w:val="20"/>
          <w:szCs w:val="20"/>
          <w:color w:val="auto"/>
        </w:rPr>
      </w:pPr>
      <w:r>
        <w:rPr>
          <w:rFonts w:ascii="Arial" w:cs="Arial" w:eastAsia="Arial" w:hAnsi="Arial"/>
          <w:sz w:val="25"/>
          <w:szCs w:val="25"/>
          <w:color w:val="auto"/>
        </w:rPr>
        <w:t>(Effective for Plan Years Beginning on or after January 1, 2021)</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You have been selected to be a Participant in the Black Hills Corporation Short-Term Incentive</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Plan (the “STIP”). The STIP is granted under the cash-based awards provisions of the Black Hills Corporation 2015 Omnibus Incentive Plan (the “Plan”).</w:t>
      </w:r>
    </w:p>
    <w:p>
      <w:pPr>
        <w:spacing w:after="0" w:line="200" w:lineRule="exact"/>
        <w:rPr>
          <w:sz w:val="20"/>
          <w:szCs w:val="20"/>
          <w:color w:val="auto"/>
        </w:rPr>
      </w:pPr>
    </w:p>
    <w:p>
      <w:pPr>
        <w:spacing w:after="0" w:line="255"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b w:val="1"/>
          <w:bCs w:val="1"/>
          <w:color w:val="auto"/>
        </w:rPr>
        <w:t>Participant:</w:t>
      </w:r>
      <w:r>
        <w:rPr>
          <w:sz w:val="20"/>
          <w:szCs w:val="20"/>
          <w:color w:val="auto"/>
        </w:rPr>
        <w:tab/>
      </w:r>
      <w:r>
        <w:rPr>
          <w:rFonts w:ascii="Arial" w:cs="Arial" w:eastAsia="Arial" w:hAnsi="Arial"/>
          <w:sz w:val="20"/>
          <w:szCs w:val="20"/>
          <w:color w:val="auto"/>
        </w:rPr>
        <w:t>Name</w:t>
      </w:r>
    </w:p>
    <w:p>
      <w:pPr>
        <w:spacing w:after="0" w:line="243" w:lineRule="exact"/>
        <w:rPr>
          <w:sz w:val="20"/>
          <w:szCs w:val="20"/>
          <w:color w:val="auto"/>
        </w:rPr>
      </w:pPr>
    </w:p>
    <w:p>
      <w:pPr>
        <w:spacing w:after="0"/>
        <w:tabs>
          <w:tab w:leader="none" w:pos="2140" w:val="left"/>
        </w:tabs>
        <w:rPr>
          <w:sz w:val="20"/>
          <w:szCs w:val="20"/>
          <w:color w:val="auto"/>
        </w:rPr>
      </w:pPr>
      <w:r>
        <w:rPr>
          <w:rFonts w:ascii="Arial" w:cs="Arial" w:eastAsia="Arial" w:hAnsi="Arial"/>
          <w:sz w:val="20"/>
          <w:szCs w:val="20"/>
          <w:b w:val="1"/>
          <w:bCs w:val="1"/>
          <w:color w:val="auto"/>
        </w:rPr>
        <w:t>Target STIP Award</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X (XX) percent of Eligible Earnings</w:t>
      </w:r>
    </w:p>
    <w:p>
      <w:pPr>
        <w:spacing w:after="0" w:line="243" w:lineRule="exact"/>
        <w:rPr>
          <w:sz w:val="20"/>
          <w:szCs w:val="20"/>
          <w:color w:val="auto"/>
        </w:rPr>
      </w:pPr>
    </w:p>
    <w:p>
      <w:pPr>
        <w:spacing w:after="0"/>
        <w:tabs>
          <w:tab w:leader="none" w:pos="2000" w:val="left"/>
        </w:tabs>
        <w:rPr>
          <w:sz w:val="20"/>
          <w:szCs w:val="20"/>
          <w:color w:val="auto"/>
        </w:rPr>
      </w:pPr>
      <w:r>
        <w:rPr>
          <w:rFonts w:ascii="Arial" w:cs="Arial" w:eastAsia="Arial" w:hAnsi="Arial"/>
          <w:sz w:val="20"/>
          <w:szCs w:val="20"/>
          <w:b w:val="1"/>
          <w:bCs w:val="1"/>
          <w:color w:val="auto"/>
        </w:rPr>
        <w:t>Performance Period</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January 1, 2021 to December 31, 2021</w:t>
      </w:r>
    </w:p>
    <w:p>
      <w:pPr>
        <w:spacing w:after="0" w:line="243"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b w:val="1"/>
          <w:bCs w:val="1"/>
          <w:color w:val="auto"/>
        </w:rPr>
        <w:t>Performance Measure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Earnings Per Share (“EPS”) Seventy (70) percent weight</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Safety TCIR Ten (10) percent weight</w:t>
      </w:r>
    </w:p>
    <w:p>
      <w:pPr>
        <w:ind w:left="800"/>
        <w:spacing w:after="0"/>
        <w:rPr>
          <w:sz w:val="20"/>
          <w:szCs w:val="20"/>
          <w:color w:val="auto"/>
        </w:rPr>
      </w:pPr>
      <w:r>
        <w:rPr>
          <w:rFonts w:ascii="Arial" w:cs="Arial" w:eastAsia="Arial" w:hAnsi="Arial"/>
          <w:sz w:val="20"/>
          <w:szCs w:val="20"/>
          <w:color w:val="auto"/>
        </w:rPr>
        <w:t>Safety PMVI Ten (10) percent weight</w:t>
      </w:r>
    </w:p>
    <w:p>
      <w:pPr>
        <w:ind w:left="800"/>
        <w:spacing w:after="0"/>
        <w:rPr>
          <w:sz w:val="20"/>
          <w:szCs w:val="20"/>
          <w:color w:val="auto"/>
        </w:rPr>
      </w:pPr>
      <w:r>
        <w:rPr>
          <w:rFonts w:ascii="Arial" w:cs="Arial" w:eastAsia="Arial" w:hAnsi="Arial"/>
          <w:sz w:val="20"/>
          <w:szCs w:val="20"/>
          <w:color w:val="auto"/>
        </w:rPr>
        <w:t>Virgin Pulse Safety and Wellness Engagement Ten (10) percent weight</w:t>
      </w:r>
    </w:p>
    <w:p>
      <w:pPr>
        <w:spacing w:after="0" w:line="200" w:lineRule="exact"/>
        <w:rPr>
          <w:sz w:val="20"/>
          <w:szCs w:val="20"/>
          <w:color w:val="auto"/>
        </w:rPr>
      </w:pPr>
    </w:p>
    <w:p>
      <w:pPr>
        <w:spacing w:after="0" w:line="270" w:lineRule="exact"/>
        <w:rPr>
          <w:sz w:val="20"/>
          <w:szCs w:val="20"/>
          <w:color w:val="auto"/>
        </w:rPr>
      </w:pPr>
    </w:p>
    <w:p>
      <w:pPr>
        <w:jc w:val="both"/>
        <w:ind w:right="280" w:firstLine="648"/>
        <w:spacing w:after="0" w:line="250" w:lineRule="auto"/>
        <w:rPr>
          <w:sz w:val="20"/>
          <w:szCs w:val="20"/>
          <w:color w:val="auto"/>
        </w:rPr>
      </w:pPr>
      <w:r>
        <w:rPr>
          <w:rFonts w:ascii="Arial" w:cs="Arial" w:eastAsia="Arial" w:hAnsi="Arial"/>
          <w:sz w:val="20"/>
          <w:szCs w:val="20"/>
          <w:color w:val="auto"/>
        </w:rPr>
        <w:t>THIS AGREEMENT (the “Agreement”) effective January 1, 2021, represents the award opportunity under the STIP provided by Black Hills Corporation, a South Dakota corporation (the “Company”), to the Participant named above, pursuant to the provisions of the Plan.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capitalized terms shall have the meanings ascribed to them in the Plan, unless specifically set forth otherwise herein.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The parties hereto agree as follows: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 Effective Date and Purpose of Plan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Performance Period commences on January 1, 2021 and ends on December 31,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2. Definitions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the context otherwise specifically requires, the following words as used herein shall have the following meanings:</w:t>
      </w:r>
    </w:p>
    <w:p>
      <w:pPr>
        <w:spacing w:after="0" w:line="248" w:lineRule="exact"/>
        <w:rPr>
          <w:sz w:val="20"/>
          <w:szCs w:val="20"/>
          <w:color w:val="auto"/>
        </w:rPr>
      </w:pPr>
    </w:p>
    <w:p>
      <w:pPr>
        <w:ind w:right="20" w:firstLine="648"/>
        <w:spacing w:after="0" w:line="253" w:lineRule="auto"/>
        <w:rPr>
          <w:sz w:val="20"/>
          <w:szCs w:val="20"/>
          <w:color w:val="auto"/>
        </w:rPr>
      </w:pPr>
      <w:r>
        <w:rPr>
          <w:rFonts w:ascii="Arial" w:cs="Arial" w:eastAsia="Arial" w:hAnsi="Arial"/>
          <w:sz w:val="20"/>
          <w:szCs w:val="20"/>
          <w:b w:val="1"/>
          <w:bCs w:val="1"/>
          <w:color w:val="auto"/>
        </w:rPr>
        <w:t xml:space="preserve">Eligible Earnings </w:t>
      </w:r>
      <w:r>
        <w:rPr>
          <w:rFonts w:ascii="Arial" w:cs="Arial" w:eastAsia="Arial" w:hAnsi="Arial"/>
          <w:sz w:val="20"/>
          <w:szCs w:val="20"/>
          <w:color w:val="auto"/>
        </w:rPr>
        <w:t>means the Participant’s regular compensation such as base salary and lump sum in lieu of merit increase.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Earnings exclude, but are not limited to, non-cash compensation, payments-in-kind, incentive compensation, bonus payments, allowances, and deferred compensation.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Board </w:t>
      </w:r>
      <w:r>
        <w:rPr>
          <w:rFonts w:ascii="Arial" w:cs="Arial" w:eastAsia="Arial" w:hAnsi="Arial"/>
          <w:sz w:val="20"/>
          <w:szCs w:val="20"/>
          <w:color w:val="auto"/>
        </w:rPr>
        <w:t>means the Board of Directors of the Company.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Committee </w:t>
      </w:r>
      <w:r>
        <w:rPr>
          <w:rFonts w:ascii="Arial" w:cs="Arial" w:eastAsia="Arial" w:hAnsi="Arial"/>
          <w:sz w:val="20"/>
          <w:szCs w:val="20"/>
          <w:color w:val="auto"/>
        </w:rPr>
        <w:t>means the Compensation Committee of the Board.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Company </w:t>
      </w:r>
      <w:r>
        <w:rPr>
          <w:rFonts w:ascii="Arial" w:cs="Arial" w:eastAsia="Arial" w:hAnsi="Arial"/>
          <w:sz w:val="19"/>
          <w:szCs w:val="19"/>
          <w:color w:val="auto"/>
        </w:rPr>
        <w:t>means Black Hills Corporation, a South Dakota corporation with principal offices in the state of South Dakota.</w:t>
      </w:r>
    </w:p>
    <w:p>
      <w:pPr>
        <w:sectPr>
          <w:pgSz w:w="11900" w:h="16838" w:orient="portrait"/>
          <w:cols w:equalWidth="0" w:num="1">
            <w:col w:w="11160"/>
          </w:cols>
          <w:pgMar w:left="320" w:top="75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60"/>
          </w:cols>
          <w:pgMar w:left="320" w:top="756" w:right="419" w:bottom="1440" w:gutter="0" w:footer="0" w:header="0"/>
          <w:type w:val="continuous"/>
        </w:sectPr>
      </w:pPr>
    </w:p>
    <w:bookmarkStart w:id="161" w:name="page162"/>
    <w:bookmarkEnd w:id="161"/>
    <w:p>
      <w:pPr>
        <w:jc w:val="both"/>
        <w:ind w:right="440" w:firstLine="648"/>
        <w:spacing w:after="0" w:line="253" w:lineRule="auto"/>
        <w:rPr>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means any person who is in the regular full-time employment of the Company or a Subsidiary, as determined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personnel rules and practices of the Company or a Subsidiary. The term does not include persons who are retained by the Company or a Subsidiary solely as consultants.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Incentive Award </w:t>
      </w:r>
      <w:r>
        <w:rPr>
          <w:rFonts w:ascii="Arial" w:cs="Arial" w:eastAsia="Arial" w:hAnsi="Arial"/>
          <w:sz w:val="20"/>
          <w:szCs w:val="20"/>
          <w:color w:val="auto"/>
        </w:rPr>
        <w:t>means the incentive compensation to be awarded to a Participant as determined under Article 5.</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Participants </w:t>
      </w:r>
      <w:r>
        <w:rPr>
          <w:rFonts w:ascii="Arial" w:cs="Arial" w:eastAsia="Arial" w:hAnsi="Arial"/>
          <w:sz w:val="20"/>
          <w:szCs w:val="20"/>
          <w:color w:val="auto"/>
        </w:rPr>
        <w:t>means those eligible Employees to whom an Incentive Award is granted.</w:t>
      </w:r>
    </w:p>
    <w:p>
      <w:pPr>
        <w:spacing w:after="0" w:line="243" w:lineRule="exact"/>
        <w:rPr>
          <w:sz w:val="20"/>
          <w:szCs w:val="20"/>
          <w:color w:val="auto"/>
        </w:rPr>
      </w:pPr>
    </w:p>
    <w:p>
      <w:pPr>
        <w:ind w:right="280" w:firstLine="648"/>
        <w:spacing w:after="0" w:line="267" w:lineRule="auto"/>
        <w:rPr>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means the period of time selected by the Committee over which the attainment of one or more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goals will be measured.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the 2015 Omnibus Incentive Plan.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Plan Year </w:t>
      </w:r>
      <w:r>
        <w:rPr>
          <w:rFonts w:ascii="Arial" w:cs="Arial" w:eastAsia="Arial" w:hAnsi="Arial"/>
          <w:sz w:val="20"/>
          <w:szCs w:val="20"/>
          <w:color w:val="auto"/>
        </w:rPr>
        <w:t>means the 12 months beginning on January 1 and ending on the following December 31.</w:t>
      </w:r>
    </w:p>
    <w:p>
      <w:pPr>
        <w:spacing w:after="0" w:line="24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or</w:t>
      </w:r>
      <w:r>
        <w:rPr>
          <w:rFonts w:ascii="Arial" w:cs="Arial" w:eastAsia="Arial" w:hAnsi="Arial"/>
          <w:sz w:val="20"/>
          <w:szCs w:val="20"/>
          <w:b w:val="1"/>
          <w:bCs w:val="1"/>
          <w:color w:val="auto"/>
        </w:rPr>
        <w:t xml:space="preserve"> Retires </w:t>
      </w:r>
      <w:r>
        <w:rPr>
          <w:rFonts w:ascii="Arial" w:cs="Arial" w:eastAsia="Arial" w:hAnsi="Arial"/>
          <w:sz w:val="20"/>
          <w:szCs w:val="20"/>
          <w:color w:val="auto"/>
        </w:rPr>
        <w:t>means a Separation from Service by a Participant on or after (i) attaining the age of 55 with at least 5 years of</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or (ii) attaining the age of 65.</w:t>
      </w:r>
    </w:p>
    <w:p>
      <w:pPr>
        <w:spacing w:after="0" w:line="190" w:lineRule="exact"/>
        <w:rPr>
          <w:sz w:val="20"/>
          <w:szCs w:val="20"/>
          <w:color w:val="auto"/>
        </w:rPr>
      </w:pPr>
    </w:p>
    <w:p>
      <w:pPr>
        <w:ind w:right="100" w:firstLine="648"/>
        <w:spacing w:after="0" w:line="253" w:lineRule="auto"/>
        <w:rPr>
          <w:sz w:val="20"/>
          <w:szCs w:val="20"/>
          <w:color w:val="auto"/>
        </w:rPr>
      </w:pPr>
      <w:r>
        <w:rPr>
          <w:rFonts w:ascii="Arial" w:cs="Arial" w:eastAsia="Arial" w:hAnsi="Arial"/>
          <w:sz w:val="20"/>
          <w:szCs w:val="20"/>
          <w:b w:val="1"/>
          <w:bCs w:val="1"/>
          <w:color w:val="auto"/>
        </w:rPr>
        <w:t xml:space="preserve">Separation of Service </w:t>
      </w:r>
      <w:r>
        <w:rPr>
          <w:rFonts w:ascii="Arial" w:cs="Arial" w:eastAsia="Arial" w:hAnsi="Arial"/>
          <w:sz w:val="20"/>
          <w:szCs w:val="20"/>
          <w:color w:val="auto"/>
        </w:rPr>
        <w:t>(as defined in Treasury Regulation Section 1.409A-1(h)) during the Performance Period other than (i) due to</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disability or death, or (ii) following a change in control shall require forfeiture of this entire award, with no payment to the Participant.</w:t>
      </w:r>
    </w:p>
    <w:p>
      <w:pPr>
        <w:spacing w:after="0" w:line="204" w:lineRule="exact"/>
        <w:rPr>
          <w:sz w:val="20"/>
          <w:szCs w:val="20"/>
          <w:color w:val="auto"/>
        </w:rPr>
      </w:pPr>
    </w:p>
    <w:p>
      <w:pPr>
        <w:ind w:right="240" w:firstLine="648"/>
        <w:spacing w:after="0" w:line="267" w:lineRule="auto"/>
        <w:rPr>
          <w:sz w:val="20"/>
          <w:szCs w:val="20"/>
          <w:color w:val="auto"/>
        </w:rPr>
      </w:pPr>
      <w:r>
        <w:rPr>
          <w:rFonts w:ascii="Arial" w:cs="Arial" w:eastAsia="Arial" w:hAnsi="Arial"/>
          <w:sz w:val="20"/>
          <w:szCs w:val="20"/>
          <w:b w:val="1"/>
          <w:bCs w:val="1"/>
          <w:color w:val="auto"/>
        </w:rPr>
        <w:t xml:space="preserve">Subsidiary </w:t>
      </w:r>
      <w:r>
        <w:rPr>
          <w:rFonts w:ascii="Arial" w:cs="Arial" w:eastAsia="Arial" w:hAnsi="Arial"/>
          <w:sz w:val="20"/>
          <w:szCs w:val="20"/>
          <w:color w:val="auto"/>
        </w:rPr>
        <w:t>shall mean any business organization in which Company, directly or indirectly, owns a majority of its voting power or</w:t>
      </w:r>
      <w:r>
        <w:rPr>
          <w:rFonts w:ascii="Arial" w:cs="Arial" w:eastAsia="Arial" w:hAnsi="Arial"/>
          <w:sz w:val="20"/>
          <w:szCs w:val="20"/>
          <w:b w:val="1"/>
          <w:bCs w:val="1"/>
          <w:color w:val="auto"/>
        </w:rPr>
        <w:t xml:space="preserve"> </w:t>
      </w:r>
      <w:r>
        <w:rPr>
          <w:rFonts w:ascii="Arial" w:cs="Arial" w:eastAsia="Arial" w:hAnsi="Arial"/>
          <w:sz w:val="20"/>
          <w:szCs w:val="20"/>
          <w:color w:val="auto"/>
        </w:rPr>
        <w:t>voting equity securities or equity interest.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3. Eligibility and Participants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Employees eligible to participate under this Agreement will be designated by the Committee.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4. Administration of the Plan</w:t>
      </w:r>
    </w:p>
    <w:p>
      <w:pPr>
        <w:spacing w:after="0" w:line="249"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This Agreement and the rights of the Participant hereunder are subject to all the terms and conditions of the Plan, as the same may be amended, modified, suspended or terminated from time to time by the Committee,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inconsistency between the Agreement and the Plan shall be resolved in favor of the Plan.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5. Target Incentive Award and Performance Measures</w:t>
      </w:r>
    </w:p>
    <w:p>
      <w:pPr>
        <w:spacing w:after="0" w:line="249"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Participant was assigned a target Incentive Award determined as a percent of a Participant's Eligible Earnings. Participant shall have the opportunity to earn various percentages of the target Incentive Award. The percentage of the target Incentive Award to be earned by the Participant shall be determined by the application of objective performance measurements determined by the Committee, such as earnings per share. The application of the Participant's target Incentive Award to actual performance results creates the actual award for each Participant ("Incentive Award").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765" w:right="379" w:bottom="1440" w:gutter="0" w:footer="0" w:header="0"/>
        </w:sectPr>
      </w:pPr>
    </w:p>
    <w:bookmarkStart w:id="162" w:name="page163"/>
    <w:bookmarkEnd w:id="162"/>
    <w:p>
      <w:pPr>
        <w:ind w:right="480" w:firstLine="198"/>
        <w:spacing w:after="0" w:line="250" w:lineRule="auto"/>
        <w:rPr>
          <w:sz w:val="20"/>
          <w:szCs w:val="20"/>
          <w:color w:val="auto"/>
        </w:rPr>
      </w:pPr>
      <w:r>
        <w:rPr>
          <w:rFonts w:ascii="Arial" w:cs="Arial" w:eastAsia="Arial" w:hAnsi="Arial"/>
          <w:sz w:val="20"/>
          <w:szCs w:val="20"/>
          <w:color w:val="auto"/>
        </w:rPr>
        <w:t>If Participant is promoted, transferred or demoted during the Plan Year, determination of the target Incentive Award and performance measures are based on the target Incentive Award and performance measures in place for the Employee as of September 30 or their termination date for eligible Participants as described in Article 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6. Termination Provisions</w:t>
      </w:r>
    </w:p>
    <w:p>
      <w:pPr>
        <w:spacing w:after="0" w:line="249" w:lineRule="exact"/>
        <w:rPr>
          <w:sz w:val="20"/>
          <w:szCs w:val="20"/>
          <w:color w:val="auto"/>
        </w:rPr>
      </w:pPr>
    </w:p>
    <w:p>
      <w:pPr>
        <w:ind w:right="420" w:firstLine="648"/>
        <w:spacing w:after="0" w:line="316" w:lineRule="auto"/>
        <w:rPr>
          <w:sz w:val="20"/>
          <w:szCs w:val="20"/>
          <w:color w:val="auto"/>
        </w:rPr>
      </w:pPr>
      <w:r>
        <w:rPr>
          <w:rFonts w:ascii="Arial" w:cs="Arial" w:eastAsia="Arial" w:hAnsi="Arial"/>
          <w:sz w:val="18"/>
          <w:szCs w:val="18"/>
          <w:color w:val="auto"/>
        </w:rPr>
        <w:t>Except as provided below in this Article 6 and in Article 7, a Participant shall be eligible for payment of the Incentive Award, as determined in Article 5, only if the Participant’s employment with the Company or a Subsidiary continues through the date of payment.</w:t>
      </w:r>
    </w:p>
    <w:p>
      <w:pPr>
        <w:spacing w:after="0" w:line="157"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If Participant Retires, suffers a disability, or dies during the Performance Period, the Participant (or the Participant’s estate) shall be entitled to that proportion of the Incentive Award as such Participant is entitled to under Article 5 for such Performance Period. The form and timing of the payment of such Performance Shares shall be as set forth in Article 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7. Change in Control</w:t>
      </w:r>
    </w:p>
    <w:p>
      <w:pPr>
        <w:spacing w:after="0" w:line="249"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Notwithstanding anything herein to the contrary, in the event of a Change in Control, the Participant shall be entitled to that proportionate target Incentive Award as such Participant is entitled to under Article 5 for such Performance Period (as of the effective date of the Change in Control).</w:t>
      </w:r>
    </w:p>
    <w:p>
      <w:pPr>
        <w:spacing w:after="0" w:line="199"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Change in Control of the Company shall be deemed to have occurred (as of a particular day, as specified by the Board) upon the occurrence of any of the following events:</w:t>
      </w:r>
    </w:p>
    <w:p>
      <w:pPr>
        <w:spacing w:after="0" w:line="204" w:lineRule="exact"/>
        <w:rPr>
          <w:sz w:val="20"/>
          <w:szCs w:val="20"/>
          <w:color w:val="auto"/>
        </w:rPr>
      </w:pPr>
    </w:p>
    <w:p>
      <w:pPr>
        <w:ind w:left="980" w:right="20" w:hanging="648"/>
        <w:spacing w:after="0" w:line="260" w:lineRule="auto"/>
        <w:tabs>
          <w:tab w:leader="none" w:pos="74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acquisition in a transaction or series of transactions by any Person of Beneficial Ownership of thirty percent (30%) or more of the combined voting power of the then outstanding Shares; provided, however, that for purposes of this Agreement, the following acquisitions will not constitute a Change in Control: (A) any acquisition by the Company; (B) any acquisition of Shares by an underwriter holding securities of the Company in connection with a public offering thereof; and (C) any acquisition by any Person pursuant to a transaction which complies with subsections (c) (i), (ii) and (iii);</w:t>
      </w:r>
    </w:p>
    <w:p>
      <w:pPr>
        <w:spacing w:after="0" w:line="207" w:lineRule="exact"/>
        <w:rPr>
          <w:rFonts w:ascii="Arial" w:cs="Arial" w:eastAsia="Arial" w:hAnsi="Arial"/>
          <w:sz w:val="19"/>
          <w:szCs w:val="19"/>
          <w:color w:val="auto"/>
        </w:rPr>
      </w:pPr>
    </w:p>
    <w:p>
      <w:pPr>
        <w:ind w:left="980" w:hanging="648"/>
        <w:spacing w:after="0" w:line="273" w:lineRule="auto"/>
        <w:tabs>
          <w:tab w:leader="none" w:pos="76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Individuals who, as of December 31, 2020 are members of the Board (the "Incumbent Board"),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Plan,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"Proxy Contest") including by reason of any agreement intended to avoid or settle any Election Contest or Proxy Contest;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771" w:right="359" w:bottom="1440" w:gutter="0" w:footer="0" w:header="0"/>
        </w:sectPr>
      </w:pPr>
    </w:p>
    <w:bookmarkStart w:id="163" w:name="page164"/>
    <w:bookmarkEnd w:id="163"/>
    <w:p>
      <w:pPr>
        <w:ind w:left="980" w:hanging="648"/>
        <w:spacing w:after="0" w:line="254" w:lineRule="auto"/>
        <w:tabs>
          <w:tab w:leader="none" w:pos="74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Consummation, following shareholder approval, of a reorganization, merger, or consolidation of the Company, or a sale or other disposition of all or substantially all of the assets of the Company (each a “Business Combination”), unless, in each case, immediately following such Business Combination, all of the following have occurred: (i) all or substantially all of the individuals and entities who were beneficial owners of Shares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“Successor Entity”);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218" w:lineRule="exact"/>
        <w:rPr>
          <w:rFonts w:ascii="Arial" w:cs="Arial" w:eastAsia="Arial" w:hAnsi="Arial"/>
          <w:sz w:val="19"/>
          <w:szCs w:val="19"/>
          <w:color w:val="auto"/>
        </w:rPr>
      </w:pPr>
    </w:p>
    <w:p>
      <w:pPr>
        <w:ind w:left="980" w:right="660" w:hanging="648"/>
        <w:spacing w:after="0" w:line="260" w:lineRule="auto"/>
        <w:tabs>
          <w:tab w:leader="none" w:pos="75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 except pursuant to a Business Combination that complies with subsections (c) (i), (ii), and (iii) above.</w:t>
      </w:r>
    </w:p>
    <w:p>
      <w:pPr>
        <w:spacing w:after="0" w:line="203" w:lineRule="exact"/>
        <w:rPr>
          <w:rFonts w:ascii="Arial" w:cs="Arial" w:eastAsia="Arial" w:hAnsi="Arial"/>
          <w:sz w:val="20"/>
          <w:szCs w:val="20"/>
          <w:color w:val="auto"/>
        </w:rPr>
      </w:pPr>
    </w:p>
    <w:p>
      <w:pPr>
        <w:ind w:left="980" w:right="60" w:hanging="648"/>
        <w:spacing w:after="0" w:line="257" w:lineRule="auto"/>
        <w:tabs>
          <w:tab w:leader="none" w:pos="73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 Change in Control shall not be deemed to occur solely because any Person (the "Subject Person") acquired Beneficial Ownership of more than the permitted amount of the then outstanding Shares as a result of the acquisition of Shares by the Company which, by reducing the number of Shares then outstanding, increases the proportional number of Shares Beneficially Owned by the Subject Persons, provided that if a Change in Control would occur (but for the operation of this sentence) as a result of the acquisition of Shares by the Company, and after such stock acquisition by the Company, the Subject Person becomes the Beneficial Owner of any additional Shares which increases the percentage of the then outstanding Shares Beneficially Owned by the Subject Person, then a Change in Control shall occur.</w:t>
      </w:r>
    </w:p>
    <w:p>
      <w:pPr>
        <w:spacing w:after="0" w:line="211" w:lineRule="exact"/>
        <w:rPr>
          <w:rFonts w:ascii="Arial" w:cs="Arial" w:eastAsia="Arial" w:hAnsi="Arial"/>
          <w:sz w:val="19"/>
          <w:szCs w:val="19"/>
          <w:color w:val="auto"/>
        </w:rPr>
      </w:pPr>
    </w:p>
    <w:p>
      <w:pPr>
        <w:ind w:left="720" w:hanging="388"/>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Change in Control shall not be deemed to occur unless and until all regulatory approvals required in order to effectuate a Change</w:t>
      </w:r>
    </w:p>
    <w:p>
      <w:pPr>
        <w:spacing w:after="0" w:line="39" w:lineRule="exact"/>
        <w:rPr>
          <w:sz w:val="20"/>
          <w:szCs w:val="20"/>
          <w:color w:val="auto"/>
        </w:rPr>
      </w:pPr>
    </w:p>
    <w:p>
      <w:pPr>
        <w:ind w:left="200" w:right="80" w:firstLine="774"/>
        <w:spacing w:after="0" w:line="266" w:lineRule="auto"/>
        <w:rPr>
          <w:sz w:val="20"/>
          <w:szCs w:val="20"/>
          <w:color w:val="auto"/>
        </w:rPr>
      </w:pPr>
      <w:r>
        <w:rPr>
          <w:rFonts w:ascii="Arial" w:cs="Arial" w:eastAsia="Arial" w:hAnsi="Arial"/>
          <w:sz w:val="18"/>
          <w:szCs w:val="18"/>
          <w:color w:val="auto"/>
        </w:rPr>
        <w:t>in Control of the Company have been obtained and the transaction constituting the Change in Control has been consummated. Notwithstanding the above provisions of this definition, to the extent that any payment under the Agreement due to a Change in Control is</w:t>
      </w:r>
    </w:p>
    <w:p>
      <w:pPr>
        <w:ind w:right="80"/>
        <w:spacing w:after="0" w:line="297" w:lineRule="auto"/>
        <w:rPr>
          <w:sz w:val="20"/>
          <w:szCs w:val="20"/>
          <w:color w:val="auto"/>
        </w:rPr>
      </w:pPr>
      <w:r>
        <w:rPr>
          <w:rFonts w:ascii="Arial" w:cs="Arial" w:eastAsia="Arial" w:hAnsi="Arial"/>
          <w:sz w:val="18"/>
          <w:szCs w:val="18"/>
          <w:color w:val="auto"/>
        </w:rPr>
        <w:t>subject to Code Section 409A for deferred compensation, then the term “Change in Control” shall be construed in a manner that is consistent with Code Section 409A (a) (2)(A)(v), but only to the extent inconsistent with the above provisions as determined by the Board.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8. Forfeiture and Repayment.</w:t>
      </w:r>
    </w:p>
    <w:p>
      <w:pPr>
        <w:spacing w:after="0" w:line="244" w:lineRule="exact"/>
        <w:rPr>
          <w:sz w:val="20"/>
          <w:szCs w:val="20"/>
          <w:color w:val="auto"/>
        </w:rPr>
      </w:pPr>
    </w:p>
    <w:p>
      <w:pPr>
        <w:ind w:left="980" w:right="300" w:hanging="648"/>
        <w:spacing w:after="0" w:line="263" w:lineRule="auto"/>
        <w:tabs>
          <w:tab w:leader="none" w:pos="78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 the event the Participant incurs a separation from service for a reason other than those described in Article 6 herein during the Performance Period this entire award will be forfeited.</w:t>
      </w:r>
    </w:p>
    <w:p>
      <w:pPr>
        <w:spacing w:after="0" w:line="175" w:lineRule="exact"/>
        <w:rPr>
          <w:sz w:val="20"/>
          <w:szCs w:val="20"/>
          <w:color w:val="auto"/>
        </w:rPr>
      </w:pPr>
    </w:p>
    <w:p>
      <w:pPr>
        <w:ind w:left="800" w:right="720" w:hanging="647"/>
        <w:spacing w:after="0" w:line="263" w:lineRule="auto"/>
        <w:tabs>
          <w:tab w:leader="none" w:pos="780" w:val="left"/>
        </w:tabs>
        <w:rPr>
          <w:sz w:val="20"/>
          <w:szCs w:val="20"/>
          <w:color w:val="auto"/>
        </w:rPr>
      </w:pPr>
      <w:r>
        <w:rPr>
          <w:rFonts w:ascii="Arial" w:cs="Arial" w:eastAsia="Arial" w:hAnsi="Arial"/>
          <w:sz w:val="22"/>
          <w:szCs w:val="22"/>
          <w:color w:val="auto"/>
        </w:rPr>
        <w:t>(b)</w:t>
        <w:tab/>
        <w:t>Without limiting the generality of Article 8(a), the Committee reserves the right to cancel the Incentive Award awarded hereunder, whether or not earned, and require</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71" w:right="339" w:bottom="1440" w:gutter="0" w:footer="0" w:header="0"/>
        </w:sectPr>
      </w:pPr>
    </w:p>
    <w:bookmarkStart w:id="164" w:name="page165"/>
    <w:bookmarkEnd w:id="164"/>
    <w:p>
      <w:pPr>
        <w:ind w:left="648" w:right="100"/>
        <w:spacing w:after="0" w:line="263" w:lineRule="auto"/>
        <w:rPr>
          <w:sz w:val="20"/>
          <w:szCs w:val="20"/>
          <w:color w:val="auto"/>
        </w:rPr>
      </w:pPr>
      <w:r>
        <w:rPr>
          <w:rFonts w:ascii="Arial" w:cs="Arial" w:eastAsia="Arial" w:hAnsi="Arial"/>
          <w:sz w:val="22"/>
          <w:szCs w:val="22"/>
          <w:color w:val="auto"/>
        </w:rPr>
        <w:t>the Participant to repay all income or gains previously realized in respect of such Incentive Award, in the event of the occurrence of any of the following events:</w:t>
      </w:r>
    </w:p>
    <w:p>
      <w:pPr>
        <w:spacing w:after="0" w:line="175" w:lineRule="exact"/>
        <w:rPr>
          <w:sz w:val="20"/>
          <w:szCs w:val="20"/>
          <w:color w:val="auto"/>
        </w:rPr>
      </w:pPr>
    </w:p>
    <w:p>
      <w:pPr>
        <w:ind w:left="1388" w:hanging="416"/>
        <w:spacing w:after="0"/>
        <w:tabs>
          <w:tab w:leader="none" w:pos="1388"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termination of Participant’s employment for Cause;</w:t>
      </w:r>
    </w:p>
    <w:p>
      <w:pPr>
        <w:spacing w:after="0" w:line="219" w:lineRule="exact"/>
        <w:rPr>
          <w:rFonts w:ascii="Arial" w:cs="Arial" w:eastAsia="Arial" w:hAnsi="Arial"/>
          <w:sz w:val="22"/>
          <w:szCs w:val="22"/>
          <w:color w:val="auto"/>
        </w:rPr>
      </w:pPr>
    </w:p>
    <w:p>
      <w:pPr>
        <w:ind w:left="1628" w:right="200" w:hanging="656"/>
        <w:spacing w:after="0" w:line="253" w:lineRule="auto"/>
        <w:tabs>
          <w:tab w:leader="none" w:pos="146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within one year following any termination of Participant’s employment, the Committee determines that the Participant engaged in conduct before the Participant’s termination date that would have constituted the basis for a termination of employment for Cause;</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left="1628" w:right="400" w:hanging="656"/>
        <w:spacing w:after="0" w:line="263" w:lineRule="auto"/>
        <w:tabs>
          <w:tab w:leader="none" w:pos="152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at any time during the Participant’s employment or the twelve-month period immediately following any termination of employment, Participant:</w:t>
      </w:r>
    </w:p>
    <w:p>
      <w:pPr>
        <w:spacing w:after="0" w:line="174" w:lineRule="exact"/>
        <w:rPr>
          <w:rFonts w:ascii="Arial" w:cs="Arial" w:eastAsia="Arial" w:hAnsi="Arial"/>
          <w:sz w:val="22"/>
          <w:szCs w:val="22"/>
          <w:color w:val="auto"/>
        </w:rPr>
      </w:pPr>
    </w:p>
    <w:p>
      <w:pPr>
        <w:ind w:left="2268" w:right="40" w:hanging="648"/>
        <w:spacing w:after="0" w:line="312" w:lineRule="auto"/>
        <w:tabs>
          <w:tab w:leader="none" w:pos="2088" w:val="left"/>
        </w:tabs>
        <w:numPr>
          <w:ilvl w:val="2"/>
          <w:numId w:val="132"/>
        </w:numPr>
        <w:rPr>
          <w:rFonts w:ascii="Arial" w:cs="Arial" w:eastAsia="Arial" w:hAnsi="Arial"/>
          <w:sz w:val="19"/>
          <w:szCs w:val="19"/>
          <w:color w:val="auto"/>
        </w:rPr>
      </w:pPr>
      <w:r>
        <w:rPr>
          <w:rFonts w:ascii="Arial" w:cs="Arial" w:eastAsia="Arial" w:hAnsi="Arial"/>
          <w:sz w:val="19"/>
          <w:szCs w:val="19"/>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33" w:lineRule="exact"/>
        <w:rPr>
          <w:rFonts w:ascii="Arial" w:cs="Arial" w:eastAsia="Arial" w:hAnsi="Arial"/>
          <w:sz w:val="19"/>
          <w:szCs w:val="19"/>
          <w:color w:val="auto"/>
        </w:rPr>
      </w:pPr>
    </w:p>
    <w:p>
      <w:pPr>
        <w:ind w:left="2268" w:right="260" w:hanging="648"/>
        <w:spacing w:after="0" w:line="263" w:lineRule="auto"/>
        <w:tabs>
          <w:tab w:leader="none" w:pos="2088" w:val="left"/>
        </w:tabs>
        <w:numPr>
          <w:ilvl w:val="2"/>
          <w:numId w:val="132"/>
        </w:numPr>
        <w:rPr>
          <w:rFonts w:ascii="Arial" w:cs="Arial" w:eastAsia="Arial" w:hAnsi="Arial"/>
          <w:sz w:val="22"/>
          <w:szCs w:val="22"/>
          <w:color w:val="auto"/>
        </w:rPr>
      </w:pPr>
      <w:r>
        <w:rPr>
          <w:rFonts w:ascii="Arial" w:cs="Arial" w:eastAsia="Arial" w:hAnsi="Arial"/>
          <w:sz w:val="22"/>
          <w:szCs w:val="22"/>
          <w:color w:val="auto"/>
        </w:rPr>
        <w:t>violates in any material respect any policy or any code of ethics or standard of behavior or conduct generally applicable to Participant, including the Code of Conduct; or</w:t>
      </w:r>
    </w:p>
    <w:p>
      <w:pPr>
        <w:spacing w:after="0" w:line="174" w:lineRule="exact"/>
        <w:rPr>
          <w:rFonts w:ascii="Arial" w:cs="Arial" w:eastAsia="Arial" w:hAnsi="Arial"/>
          <w:sz w:val="22"/>
          <w:szCs w:val="22"/>
          <w:color w:val="auto"/>
        </w:rPr>
      </w:pPr>
    </w:p>
    <w:p>
      <w:pPr>
        <w:ind w:left="1628" w:right="560" w:hanging="656"/>
        <w:spacing w:after="0" w:line="253" w:lineRule="auto"/>
        <w:tabs>
          <w:tab w:leader="none" w:pos="1508" w:val="left"/>
        </w:tabs>
        <w:numPr>
          <w:ilvl w:val="1"/>
          <w:numId w:val="132"/>
        </w:numPr>
        <w:rPr>
          <w:rFonts w:ascii="Arial" w:cs="Arial" w:eastAsia="Arial" w:hAnsi="Arial"/>
          <w:sz w:val="22"/>
          <w:szCs w:val="22"/>
          <w:color w:val="auto"/>
        </w:rPr>
      </w:pPr>
      <w:r>
        <w:rPr>
          <w:rFonts w:ascii="Arial" w:cs="Arial" w:eastAsia="Arial" w:hAnsi="Arial"/>
          <w:sz w:val="22"/>
          <w:szCs w:val="22"/>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185" w:lineRule="exact"/>
        <w:rPr>
          <w:rFonts w:ascii="Arial" w:cs="Arial" w:eastAsia="Arial" w:hAnsi="Arial"/>
          <w:sz w:val="22"/>
          <w:szCs w:val="22"/>
          <w:color w:val="auto"/>
        </w:rPr>
      </w:pPr>
    </w:p>
    <w:p>
      <w:pPr>
        <w:ind w:left="648" w:right="380" w:hanging="648"/>
        <w:spacing w:after="0" w:line="253" w:lineRule="auto"/>
        <w:tabs>
          <w:tab w:leader="none" w:pos="45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the Committee determines that the Participant’s conduct, activities or circumstances constitute events described in Article 8(b), in addition to any other remedies the Company has available to it, the Committee may in its sole discretion:</w:t>
      </w:r>
    </w:p>
    <w:p>
      <w:pPr>
        <w:spacing w:after="0" w:line="185" w:lineRule="exact"/>
        <w:rPr>
          <w:rFonts w:ascii="Arial" w:cs="Arial" w:eastAsia="Arial" w:hAnsi="Arial"/>
          <w:sz w:val="22"/>
          <w:szCs w:val="22"/>
          <w:color w:val="auto"/>
        </w:rPr>
      </w:pPr>
    </w:p>
    <w:p>
      <w:pPr>
        <w:ind w:left="1388" w:hanging="416"/>
        <w:spacing w:after="0"/>
        <w:tabs>
          <w:tab w:leader="none" w:pos="1388" w:val="left"/>
        </w:tabs>
        <w:numPr>
          <w:ilvl w:val="1"/>
          <w:numId w:val="133"/>
        </w:numPr>
        <w:rPr>
          <w:rFonts w:ascii="Arial" w:cs="Arial" w:eastAsia="Arial" w:hAnsi="Arial"/>
          <w:sz w:val="22"/>
          <w:szCs w:val="22"/>
          <w:color w:val="auto"/>
        </w:rPr>
      </w:pPr>
      <w:r>
        <w:rPr>
          <w:rFonts w:ascii="Arial" w:cs="Arial" w:eastAsia="Arial" w:hAnsi="Arial"/>
          <w:sz w:val="22"/>
          <w:szCs w:val="22"/>
          <w:color w:val="auto"/>
        </w:rPr>
        <w:t>cancel any Incentive Award, whether or not issued; and/or</w:t>
      </w:r>
    </w:p>
    <w:p>
      <w:pPr>
        <w:spacing w:after="0" w:line="219" w:lineRule="exact"/>
        <w:rPr>
          <w:rFonts w:ascii="Arial" w:cs="Arial" w:eastAsia="Arial" w:hAnsi="Arial"/>
          <w:sz w:val="22"/>
          <w:szCs w:val="22"/>
          <w:color w:val="auto"/>
        </w:rPr>
      </w:pPr>
    </w:p>
    <w:p>
      <w:pPr>
        <w:ind w:left="1628" w:hanging="656"/>
        <w:spacing w:after="0" w:line="263" w:lineRule="auto"/>
        <w:tabs>
          <w:tab w:leader="none" w:pos="14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require the Participant to repay an amount equal to all income or gain realized in respect of all such Incentive Award.</w:t>
      </w:r>
    </w:p>
    <w:p>
      <w:pPr>
        <w:spacing w:after="0" w:line="175" w:lineRule="exact"/>
        <w:rPr>
          <w:sz w:val="20"/>
          <w:szCs w:val="20"/>
          <w:color w:val="auto"/>
        </w:rPr>
      </w:pPr>
    </w:p>
    <w:p>
      <w:pPr>
        <w:ind w:left="968"/>
        <w:spacing w:after="0"/>
        <w:rPr>
          <w:sz w:val="20"/>
          <w:szCs w:val="20"/>
          <w:color w:val="auto"/>
        </w:rPr>
      </w:pPr>
      <w:r>
        <w:rPr>
          <w:rFonts w:ascii="Arial" w:cs="Arial" w:eastAsia="Arial" w:hAnsi="Arial"/>
          <w:sz w:val="22"/>
          <w:szCs w:val="22"/>
          <w:color w:val="auto"/>
        </w:rPr>
        <w:t>There shall be no forfeiture or repayment under Article 8(b) following a Change in Control.</w:t>
      </w:r>
    </w:p>
    <w:p>
      <w:pPr>
        <w:spacing w:after="0" w:line="220" w:lineRule="exact"/>
        <w:rPr>
          <w:sz w:val="20"/>
          <w:szCs w:val="20"/>
          <w:color w:val="auto"/>
        </w:rPr>
      </w:pPr>
    </w:p>
    <w:p>
      <w:pPr>
        <w:ind w:left="648" w:right="140" w:hanging="648"/>
        <w:spacing w:after="0" w:line="294" w:lineRule="auto"/>
        <w:tabs>
          <w:tab w:leader="none" w:pos="46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Committee, in its discretion, shall determine whether a Participant’s conduct, activities or circumstances constitute events described in Article 8(b) and whether and to what extent the Incentive Award shall be forfeited by Participant and/or a Participant shall be required to repay an amount pursuant to Article 8(c). The Committee shall have the authority to suspend the payment, delivery or settlement of all or any portion of such Participant’s outstanding Incentive Award pending an investigation of a bona fide dispute regarding Participant’s eligibility to receive a payment under the terms of this Agreement as determined by the Committee in good faith.</w:t>
      </w:r>
    </w:p>
    <w:p>
      <w:pPr>
        <w:spacing w:after="0" w:line="149" w:lineRule="exact"/>
        <w:rPr>
          <w:rFonts w:ascii="Arial" w:cs="Arial" w:eastAsia="Arial" w:hAnsi="Arial"/>
          <w:sz w:val="19"/>
          <w:szCs w:val="19"/>
          <w:color w:val="auto"/>
        </w:rPr>
      </w:pPr>
    </w:p>
    <w:p>
      <w:pPr>
        <w:ind w:left="448" w:hanging="448"/>
        <w:spacing w:after="0"/>
        <w:tabs>
          <w:tab w:leader="none" w:pos="44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For purposes of applying this provision: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888"/>
          </w:cols>
          <w:pgMar w:left="652" w:top="780" w:right="359" w:bottom="1440" w:gutter="0" w:footer="0" w:header="0"/>
        </w:sectPr>
      </w:pPr>
    </w:p>
    <w:bookmarkStart w:id="165" w:name="page166"/>
    <w:bookmarkEnd w:id="165"/>
    <w:p>
      <w:pPr>
        <w:ind w:left="1720" w:hanging="416"/>
        <w:spacing w:after="0"/>
        <w:tabs>
          <w:tab w:leader="none" w:pos="17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“Cause” means any of the following:</w:t>
      </w:r>
    </w:p>
    <w:p>
      <w:pPr>
        <w:spacing w:after="0" w:line="219" w:lineRule="exact"/>
        <w:rPr>
          <w:rFonts w:ascii="Arial" w:cs="Arial" w:eastAsia="Arial" w:hAnsi="Arial"/>
          <w:sz w:val="22"/>
          <w:szCs w:val="22"/>
          <w:color w:val="auto"/>
        </w:rPr>
      </w:pPr>
    </w:p>
    <w:p>
      <w:pPr>
        <w:ind w:left="2600" w:right="360" w:hanging="648"/>
        <w:spacing w:after="0" w:line="343" w:lineRule="auto"/>
        <w:tabs>
          <w:tab w:leader="none" w:pos="242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 Participant’s violation of his or her material duties to the Company or any of its affiliates, which continues after written notice from the Company or any affiliate to cure such violation;</w:t>
      </w:r>
    </w:p>
    <w:p>
      <w:pPr>
        <w:spacing w:after="0" w:line="104" w:lineRule="exact"/>
        <w:rPr>
          <w:rFonts w:ascii="Arial" w:cs="Arial" w:eastAsia="Arial" w:hAnsi="Arial"/>
          <w:sz w:val="19"/>
          <w:szCs w:val="19"/>
          <w:color w:val="auto"/>
        </w:rPr>
      </w:pPr>
    </w:p>
    <w:p>
      <w:pPr>
        <w:ind w:left="2600" w:right="380" w:hanging="648"/>
        <w:spacing w:after="0" w:line="263" w:lineRule="auto"/>
        <w:tabs>
          <w:tab w:leader="none" w:pos="242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Participant’s willful failure to follow the lawful written directives of the Company in any material respect;</w:t>
      </w:r>
    </w:p>
    <w:p>
      <w:pPr>
        <w:spacing w:after="0" w:line="174" w:lineRule="exact"/>
        <w:rPr>
          <w:rFonts w:ascii="Arial" w:cs="Arial" w:eastAsia="Arial" w:hAnsi="Arial"/>
          <w:sz w:val="22"/>
          <w:szCs w:val="22"/>
          <w:color w:val="auto"/>
        </w:rPr>
      </w:pPr>
    </w:p>
    <w:p>
      <w:pPr>
        <w:ind w:left="2600" w:right="180" w:hanging="648"/>
        <w:spacing w:after="0" w:line="260" w:lineRule="auto"/>
        <w:tabs>
          <w:tab w:leader="none" w:pos="2468" w:val="left"/>
        </w:tabs>
        <w:numPr>
          <w:ilvl w:val="1"/>
          <w:numId w:val="135"/>
        </w:numPr>
        <w:rPr>
          <w:rFonts w:ascii="Arial" w:cs="Arial" w:eastAsia="Arial" w:hAnsi="Arial"/>
          <w:sz w:val="21"/>
          <w:szCs w:val="21"/>
          <w:color w:val="auto"/>
        </w:rPr>
      </w:pPr>
      <w:r>
        <w:rPr>
          <w:rFonts w:ascii="Arial" w:cs="Arial" w:eastAsia="Arial" w:hAnsi="Arial"/>
          <w:sz w:val="21"/>
          <w:szCs w:val="21"/>
          <w:color w:val="auto"/>
        </w:rPr>
        <w:t>Participant’s willful misconduct in connection with the performance of any of his or her duties, including but not limited to falsifying or attempting to falsify documents, books or records of the Company or any of its affiliates, making or delivering a false representation, statement or certification of compliance to the Company, misappropriating or attempting to misappropriate funds or other property of the Company or any of its affiliates, or securing or attempting to secure any personal profit in connection with any transaction entered into on behalf of the Company or any of its affiliates;</w:t>
      </w:r>
    </w:p>
    <w:p>
      <w:pPr>
        <w:spacing w:after="0" w:line="180" w:lineRule="exact"/>
        <w:rPr>
          <w:rFonts w:ascii="Arial" w:cs="Arial" w:eastAsia="Arial" w:hAnsi="Arial"/>
          <w:sz w:val="21"/>
          <w:szCs w:val="21"/>
          <w:color w:val="auto"/>
        </w:rPr>
      </w:pPr>
    </w:p>
    <w:p>
      <w:pPr>
        <w:ind w:left="2600" w:hanging="648"/>
        <w:spacing w:after="0" w:line="253" w:lineRule="auto"/>
        <w:tabs>
          <w:tab w:leader="none" w:pos="242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Participant’s breach of any material provisions of this Agreement or any other non-competition, non-interference, non-disclosure, confidentiality or other similar agreement executed by Participant with the Company or any of its affiliates;</w:t>
      </w:r>
    </w:p>
    <w:p>
      <w:pPr>
        <w:spacing w:after="0" w:line="185" w:lineRule="exact"/>
        <w:rPr>
          <w:rFonts w:ascii="Arial" w:cs="Arial" w:eastAsia="Arial" w:hAnsi="Arial"/>
          <w:sz w:val="22"/>
          <w:szCs w:val="22"/>
          <w:color w:val="auto"/>
        </w:rPr>
      </w:pPr>
    </w:p>
    <w:p>
      <w:pPr>
        <w:ind w:left="2600" w:right="160" w:hanging="648"/>
        <w:spacing w:after="0" w:line="253" w:lineRule="auto"/>
        <w:tabs>
          <w:tab w:leader="none" w:pos="242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conviction (or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of the Participant of any felony, or a misdemeanor involving false statement, in connection with conduct involving the Company or any of its subsidiaries or affiliates; or</w:t>
      </w:r>
    </w:p>
    <w:p>
      <w:pPr>
        <w:spacing w:after="0" w:line="185" w:lineRule="exact"/>
        <w:rPr>
          <w:rFonts w:ascii="Arial" w:cs="Arial" w:eastAsia="Arial" w:hAnsi="Arial"/>
          <w:sz w:val="22"/>
          <w:szCs w:val="22"/>
          <w:color w:val="auto"/>
        </w:rPr>
      </w:pPr>
    </w:p>
    <w:p>
      <w:pPr>
        <w:ind w:left="2600" w:right="80" w:hanging="648"/>
        <w:spacing w:after="0" w:line="263" w:lineRule="auto"/>
        <w:tabs>
          <w:tab w:leader="none" w:pos="2408"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intentional engagement in any activity which would constitute or cause a breach of duty of loyalty, or any fiduciary duty to the Company or any of its subsidiaries or affiliates.</w:t>
      </w:r>
    </w:p>
    <w:p>
      <w:pPr>
        <w:spacing w:after="0" w:line="175" w:lineRule="exact"/>
        <w:rPr>
          <w:sz w:val="20"/>
          <w:szCs w:val="20"/>
          <w:color w:val="auto"/>
        </w:rPr>
      </w:pPr>
    </w:p>
    <w:p>
      <w:pPr>
        <w:ind w:left="1960" w:right="200" w:hanging="656"/>
        <w:spacing w:after="0" w:line="265" w:lineRule="auto"/>
        <w:tabs>
          <w:tab w:leader="none" w:pos="1792" w:val="left"/>
        </w:tabs>
        <w:numPr>
          <w:ilvl w:val="1"/>
          <w:numId w:val="136"/>
        </w:numPr>
        <w:rPr>
          <w:rFonts w:ascii="Arial" w:cs="Arial" w:eastAsia="Arial" w:hAnsi="Arial"/>
          <w:sz w:val="21"/>
          <w:szCs w:val="21"/>
          <w:color w:val="auto"/>
        </w:rPr>
      </w:pPr>
      <w:r>
        <w:rPr>
          <w:rFonts w:ascii="Arial" w:cs="Arial" w:eastAsia="Arial" w:hAnsi="Arial"/>
          <w:sz w:val="21"/>
          <w:szCs w:val="21"/>
          <w:color w:val="auto"/>
        </w:rPr>
        <w:t>“Code of Conduct” means any code of ethics or code of conduct now or hereafter adopted by the Company or any of its affiliates, including to the extent applicable the Code of Business Conduct, as amended or supplemented from time to time, and the Company’s or subsidiary Risk Management Policies and Procedures, as amended, supplemented or replaced from time to time.</w:t>
      </w:r>
    </w:p>
    <w:p>
      <w:pPr>
        <w:spacing w:after="0" w:line="175" w:lineRule="exact"/>
        <w:rPr>
          <w:rFonts w:ascii="Arial" w:cs="Arial" w:eastAsia="Arial" w:hAnsi="Arial"/>
          <w:sz w:val="21"/>
          <w:szCs w:val="21"/>
          <w:color w:val="auto"/>
        </w:rPr>
      </w:pPr>
    </w:p>
    <w:p>
      <w:pPr>
        <w:ind w:left="980" w:right="160" w:hanging="648"/>
        <w:spacing w:after="0" w:line="312" w:lineRule="auto"/>
        <w:tabs>
          <w:tab w:leader="none" w:pos="76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Participant agrees that the provisions of this Article 8 are entered into in consideration of, and as a material inducement to, the agreements herein as well as an inducement for the Company to enter into this Agreement, and that, but for Participant’s agreement to the provisions of this Article 8, the Company would not have entered into this Agreement.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9. Payment of Incentive Award</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Incentive Award shall be paid to the Participant in the form of cash after required tax withholding.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780" w:right="33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b w:val="1"/>
          <w:bCs w:val="1"/>
          <w:color w:val="auto"/>
        </w:rPr>
        <w:t>Article 10. Powers of the Committee</w:t>
      </w:r>
    </w:p>
    <w:p>
      <w:pPr>
        <w:spacing w:after="0" w:line="249"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The Committee may alter, amend, modify, suspend, or terminate the Plan or any award agreement, in whole or in part, at any time, or may, from time to time, amend the Plan or an award agreement in such respects as the Committee may deem necessary to conform the Plan or any award agreement to any present or future law, provided that no such amendment shall withdraw the administration and interpretation of the Plan from the Committee.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11. Assignability</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right to receive payments under this Agreement shall be subject to voluntary or involuntary alienation, assignment or transfer.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12. No Contract of Employment</w:t>
      </w:r>
    </w:p>
    <w:p>
      <w:pPr>
        <w:spacing w:after="0" w:line="249" w:lineRule="exact"/>
        <w:rPr>
          <w:sz w:val="20"/>
          <w:szCs w:val="20"/>
          <w:color w:val="auto"/>
        </w:rPr>
      </w:pPr>
    </w:p>
    <w:p>
      <w:pPr>
        <w:ind w:right="40" w:firstLine="648"/>
        <w:spacing w:after="0" w:line="316" w:lineRule="auto"/>
        <w:rPr>
          <w:sz w:val="20"/>
          <w:szCs w:val="20"/>
          <w:color w:val="auto"/>
        </w:rPr>
      </w:pPr>
      <w:r>
        <w:rPr>
          <w:rFonts w:ascii="Arial" w:cs="Arial" w:eastAsia="Arial" w:hAnsi="Arial"/>
          <w:sz w:val="18"/>
          <w:szCs w:val="18"/>
          <w:color w:val="auto"/>
        </w:rPr>
        <w:t>Neither the action taken by the Company in establishing the Plan or any action taken by it or by the Committee under the provisions hereof or any provision of the Plan shall be construed as giving to any Participant the right to be retained in the employment of the Company.</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13. Right to Incentive Award</w:t>
      </w:r>
    </w:p>
    <w:p>
      <w:pPr>
        <w:spacing w:after="0" w:line="249"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The Committee determines the amount of the Incentive Award, which determination is to be made in January of each Plan Year based on the application of the target incentives and performance measures to the preceding year and no Participant shall be considered to have earned any portion of any Incentive Award until determination by the Committee. Notwithstanding anything contained herein, no Participant shall have any right to receive any Incentive Award unless he/she is an Employee of the Company on the date the Incentive Award is issued, which shall be no later than March 15 of each Plan Year. In the event of a Change in Control, a Participant's Incentive Award shall be determined as of the date of the Change in Control and shall be paid 30 days after the day of the Change in Control.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14. Governing Law</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shall be governed by and construed in accordance with the laws of the State of South Dakota.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15. No Tax Qualified or ERISA Plan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is not intended to be a tax qualified Plan nor a Plan for the purposes of ERISA.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parties have caused this Agreement to be executed effective as of January 1, 2021.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-14605</wp:posOffset>
            </wp:positionV>
            <wp:extent cx="2514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-14605</wp:posOffset>
            </wp:positionV>
            <wp:extent cx="2514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Participant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-14605</wp:posOffset>
            </wp:positionV>
            <wp:extent cx="2514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008" w:right="339" w:bottom="1440" w:gutter="0" w:footer="0" w:header="0"/>
        </w:sectPr>
      </w:pPr>
    </w:p>
    <w:bookmarkStart w:id="167" w:name="page168"/>
    <w:bookmarkEnd w:id="167"/>
    <w:p>
      <w:pPr>
        <w:spacing w:after="0" w:line="1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Hills Corporation</w:t>
      </w: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2015 Omnibus Incentive Plan</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Unit Award Agreement</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(for Awards granted on or after January 1, 2021)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Performance Period - </w:t>
      </w:r>
      <w:r>
        <w:rPr>
          <w:rFonts w:ascii="Arial" w:cs="Arial" w:eastAsia="Arial" w:hAnsi="Arial"/>
          <w:sz w:val="25"/>
          <w:szCs w:val="25"/>
          <w:color w:val="auto"/>
        </w:rPr>
        <w:t>January 1, 2021 – December 31, 2023</w:t>
      </w:r>
    </w:p>
    <w:p>
      <w:pPr>
        <w:sectPr>
          <w:pgSz w:w="11900" w:h="16838" w:orient="portrait"/>
          <w:cols w:equalWidth="0" w:num="1">
            <w:col w:w="10139"/>
          </w:cols>
          <w:pgMar w:left="320" w:top="1440" w:right="1440" w:bottom="1440" w:gutter="0" w:footer="0" w:header="0"/>
        </w:sectPr>
      </w:pPr>
    </w:p>
    <w:bookmarkStart w:id="168" w:name="page169"/>
    <w:bookmarkEnd w:id="168"/>
    <w:p>
      <w:pPr>
        <w:spacing w:after="0"/>
        <w:rPr>
          <w:sz w:val="20"/>
          <w:szCs w:val="20"/>
          <w:color w:val="auto"/>
        </w:rPr>
      </w:pPr>
      <w:r>
        <w:rPr>
          <w:rFonts w:ascii="Arial" w:cs="Arial" w:eastAsia="Arial" w:hAnsi="Arial"/>
          <w:sz w:val="31"/>
          <w:szCs w:val="31"/>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876935</wp:posOffset>
            </wp:positionV>
            <wp:extent cx="5949315"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59493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50"/>
        </w:trPr>
        <w:tc>
          <w:tcPr>
            <w:tcW w:w="6620" w:type="dxa"/>
            <w:vAlign w:val="bottom"/>
            <w:gridSpan w:val="3"/>
          </w:tcPr>
          <w:p>
            <w:pPr>
              <w:spacing w:after="0"/>
              <w:rPr>
                <w:rFonts w:ascii="Arial" w:cs="Arial" w:eastAsia="Arial" w:hAnsi="Arial"/>
                <w:sz w:val="20"/>
                <w:szCs w:val="20"/>
                <w:u w:val="single" w:color="auto"/>
                <w:color w:val="0000FF"/>
              </w:rPr>
            </w:pPr>
            <w:hyperlink w:anchor="page170">
              <w:r>
                <w:rPr>
                  <w:rFonts w:ascii="Arial" w:cs="Arial" w:eastAsia="Arial" w:hAnsi="Arial"/>
                  <w:sz w:val="20"/>
                  <w:szCs w:val="20"/>
                  <w:u w:val="single" w:color="auto"/>
                  <w:color w:val="0000FF"/>
                </w:rPr>
                <w:t>Article 1. Performance Period</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0">
              <w:r>
                <w:rPr>
                  <w:rFonts w:ascii="Arial" w:cs="Arial" w:eastAsia="Arial" w:hAnsi="Arial"/>
                  <w:sz w:val="20"/>
                  <w:szCs w:val="20"/>
                  <w:u w:val="single" w:color="auto"/>
                  <w:color w:val="0000FF"/>
                </w:rPr>
                <w:t>1</w:t>
              </w:r>
            </w:hyperlink>
          </w:p>
        </w:tc>
      </w:tr>
      <w:tr>
        <w:trPr>
          <w:trHeight w:val="553"/>
        </w:trPr>
        <w:tc>
          <w:tcPr>
            <w:tcW w:w="6620" w:type="dxa"/>
            <w:vAlign w:val="bottom"/>
            <w:gridSpan w:val="3"/>
          </w:tcPr>
          <w:p>
            <w:pPr>
              <w:spacing w:after="0"/>
              <w:rPr>
                <w:rFonts w:ascii="Arial" w:cs="Arial" w:eastAsia="Arial" w:hAnsi="Arial"/>
                <w:sz w:val="20"/>
                <w:szCs w:val="20"/>
                <w:u w:val="single" w:color="auto"/>
                <w:color w:val="0000FF"/>
              </w:rPr>
            </w:pPr>
            <w:hyperlink w:anchor="page170">
              <w:r>
                <w:rPr>
                  <w:rFonts w:ascii="Arial" w:cs="Arial" w:eastAsia="Arial" w:hAnsi="Arial"/>
                  <w:sz w:val="20"/>
                  <w:szCs w:val="20"/>
                  <w:u w:val="single" w:color="auto"/>
                  <w:color w:val="0000FF"/>
                </w:rPr>
                <w:t>Article 2. Award of Performance Units</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0">
              <w:r>
                <w:rPr>
                  <w:rFonts w:ascii="Arial" w:cs="Arial" w:eastAsia="Arial" w:hAnsi="Arial"/>
                  <w:sz w:val="20"/>
                  <w:szCs w:val="20"/>
                  <w:u w:val="single" w:color="auto"/>
                  <w:color w:val="0000FF"/>
                </w:rPr>
                <w:t>1</w:t>
              </w:r>
            </w:hyperlink>
          </w:p>
        </w:tc>
      </w:tr>
      <w:tr>
        <w:trPr>
          <w:trHeight w:val="553"/>
        </w:trPr>
        <w:tc>
          <w:tcPr>
            <w:tcW w:w="6620" w:type="dxa"/>
            <w:vAlign w:val="bottom"/>
            <w:gridSpan w:val="3"/>
          </w:tcPr>
          <w:p>
            <w:pPr>
              <w:spacing w:after="0"/>
              <w:rPr>
                <w:rFonts w:ascii="Arial" w:cs="Arial" w:eastAsia="Arial" w:hAnsi="Arial"/>
                <w:sz w:val="20"/>
                <w:szCs w:val="20"/>
                <w:u w:val="single" w:color="auto"/>
                <w:color w:val="0000FF"/>
              </w:rPr>
            </w:pPr>
            <w:hyperlink w:anchor="page170">
              <w:r>
                <w:rPr>
                  <w:rFonts w:ascii="Arial" w:cs="Arial" w:eastAsia="Arial" w:hAnsi="Arial"/>
                  <w:sz w:val="20"/>
                  <w:szCs w:val="20"/>
                  <w:u w:val="single" w:color="auto"/>
                  <w:color w:val="0000FF"/>
                </w:rPr>
                <w:t>Article 3. Scheduled Vesting of Performance Units</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0">
              <w:r>
                <w:rPr>
                  <w:rFonts w:ascii="Arial" w:cs="Arial" w:eastAsia="Arial" w:hAnsi="Arial"/>
                  <w:sz w:val="20"/>
                  <w:szCs w:val="20"/>
                  <w:u w:val="single" w:color="auto"/>
                  <w:color w:val="0000FF"/>
                </w:rPr>
                <w:t>1</w:t>
              </w:r>
            </w:hyperlink>
          </w:p>
        </w:tc>
      </w:tr>
      <w:tr>
        <w:trPr>
          <w:trHeight w:val="553"/>
        </w:trPr>
        <w:tc>
          <w:tcPr>
            <w:tcW w:w="6620" w:type="dxa"/>
            <w:vAlign w:val="bottom"/>
            <w:gridSpan w:val="3"/>
          </w:tcPr>
          <w:p>
            <w:pPr>
              <w:spacing w:after="0"/>
              <w:rPr>
                <w:rFonts w:ascii="Arial" w:cs="Arial" w:eastAsia="Arial" w:hAnsi="Arial"/>
                <w:sz w:val="20"/>
                <w:szCs w:val="20"/>
                <w:u w:val="single" w:color="auto"/>
                <w:color w:val="0000FF"/>
              </w:rPr>
            </w:pPr>
            <w:hyperlink w:anchor="page171">
              <w:r>
                <w:rPr>
                  <w:rFonts w:ascii="Arial" w:cs="Arial" w:eastAsia="Arial" w:hAnsi="Arial"/>
                  <w:sz w:val="20"/>
                  <w:szCs w:val="20"/>
                  <w:u w:val="single" w:color="auto"/>
                  <w:color w:val="0000FF"/>
                </w:rPr>
                <w:t>Article 4. Termination Provisions</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1">
              <w:r>
                <w:rPr>
                  <w:rFonts w:ascii="Arial" w:cs="Arial" w:eastAsia="Arial" w:hAnsi="Arial"/>
                  <w:sz w:val="20"/>
                  <w:szCs w:val="20"/>
                  <w:u w:val="single" w:color="auto"/>
                  <w:color w:val="0000FF"/>
                </w:rPr>
                <w:t>2</w:t>
              </w:r>
            </w:hyperlink>
          </w:p>
        </w:tc>
      </w:tr>
      <w:tr>
        <w:trPr>
          <w:trHeight w:val="553"/>
        </w:trPr>
        <w:tc>
          <w:tcPr>
            <w:tcW w:w="6620" w:type="dxa"/>
            <w:vAlign w:val="bottom"/>
            <w:gridSpan w:val="3"/>
          </w:tcPr>
          <w:p>
            <w:pPr>
              <w:spacing w:after="0"/>
              <w:rPr>
                <w:rFonts w:ascii="Arial" w:cs="Arial" w:eastAsia="Arial" w:hAnsi="Arial"/>
                <w:sz w:val="20"/>
                <w:szCs w:val="20"/>
                <w:u w:val="single" w:color="auto"/>
                <w:color w:val="0000FF"/>
              </w:rPr>
            </w:pPr>
            <w:hyperlink w:anchor="page171">
              <w:r>
                <w:rPr>
                  <w:rFonts w:ascii="Arial" w:cs="Arial" w:eastAsia="Arial" w:hAnsi="Arial"/>
                  <w:sz w:val="20"/>
                  <w:szCs w:val="20"/>
                  <w:u w:val="single" w:color="auto"/>
                  <w:color w:val="0000FF"/>
                </w:rPr>
                <w:t>Article 5. Change in Control</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1">
              <w:r>
                <w:rPr>
                  <w:rFonts w:ascii="Arial" w:cs="Arial" w:eastAsia="Arial" w:hAnsi="Arial"/>
                  <w:sz w:val="20"/>
                  <w:szCs w:val="20"/>
                  <w:u w:val="single" w:color="auto"/>
                  <w:color w:val="0000FF"/>
                </w:rPr>
                <w:t>2</w:t>
              </w:r>
            </w:hyperlink>
          </w:p>
        </w:tc>
      </w:tr>
      <w:tr>
        <w:trPr>
          <w:trHeight w:val="553"/>
        </w:trPr>
        <w:tc>
          <w:tcPr>
            <w:tcW w:w="760" w:type="dxa"/>
            <w:vAlign w:val="bottom"/>
          </w:tcPr>
          <w:p>
            <w:pPr>
              <w:spacing w:after="0"/>
              <w:rPr>
                <w:rFonts w:ascii="Arial" w:cs="Arial" w:eastAsia="Arial" w:hAnsi="Arial"/>
                <w:sz w:val="20"/>
                <w:szCs w:val="20"/>
                <w:u w:val="single" w:color="auto"/>
                <w:color w:val="0000FF"/>
                <w:w w:val="95"/>
              </w:rPr>
            </w:pPr>
            <w:hyperlink w:anchor="page173">
              <w:r>
                <w:rPr>
                  <w:rFonts w:ascii="Arial" w:cs="Arial" w:eastAsia="Arial" w:hAnsi="Arial"/>
                  <w:sz w:val="20"/>
                  <w:szCs w:val="20"/>
                  <w:u w:val="single" w:color="auto"/>
                  <w:color w:val="0000FF"/>
                  <w:w w:val="95"/>
                </w:rPr>
                <w:t>Article 6.</w:t>
              </w:r>
            </w:hyperlink>
          </w:p>
        </w:tc>
        <w:tc>
          <w:tcPr>
            <w:tcW w:w="5860" w:type="dxa"/>
            <w:vAlign w:val="bottom"/>
            <w:gridSpan w:val="2"/>
          </w:tcPr>
          <w:p>
            <w:pPr>
              <w:ind w:left="20"/>
              <w:spacing w:after="0"/>
              <w:rPr>
                <w:rFonts w:ascii="Arial" w:cs="Arial" w:eastAsia="Arial" w:hAnsi="Arial"/>
                <w:sz w:val="20"/>
                <w:szCs w:val="20"/>
                <w:u w:val="single" w:color="auto"/>
                <w:color w:val="0000FF"/>
              </w:rPr>
            </w:pPr>
            <w:hyperlink w:anchor="page173">
              <w:r>
                <w:rPr>
                  <w:rFonts w:ascii="Arial" w:cs="Arial" w:eastAsia="Arial" w:hAnsi="Arial"/>
                  <w:sz w:val="20"/>
                  <w:szCs w:val="20"/>
                  <w:u w:val="single" w:color="auto"/>
                  <w:color w:val="0000FF"/>
                </w:rPr>
                <w:t>Earned Units</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3">
              <w:r>
                <w:rPr>
                  <w:rFonts w:ascii="Arial" w:cs="Arial" w:eastAsia="Arial" w:hAnsi="Arial"/>
                  <w:sz w:val="20"/>
                  <w:szCs w:val="20"/>
                  <w:u w:val="single" w:color="auto"/>
                  <w:color w:val="0000FF"/>
                </w:rPr>
                <w:t>4</w:t>
              </w:r>
            </w:hyperlink>
          </w:p>
        </w:tc>
      </w:tr>
      <w:tr>
        <w:trPr>
          <w:trHeight w:val="553"/>
        </w:trPr>
        <w:tc>
          <w:tcPr>
            <w:tcW w:w="760" w:type="dxa"/>
            <w:vAlign w:val="bottom"/>
          </w:tcPr>
          <w:p>
            <w:pPr>
              <w:spacing w:after="0"/>
              <w:rPr>
                <w:rFonts w:ascii="Arial" w:cs="Arial" w:eastAsia="Arial" w:hAnsi="Arial"/>
                <w:sz w:val="20"/>
                <w:szCs w:val="20"/>
                <w:u w:val="single" w:color="auto"/>
                <w:color w:val="0000FF"/>
                <w:w w:val="95"/>
              </w:rPr>
            </w:pPr>
            <w:hyperlink w:anchor="page173">
              <w:r>
                <w:rPr>
                  <w:rFonts w:ascii="Arial" w:cs="Arial" w:eastAsia="Arial" w:hAnsi="Arial"/>
                  <w:sz w:val="20"/>
                  <w:szCs w:val="20"/>
                  <w:u w:val="single" w:color="auto"/>
                  <w:color w:val="0000FF"/>
                  <w:w w:val="95"/>
                </w:rPr>
                <w:t>Article 7.</w:t>
              </w:r>
            </w:hyperlink>
          </w:p>
        </w:tc>
        <w:tc>
          <w:tcPr>
            <w:tcW w:w="5860" w:type="dxa"/>
            <w:vAlign w:val="bottom"/>
            <w:gridSpan w:val="2"/>
          </w:tcPr>
          <w:p>
            <w:pPr>
              <w:ind w:left="20"/>
              <w:spacing w:after="0"/>
              <w:rPr>
                <w:rFonts w:ascii="Arial" w:cs="Arial" w:eastAsia="Arial" w:hAnsi="Arial"/>
                <w:sz w:val="20"/>
                <w:szCs w:val="20"/>
                <w:u w:val="single" w:color="auto"/>
                <w:color w:val="0000FF"/>
              </w:rPr>
            </w:pPr>
            <w:hyperlink w:anchor="page173">
              <w:r>
                <w:rPr>
                  <w:rFonts w:ascii="Arial" w:cs="Arial" w:eastAsia="Arial" w:hAnsi="Arial"/>
                  <w:sz w:val="20"/>
                  <w:szCs w:val="20"/>
                  <w:u w:val="single" w:color="auto"/>
                  <w:color w:val="0000FF"/>
                </w:rPr>
                <w:t>Settlement of Units</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3">
              <w:r>
                <w:rPr>
                  <w:rFonts w:ascii="Arial" w:cs="Arial" w:eastAsia="Arial" w:hAnsi="Arial"/>
                  <w:sz w:val="20"/>
                  <w:szCs w:val="20"/>
                  <w:u w:val="single" w:color="auto"/>
                  <w:color w:val="0000FF"/>
                </w:rPr>
                <w:t>4</w:t>
              </w:r>
            </w:hyperlink>
          </w:p>
        </w:tc>
      </w:tr>
      <w:tr>
        <w:trPr>
          <w:trHeight w:val="553"/>
        </w:trPr>
        <w:tc>
          <w:tcPr>
            <w:tcW w:w="760" w:type="dxa"/>
            <w:vAlign w:val="bottom"/>
          </w:tcPr>
          <w:p>
            <w:pPr>
              <w:spacing w:after="0"/>
              <w:rPr>
                <w:rFonts w:ascii="Arial" w:cs="Arial" w:eastAsia="Arial" w:hAnsi="Arial"/>
                <w:sz w:val="20"/>
                <w:szCs w:val="20"/>
                <w:u w:val="single" w:color="auto"/>
                <w:color w:val="0000FF"/>
                <w:w w:val="95"/>
              </w:rPr>
            </w:pPr>
            <w:hyperlink w:anchor="page173">
              <w:r>
                <w:rPr>
                  <w:rFonts w:ascii="Arial" w:cs="Arial" w:eastAsia="Arial" w:hAnsi="Arial"/>
                  <w:sz w:val="20"/>
                  <w:szCs w:val="20"/>
                  <w:u w:val="single" w:color="auto"/>
                  <w:color w:val="0000FF"/>
                  <w:w w:val="95"/>
                </w:rPr>
                <w:t>Article 8.</w:t>
              </w:r>
            </w:hyperlink>
          </w:p>
        </w:tc>
        <w:tc>
          <w:tcPr>
            <w:tcW w:w="5860" w:type="dxa"/>
            <w:vAlign w:val="bottom"/>
            <w:gridSpan w:val="2"/>
          </w:tcPr>
          <w:p>
            <w:pPr>
              <w:ind w:left="20"/>
              <w:spacing w:after="0"/>
              <w:rPr>
                <w:rFonts w:ascii="Arial" w:cs="Arial" w:eastAsia="Arial" w:hAnsi="Arial"/>
                <w:sz w:val="20"/>
                <w:szCs w:val="20"/>
                <w:u w:val="single" w:color="auto"/>
                <w:color w:val="0000FF"/>
              </w:rPr>
            </w:pPr>
            <w:hyperlink w:anchor="page173">
              <w:r>
                <w:rPr>
                  <w:rFonts w:ascii="Arial" w:cs="Arial" w:eastAsia="Arial" w:hAnsi="Arial"/>
                  <w:sz w:val="20"/>
                  <w:szCs w:val="20"/>
                  <w:u w:val="single" w:color="auto"/>
                  <w:color w:val="0000FF"/>
                </w:rPr>
                <w:t>Forfeiture and Repayment</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3">
              <w:r>
                <w:rPr>
                  <w:rFonts w:ascii="Arial" w:cs="Arial" w:eastAsia="Arial" w:hAnsi="Arial"/>
                  <w:sz w:val="20"/>
                  <w:szCs w:val="20"/>
                  <w:u w:val="single" w:color="auto"/>
                  <w:color w:val="0000FF"/>
                </w:rPr>
                <w:t>4</w:t>
              </w:r>
            </w:hyperlink>
          </w:p>
        </w:tc>
      </w:tr>
      <w:tr>
        <w:trPr>
          <w:trHeight w:val="554"/>
        </w:trPr>
        <w:tc>
          <w:tcPr>
            <w:tcW w:w="760" w:type="dxa"/>
            <w:vAlign w:val="bottom"/>
          </w:tcPr>
          <w:p>
            <w:pPr>
              <w:spacing w:after="0"/>
              <w:rPr>
                <w:rFonts w:ascii="Arial" w:cs="Arial" w:eastAsia="Arial" w:hAnsi="Arial"/>
                <w:sz w:val="20"/>
                <w:szCs w:val="20"/>
                <w:u w:val="single" w:color="auto"/>
                <w:color w:val="0000FF"/>
                <w:w w:val="95"/>
              </w:rPr>
            </w:pPr>
            <w:hyperlink w:anchor="page175">
              <w:r>
                <w:rPr>
                  <w:rFonts w:ascii="Arial" w:cs="Arial" w:eastAsia="Arial" w:hAnsi="Arial"/>
                  <w:sz w:val="20"/>
                  <w:szCs w:val="20"/>
                  <w:u w:val="single" w:color="auto"/>
                  <w:color w:val="0000FF"/>
                  <w:w w:val="95"/>
                </w:rPr>
                <w:t>Article 9.</w:t>
              </w:r>
            </w:hyperlink>
          </w:p>
        </w:tc>
        <w:tc>
          <w:tcPr>
            <w:tcW w:w="5860" w:type="dxa"/>
            <w:vAlign w:val="bottom"/>
            <w:gridSpan w:val="2"/>
          </w:tcPr>
          <w:p>
            <w:pPr>
              <w:ind w:left="20"/>
              <w:spacing w:after="0"/>
              <w:rPr>
                <w:rFonts w:ascii="Arial" w:cs="Arial" w:eastAsia="Arial" w:hAnsi="Arial"/>
                <w:sz w:val="20"/>
                <w:szCs w:val="20"/>
                <w:u w:val="single" w:color="auto"/>
                <w:color w:val="0000FF"/>
              </w:rPr>
            </w:pPr>
            <w:hyperlink w:anchor="page175">
              <w:r>
                <w:rPr>
                  <w:rFonts w:ascii="Arial" w:cs="Arial" w:eastAsia="Arial" w:hAnsi="Arial"/>
                  <w:sz w:val="20"/>
                  <w:szCs w:val="20"/>
                  <w:u w:val="single" w:color="auto"/>
                  <w:color w:val="0000FF"/>
                </w:rPr>
                <w:t>Dividends</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5">
              <w:r>
                <w:rPr>
                  <w:rFonts w:ascii="Arial" w:cs="Arial" w:eastAsia="Arial" w:hAnsi="Arial"/>
                  <w:sz w:val="20"/>
                  <w:szCs w:val="20"/>
                  <w:u w:val="single" w:color="auto"/>
                  <w:color w:val="0000FF"/>
                </w:rPr>
                <w:t>6</w:t>
              </w:r>
            </w:hyperlink>
          </w:p>
        </w:tc>
      </w:tr>
      <w:tr>
        <w:trPr>
          <w:trHeight w:val="553"/>
        </w:trPr>
        <w:tc>
          <w:tcPr>
            <w:tcW w:w="860" w:type="dxa"/>
            <w:vAlign w:val="bottom"/>
            <w:gridSpan w:val="2"/>
          </w:tcPr>
          <w:p>
            <w:pPr>
              <w:spacing w:after="0"/>
              <w:rPr>
                <w:rFonts w:ascii="Arial" w:cs="Arial" w:eastAsia="Arial" w:hAnsi="Arial"/>
                <w:sz w:val="20"/>
                <w:szCs w:val="20"/>
                <w:u w:val="single" w:color="auto"/>
                <w:color w:val="0000FF"/>
                <w:w w:val="94"/>
              </w:rPr>
            </w:pPr>
            <w:hyperlink w:anchor="page175">
              <w:r>
                <w:rPr>
                  <w:rFonts w:ascii="Arial" w:cs="Arial" w:eastAsia="Arial" w:hAnsi="Arial"/>
                  <w:sz w:val="20"/>
                  <w:szCs w:val="20"/>
                  <w:u w:val="single" w:color="auto"/>
                  <w:color w:val="0000FF"/>
                  <w:w w:val="94"/>
                </w:rPr>
                <w:t>Article 10.</w:t>
              </w:r>
            </w:hyperlink>
          </w:p>
        </w:tc>
        <w:tc>
          <w:tcPr>
            <w:tcW w:w="5760" w:type="dxa"/>
            <w:vAlign w:val="bottom"/>
          </w:tcPr>
          <w:p>
            <w:pPr>
              <w:ind w:left="20"/>
              <w:spacing w:after="0"/>
              <w:rPr>
                <w:rFonts w:ascii="Arial" w:cs="Arial" w:eastAsia="Arial" w:hAnsi="Arial"/>
                <w:sz w:val="20"/>
                <w:szCs w:val="20"/>
                <w:u w:val="single" w:color="auto"/>
                <w:color w:val="0000FF"/>
              </w:rPr>
            </w:pPr>
            <w:hyperlink w:anchor="page175">
              <w:r>
                <w:rPr>
                  <w:rFonts w:ascii="Arial" w:cs="Arial" w:eastAsia="Arial" w:hAnsi="Arial"/>
                  <w:sz w:val="20"/>
                  <w:szCs w:val="20"/>
                  <w:u w:val="single" w:color="auto"/>
                  <w:color w:val="0000FF"/>
                </w:rPr>
                <w:t>Tax Withholding</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5">
              <w:r>
                <w:rPr>
                  <w:rFonts w:ascii="Arial" w:cs="Arial" w:eastAsia="Arial" w:hAnsi="Arial"/>
                  <w:sz w:val="20"/>
                  <w:szCs w:val="20"/>
                  <w:u w:val="single" w:color="auto"/>
                  <w:color w:val="0000FF"/>
                </w:rPr>
                <w:t>6</w:t>
              </w:r>
            </w:hyperlink>
          </w:p>
        </w:tc>
      </w:tr>
      <w:tr>
        <w:trPr>
          <w:trHeight w:val="553"/>
        </w:trPr>
        <w:tc>
          <w:tcPr>
            <w:tcW w:w="6620" w:type="dxa"/>
            <w:vAlign w:val="bottom"/>
            <w:gridSpan w:val="3"/>
          </w:tcPr>
          <w:p>
            <w:pPr>
              <w:spacing w:after="0"/>
              <w:rPr>
                <w:rFonts w:ascii="Arial" w:cs="Arial" w:eastAsia="Arial" w:hAnsi="Arial"/>
                <w:sz w:val="20"/>
                <w:szCs w:val="20"/>
                <w:u w:val="single" w:color="auto"/>
                <w:color w:val="0000FF"/>
              </w:rPr>
            </w:pPr>
            <w:hyperlink w:anchor="page176">
              <w:r>
                <w:rPr>
                  <w:rFonts w:ascii="Arial" w:cs="Arial" w:eastAsia="Arial" w:hAnsi="Arial"/>
                  <w:sz w:val="20"/>
                  <w:szCs w:val="20"/>
                  <w:u w:val="single" w:color="auto"/>
                  <w:color w:val="0000FF"/>
                </w:rPr>
                <w:t>Article 11. Nontransferability</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6">
              <w:r>
                <w:rPr>
                  <w:rFonts w:ascii="Arial" w:cs="Arial" w:eastAsia="Arial" w:hAnsi="Arial"/>
                  <w:sz w:val="20"/>
                  <w:szCs w:val="20"/>
                  <w:u w:val="single" w:color="auto"/>
                  <w:color w:val="0000FF"/>
                </w:rPr>
                <w:t>7</w:t>
              </w:r>
            </w:hyperlink>
          </w:p>
        </w:tc>
      </w:tr>
      <w:tr>
        <w:trPr>
          <w:trHeight w:val="553"/>
        </w:trPr>
        <w:tc>
          <w:tcPr>
            <w:tcW w:w="860" w:type="dxa"/>
            <w:vAlign w:val="bottom"/>
            <w:gridSpan w:val="2"/>
          </w:tcPr>
          <w:p>
            <w:pPr>
              <w:spacing w:after="0"/>
              <w:rPr>
                <w:rFonts w:ascii="Arial" w:cs="Arial" w:eastAsia="Arial" w:hAnsi="Arial"/>
                <w:sz w:val="20"/>
                <w:szCs w:val="20"/>
                <w:u w:val="single" w:color="auto"/>
                <w:color w:val="0000FF"/>
                <w:w w:val="94"/>
              </w:rPr>
            </w:pPr>
            <w:hyperlink w:anchor="page176">
              <w:r>
                <w:rPr>
                  <w:rFonts w:ascii="Arial" w:cs="Arial" w:eastAsia="Arial" w:hAnsi="Arial"/>
                  <w:sz w:val="20"/>
                  <w:szCs w:val="20"/>
                  <w:u w:val="single" w:color="auto"/>
                  <w:color w:val="0000FF"/>
                  <w:w w:val="94"/>
                </w:rPr>
                <w:t>Article 12.</w:t>
              </w:r>
            </w:hyperlink>
          </w:p>
        </w:tc>
        <w:tc>
          <w:tcPr>
            <w:tcW w:w="5760" w:type="dxa"/>
            <w:vAlign w:val="bottom"/>
          </w:tcPr>
          <w:p>
            <w:pPr>
              <w:ind w:left="20"/>
              <w:spacing w:after="0"/>
              <w:rPr>
                <w:rFonts w:ascii="Arial" w:cs="Arial" w:eastAsia="Arial" w:hAnsi="Arial"/>
                <w:sz w:val="20"/>
                <w:szCs w:val="20"/>
                <w:u w:val="single" w:color="auto"/>
                <w:color w:val="0000FF"/>
              </w:rPr>
            </w:pPr>
            <w:hyperlink w:anchor="page176">
              <w:r>
                <w:rPr>
                  <w:rFonts w:ascii="Arial" w:cs="Arial" w:eastAsia="Arial" w:hAnsi="Arial"/>
                  <w:sz w:val="20"/>
                  <w:szCs w:val="20"/>
                  <w:u w:val="single" w:color="auto"/>
                  <w:color w:val="0000FF"/>
                </w:rPr>
                <w:t>Administration</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6">
              <w:r>
                <w:rPr>
                  <w:rFonts w:ascii="Arial" w:cs="Arial" w:eastAsia="Arial" w:hAnsi="Arial"/>
                  <w:sz w:val="20"/>
                  <w:szCs w:val="20"/>
                  <w:u w:val="single" w:color="auto"/>
                  <w:color w:val="0000FF"/>
                </w:rPr>
                <w:t>7</w:t>
              </w:r>
            </w:hyperlink>
          </w:p>
        </w:tc>
      </w:tr>
      <w:tr>
        <w:trPr>
          <w:trHeight w:val="554"/>
        </w:trPr>
        <w:tc>
          <w:tcPr>
            <w:tcW w:w="860" w:type="dxa"/>
            <w:vAlign w:val="bottom"/>
            <w:gridSpan w:val="2"/>
          </w:tcPr>
          <w:p>
            <w:pPr>
              <w:spacing w:after="0"/>
              <w:rPr>
                <w:rFonts w:ascii="Arial" w:cs="Arial" w:eastAsia="Arial" w:hAnsi="Arial"/>
                <w:sz w:val="20"/>
                <w:szCs w:val="20"/>
                <w:u w:val="single" w:color="auto"/>
                <w:color w:val="0000FF"/>
                <w:w w:val="94"/>
              </w:rPr>
            </w:pPr>
            <w:hyperlink w:anchor="page176">
              <w:r>
                <w:rPr>
                  <w:rFonts w:ascii="Arial" w:cs="Arial" w:eastAsia="Arial" w:hAnsi="Arial"/>
                  <w:sz w:val="20"/>
                  <w:szCs w:val="20"/>
                  <w:u w:val="single" w:color="auto"/>
                  <w:color w:val="0000FF"/>
                  <w:w w:val="94"/>
                </w:rPr>
                <w:t>Article 13.</w:t>
              </w:r>
            </w:hyperlink>
          </w:p>
        </w:tc>
        <w:tc>
          <w:tcPr>
            <w:tcW w:w="5760" w:type="dxa"/>
            <w:vAlign w:val="bottom"/>
          </w:tcPr>
          <w:p>
            <w:pPr>
              <w:ind w:left="20"/>
              <w:spacing w:after="0"/>
              <w:rPr>
                <w:rFonts w:ascii="Arial" w:cs="Arial" w:eastAsia="Arial" w:hAnsi="Arial"/>
                <w:sz w:val="20"/>
                <w:szCs w:val="20"/>
                <w:u w:val="single" w:color="auto"/>
                <w:color w:val="0000FF"/>
              </w:rPr>
            </w:pPr>
            <w:hyperlink w:anchor="page176">
              <w:r>
                <w:rPr>
                  <w:rFonts w:ascii="Arial" w:cs="Arial" w:eastAsia="Arial" w:hAnsi="Arial"/>
                  <w:sz w:val="20"/>
                  <w:szCs w:val="20"/>
                  <w:u w:val="single" w:color="auto"/>
                  <w:color w:val="0000FF"/>
                </w:rPr>
                <w:t>Miscellaneous</w:t>
              </w:r>
            </w:hyperlink>
          </w:p>
        </w:tc>
        <w:tc>
          <w:tcPr>
            <w:tcW w:w="2700" w:type="dxa"/>
            <w:vAlign w:val="bottom"/>
          </w:tcPr>
          <w:p>
            <w:pPr>
              <w:jc w:val="right"/>
              <w:spacing w:after="0"/>
              <w:rPr>
                <w:rFonts w:ascii="Arial" w:cs="Arial" w:eastAsia="Arial" w:hAnsi="Arial"/>
                <w:sz w:val="20"/>
                <w:szCs w:val="20"/>
                <w:u w:val="single" w:color="auto"/>
                <w:color w:val="0000FF"/>
              </w:rPr>
            </w:pPr>
            <w:hyperlink w:anchor="page176">
              <w:r>
                <w:rPr>
                  <w:rFonts w:ascii="Arial" w:cs="Arial" w:eastAsia="Arial" w:hAnsi="Arial"/>
                  <w:sz w:val="20"/>
                  <w:szCs w:val="20"/>
                  <w:u w:val="single" w:color="auto"/>
                  <w:color w:val="0000FF"/>
                </w:rPr>
                <w:t>7</w:t>
              </w:r>
            </w:hyperlink>
          </w:p>
        </w:tc>
      </w:tr>
    </w:tbl>
    <w:p>
      <w:pPr>
        <w:sectPr>
          <w:pgSz w:w="11900" w:h="16838" w:orient="portrait"/>
          <w:cols w:equalWidth="0" w:num="1">
            <w:col w:w="10139"/>
          </w:cols>
          <w:pgMar w:left="320" w:top="1413" w:right="1440" w:bottom="1440" w:gutter="0" w:footer="0" w:header="0"/>
        </w:sectPr>
      </w:pPr>
    </w:p>
    <w:bookmarkStart w:id="169" w:name="page170"/>
    <w:bookmarkEnd w:id="169"/>
    <w:p>
      <w:pPr>
        <w:ind w:left="69"/>
        <w:spacing w:after="0"/>
        <w:rPr>
          <w:sz w:val="20"/>
          <w:szCs w:val="20"/>
          <w:color w:val="auto"/>
        </w:rPr>
      </w:pPr>
      <w:r>
        <w:rPr>
          <w:rFonts w:ascii="Arial" w:cs="Arial" w:eastAsia="Arial" w:hAnsi="Arial"/>
          <w:sz w:val="31"/>
          <w:szCs w:val="31"/>
          <w:b w:val="1"/>
          <w:bCs w:val="1"/>
          <w:color w:val="auto"/>
        </w:rPr>
        <w:t>Black Hills Corporation</w:t>
      </w:r>
    </w:p>
    <w:p>
      <w:pPr>
        <w:spacing w:after="0" w:line="42" w:lineRule="exact"/>
        <w:rPr>
          <w:sz w:val="20"/>
          <w:szCs w:val="20"/>
          <w:color w:val="auto"/>
        </w:rPr>
      </w:pPr>
    </w:p>
    <w:p>
      <w:pPr>
        <w:ind w:left="69"/>
        <w:spacing w:after="0"/>
        <w:rPr>
          <w:sz w:val="20"/>
          <w:szCs w:val="20"/>
          <w:color w:val="auto"/>
        </w:rPr>
      </w:pPr>
      <w:r>
        <w:rPr>
          <w:rFonts w:ascii="Arial" w:cs="Arial" w:eastAsia="Arial" w:hAnsi="Arial"/>
          <w:sz w:val="31"/>
          <w:szCs w:val="31"/>
          <w:b w:val="1"/>
          <w:bCs w:val="1"/>
          <w:color w:val="auto"/>
        </w:rPr>
        <w:t>2015 Omnibus Incentive Plan</w:t>
      </w:r>
    </w:p>
    <w:p>
      <w:pPr>
        <w:spacing w:after="0" w:line="8" w:lineRule="exact"/>
        <w:rPr>
          <w:sz w:val="20"/>
          <w:szCs w:val="20"/>
          <w:color w:val="auto"/>
        </w:rPr>
      </w:pPr>
    </w:p>
    <w:p>
      <w:pPr>
        <w:ind w:left="69"/>
        <w:spacing w:after="0"/>
        <w:rPr>
          <w:sz w:val="20"/>
          <w:szCs w:val="20"/>
          <w:color w:val="auto"/>
        </w:rPr>
      </w:pPr>
      <w:r>
        <w:rPr>
          <w:rFonts w:ascii="Arial" w:cs="Arial" w:eastAsia="Arial" w:hAnsi="Arial"/>
          <w:sz w:val="31"/>
          <w:szCs w:val="31"/>
          <w:b w:val="1"/>
          <w:bCs w:val="1"/>
          <w:color w:val="auto"/>
        </w:rPr>
        <w:t>Performance Unit Award Agreement</w:t>
      </w:r>
    </w:p>
    <w:p>
      <w:pPr>
        <w:spacing w:after="0" w:line="208" w:lineRule="exact"/>
        <w:rPr>
          <w:sz w:val="20"/>
          <w:szCs w:val="20"/>
          <w:color w:val="auto"/>
        </w:rPr>
      </w:pPr>
    </w:p>
    <w:p>
      <w:pPr>
        <w:ind w:left="69"/>
        <w:spacing w:after="0"/>
        <w:rPr>
          <w:sz w:val="20"/>
          <w:szCs w:val="20"/>
          <w:color w:val="auto"/>
        </w:rPr>
      </w:pPr>
      <w:r>
        <w:rPr>
          <w:rFonts w:ascii="Arial" w:cs="Arial" w:eastAsia="Arial" w:hAnsi="Arial"/>
          <w:sz w:val="29"/>
          <w:szCs w:val="29"/>
          <w:b w:val="1"/>
          <w:bCs w:val="1"/>
          <w:color w:val="auto"/>
        </w:rPr>
        <w:t>Performance Period - January 1, 2021 – December 31, 2023</w:t>
      </w:r>
    </w:p>
    <w:p>
      <w:pPr>
        <w:spacing w:after="0" w:line="262" w:lineRule="exact"/>
        <w:rPr>
          <w:sz w:val="20"/>
          <w:szCs w:val="20"/>
          <w:color w:val="auto"/>
        </w:rPr>
      </w:pPr>
    </w:p>
    <w:p>
      <w:pPr>
        <w:ind w:left="69" w:right="4200"/>
        <w:spacing w:after="0" w:line="260" w:lineRule="auto"/>
        <w:rPr>
          <w:sz w:val="20"/>
          <w:szCs w:val="20"/>
          <w:color w:val="auto"/>
        </w:rPr>
      </w:pPr>
      <w:r>
        <w:rPr>
          <w:rFonts w:ascii="Arial" w:cs="Arial" w:eastAsia="Arial" w:hAnsi="Arial"/>
          <w:sz w:val="20"/>
          <w:szCs w:val="20"/>
          <w:color w:val="auto"/>
        </w:rPr>
        <w:t>You have been selected to be a participant in the Black Hills Corporation 2015 Omnibus Incentive Plan (the “Plan”), as specified below:</w:t>
      </w:r>
    </w:p>
    <w:p>
      <w:pPr>
        <w:spacing w:after="0" w:line="198" w:lineRule="exact"/>
        <w:rPr>
          <w:sz w:val="20"/>
          <w:szCs w:val="20"/>
          <w:color w:val="auto"/>
        </w:rPr>
      </w:pPr>
    </w:p>
    <w:p>
      <w:pPr>
        <w:ind w:left="69"/>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 ____________</w:t>
      </w:r>
    </w:p>
    <w:p>
      <w:pPr>
        <w:spacing w:after="0" w:line="243" w:lineRule="exact"/>
        <w:rPr>
          <w:sz w:val="20"/>
          <w:szCs w:val="20"/>
          <w:color w:val="auto"/>
        </w:rPr>
      </w:pPr>
    </w:p>
    <w:p>
      <w:pPr>
        <w:ind w:left="69"/>
        <w:spacing w:after="0"/>
        <w:rPr>
          <w:sz w:val="20"/>
          <w:szCs w:val="20"/>
          <w:color w:val="auto"/>
        </w:rPr>
      </w:pPr>
      <w:r>
        <w:rPr>
          <w:rFonts w:ascii="Arial" w:cs="Arial" w:eastAsia="Arial" w:hAnsi="Arial"/>
          <w:sz w:val="20"/>
          <w:szCs w:val="20"/>
          <w:b w:val="1"/>
          <w:bCs w:val="1"/>
          <w:color w:val="auto"/>
        </w:rPr>
        <w:t>Target Number of Performance Units</w:t>
      </w:r>
      <w:r>
        <w:rPr>
          <w:rFonts w:ascii="Arial" w:cs="Arial" w:eastAsia="Arial" w:hAnsi="Arial"/>
          <w:sz w:val="20"/>
          <w:szCs w:val="20"/>
          <w:color w:val="auto"/>
        </w:rPr>
        <w:t>: _______</w:t>
      </w:r>
      <w:r>
        <w:rPr>
          <w:rFonts w:ascii="Arial" w:cs="Arial" w:eastAsia="Arial" w:hAnsi="Arial"/>
          <w:sz w:val="25"/>
          <w:szCs w:val="25"/>
          <w:color w:val="auto"/>
          <w:vertAlign w:val="superscript"/>
        </w:rPr>
        <w:t>1</w:t>
      </w:r>
    </w:p>
    <w:p>
      <w:pPr>
        <w:spacing w:after="0" w:line="185" w:lineRule="exact"/>
        <w:rPr>
          <w:sz w:val="20"/>
          <w:szCs w:val="20"/>
          <w:color w:val="auto"/>
        </w:rPr>
      </w:pPr>
    </w:p>
    <w:p>
      <w:pPr>
        <w:ind w:left="69"/>
        <w:spacing w:after="0"/>
        <w:rPr>
          <w:sz w:val="20"/>
          <w:szCs w:val="20"/>
          <w:color w:val="auto"/>
        </w:rPr>
      </w:pPr>
      <w:r>
        <w:rPr>
          <w:rFonts w:ascii="Arial" w:cs="Arial" w:eastAsia="Arial" w:hAnsi="Arial"/>
          <w:sz w:val="20"/>
          <w:szCs w:val="20"/>
          <w:b w:val="1"/>
          <w:bCs w:val="1"/>
          <w:color w:val="auto"/>
        </w:rPr>
        <w:t>Performance Period</w:t>
      </w:r>
      <w:r>
        <w:rPr>
          <w:rFonts w:ascii="Arial" w:cs="Arial" w:eastAsia="Arial" w:hAnsi="Arial"/>
          <w:sz w:val="20"/>
          <w:szCs w:val="20"/>
          <w:color w:val="auto"/>
        </w:rPr>
        <w:t>: January 1, 2021 to December 31, 2023</w:t>
      </w:r>
    </w:p>
    <w:p>
      <w:pPr>
        <w:spacing w:after="0" w:line="243" w:lineRule="exact"/>
        <w:rPr>
          <w:sz w:val="20"/>
          <w:szCs w:val="20"/>
          <w:color w:val="auto"/>
        </w:rPr>
      </w:pPr>
    </w:p>
    <w:p>
      <w:pPr>
        <w:ind w:left="69"/>
        <w:spacing w:after="0"/>
        <w:rPr>
          <w:sz w:val="20"/>
          <w:szCs w:val="20"/>
          <w:color w:val="auto"/>
        </w:rPr>
      </w:pPr>
      <w:r>
        <w:rPr>
          <w:rFonts w:ascii="Arial" w:cs="Arial" w:eastAsia="Arial" w:hAnsi="Arial"/>
          <w:sz w:val="20"/>
          <w:szCs w:val="20"/>
          <w:b w:val="1"/>
          <w:bCs w:val="1"/>
          <w:color w:val="auto"/>
        </w:rPr>
        <w:t>Performance Measures</w:t>
      </w:r>
      <w:r>
        <w:rPr>
          <w:rFonts w:ascii="Arial" w:cs="Arial" w:eastAsia="Arial" w:hAnsi="Arial"/>
          <w:sz w:val="20"/>
          <w:szCs w:val="20"/>
          <w:color w:val="auto"/>
        </w:rPr>
        <w:t>: See Appendix A</w:t>
      </w:r>
    </w:p>
    <w:p>
      <w:pPr>
        <w:spacing w:after="0" w:line="249" w:lineRule="exact"/>
        <w:rPr>
          <w:sz w:val="20"/>
          <w:szCs w:val="20"/>
          <w:color w:val="auto"/>
        </w:rPr>
      </w:pPr>
    </w:p>
    <w:p>
      <w:pPr>
        <w:ind w:left="69" w:right="660" w:firstLine="648"/>
        <w:spacing w:after="0" w:line="316" w:lineRule="auto"/>
        <w:rPr>
          <w:sz w:val="20"/>
          <w:szCs w:val="20"/>
          <w:color w:val="auto"/>
        </w:rPr>
      </w:pPr>
      <w:r>
        <w:rPr>
          <w:rFonts w:ascii="Arial" w:cs="Arial" w:eastAsia="Arial" w:hAnsi="Arial"/>
          <w:sz w:val="18"/>
          <w:szCs w:val="18"/>
          <w:color w:val="auto"/>
        </w:rPr>
        <w:t>THIS AGREEMENT (the “Agreement”) effective January 1, 2021, represents the grant of Performance Units by Black Hills Corporation, a South Dakota corporation (the “Company”), to the Participant named above, pursuant to the provisions of the Plan.</w:t>
      </w:r>
    </w:p>
    <w:p>
      <w:pPr>
        <w:spacing w:after="0" w:line="157" w:lineRule="exact"/>
        <w:rPr>
          <w:sz w:val="20"/>
          <w:szCs w:val="20"/>
          <w:color w:val="auto"/>
        </w:rPr>
      </w:pPr>
    </w:p>
    <w:p>
      <w:pPr>
        <w:jc w:val="both"/>
        <w:ind w:left="69" w:right="60" w:firstLine="648"/>
        <w:spacing w:after="0" w:line="250" w:lineRule="auto"/>
        <w:rPr>
          <w:sz w:val="20"/>
          <w:szCs w:val="20"/>
          <w:color w:val="auto"/>
        </w:rPr>
      </w:pPr>
      <w:r>
        <w:rPr>
          <w:rFonts w:ascii="Arial" w:cs="Arial" w:eastAsia="Arial" w:hAnsi="Arial"/>
          <w:sz w:val="20"/>
          <w:szCs w:val="20"/>
          <w:color w:val="auto"/>
        </w:rPr>
        <w:t>The Plan provides a complete description of the terms and conditions governing the Performance Units. If there is any inconsistency between the terms of this Agreement and the terms of the Plan, the Plan’s terms shall completely supersede and replace the conflicting terms of this Agreement.</w:t>
      </w:r>
    </w:p>
    <w:p>
      <w:pPr>
        <w:spacing w:after="0" w:line="213" w:lineRule="exact"/>
        <w:rPr>
          <w:sz w:val="20"/>
          <w:szCs w:val="20"/>
          <w:color w:val="auto"/>
        </w:rPr>
      </w:pPr>
    </w:p>
    <w:p>
      <w:pPr>
        <w:ind w:left="729"/>
        <w:spacing w:after="0"/>
        <w:rPr>
          <w:sz w:val="20"/>
          <w:szCs w:val="20"/>
          <w:color w:val="auto"/>
        </w:rPr>
      </w:pPr>
      <w:r>
        <w:rPr>
          <w:rFonts w:ascii="Arial" w:cs="Arial" w:eastAsia="Arial" w:hAnsi="Arial"/>
          <w:sz w:val="19"/>
          <w:szCs w:val="19"/>
          <w:color w:val="auto"/>
        </w:rPr>
        <w:t>All capitalized terms shall have the meanings ascribed to them in the Plan, unless specifically set forth otherwise herein.</w:t>
      </w:r>
    </w:p>
    <w:p>
      <w:pPr>
        <w:spacing w:after="0" w:line="254" w:lineRule="exact"/>
        <w:rPr>
          <w:sz w:val="20"/>
          <w:szCs w:val="20"/>
          <w:color w:val="auto"/>
        </w:rPr>
      </w:pPr>
    </w:p>
    <w:p>
      <w:pPr>
        <w:ind w:left="729"/>
        <w:spacing w:after="0"/>
        <w:rPr>
          <w:sz w:val="20"/>
          <w:szCs w:val="20"/>
          <w:color w:val="auto"/>
        </w:rPr>
      </w:pPr>
      <w:r>
        <w:rPr>
          <w:rFonts w:ascii="Arial" w:cs="Arial" w:eastAsia="Arial" w:hAnsi="Arial"/>
          <w:sz w:val="20"/>
          <w:szCs w:val="20"/>
          <w:color w:val="auto"/>
        </w:rPr>
        <w:t>The parties hereto agree as follows:</w:t>
      </w:r>
    </w:p>
    <w:p>
      <w:pPr>
        <w:spacing w:after="0" w:line="200" w:lineRule="exact"/>
        <w:rPr>
          <w:sz w:val="20"/>
          <w:szCs w:val="20"/>
          <w:color w:val="auto"/>
        </w:rPr>
      </w:pPr>
    </w:p>
    <w:p>
      <w:pPr>
        <w:spacing w:after="0" w:line="280" w:lineRule="exact"/>
        <w:rPr>
          <w:sz w:val="20"/>
          <w:szCs w:val="20"/>
          <w:color w:val="auto"/>
        </w:rPr>
      </w:pPr>
    </w:p>
    <w:p>
      <w:pPr>
        <w:ind w:left="69"/>
        <w:spacing w:after="0"/>
        <w:rPr>
          <w:sz w:val="20"/>
          <w:szCs w:val="20"/>
          <w:color w:val="auto"/>
        </w:rPr>
      </w:pPr>
      <w:r>
        <w:rPr>
          <w:rFonts w:ascii="Arial" w:cs="Arial" w:eastAsia="Arial" w:hAnsi="Arial"/>
          <w:sz w:val="20"/>
          <w:szCs w:val="20"/>
          <w:b w:val="1"/>
          <w:bCs w:val="1"/>
          <w:color w:val="auto"/>
        </w:rPr>
        <w:t>Article 1. Performance Period</w:t>
      </w:r>
    </w:p>
    <w:p>
      <w:pPr>
        <w:spacing w:after="0" w:line="249" w:lineRule="exact"/>
        <w:rPr>
          <w:sz w:val="20"/>
          <w:szCs w:val="20"/>
          <w:color w:val="auto"/>
        </w:rPr>
      </w:pPr>
    </w:p>
    <w:p>
      <w:pPr>
        <w:ind w:left="729"/>
        <w:spacing w:after="0"/>
        <w:rPr>
          <w:sz w:val="20"/>
          <w:szCs w:val="20"/>
          <w:color w:val="auto"/>
        </w:rPr>
      </w:pPr>
      <w:r>
        <w:rPr>
          <w:rFonts w:ascii="Arial" w:cs="Arial" w:eastAsia="Arial" w:hAnsi="Arial"/>
          <w:sz w:val="20"/>
          <w:szCs w:val="20"/>
          <w:color w:val="auto"/>
        </w:rPr>
        <w:t>The Performance Period commences on January 1, 2021 and ends on December 31, 2023.</w:t>
      </w:r>
    </w:p>
    <w:p>
      <w:pPr>
        <w:spacing w:after="0" w:line="200" w:lineRule="exact"/>
        <w:rPr>
          <w:sz w:val="20"/>
          <w:szCs w:val="20"/>
          <w:color w:val="auto"/>
        </w:rPr>
      </w:pPr>
    </w:p>
    <w:p>
      <w:pPr>
        <w:spacing w:after="0" w:line="280" w:lineRule="exact"/>
        <w:rPr>
          <w:sz w:val="20"/>
          <w:szCs w:val="20"/>
          <w:color w:val="auto"/>
        </w:rPr>
      </w:pPr>
    </w:p>
    <w:p>
      <w:pPr>
        <w:ind w:left="69"/>
        <w:spacing w:after="0"/>
        <w:rPr>
          <w:sz w:val="20"/>
          <w:szCs w:val="20"/>
          <w:color w:val="auto"/>
        </w:rPr>
      </w:pPr>
      <w:r>
        <w:rPr>
          <w:rFonts w:ascii="Arial" w:cs="Arial" w:eastAsia="Arial" w:hAnsi="Arial"/>
          <w:sz w:val="20"/>
          <w:szCs w:val="20"/>
          <w:b w:val="1"/>
          <w:bCs w:val="1"/>
          <w:color w:val="auto"/>
        </w:rPr>
        <w:t>Article 2. Award of Performance Units</w:t>
      </w:r>
    </w:p>
    <w:p>
      <w:pPr>
        <w:spacing w:after="0" w:line="249" w:lineRule="exact"/>
        <w:rPr>
          <w:sz w:val="20"/>
          <w:szCs w:val="20"/>
          <w:color w:val="auto"/>
        </w:rPr>
      </w:pPr>
    </w:p>
    <w:p>
      <w:pPr>
        <w:ind w:left="69" w:firstLine="648"/>
        <w:spacing w:after="0" w:line="257" w:lineRule="auto"/>
        <w:rPr>
          <w:sz w:val="20"/>
          <w:szCs w:val="20"/>
          <w:color w:val="auto"/>
        </w:rPr>
      </w:pPr>
      <w:r>
        <w:rPr>
          <w:rFonts w:ascii="Arial" w:cs="Arial" w:eastAsia="Arial" w:hAnsi="Arial"/>
          <w:sz w:val="19"/>
          <w:szCs w:val="19"/>
          <w:color w:val="auto"/>
        </w:rPr>
        <w:t xml:space="preserve">Subject to the terms and conditions of this Agreement, the Company grants to the Participant a Performance Unit Award consisting of the Target Number of Performance Units set forth above, with the actual number of Performance Units earned depending on the degree to which the Company satisfies the Performance Goals specified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during the Performance Period. Each Performance Unit that vests in accordance with Article 3 represents the right to receive one Share. The Performance Units granted under this Agreement (the “Units”) will be credited to an account in the Participant’s name maintained by the Company. This account shall be unfunded and maintained for bookkeeping purposes only, with each Unit representing an unfunded and unsecured promise by the Company to issue to the Participant one Share in settlement of a vested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256540</wp:posOffset>
            </wp:positionV>
            <wp:extent cx="1714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9" w:right="440" w:hanging="69"/>
        <w:spacing w:after="0" w:line="223" w:lineRule="auto"/>
        <w:tabs>
          <w:tab w:leader="none" w:pos="85" w:val="left"/>
        </w:tabs>
        <w:numPr>
          <w:ilvl w:val="0"/>
          <w:numId w:val="138"/>
        </w:numPr>
        <w:rPr>
          <w:rFonts w:ascii="Arial" w:cs="Arial" w:eastAsia="Arial" w:hAnsi="Arial"/>
          <w:sz w:val="21"/>
          <w:szCs w:val="21"/>
          <w:color w:val="auto"/>
          <w:vertAlign w:val="superscript"/>
        </w:rPr>
      </w:pPr>
      <w:r>
        <w:rPr>
          <w:rFonts w:ascii="Arial" w:cs="Arial" w:eastAsia="Arial" w:hAnsi="Arial"/>
          <w:sz w:val="16"/>
          <w:szCs w:val="16"/>
          <w:color w:val="auto"/>
        </w:rPr>
        <w:t>Starting with these 2021 awards, the Target Number of Performance Units will be determined by dividing the target Performance Unit value for the participant by the average closing price for the first 20 trading days of the performance period.</w:t>
      </w:r>
    </w:p>
    <w:p>
      <w:pPr>
        <w:spacing w:after="0" w:line="200" w:lineRule="exact"/>
        <w:rPr>
          <w:sz w:val="20"/>
          <w:szCs w:val="20"/>
          <w:color w:val="auto"/>
        </w:rPr>
      </w:pPr>
    </w:p>
    <w:p>
      <w:pPr>
        <w:spacing w:after="0" w:line="246"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9"/>
          </w:cols>
          <w:pgMar w:left="251" w:top="765" w:right="37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b w:val="1"/>
          <w:bCs w:val="1"/>
          <w:color w:val="auto"/>
        </w:rPr>
        <w:t>Article 3. Scheduled Vesting of Performance Units</w:t>
      </w:r>
    </w:p>
    <w:p>
      <w:pPr>
        <w:spacing w:after="0" w:line="249" w:lineRule="exact"/>
        <w:rPr>
          <w:sz w:val="20"/>
          <w:szCs w:val="20"/>
          <w:color w:val="auto"/>
        </w:rPr>
      </w:pPr>
    </w:p>
    <w:p>
      <w:pPr>
        <w:ind w:right="80" w:firstLine="198"/>
        <w:spacing w:after="0" w:line="276" w:lineRule="auto"/>
        <w:rPr>
          <w:sz w:val="20"/>
          <w:szCs w:val="20"/>
          <w:color w:val="auto"/>
        </w:rPr>
      </w:pPr>
      <w:r>
        <w:rPr>
          <w:rFonts w:ascii="Arial" w:cs="Arial" w:eastAsia="Arial" w:hAnsi="Arial"/>
          <w:sz w:val="18"/>
          <w:szCs w:val="18"/>
          <w:color w:val="auto"/>
        </w:rPr>
        <w:t>For purposes of this Agreement, “Vesting Date” means any date, including the Scheduled Vesting Date (defined below), on which Units vest as provided in this Article 3 or in Article 4 or 5. For these purposes, the “Scheduled Vesting Date” means the date the Committee certifies the degree to which the applicable Performance Goals for the Performance Period have been satisfied, provided that such certification shall occur no later than February 1 of the calendar year immediately following the calendar year during which the Performance Period ended. The Units will vest on the Scheduled Vesting Date (i) if the Participant has not experienced a Separation from Service on or before the Scheduled Vesting Date, and (ii) only to the extent that the Units have been earned as provided below.</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4. Termination Provisions</w:t>
      </w:r>
    </w:p>
    <w:p>
      <w:pPr>
        <w:spacing w:after="0" w:line="249"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If the Participant Retires, has a Separation of Service due to Disability, or dies during the Performance Period, then a portion of the Units subject to this Award will vest as of the Scheduled Vesting Date. That portion shall be equal to the number of Units as such Participant is entitled to under Article 3 for such Performance Period multiplied by a fraction, the numerator of which is the number of full months of participation during the Performance Period and the denominator is 36.</w:t>
      </w:r>
    </w:p>
    <w:p>
      <w:pPr>
        <w:spacing w:after="0" w:line="21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“Retirement” or “Retires” means a Separation from Service by a Participant on or after (i) attaining the age of 55 with at least 5 years of service, or (ii) attaining the age of 65.</w:t>
      </w:r>
    </w:p>
    <w:p>
      <w:pPr>
        <w:spacing w:after="0" w:line="204"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Separation from Service during the Performance Period other than (i) due to Retirement, Disability, or death, or (ii) following a Change in Control shall require forfeiture of this entire award, with no payment to the Participant.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5. Change in Control</w:t>
      </w:r>
    </w:p>
    <w:p>
      <w:pPr>
        <w:spacing w:after="0" w:line="249"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Notwithstanding anything herein to the contrary, in the event of a Change in Control, a portion of the Units subject to this Awards will vest as of the date of the Change in Control. That portion shall be equal to the number of Units as such Participant is entitled to under this Article 5 multiplied by a fraction, the numerator of which is the number of full months of participation during the Performance Period (as of the effective date of the Change in Control) and the denominator is 36.</w:t>
      </w:r>
    </w:p>
    <w:p>
      <w:pPr>
        <w:spacing w:after="0" w:line="218"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 xml:space="preserve">When there is a Change in Control, the number of Units earned under this Award shall be determined by (i) assuming that the Performance Goal for each Performance Measure, other than Relative TSR, is achieved at the Target level as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(ii) for the Relative TSR Performance Measure, calculating achievement of the Relative TSR Performance Goal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except that the Ending Stock Price shall mean the average closing price (rounded to nearest cent $xx.xx) on the applicable stock exchange of one share of stock for the twenty (20) trading days immediately prior to the Change in Control.</w:t>
      </w:r>
    </w:p>
    <w:p>
      <w:pPr>
        <w:spacing w:after="0" w:line="194"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"Change in Control" of the Company shall be deemed to have occurred (as of a particular day, as specified by the Board) upon the occurrence of any of the following events:</w:t>
      </w:r>
    </w:p>
    <w:p>
      <w:pPr>
        <w:spacing w:after="0" w:line="204" w:lineRule="exact"/>
        <w:rPr>
          <w:sz w:val="20"/>
          <w:szCs w:val="20"/>
          <w:color w:val="auto"/>
        </w:rPr>
      </w:pPr>
    </w:p>
    <w:p>
      <w:pPr>
        <w:ind w:left="980" w:right="20" w:hanging="648"/>
        <w:spacing w:after="0" w:line="260" w:lineRule="auto"/>
        <w:tabs>
          <w:tab w:leader="none" w:pos="74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acquisition in a transaction or series of transactions by any Person of Beneficial Ownership of thirty percent (30%) or more of the combined voting power of the then outstanding Shares; provided, however, that for purposes of this Agreement, the following acquisitions will not constitute a Change in Control: (A) any acquisition by the Company; (B) any acquisition of Shares by an underwriter holding securities of the Company in connection with a public offering thereof; and (C) any acquisition by any Person pursuant to a transaction which complies with subsections (c) (i), (ii) and (iii);</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20" w:top="765" w:right="359" w:bottom="1440" w:gutter="0" w:footer="0" w:header="0"/>
        </w:sectPr>
      </w:pPr>
    </w:p>
    <w:bookmarkStart w:id="171" w:name="page172"/>
    <w:bookmarkEnd w:id="171"/>
    <w:p>
      <w:pPr>
        <w:ind w:left="980" w:right="20" w:hanging="648"/>
        <w:spacing w:after="0" w:line="273" w:lineRule="auto"/>
        <w:tabs>
          <w:tab w:leader="none" w:pos="76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Individuals who, as of December 31, 2020 are members of the Board (the "Incumbent Board"),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Plan,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"Proxy Contest") including by reason of any agreement intended to avoid or settle any Election Contest or Proxy Contest;</w:t>
      </w:r>
    </w:p>
    <w:p>
      <w:pPr>
        <w:spacing w:after="0" w:line="195" w:lineRule="exact"/>
        <w:rPr>
          <w:rFonts w:ascii="Arial" w:cs="Arial" w:eastAsia="Arial" w:hAnsi="Arial"/>
          <w:sz w:val="18"/>
          <w:szCs w:val="18"/>
          <w:color w:val="auto"/>
        </w:rPr>
      </w:pPr>
    </w:p>
    <w:p>
      <w:pPr>
        <w:ind w:left="980" w:hanging="648"/>
        <w:spacing w:after="0" w:line="254" w:lineRule="auto"/>
        <w:tabs>
          <w:tab w:leader="none" w:pos="74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Consummation, following shareholder approval, of a reorganization, merger, or consolidation of the Company, or a sale or other disposition of all or substantially all of the assets of the Company (each a “Business Combination”), unless, in each case, immediately following such Business Combination, all of the following have occurred: (i) all or substantially all of the individuals and entities who were beneficial owners of Shares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“Successor Entity”);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218" w:lineRule="exact"/>
        <w:rPr>
          <w:rFonts w:ascii="Arial" w:cs="Arial" w:eastAsia="Arial" w:hAnsi="Arial"/>
          <w:sz w:val="19"/>
          <w:szCs w:val="19"/>
          <w:color w:val="auto"/>
        </w:rPr>
      </w:pPr>
    </w:p>
    <w:p>
      <w:pPr>
        <w:ind w:left="980" w:right="660" w:hanging="648"/>
        <w:spacing w:after="0" w:line="260" w:lineRule="auto"/>
        <w:tabs>
          <w:tab w:leader="none" w:pos="75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 except pursuant to a Business Combination that complies with subsections (c) (i), (ii), and (iii) above.</w:t>
      </w:r>
    </w:p>
    <w:p>
      <w:pPr>
        <w:spacing w:after="0" w:line="203" w:lineRule="exact"/>
        <w:rPr>
          <w:rFonts w:ascii="Arial" w:cs="Arial" w:eastAsia="Arial" w:hAnsi="Arial"/>
          <w:sz w:val="20"/>
          <w:szCs w:val="20"/>
          <w:color w:val="auto"/>
        </w:rPr>
      </w:pPr>
    </w:p>
    <w:p>
      <w:pPr>
        <w:ind w:left="980" w:right="60" w:hanging="648"/>
        <w:spacing w:after="0" w:line="257" w:lineRule="auto"/>
        <w:tabs>
          <w:tab w:leader="none" w:pos="73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 Change in Control shall not be deemed to occur solely because any Person (the "Subject Person") acquired Beneficial Ownership of more than the permitted amount of the then outstanding Shares as a result of the acquisition of Shares by the Company which, by reducing the number of Shares then outstanding, increases the proportional number of Shares Beneficially Owned by the Subject Persons, provided that if a Change in Control would occur (but for the operation of this sentence) as a result of the acquisition of Shares by the Company, and after such stock acquisition by the Company, the Subject Person becomes the Beneficial Owner of any additional Shares which increases the percentage of the then outstanding Shares Beneficially Owned by the Subject Person, then a Change in Control shall occur.</w:t>
      </w:r>
    </w:p>
    <w:p>
      <w:pPr>
        <w:spacing w:after="0" w:line="211" w:lineRule="exact"/>
        <w:rPr>
          <w:rFonts w:ascii="Arial" w:cs="Arial" w:eastAsia="Arial" w:hAnsi="Arial"/>
          <w:sz w:val="19"/>
          <w:szCs w:val="19"/>
          <w:color w:val="auto"/>
        </w:rPr>
      </w:pPr>
    </w:p>
    <w:p>
      <w:pPr>
        <w:ind w:left="980" w:right="140" w:hanging="648"/>
        <w:spacing w:after="0" w:line="385" w:lineRule="auto"/>
        <w:tabs>
          <w:tab w:leader="none" w:pos="71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112" w:lineRule="exact"/>
        <w:rPr>
          <w:sz w:val="20"/>
          <w:szCs w:val="20"/>
          <w:color w:val="auto"/>
        </w:rPr>
      </w:pPr>
    </w:p>
    <w:p>
      <w:pPr>
        <w:ind w:right="80" w:firstLine="198"/>
        <w:spacing w:after="0" w:line="260" w:lineRule="auto"/>
        <w:rPr>
          <w:sz w:val="20"/>
          <w:szCs w:val="20"/>
          <w:color w:val="auto"/>
        </w:rPr>
      </w:pPr>
      <w:r>
        <w:rPr>
          <w:rFonts w:ascii="Arial" w:cs="Arial" w:eastAsia="Arial" w:hAnsi="Arial"/>
          <w:sz w:val="20"/>
          <w:szCs w:val="20"/>
          <w:color w:val="auto"/>
        </w:rPr>
        <w:t>Notwithstanding the above provisions of this definition, to the extent that any payment under the Agreement due to a Change in Control is subject to Code Section 409A for deferred compensation, then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014" w:right="339" w:bottom="1440" w:gutter="0" w:footer="0" w:header="0"/>
        </w:sectPr>
      </w:pPr>
    </w:p>
    <w:bookmarkStart w:id="172" w:name="page173"/>
    <w:bookmarkEnd w:id="172"/>
    <w:p>
      <w:pPr>
        <w:ind w:right="320"/>
        <w:spacing w:after="0" w:line="260" w:lineRule="auto"/>
        <w:rPr>
          <w:sz w:val="20"/>
          <w:szCs w:val="20"/>
          <w:color w:val="auto"/>
        </w:rPr>
      </w:pPr>
      <w:r>
        <w:rPr>
          <w:rFonts w:ascii="Arial" w:cs="Arial" w:eastAsia="Arial" w:hAnsi="Arial"/>
          <w:sz w:val="20"/>
          <w:szCs w:val="20"/>
          <w:color w:val="auto"/>
        </w:rPr>
        <w:t>the term “Change in Control” shall be construed in a manner that is consistent with Code Section 409A(a)(2)(A)(v), but only to the extent inconsistent with the above provisions as determined by the Board.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6. Earned Units</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 number of Units that the Participant will be deemed to have earned (the “Earned Units”) and that are eligible for vesting as of the Scheduled Vesting Date will be determined by the extent to which the Company has satisfied the Performance Goals for the Performance Period as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to this Agreement, including as adjusted pursuant to Article 5 in the event of a Change in Control. The portion of the Units subject to this Award that will be deemed Earned Units as of the Scheduled Vesting Date will be determined in accordance with the formula specified in </w:t>
      </w:r>
      <w:r>
        <w:rPr>
          <w:rFonts w:ascii="Arial" w:cs="Arial" w:eastAsia="Arial" w:hAnsi="Arial"/>
          <w:sz w:val="20"/>
          <w:szCs w:val="20"/>
          <w:u w:val="single" w:color="auto"/>
          <w:color w:val="auto"/>
        </w:rPr>
        <w:t>Appendix A</w:t>
      </w:r>
      <w:r>
        <w:rPr>
          <w:rFonts w:ascii="Arial" w:cs="Arial" w:eastAsia="Arial" w:hAnsi="Arial"/>
          <w:sz w:val="20"/>
          <w:szCs w:val="20"/>
          <w:color w:val="auto"/>
        </w:rPr>
        <w:t>, and in no event will the number of Units that are deemed Earned Units exceed 200% of the Target Number of Performance Units. Any Units subject to this Agreement that are not earned and do not vest as of the Scheduled Vesting Date will be forfeited.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7. Settlement of Units</w:t>
      </w:r>
    </w:p>
    <w:p>
      <w:pPr>
        <w:spacing w:after="0" w:line="2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After any Units vest pursuant to Article 3, 4 or 5, the Company will promptly, but in no event later than the next dividend payment date, cause to be issued and delivered to the Participant (or to the Participant’s estate in the event of the Participant’s death) one Share in payment and settlement of each vested Unit. Delivery of the Shares shall be effected by the delivery of a stock certificate evidencing the Shares, by an appropriate entry in the stock register maintained by the Company’s transfer agent with a notice of issuance provided to the Participant, or by the electronic delivery of the Shares to a brokerage account designated by the Participant, and shall be subject to the tax withholding provisions of Article 10 and compliance with all applicable legal requirements, including compliance with the requirements of applicable federal and state securities laws, and shall be in complete satisfaction and settlement of such vested Units. Upon settlement of the Units, the Participant will obtain, with respect to the Shares received in such settlement, full voting and other rights as a shareholder of the Company. If the Committee determines, in its sole discretion, that a Participant at any time has willfully engaged in any activity that the Committee determines was or is harmful to the Company, any unpaid or unsettled Unit will be forfeited by such Participant.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8. Forfeiture and Repayment.</w:t>
      </w:r>
    </w:p>
    <w:p>
      <w:pPr>
        <w:spacing w:after="0" w:line="249" w:lineRule="exact"/>
        <w:rPr>
          <w:sz w:val="20"/>
          <w:szCs w:val="20"/>
          <w:color w:val="auto"/>
        </w:rPr>
      </w:pPr>
    </w:p>
    <w:p>
      <w:pPr>
        <w:ind w:left="1300" w:right="360" w:hanging="644"/>
        <w:spacing w:after="0" w:line="260" w:lineRule="auto"/>
        <w:tabs>
          <w:tab w:leader="none" w:pos="106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 the event the Participant incurs a Separation from Service for a reason other than those described in Articles 4 or 5 herein during the Performance Period this entire award will be forfeited.</w:t>
      </w:r>
    </w:p>
    <w:p>
      <w:pPr>
        <w:spacing w:after="0" w:line="176" w:lineRule="exact"/>
        <w:rPr>
          <w:rFonts w:ascii="Arial" w:cs="Arial" w:eastAsia="Arial" w:hAnsi="Arial"/>
          <w:sz w:val="20"/>
          <w:szCs w:val="20"/>
          <w:color w:val="auto"/>
        </w:rPr>
      </w:pPr>
    </w:p>
    <w:p>
      <w:pPr>
        <w:ind w:left="1300" w:right="80" w:hanging="644"/>
        <w:spacing w:after="0" w:line="291" w:lineRule="auto"/>
        <w:tabs>
          <w:tab w:leader="none" w:pos="107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Without limiting the generality of Article 8(a), the Company reserves the right to cancel all Units awarded hereunder, whether or not vested, and require the Participant to forfeit any Shares issued in settlement of the Units and repay all income or gains previously realized upon sale of any such Shares in the event of the occurrence of any of the following events:</w:t>
      </w:r>
    </w:p>
    <w:p>
      <w:pPr>
        <w:spacing w:after="0" w:line="175" w:lineRule="exact"/>
        <w:rPr>
          <w:rFonts w:ascii="Arial" w:cs="Arial" w:eastAsia="Arial" w:hAnsi="Arial"/>
          <w:sz w:val="18"/>
          <w:szCs w:val="18"/>
          <w:color w:val="auto"/>
        </w:rPr>
      </w:pPr>
    </w:p>
    <w:p>
      <w:pPr>
        <w:ind w:left="1720" w:hanging="416"/>
        <w:spacing w:after="0"/>
        <w:tabs>
          <w:tab w:leader="none" w:pos="1720" w:val="left"/>
        </w:tabs>
        <w:numPr>
          <w:ilvl w:val="1"/>
          <w:numId w:val="141"/>
        </w:numPr>
        <w:rPr>
          <w:rFonts w:ascii="Arial" w:cs="Arial" w:eastAsia="Arial" w:hAnsi="Arial"/>
          <w:sz w:val="22"/>
          <w:szCs w:val="22"/>
          <w:color w:val="auto"/>
        </w:rPr>
      </w:pPr>
      <w:r>
        <w:rPr>
          <w:rFonts w:ascii="Arial" w:cs="Arial" w:eastAsia="Arial" w:hAnsi="Arial"/>
          <w:sz w:val="20"/>
          <w:szCs w:val="20"/>
          <w:color w:val="auto"/>
        </w:rPr>
        <w:t>termination of Participant’s employment for Cause;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8" w:lineRule="exact"/>
        <w:rPr>
          <w:rFonts w:ascii="Arial" w:cs="Arial" w:eastAsia="Arial" w:hAnsi="Arial"/>
          <w:sz w:val="22"/>
          <w:szCs w:val="22"/>
          <w:color w:val="auto"/>
        </w:rPr>
      </w:pPr>
    </w:p>
    <w:p>
      <w:pPr>
        <w:ind w:left="1960" w:right="480" w:hanging="656"/>
        <w:spacing w:after="0" w:line="238" w:lineRule="auto"/>
        <w:tabs>
          <w:tab w:leader="none" w:pos="1792" w:val="left"/>
        </w:tabs>
        <w:numPr>
          <w:ilvl w:val="1"/>
          <w:numId w:val="141"/>
        </w:numPr>
        <w:rPr>
          <w:rFonts w:ascii="Arial" w:cs="Arial" w:eastAsia="Arial" w:hAnsi="Arial"/>
          <w:sz w:val="22"/>
          <w:szCs w:val="22"/>
          <w:color w:val="auto"/>
        </w:rPr>
      </w:pPr>
      <w:r>
        <w:rPr>
          <w:rFonts w:ascii="Arial" w:cs="Arial" w:eastAsia="Arial" w:hAnsi="Arial"/>
          <w:sz w:val="20"/>
          <w:szCs w:val="20"/>
          <w:color w:val="auto"/>
        </w:rPr>
        <w:t>within one year following any termination of Participant’s employment, the Board determines that the Participant engaged in conduct before the Participant’s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771" w:right="339" w:bottom="1440" w:gutter="0" w:footer="0" w:header="0"/>
        </w:sectPr>
      </w:pPr>
    </w:p>
    <w:bookmarkStart w:id="173" w:name="page174"/>
    <w:bookmarkEnd w:id="173"/>
    <w:p>
      <w:pPr>
        <w:ind w:left="1304"/>
        <w:spacing w:after="0"/>
        <w:rPr>
          <w:sz w:val="20"/>
          <w:szCs w:val="20"/>
          <w:color w:val="auto"/>
        </w:rPr>
      </w:pPr>
      <w:r>
        <w:rPr>
          <w:rFonts w:ascii="Arial" w:cs="Arial" w:eastAsia="Arial" w:hAnsi="Arial"/>
          <w:sz w:val="20"/>
          <w:szCs w:val="20"/>
          <w:color w:val="auto"/>
        </w:rPr>
        <w:t>termination date that would have constituted the basis for a termination of employment for Cause;</w:t>
      </w:r>
    </w:p>
    <w:p>
      <w:pPr>
        <w:spacing w:after="0" w:line="243" w:lineRule="exact"/>
        <w:rPr>
          <w:sz w:val="20"/>
          <w:szCs w:val="20"/>
          <w:color w:val="auto"/>
        </w:rPr>
      </w:pPr>
    </w:p>
    <w:p>
      <w:pPr>
        <w:ind w:left="1304" w:hanging="656"/>
        <w:spacing w:after="0" w:line="238" w:lineRule="auto"/>
        <w:tabs>
          <w:tab w:leader="none" w:pos="1196" w:val="left"/>
        </w:tabs>
        <w:numPr>
          <w:ilvl w:val="0"/>
          <w:numId w:val="142"/>
        </w:numPr>
        <w:rPr>
          <w:rFonts w:ascii="Arial" w:cs="Arial" w:eastAsia="Arial" w:hAnsi="Arial"/>
          <w:sz w:val="22"/>
          <w:szCs w:val="22"/>
          <w:color w:val="auto"/>
        </w:rPr>
      </w:pPr>
      <w:r>
        <w:rPr>
          <w:rFonts w:ascii="Arial" w:cs="Arial" w:eastAsia="Arial" w:hAnsi="Arial"/>
          <w:sz w:val="20"/>
          <w:szCs w:val="20"/>
          <w:color w:val="auto"/>
        </w:rPr>
        <w:t>at any time during the Participant’s employment or the twelve month period immediately following any termination of employment, Participant:</w:t>
      </w:r>
    </w:p>
    <w:p>
      <w:pPr>
        <w:spacing w:after="0" w:line="196" w:lineRule="exact"/>
        <w:rPr>
          <w:rFonts w:ascii="Arial" w:cs="Arial" w:eastAsia="Arial" w:hAnsi="Arial"/>
          <w:sz w:val="22"/>
          <w:szCs w:val="22"/>
          <w:color w:val="auto"/>
        </w:rPr>
      </w:pPr>
    </w:p>
    <w:p>
      <w:pPr>
        <w:ind w:left="1944" w:right="160" w:hanging="648"/>
        <w:spacing w:after="0" w:line="269" w:lineRule="auto"/>
        <w:tabs>
          <w:tab w:leader="none" w:pos="1725" w:val="left"/>
        </w:tabs>
        <w:numPr>
          <w:ilvl w:val="1"/>
          <w:numId w:val="142"/>
        </w:numPr>
        <w:rPr>
          <w:rFonts w:ascii="Arial" w:cs="Arial" w:eastAsia="Arial" w:hAnsi="Arial"/>
          <w:sz w:val="19"/>
          <w:szCs w:val="19"/>
          <w:color w:val="auto"/>
        </w:rPr>
      </w:pPr>
      <w:r>
        <w:rPr>
          <w:rFonts w:ascii="Arial" w:cs="Arial" w:eastAsia="Arial" w:hAnsi="Arial"/>
          <w:sz w:val="19"/>
          <w:szCs w:val="19"/>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69" w:lineRule="exact"/>
        <w:rPr>
          <w:rFonts w:ascii="Arial" w:cs="Arial" w:eastAsia="Arial" w:hAnsi="Arial"/>
          <w:sz w:val="19"/>
          <w:szCs w:val="19"/>
          <w:color w:val="auto"/>
        </w:rPr>
      </w:pPr>
    </w:p>
    <w:p>
      <w:pPr>
        <w:ind w:left="1944" w:right="240" w:hanging="648"/>
        <w:spacing w:after="0" w:line="260" w:lineRule="auto"/>
        <w:tabs>
          <w:tab w:leader="none" w:pos="1725" w:val="left"/>
        </w:tabs>
        <w:numPr>
          <w:ilvl w:val="1"/>
          <w:numId w:val="142"/>
        </w:numPr>
        <w:rPr>
          <w:rFonts w:ascii="Arial" w:cs="Arial" w:eastAsia="Arial" w:hAnsi="Arial"/>
          <w:sz w:val="20"/>
          <w:szCs w:val="20"/>
          <w:color w:val="auto"/>
        </w:rPr>
      </w:pPr>
      <w:r>
        <w:rPr>
          <w:rFonts w:ascii="Arial" w:cs="Arial" w:eastAsia="Arial" w:hAnsi="Arial"/>
          <w:sz w:val="20"/>
          <w:szCs w:val="20"/>
          <w:color w:val="auto"/>
        </w:rPr>
        <w:t>violates in any material respect any policy or any code of ethics or standard of behavior or conduct generally applicable to Participant, including the Code of Conduct; or</w:t>
      </w:r>
    </w:p>
    <w:p>
      <w:pPr>
        <w:spacing w:after="0" w:line="204" w:lineRule="exact"/>
        <w:rPr>
          <w:sz w:val="20"/>
          <w:szCs w:val="20"/>
          <w:color w:val="auto"/>
        </w:rPr>
      </w:pPr>
    </w:p>
    <w:p>
      <w:pPr>
        <w:ind w:left="1304" w:right="80" w:hanging="656"/>
        <w:spacing w:after="0" w:line="238" w:lineRule="auto"/>
        <w:tabs>
          <w:tab w:leader="none" w:pos="1184" w:val="left"/>
        </w:tabs>
        <w:numPr>
          <w:ilvl w:val="1"/>
          <w:numId w:val="143"/>
        </w:numPr>
        <w:rPr>
          <w:rFonts w:ascii="Arial" w:cs="Arial" w:eastAsia="Arial" w:hAnsi="Arial"/>
          <w:sz w:val="22"/>
          <w:szCs w:val="22"/>
          <w:color w:val="auto"/>
        </w:rPr>
      </w:pPr>
      <w:r>
        <w:rPr>
          <w:rFonts w:ascii="Arial" w:cs="Arial" w:eastAsia="Arial" w:hAnsi="Arial"/>
          <w:sz w:val="20"/>
          <w:szCs w:val="20"/>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197" w:lineRule="exact"/>
        <w:rPr>
          <w:rFonts w:ascii="Arial" w:cs="Arial" w:eastAsia="Arial" w:hAnsi="Arial"/>
          <w:sz w:val="22"/>
          <w:szCs w:val="22"/>
          <w:color w:val="auto"/>
        </w:rPr>
      </w:pPr>
    </w:p>
    <w:p>
      <w:pPr>
        <w:ind w:left="644" w:right="100" w:hanging="644"/>
        <w:spacing w:after="0" w:line="287" w:lineRule="auto"/>
        <w:tabs>
          <w:tab w:leader="none" w:pos="41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the Board determines that the Participant’s conduct, activities or circumstances constitute events described in Article 8(b), in addition to any other remedies the Company has available to it, the Company may in its sole discretion:</w:t>
      </w:r>
    </w:p>
    <w:p>
      <w:pPr>
        <w:spacing w:after="0" w:line="176" w:lineRule="exact"/>
        <w:rPr>
          <w:rFonts w:ascii="Arial" w:cs="Arial" w:eastAsia="Arial" w:hAnsi="Arial"/>
          <w:sz w:val="19"/>
          <w:szCs w:val="19"/>
          <w:color w:val="auto"/>
        </w:rPr>
      </w:pPr>
    </w:p>
    <w:p>
      <w:pPr>
        <w:ind w:left="1064" w:hanging="416"/>
        <w:spacing w:after="0"/>
        <w:tabs>
          <w:tab w:leader="none" w:pos="1064" w:val="left"/>
        </w:tabs>
        <w:numPr>
          <w:ilvl w:val="1"/>
          <w:numId w:val="144"/>
        </w:numPr>
        <w:rPr>
          <w:rFonts w:ascii="Arial" w:cs="Arial" w:eastAsia="Arial" w:hAnsi="Arial"/>
          <w:sz w:val="22"/>
          <w:szCs w:val="22"/>
          <w:color w:val="auto"/>
        </w:rPr>
      </w:pPr>
      <w:r>
        <w:rPr>
          <w:rFonts w:ascii="Arial" w:cs="Arial" w:eastAsia="Arial" w:hAnsi="Arial"/>
          <w:sz w:val="20"/>
          <w:szCs w:val="20"/>
          <w:color w:val="auto"/>
        </w:rPr>
        <w:t>cancel any Units awarded hereby, whether or not issued;</w:t>
      </w:r>
    </w:p>
    <w:p>
      <w:pPr>
        <w:spacing w:after="0" w:line="219" w:lineRule="exact"/>
        <w:rPr>
          <w:rFonts w:ascii="Arial" w:cs="Arial" w:eastAsia="Arial" w:hAnsi="Arial"/>
          <w:sz w:val="22"/>
          <w:szCs w:val="22"/>
          <w:color w:val="auto"/>
        </w:rPr>
      </w:pPr>
    </w:p>
    <w:p>
      <w:pPr>
        <w:ind w:left="1124" w:hanging="476"/>
        <w:spacing w:after="0"/>
        <w:tabs>
          <w:tab w:leader="none" w:pos="1124" w:val="left"/>
        </w:tabs>
        <w:numPr>
          <w:ilvl w:val="1"/>
          <w:numId w:val="144"/>
        </w:numPr>
        <w:rPr>
          <w:rFonts w:ascii="Arial" w:cs="Arial" w:eastAsia="Arial" w:hAnsi="Arial"/>
          <w:sz w:val="22"/>
          <w:szCs w:val="22"/>
          <w:color w:val="auto"/>
        </w:rPr>
      </w:pPr>
      <w:r>
        <w:rPr>
          <w:rFonts w:ascii="Arial" w:cs="Arial" w:eastAsia="Arial" w:hAnsi="Arial"/>
          <w:sz w:val="20"/>
          <w:szCs w:val="20"/>
          <w:color w:val="auto"/>
        </w:rPr>
        <w:t>require the Participant to repay any Shares issued upon settlement of the Units; and/or</w:t>
      </w:r>
    </w:p>
    <w:p>
      <w:pPr>
        <w:spacing w:after="0" w:line="222" w:lineRule="exact"/>
        <w:rPr>
          <w:rFonts w:ascii="Arial" w:cs="Arial" w:eastAsia="Arial" w:hAnsi="Arial"/>
          <w:sz w:val="22"/>
          <w:szCs w:val="22"/>
          <w:color w:val="auto"/>
        </w:rPr>
      </w:pPr>
    </w:p>
    <w:p>
      <w:pPr>
        <w:ind w:left="1304" w:right="360" w:hanging="656"/>
        <w:spacing w:after="0" w:line="238" w:lineRule="auto"/>
        <w:tabs>
          <w:tab w:leader="none" w:pos="1196" w:val="left"/>
        </w:tabs>
        <w:numPr>
          <w:ilvl w:val="1"/>
          <w:numId w:val="144"/>
        </w:numPr>
        <w:rPr>
          <w:rFonts w:ascii="Arial" w:cs="Arial" w:eastAsia="Arial" w:hAnsi="Arial"/>
          <w:sz w:val="22"/>
          <w:szCs w:val="22"/>
          <w:color w:val="auto"/>
        </w:rPr>
      </w:pPr>
      <w:r>
        <w:rPr>
          <w:rFonts w:ascii="Arial" w:cs="Arial" w:eastAsia="Arial" w:hAnsi="Arial"/>
          <w:sz w:val="20"/>
          <w:szCs w:val="20"/>
          <w:color w:val="auto"/>
        </w:rPr>
        <w:t>require the Participant to repay an amount equal to all income or gain realized in respect of all Shares issued upon settlement of the Units.</w:t>
      </w:r>
    </w:p>
    <w:p>
      <w:pPr>
        <w:spacing w:after="0" w:line="196" w:lineRule="exact"/>
        <w:rPr>
          <w:sz w:val="20"/>
          <w:szCs w:val="20"/>
          <w:color w:val="auto"/>
        </w:rPr>
      </w:pPr>
    </w:p>
    <w:p>
      <w:pPr>
        <w:ind w:left="644"/>
        <w:spacing w:after="0"/>
        <w:rPr>
          <w:sz w:val="20"/>
          <w:szCs w:val="20"/>
          <w:color w:val="auto"/>
        </w:rPr>
      </w:pPr>
      <w:r>
        <w:rPr>
          <w:rFonts w:ascii="Arial" w:cs="Arial" w:eastAsia="Arial" w:hAnsi="Arial"/>
          <w:sz w:val="20"/>
          <w:szCs w:val="20"/>
          <w:color w:val="auto"/>
        </w:rPr>
        <w:t>There shall be no forfeiture or repayment under Article 8(b) following a Change in Control.</w:t>
      </w:r>
    </w:p>
    <w:p>
      <w:pPr>
        <w:spacing w:after="0" w:line="216" w:lineRule="exact"/>
        <w:rPr>
          <w:sz w:val="20"/>
          <w:szCs w:val="20"/>
          <w:color w:val="auto"/>
        </w:rPr>
      </w:pPr>
    </w:p>
    <w:p>
      <w:pPr>
        <w:ind w:left="644" w:right="40" w:hanging="644"/>
        <w:spacing w:after="0" w:line="243" w:lineRule="auto"/>
        <w:tabs>
          <w:tab w:leader="none" w:pos="421"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Board, in its discretion, shall determine whether a Participant’s conduct, activities or circumstances constitute events described in Article 8(b) and whether and to what extent the Units awarded hereby shall be forfeited by Participant and/or a Participant shall be required to repay an amount pursuant to Article 8(c). The Board shall have the authority to suspend the payment, delivery or settlement of all or any portion of such Participant’s outstanding Units pending an investigation of a bona fide dispute regarding Participant’s eligibility to receive a payment under the terms of this Agreement as determined by the Board in good faith.</w:t>
      </w:r>
    </w:p>
    <w:p>
      <w:pPr>
        <w:spacing w:after="0" w:line="195" w:lineRule="exact"/>
        <w:rPr>
          <w:rFonts w:ascii="Arial" w:cs="Arial" w:eastAsia="Arial" w:hAnsi="Arial"/>
          <w:sz w:val="20"/>
          <w:szCs w:val="20"/>
          <w:color w:val="auto"/>
        </w:rPr>
      </w:pPr>
    </w:p>
    <w:p>
      <w:pPr>
        <w:ind w:left="424" w:hanging="424"/>
        <w:spacing w:after="0"/>
        <w:tabs>
          <w:tab w:leader="none" w:pos="42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For purposes of applying this provision:</w:t>
      </w:r>
    </w:p>
    <w:p>
      <w:pPr>
        <w:spacing w:after="0" w:line="239" w:lineRule="exact"/>
        <w:rPr>
          <w:rFonts w:ascii="Arial" w:cs="Arial" w:eastAsia="Arial" w:hAnsi="Arial"/>
          <w:sz w:val="20"/>
          <w:szCs w:val="20"/>
          <w:color w:val="auto"/>
        </w:rPr>
      </w:pPr>
    </w:p>
    <w:p>
      <w:pPr>
        <w:ind w:left="1064" w:hanging="416"/>
        <w:spacing w:after="0"/>
        <w:tabs>
          <w:tab w:leader="none" w:pos="1064" w:val="left"/>
        </w:tabs>
        <w:numPr>
          <w:ilvl w:val="1"/>
          <w:numId w:val="145"/>
        </w:numPr>
        <w:rPr>
          <w:rFonts w:ascii="Arial" w:cs="Arial" w:eastAsia="Arial" w:hAnsi="Arial"/>
          <w:sz w:val="22"/>
          <w:szCs w:val="22"/>
          <w:color w:val="auto"/>
        </w:rPr>
      </w:pPr>
      <w:r>
        <w:rPr>
          <w:rFonts w:ascii="Arial" w:cs="Arial" w:eastAsia="Arial" w:hAnsi="Arial"/>
          <w:sz w:val="20"/>
          <w:szCs w:val="20"/>
          <w:color w:val="auto"/>
        </w:rPr>
        <w:t>“Cause” means any of the following:</w:t>
      </w:r>
    </w:p>
    <w:p>
      <w:pPr>
        <w:spacing w:after="0" w:line="195" w:lineRule="exact"/>
        <w:rPr>
          <w:rFonts w:ascii="Arial" w:cs="Arial" w:eastAsia="Arial" w:hAnsi="Arial"/>
          <w:sz w:val="22"/>
          <w:szCs w:val="22"/>
          <w:color w:val="auto"/>
        </w:rPr>
      </w:pPr>
    </w:p>
    <w:p>
      <w:pPr>
        <w:ind w:left="1944" w:right="240" w:hanging="648"/>
        <w:spacing w:after="0" w:line="260" w:lineRule="auto"/>
        <w:tabs>
          <w:tab w:leader="none" w:pos="1725" w:val="left"/>
        </w:tabs>
        <w:numPr>
          <w:ilvl w:val="2"/>
          <w:numId w:val="145"/>
        </w:numPr>
        <w:rPr>
          <w:rFonts w:ascii="Arial" w:cs="Arial" w:eastAsia="Arial" w:hAnsi="Arial"/>
          <w:sz w:val="20"/>
          <w:szCs w:val="20"/>
          <w:color w:val="auto"/>
        </w:rPr>
      </w:pPr>
      <w:r>
        <w:rPr>
          <w:rFonts w:ascii="Arial" w:cs="Arial" w:eastAsia="Arial" w:hAnsi="Arial"/>
          <w:sz w:val="20"/>
          <w:szCs w:val="20"/>
          <w:color w:val="auto"/>
        </w:rPr>
        <w:t>a Participant’s violation of his or her material duties to the Company or any of its Affiliates, which continues after written notice from the Company or any Affiliate to cure such violation;</w:t>
      </w:r>
    </w:p>
    <w:p>
      <w:pPr>
        <w:spacing w:after="0" w:line="176" w:lineRule="exact"/>
        <w:rPr>
          <w:rFonts w:ascii="Arial" w:cs="Arial" w:eastAsia="Arial" w:hAnsi="Arial"/>
          <w:sz w:val="20"/>
          <w:szCs w:val="20"/>
          <w:color w:val="auto"/>
        </w:rPr>
      </w:pPr>
    </w:p>
    <w:p>
      <w:pPr>
        <w:ind w:left="1724" w:hanging="428"/>
        <w:spacing w:after="0"/>
        <w:tabs>
          <w:tab w:leader="none" w:pos="1724" w:val="left"/>
        </w:tabs>
        <w:numPr>
          <w:ilvl w:val="2"/>
          <w:numId w:val="145"/>
        </w:numPr>
        <w:rPr>
          <w:rFonts w:ascii="Arial" w:cs="Arial" w:eastAsia="Arial" w:hAnsi="Arial"/>
          <w:sz w:val="20"/>
          <w:szCs w:val="20"/>
          <w:color w:val="auto"/>
        </w:rPr>
      </w:pPr>
      <w:r>
        <w:rPr>
          <w:rFonts w:ascii="Arial" w:cs="Arial" w:eastAsia="Arial" w:hAnsi="Arial"/>
          <w:sz w:val="20"/>
          <w:szCs w:val="20"/>
          <w:color w:val="auto"/>
        </w:rPr>
        <w:t>Participant’s willful failure to follow the lawful written directives of the Board in any material respect;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564"/>
          </w:cols>
          <w:pgMar w:left="976" w:top="771" w:right="359" w:bottom="1440" w:gutter="0" w:footer="0" w:header="0"/>
        </w:sectPr>
      </w:pPr>
    </w:p>
    <w:bookmarkStart w:id="174" w:name="page175"/>
    <w:bookmarkEnd w:id="174"/>
    <w:p>
      <w:pPr>
        <w:ind w:left="2600" w:right="120" w:hanging="648"/>
        <w:spacing w:after="0" w:line="259" w:lineRule="auto"/>
        <w:tabs>
          <w:tab w:leader="none" w:pos="2425" w:val="left"/>
        </w:tabs>
        <w:numPr>
          <w:ilvl w:val="1"/>
          <w:numId w:val="146"/>
        </w:numPr>
        <w:rPr>
          <w:rFonts w:ascii="Arial" w:cs="Arial" w:eastAsia="Arial" w:hAnsi="Arial"/>
          <w:sz w:val="19"/>
          <w:szCs w:val="19"/>
          <w:color w:val="auto"/>
        </w:rPr>
      </w:pPr>
      <w:r>
        <w:rPr>
          <w:rFonts w:ascii="Arial" w:cs="Arial" w:eastAsia="Arial" w:hAnsi="Arial"/>
          <w:sz w:val="19"/>
          <w:szCs w:val="19"/>
          <w:color w:val="auto"/>
        </w:rPr>
        <w:t>Participant’s willful misconduct in connection with the performance of any of his or her duties, including but not limited to falsifying or attempting to falsify documents, books or records of the Company or any of its Affiliates, making or delivering a false representation, statement or certification of compliance to the Company, misappropriating or attempting to misappropriate funds or other property of the Company or any of its Affiliates, or securing or attempting to secure any personal profit in connection with any transaction entered into on behalf of the Company or any of its Affiliates;</w:t>
      </w:r>
    </w:p>
    <w:p>
      <w:pPr>
        <w:spacing w:after="0" w:line="178" w:lineRule="exact"/>
        <w:rPr>
          <w:rFonts w:ascii="Arial" w:cs="Arial" w:eastAsia="Arial" w:hAnsi="Arial"/>
          <w:sz w:val="19"/>
          <w:szCs w:val="19"/>
          <w:color w:val="auto"/>
        </w:rPr>
      </w:pPr>
    </w:p>
    <w:p>
      <w:pPr>
        <w:ind w:left="2600" w:right="420" w:hanging="648"/>
        <w:spacing w:after="0" w:line="250" w:lineRule="auto"/>
        <w:tabs>
          <w:tab w:leader="none" w:pos="2381" w:val="left"/>
        </w:tabs>
        <w:numPr>
          <w:ilvl w:val="1"/>
          <w:numId w:val="146"/>
        </w:numPr>
        <w:rPr>
          <w:rFonts w:ascii="Arial" w:cs="Arial" w:eastAsia="Arial" w:hAnsi="Arial"/>
          <w:sz w:val="20"/>
          <w:szCs w:val="20"/>
          <w:color w:val="auto"/>
        </w:rPr>
      </w:pPr>
      <w:r>
        <w:rPr>
          <w:rFonts w:ascii="Arial" w:cs="Arial" w:eastAsia="Arial" w:hAnsi="Arial"/>
          <w:sz w:val="20"/>
          <w:szCs w:val="20"/>
          <w:color w:val="auto"/>
        </w:rPr>
        <w:t>Participant’s breach of any material provisions of this Agreement or any other non-competition, non-interference, non-disclosure, confidentiality or other similar agreement executed by Participant with the Company or any of its Affiliates;</w:t>
      </w:r>
    </w:p>
    <w:p>
      <w:pPr>
        <w:spacing w:after="0" w:line="185" w:lineRule="exact"/>
        <w:rPr>
          <w:rFonts w:ascii="Arial" w:cs="Arial" w:eastAsia="Arial" w:hAnsi="Arial"/>
          <w:sz w:val="20"/>
          <w:szCs w:val="20"/>
          <w:color w:val="auto"/>
        </w:rPr>
      </w:pPr>
    </w:p>
    <w:p>
      <w:pPr>
        <w:ind w:left="2600" w:right="500" w:hanging="648"/>
        <w:spacing w:after="0" w:line="287" w:lineRule="auto"/>
        <w:tabs>
          <w:tab w:leader="none" w:pos="2381"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conviction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of the Participant of any felony, or a misdemeanor involving false statement, in connection with conduct involving the Company or any of Affiliates; or</w:t>
      </w:r>
    </w:p>
    <w:p>
      <w:pPr>
        <w:spacing w:after="0" w:line="152" w:lineRule="exact"/>
        <w:rPr>
          <w:rFonts w:ascii="Arial" w:cs="Arial" w:eastAsia="Arial" w:hAnsi="Arial"/>
          <w:sz w:val="19"/>
          <w:szCs w:val="19"/>
          <w:color w:val="auto"/>
        </w:rPr>
      </w:pPr>
    </w:p>
    <w:p>
      <w:pPr>
        <w:ind w:left="2600" w:right="480" w:hanging="648"/>
        <w:spacing w:after="0" w:line="260" w:lineRule="auto"/>
        <w:tabs>
          <w:tab w:leader="none" w:pos="2369" w:val="left"/>
        </w:tabs>
        <w:numPr>
          <w:ilvl w:val="1"/>
          <w:numId w:val="146"/>
        </w:numPr>
        <w:rPr>
          <w:rFonts w:ascii="Arial" w:cs="Arial" w:eastAsia="Arial" w:hAnsi="Arial"/>
          <w:sz w:val="20"/>
          <w:szCs w:val="20"/>
          <w:color w:val="auto"/>
        </w:rPr>
      </w:pPr>
      <w:r>
        <w:rPr>
          <w:rFonts w:ascii="Arial" w:cs="Arial" w:eastAsia="Arial" w:hAnsi="Arial"/>
          <w:sz w:val="20"/>
          <w:szCs w:val="20"/>
          <w:color w:val="auto"/>
        </w:rPr>
        <w:t>intentional engagement in any activity which would constitute or cause a breach of duty of loyalty, or any fiduciary duty to the Company or any of its Affiliates.</w:t>
      </w:r>
    </w:p>
    <w:p>
      <w:pPr>
        <w:spacing w:after="0" w:line="203" w:lineRule="exact"/>
        <w:rPr>
          <w:rFonts w:ascii="Arial" w:cs="Arial" w:eastAsia="Arial" w:hAnsi="Arial"/>
          <w:sz w:val="20"/>
          <w:szCs w:val="20"/>
          <w:color w:val="auto"/>
        </w:rPr>
      </w:pPr>
    </w:p>
    <w:p>
      <w:pPr>
        <w:ind w:left="1960" w:right="180" w:hanging="656"/>
        <w:spacing w:after="0" w:line="238" w:lineRule="auto"/>
        <w:tabs>
          <w:tab w:leader="none" w:pos="1792" w:val="left"/>
        </w:tabs>
        <w:numPr>
          <w:ilvl w:val="0"/>
          <w:numId w:val="147"/>
        </w:numPr>
        <w:rPr>
          <w:rFonts w:ascii="Arial" w:cs="Arial" w:eastAsia="Arial" w:hAnsi="Arial"/>
          <w:sz w:val="22"/>
          <w:szCs w:val="22"/>
          <w:color w:val="auto"/>
        </w:rPr>
      </w:pPr>
      <w:r>
        <w:rPr>
          <w:rFonts w:ascii="Arial" w:cs="Arial" w:eastAsia="Arial" w:hAnsi="Arial"/>
          <w:sz w:val="20"/>
          <w:szCs w:val="20"/>
          <w:color w:val="auto"/>
        </w:rPr>
        <w:t>“Code of Conduct” means any code of ethics or code of conduct now or hereafter adopted by the Company or any of its Affiliates, including to the extent applicable the Company’s Code of Business Conduct Policy, as amended or supplemented from time to time, and the Company’s or subsidiary Risk Management Policies and Procedures, as amended, supplemented or replaced from time to time.</w:t>
      </w:r>
    </w:p>
    <w:p>
      <w:pPr>
        <w:spacing w:after="0" w:line="199" w:lineRule="exact"/>
        <w:rPr>
          <w:sz w:val="20"/>
          <w:szCs w:val="20"/>
          <w:color w:val="auto"/>
        </w:rPr>
      </w:pPr>
    </w:p>
    <w:p>
      <w:pPr>
        <w:ind w:left="1300" w:right="60" w:hanging="644"/>
        <w:spacing w:after="0" w:line="291" w:lineRule="auto"/>
        <w:tabs>
          <w:tab w:leader="none" w:pos="10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Participant agrees that the provisions of this Article 8 are entered into in consideration of, and as a material inducement to, the agreements by the Company herein as well as an inducement for the Company to enter into this Agreement, and that, but for Participant’s agreement to the provisions of this Article 8, the Company would not have entered into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9. Dividends</w:t>
      </w:r>
    </w:p>
    <w:p>
      <w:pPr>
        <w:spacing w:after="0" w:line="249"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If, during the Performance Period, a cash dividend is declared and paid by the Company with respect to its Common Stock, the Participant will be credited as of the applicable dividend payment date with an additional number of Units (the “Dividend Units”) equal to (i) the total cash dividend the Participant would have received if the Target Number of Performance Units credited to the Participant under this Agreement as of the related dividend payment record date (including any previously credited Dividend Units) had been actual Shares, divided by (ii) the Fair Market Value of a Share as of the applicable dividend payment date (with the quotient rounded down to the nearest whole number). If, after the Performance Period but before the Scheduled Vesting Date, a cash dividend is declared and paid by the Company with respect to its Shares, the Participant will be credited as of the applicable dividend payment date a number of Dividend Units equal to (i) the total cash dividend the Participant would have received if the Earned Units under this Agreement as of the related dividend payment record date (including any previously credited Dividend Units) had been actual Shares, divided by (ii) the Fair Market Value of a Share as of the applicable dividend payment date (with the quotient rounded down to the nearest whole number). Once credited to the Participant’s account, Dividend Units will be considered Units for all purposes of this Agreement.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20"/>
          </w:cols>
          <w:pgMar w:left="320" w:top="771" w:right="35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b w:val="1"/>
          <w:bCs w:val="1"/>
          <w:color w:val="auto"/>
        </w:rPr>
        <w:t>Article 10. Tax Withholding</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Neither the Company nor any of its Affiliates shall be liable or responsible in any way for the tax consequences relating to the award of Units, their vesting and the settlement of vested Units in Shares. The Participant agrees to determine and be responsible for any and all tax consequences to the Participant relating to the award, vesting and settlement of Units hereunder. If the Company is obligated to withhold an amount on account of any tax imposed as a result of the grant, vesting or settlement of the Units, the provisions of Section 19.2 of the Plan regarding the satisfaction of tax withholding obligations shall apply (including any required payments by the Participant).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11. Nontransferability</w:t>
      </w:r>
    </w:p>
    <w:p>
      <w:pPr>
        <w:spacing w:after="0" w:line="249" w:lineRule="exact"/>
        <w:rPr>
          <w:sz w:val="20"/>
          <w:szCs w:val="20"/>
          <w:color w:val="auto"/>
        </w:rPr>
      </w:pPr>
    </w:p>
    <w:p>
      <w:pPr>
        <w:ind w:right="20" w:firstLine="648"/>
        <w:spacing w:after="0" w:line="263" w:lineRule="auto"/>
        <w:rPr>
          <w:sz w:val="20"/>
          <w:szCs w:val="20"/>
          <w:color w:val="auto"/>
        </w:rPr>
      </w:pPr>
      <w:r>
        <w:rPr>
          <w:rFonts w:ascii="Arial" w:cs="Arial" w:eastAsia="Arial" w:hAnsi="Arial"/>
          <w:sz w:val="19"/>
          <w:szCs w:val="19"/>
          <w:color w:val="auto"/>
        </w:rPr>
        <w:t>The Units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 or the Participant’s legal representative. The terms hereof shall be binding on the executors, administrators, heirs and successors of the Participant.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12. Administration</w:t>
      </w:r>
    </w:p>
    <w:p>
      <w:pPr>
        <w:spacing w:after="0" w:line="249"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This Agreement and the rights of the Participant hereunder are subject to all the terms and conditions of the Plan, as the same may be amended from time to time by the Board,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inconsistency between the Agreement and the Plan shall be resolved in favor of the Plan.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13. Miscellaneous</w:t>
      </w:r>
    </w:p>
    <w:p>
      <w:pPr>
        <w:spacing w:after="0" w:line="249" w:lineRule="exact"/>
        <w:rPr>
          <w:sz w:val="20"/>
          <w:szCs w:val="20"/>
          <w:color w:val="auto"/>
        </w:rPr>
      </w:pPr>
    </w:p>
    <w:p>
      <w:pPr>
        <w:ind w:left="980" w:right="60" w:hanging="648"/>
        <w:spacing w:after="0" w:line="244" w:lineRule="auto"/>
        <w:tabs>
          <w:tab w:leader="none" w:pos="74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selection of any employee for participation in the Plan shall not give such Participant any right to be retained in the employ of the Company. The right and power of the Company to dismiss or discharge any Participant at-will, is specifically reserved. Such Participant or any person claiming under or through the Participant shall not have any right or interest in the Plan or any Award thereunder, unless and until all terms, conditions, and provisions of the Plan that affect such Participant have been complied with as specified herein.</w:t>
      </w:r>
    </w:p>
    <w:p>
      <w:pPr>
        <w:spacing w:after="0" w:line="221" w:lineRule="exact"/>
        <w:rPr>
          <w:rFonts w:ascii="Arial" w:cs="Arial" w:eastAsia="Arial" w:hAnsi="Arial"/>
          <w:sz w:val="20"/>
          <w:szCs w:val="20"/>
          <w:color w:val="auto"/>
        </w:rPr>
      </w:pPr>
    </w:p>
    <w:p>
      <w:pPr>
        <w:ind w:left="980" w:right="720" w:hanging="648"/>
        <w:spacing w:after="0" w:line="269" w:lineRule="auto"/>
        <w:tabs>
          <w:tab w:leader="none" w:pos="757"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With the approval of the Board, the Committee may terminate, amend, or modify the Plan; provided, however, that no such termination, amendment, or modification of the Plan may in any way adversely affect the Participant’s rights under this Agreement without the Participant’s written consent, except as required by law.</w:t>
      </w:r>
    </w:p>
    <w:p>
      <w:pPr>
        <w:spacing w:after="0" w:line="196" w:lineRule="exact"/>
        <w:rPr>
          <w:rFonts w:ascii="Arial" w:cs="Arial" w:eastAsia="Arial" w:hAnsi="Arial"/>
          <w:sz w:val="19"/>
          <w:szCs w:val="19"/>
          <w:color w:val="auto"/>
        </w:rPr>
      </w:pPr>
    </w:p>
    <w:p>
      <w:pPr>
        <w:ind w:left="980" w:right="340" w:hanging="648"/>
        <w:spacing w:after="0" w:line="260" w:lineRule="auto"/>
        <w:tabs>
          <w:tab w:leader="none" w:pos="74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Participant shall not have voting rights with respect to the Units. Participant shall obtain voting rights with respect to any Shares issued upon settlement of the Units.</w:t>
      </w:r>
    </w:p>
    <w:p>
      <w:pPr>
        <w:spacing w:after="0" w:line="203" w:lineRule="exact"/>
        <w:rPr>
          <w:rFonts w:ascii="Arial" w:cs="Arial" w:eastAsia="Arial" w:hAnsi="Arial"/>
          <w:sz w:val="20"/>
          <w:szCs w:val="20"/>
          <w:color w:val="auto"/>
        </w:rPr>
      </w:pPr>
    </w:p>
    <w:p>
      <w:pPr>
        <w:ind w:left="980" w:right="140" w:hanging="648"/>
        <w:spacing w:after="0" w:line="260" w:lineRule="auto"/>
        <w:tabs>
          <w:tab w:leader="none" w:pos="757"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203" w:lineRule="exact"/>
        <w:rPr>
          <w:rFonts w:ascii="Arial" w:cs="Arial" w:eastAsia="Arial" w:hAnsi="Arial"/>
          <w:sz w:val="20"/>
          <w:szCs w:val="20"/>
          <w:color w:val="auto"/>
        </w:rPr>
      </w:pPr>
    </w:p>
    <w:p>
      <w:pPr>
        <w:ind w:left="980" w:right="120" w:hanging="648"/>
        <w:spacing w:after="0" w:line="260" w:lineRule="auto"/>
        <w:tabs>
          <w:tab w:leader="none" w:pos="74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To the extent not preempted by federal law, this Agreement shall be governed by, and construed in accordance with, the laws of the State of South Dakota.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765" w:right="339" w:bottom="1440" w:gutter="0" w:footer="0" w:header="0"/>
        </w:sectPr>
      </w:pPr>
    </w:p>
    <w:bookmarkStart w:id="176" w:name="page177"/>
    <w:bookmarkEnd w:id="176"/>
    <w:p>
      <w:pPr>
        <w:ind w:left="980" w:right="360" w:hanging="648"/>
        <w:spacing w:after="0" w:line="260" w:lineRule="auto"/>
        <w:tabs>
          <w:tab w:leader="none" w:pos="717"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Any awards received by Participant are subject to the provisions of the Stock Ownership Guidelines approved by the Board of Directors.</w:t>
      </w:r>
    </w:p>
    <w:p>
      <w:pPr>
        <w:spacing w:after="0" w:line="203" w:lineRule="exact"/>
        <w:rPr>
          <w:rFonts w:ascii="Arial" w:cs="Arial" w:eastAsia="Arial" w:hAnsi="Arial"/>
          <w:sz w:val="20"/>
          <w:szCs w:val="20"/>
          <w:color w:val="auto"/>
        </w:rPr>
      </w:pPr>
    </w:p>
    <w:p>
      <w:pPr>
        <w:ind w:left="980" w:hanging="648"/>
        <w:spacing w:after="0" w:line="247" w:lineRule="auto"/>
        <w:tabs>
          <w:tab w:leader="none" w:pos="80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Waiver and Modification. The provisions of this Agreement may not be waived or modified unless such waiver or modification is in writing and signed by the Company.</w:t>
      </w:r>
    </w:p>
    <w:p>
      <w:pPr>
        <w:spacing w:after="0" w:line="1" w:lineRule="exact"/>
        <w:rPr>
          <w:rFonts w:ascii="Arial" w:cs="Arial" w:eastAsia="Arial" w:hAnsi="Arial"/>
          <w:sz w:val="20"/>
          <w:szCs w:val="20"/>
          <w:color w:val="auto"/>
        </w:rPr>
      </w:pPr>
    </w:p>
    <w:p>
      <w:pPr>
        <w:ind w:left="980" w:right="120" w:hanging="648"/>
        <w:spacing w:after="0" w:line="297" w:lineRule="auto"/>
        <w:tabs>
          <w:tab w:leader="none" w:pos="76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Compliance with Exchange Act. If the Participant is subject to Section 16 of the Exchange Act, the Units granted pursuant to the Award are intended to comply with all applicable conditions of Rule 16b-3 or its successors under the Exchange Act.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parties have caused this Agreement to be executed effective as of January 1, 2021.</w:t>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Black Hills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80"/>
          </w:cols>
          <w:pgMar w:left="320" w:top="1014" w:right="499" w:bottom="1440" w:gutter="0" w:footer="0" w:header="0"/>
        </w:sectPr>
      </w:pPr>
    </w:p>
    <w:bookmarkStart w:id="177" w:name="page178"/>
    <w:bookmarkEnd w:id="177"/>
    <w:p>
      <w:pPr>
        <w:ind w:left="10120"/>
        <w:spacing w:after="0"/>
        <w:rPr>
          <w:sz w:val="20"/>
          <w:szCs w:val="20"/>
          <w:color w:val="auto"/>
        </w:rPr>
      </w:pPr>
      <w:r>
        <w:rPr>
          <w:rFonts w:ascii="Arial" w:cs="Arial" w:eastAsia="Arial" w:hAnsi="Arial"/>
          <w:sz w:val="19"/>
          <w:szCs w:val="19"/>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auto"/>
        </w:rPr>
        <w:t>Earned Units and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698627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0">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determination of the number of Units that will be earned and vested as of the Scheduled Vesting Date specified above will be determined as follows: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513"/>
        </w:trPr>
        <w:tc>
          <w:tcPr>
            <w:tcW w:w="2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Measure</w:t>
            </w:r>
          </w:p>
        </w:tc>
        <w:tc>
          <w:tcPr>
            <w:tcW w:w="150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r>
      <w:tr>
        <w:trPr>
          <w:trHeight w:val="291"/>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(each as defined below)</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Weighting</w:t>
            </w:r>
          </w:p>
        </w:tc>
        <w:tc>
          <w:tcPr>
            <w:tcW w:w="100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Performance Goal</w:t>
            </w: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22"/>
                <w:szCs w:val="22"/>
                <w:b w:val="1"/>
                <w:bCs w:val="1"/>
                <w:color w:val="auto"/>
              </w:rPr>
              <w:t>Award Multiplier</w:t>
            </w:r>
          </w:p>
        </w:tc>
      </w:tr>
      <w:tr>
        <w:trPr>
          <w:trHeight w:val="310"/>
        </w:trPr>
        <w:tc>
          <w:tcPr>
            <w:tcW w:w="2560" w:type="dxa"/>
            <w:vAlign w:val="bottom"/>
            <w:tcBorders>
              <w:left w:val="single" w:sz="8" w:color="auto"/>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Maximum</w:t>
            </w:r>
          </w:p>
        </w:tc>
        <w:tc>
          <w:tcPr>
            <w:tcW w:w="7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line="310" w:lineRule="exact"/>
              <w:rPr>
                <w:sz w:val="20"/>
                <w:szCs w:val="20"/>
                <w:color w:val="auto"/>
              </w:rPr>
            </w:pPr>
            <w:r>
              <w:rPr>
                <w:rFonts w:ascii="Arial" w:cs="Arial" w:eastAsia="Arial" w:hAnsi="Arial"/>
                <w:sz w:val="22"/>
                <w:szCs w:val="22"/>
                <w:color w:val="auto"/>
              </w:rPr>
              <w:t>90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200%</w:t>
            </w:r>
          </w:p>
        </w:tc>
      </w:tr>
      <w:tr>
        <w:trPr>
          <w:trHeight w:val="30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Relative TSR</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60%</w:t>
            </w: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Target</w:t>
            </w:r>
          </w:p>
        </w:tc>
        <w:tc>
          <w:tcPr>
            <w:tcW w:w="7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line="304" w:lineRule="exact"/>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100%</w:t>
            </w:r>
          </w:p>
        </w:tc>
      </w:tr>
      <w:tr>
        <w:trPr>
          <w:trHeight w:val="304"/>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Threshold</w:t>
            </w:r>
          </w:p>
        </w:tc>
        <w:tc>
          <w:tcPr>
            <w:tcW w:w="7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line="304" w:lineRule="exact"/>
              <w:rPr>
                <w:sz w:val="20"/>
                <w:szCs w:val="20"/>
                <w:color w:val="auto"/>
              </w:rPr>
            </w:pPr>
            <w:r>
              <w:rPr>
                <w:rFonts w:ascii="Arial" w:cs="Arial" w:eastAsia="Arial" w:hAnsi="Arial"/>
                <w:sz w:val="22"/>
                <w:szCs w:val="22"/>
                <w:color w:val="auto"/>
              </w:rPr>
              <w:t>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25%</w:t>
            </w:r>
          </w:p>
        </w:tc>
      </w:tr>
      <w:tr>
        <w:trPr>
          <w:trHeight w:val="298"/>
        </w:trPr>
        <w:tc>
          <w:tcPr>
            <w:tcW w:w="2560" w:type="dxa"/>
            <w:vAlign w:val="bottom"/>
            <w:tcBorders>
              <w:left w:val="single" w:sz="8" w:color="auto"/>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Maximum</w:t>
            </w:r>
          </w:p>
        </w:tc>
        <w:tc>
          <w:tcPr>
            <w:tcW w:w="7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$4.289</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200%</w:t>
            </w:r>
          </w:p>
        </w:tc>
      </w:tr>
      <w:tr>
        <w:trPr>
          <w:trHeight w:val="30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Average EPS as Adjusted</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Target</w:t>
            </w:r>
          </w:p>
        </w:tc>
        <w:tc>
          <w:tcPr>
            <w:tcW w:w="7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$4.085</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100%</w:t>
            </w:r>
          </w:p>
        </w:tc>
      </w:tr>
      <w:tr>
        <w:trPr>
          <w:trHeight w:val="304"/>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Threshold</w:t>
            </w:r>
          </w:p>
        </w:tc>
        <w:tc>
          <w:tcPr>
            <w:tcW w:w="7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$3.881</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25%</w:t>
            </w:r>
          </w:p>
        </w:tc>
      </w:tr>
      <w:tr>
        <w:trPr>
          <w:trHeight w:val="304"/>
        </w:trPr>
        <w:tc>
          <w:tcPr>
            <w:tcW w:w="2560" w:type="dxa"/>
            <w:vAlign w:val="bottom"/>
            <w:tcBorders>
              <w:left w:val="single" w:sz="8" w:color="auto"/>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Maximum</w:t>
            </w:r>
          </w:p>
        </w:tc>
        <w:tc>
          <w:tcPr>
            <w:tcW w:w="7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42.7%</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200%</w:t>
            </w:r>
          </w:p>
        </w:tc>
      </w:tr>
      <w:tr>
        <w:trPr>
          <w:trHeight w:val="30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Average Cost to Serve</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Target</w:t>
            </w:r>
          </w:p>
        </w:tc>
        <w:tc>
          <w:tcPr>
            <w:tcW w:w="7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45.0%</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100%</w:t>
            </w:r>
          </w:p>
        </w:tc>
      </w:tr>
      <w:tr>
        <w:trPr>
          <w:trHeight w:val="304"/>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Threshold</w:t>
            </w:r>
          </w:p>
        </w:tc>
        <w:tc>
          <w:tcPr>
            <w:tcW w:w="7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47.2%</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25%</w:t>
            </w:r>
          </w:p>
        </w:tc>
      </w:tr>
    </w:tbl>
    <w:p>
      <w:pPr>
        <w:spacing w:after="0" w:line="334" w:lineRule="exact"/>
        <w:rPr>
          <w:sz w:val="20"/>
          <w:szCs w:val="20"/>
          <w:color w:val="auto"/>
        </w:rPr>
      </w:pPr>
    </w:p>
    <w:p>
      <w:pPr>
        <w:ind w:right="60" w:firstLine="648"/>
        <w:spacing w:after="0" w:line="242" w:lineRule="auto"/>
        <w:rPr>
          <w:sz w:val="20"/>
          <w:szCs w:val="20"/>
          <w:color w:val="auto"/>
        </w:rPr>
      </w:pPr>
      <w:r>
        <w:rPr>
          <w:rFonts w:ascii="Arial" w:cs="Arial" w:eastAsia="Arial" w:hAnsi="Arial"/>
          <w:sz w:val="20"/>
          <w:szCs w:val="20"/>
          <w:color w:val="auto"/>
        </w:rPr>
        <w:t>Based on the actual level of achievement of each Performance Measure, the applicable Award Multiplier will be calculated from the table above by determining where the Company’s actual performance falls relative to the Performance Goals specified in the applicable column of the table, and then selecting the corresponding Award Multiplier associated with each Performance Measure. If the actual amount of any of these Performance Measures is between two Performance Goal amounts shown in the applicable column of the table, the corresponding Award Multiplier will be determined by linear interpolation between the two relevant Award Multipliers shown in the table. If the actual amount of any of the Performance Measures for the Performance Period is less than the corresponding Threshold Performance Goal specified in the table, the corresponding Award Multiplier is zero, and if it is greater than the corresponding Maximum Performance Goal specified in the table, the corresponding Award Multiplier will be equal to the percentage specified for the Maximum Performance Goal.</w:t>
      </w:r>
    </w:p>
    <w:p>
      <w:pPr>
        <w:spacing w:after="0" w:line="221"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Notwithstanding the foregoing, (i) if absolute TSR is negative during the Performance Period, the total number of Earned Units for the achievement of the Relative TSR Performance Goal will not exceed Target and (ii) if Relative TSR is below Threshold, but absolute TSR is above 35%, the Relative TSR Performance Measure will be deemed to be satisfied at Threshold.</w:t>
      </w:r>
    </w:p>
    <w:p>
      <w:pPr>
        <w:spacing w:after="0" w:line="3"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The number of Performance Units earned during the Performance Period that will vest as of the Vesting Date will be calculated using the following formula:</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[Relative TSR Weighting x (Target Number of Performance Units + Dividend Units credited during the Performance Period and before the</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Scheduled Vesting Date)] x Relative TSR Award Multiplier</w:t>
      </w:r>
    </w:p>
    <w:p>
      <w:pPr>
        <w:jc w:val="center"/>
        <w:ind w:right="20"/>
        <w:spacing w:after="0"/>
        <w:rPr>
          <w:sz w:val="20"/>
          <w:szCs w:val="20"/>
          <w:color w:val="auto"/>
        </w:rPr>
      </w:pPr>
      <w:r>
        <w:rPr>
          <w:rFonts w:ascii="Arial" w:cs="Arial" w:eastAsia="Arial" w:hAnsi="Arial"/>
          <w:sz w:val="20"/>
          <w:szCs w:val="20"/>
          <w:color w:val="auto"/>
        </w:rPr>
        <w:t>+</w:t>
      </w:r>
    </w:p>
    <w:p>
      <w:pPr>
        <w:jc w:val="center"/>
        <w:ind w:right="20"/>
        <w:spacing w:after="0"/>
        <w:rPr>
          <w:sz w:val="20"/>
          <w:szCs w:val="20"/>
          <w:color w:val="auto"/>
        </w:rPr>
      </w:pPr>
      <w:r>
        <w:rPr>
          <w:rFonts w:ascii="Arial" w:cs="Arial" w:eastAsia="Arial" w:hAnsi="Arial"/>
          <w:sz w:val="18"/>
          <w:szCs w:val="18"/>
          <w:color w:val="auto"/>
        </w:rPr>
        <w:t>[Average EPS as Adjusted Weighting x (Target Number of Performance Units + Dividend Units credited during the Performance Period and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before the Scheduled Vesting Date)] x Average EPS as Adjusted Award Multiplier</w:t>
      </w:r>
    </w:p>
    <w:p>
      <w:pPr>
        <w:jc w:val="center"/>
        <w:ind w:right="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54"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60"/>
          </w:cols>
          <w:pgMar w:left="320" w:top="774" w:right="319" w:bottom="1440" w:gutter="0" w:footer="0" w:header="0"/>
        </w:sectPr>
      </w:pPr>
    </w:p>
    <w:bookmarkStart w:id="178" w:name="page179"/>
    <w:bookmarkEnd w:id="178"/>
    <w:p>
      <w:pPr>
        <w:jc w:val="center"/>
        <w:ind w:left="340" w:right="180"/>
        <w:spacing w:after="0" w:line="260" w:lineRule="auto"/>
        <w:rPr>
          <w:sz w:val="20"/>
          <w:szCs w:val="20"/>
          <w:color w:val="auto"/>
        </w:rPr>
      </w:pPr>
      <w:r>
        <w:rPr>
          <w:rFonts w:ascii="Arial" w:cs="Arial" w:eastAsia="Arial" w:hAnsi="Arial"/>
          <w:sz w:val="20"/>
          <w:szCs w:val="20"/>
          <w:color w:val="auto"/>
        </w:rPr>
        <w:t>[Average Cost to Serve Weighting x (Target Number of Performance Units + Dividend Units credited during the Performance Period and before the Scheduled Vesting Date)] x Average Cost to Serve Award Multiplier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where:</w:t>
      </w:r>
    </w:p>
    <w:p>
      <w:pPr>
        <w:spacing w:after="0" w:line="229" w:lineRule="exact"/>
        <w:rPr>
          <w:sz w:val="20"/>
          <w:szCs w:val="20"/>
          <w:color w:val="auto"/>
        </w:rPr>
      </w:pPr>
    </w:p>
    <w:p>
      <w:pPr>
        <w:ind w:left="820" w:hanging="326"/>
        <w:spacing w:after="0" w:line="260" w:lineRule="auto"/>
        <w:tabs>
          <w:tab w:leader="none" w:pos="795"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“Relative TSR Weighting,” “Average EPS as Adjusted Weighting,” “Average EPS as Adjusted Weighting” and the applicable “Award Multiplier” are derived from the table above,</w:t>
      </w:r>
    </w:p>
    <w:p>
      <w:pPr>
        <w:spacing w:after="0" w:line="190" w:lineRule="exact"/>
        <w:rPr>
          <w:rFonts w:ascii="Arial" w:cs="Arial" w:eastAsia="Arial" w:hAnsi="Arial"/>
          <w:sz w:val="20"/>
          <w:szCs w:val="20"/>
          <w:color w:val="auto"/>
        </w:rPr>
      </w:pPr>
    </w:p>
    <w:p>
      <w:pPr>
        <w:ind w:left="760" w:hanging="266"/>
        <w:spacing w:after="0"/>
        <w:tabs>
          <w:tab w:leader="none" w:pos="76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“Target Number of Performance Units” is the number set forth at the beginning of this Agreement; and</w:t>
      </w:r>
    </w:p>
    <w:p>
      <w:pPr>
        <w:spacing w:after="0" w:line="242" w:lineRule="exact"/>
        <w:rPr>
          <w:rFonts w:ascii="Arial" w:cs="Arial" w:eastAsia="Arial" w:hAnsi="Arial"/>
          <w:sz w:val="20"/>
          <w:szCs w:val="20"/>
          <w:color w:val="auto"/>
        </w:rPr>
      </w:pPr>
    </w:p>
    <w:p>
      <w:pPr>
        <w:ind w:left="760" w:hanging="266"/>
        <w:spacing w:after="0"/>
        <w:tabs>
          <w:tab w:leader="none" w:pos="76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Dividend Units is defined in Section 8 of the Agreement.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Relative TSR Calculation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this purpose, Total Shareholder Return (TSR) shall be determined as follows (rounded to nearest basis point):</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940" w:type="dxa"/>
            <w:vAlign w:val="bottom"/>
          </w:tcPr>
          <w:p>
            <w:pPr>
              <w:spacing w:after="0"/>
              <w:rPr>
                <w:sz w:val="20"/>
                <w:szCs w:val="20"/>
                <w:color w:val="auto"/>
              </w:rPr>
            </w:pPr>
            <w:r>
              <w:rPr>
                <w:rFonts w:ascii="Arial" w:cs="Arial" w:eastAsia="Arial" w:hAnsi="Arial"/>
                <w:sz w:val="21"/>
                <w:szCs w:val="21"/>
                <w:color w:val="auto"/>
              </w:rPr>
              <w:t>Total Shareholder</w:t>
            </w:r>
          </w:p>
        </w:tc>
        <w:tc>
          <w:tcPr>
            <w:tcW w:w="1120" w:type="dxa"/>
            <w:vAlign w:val="bottom"/>
          </w:tcPr>
          <w:p>
            <w:pPr>
              <w:jc w:val="right"/>
              <w:ind w:right="437"/>
              <w:spacing w:after="0"/>
              <w:rPr>
                <w:sz w:val="20"/>
                <w:szCs w:val="20"/>
                <w:color w:val="auto"/>
              </w:rPr>
            </w:pPr>
            <w:r>
              <w:rPr>
                <w:rFonts w:ascii="Arial" w:cs="Arial" w:eastAsia="Arial" w:hAnsi="Arial"/>
                <w:sz w:val="21"/>
                <w:szCs w:val="21"/>
                <w:color w:val="auto"/>
              </w:rPr>
              <w:t>=</w:t>
            </w:r>
          </w:p>
        </w:tc>
        <w:tc>
          <w:tcPr>
            <w:tcW w:w="3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Change in Stock Price + Dividends Paid</w:t>
            </w:r>
          </w:p>
        </w:tc>
      </w:tr>
      <w:tr>
        <w:trPr>
          <w:trHeight w:val="285"/>
        </w:trPr>
        <w:tc>
          <w:tcPr>
            <w:tcW w:w="1940" w:type="dxa"/>
            <w:vAlign w:val="bottom"/>
          </w:tcPr>
          <w:p>
            <w:pPr>
              <w:spacing w:after="0"/>
              <w:rPr>
                <w:sz w:val="20"/>
                <w:szCs w:val="20"/>
                <w:color w:val="auto"/>
              </w:rPr>
            </w:pPr>
            <w:r>
              <w:rPr>
                <w:rFonts w:ascii="Arial" w:cs="Arial" w:eastAsia="Arial" w:hAnsi="Arial"/>
                <w:sz w:val="21"/>
                <w:szCs w:val="21"/>
                <w:color w:val="auto"/>
              </w:rPr>
              <w:t>Return</w:t>
            </w:r>
          </w:p>
        </w:tc>
        <w:tc>
          <w:tcPr>
            <w:tcW w:w="1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20"/>
                <w:szCs w:val="20"/>
                <w:color w:val="auto"/>
              </w:rPr>
              <w:t>Beginning Stock Price</w:t>
            </w:r>
          </w:p>
        </w:tc>
      </w:tr>
    </w:tbl>
    <w:p>
      <w:pPr>
        <w:spacing w:after="0" w:line="353"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Beginning Stock Price shall mean the average closing price (rounded to nearest cent $xx.xx) on the applicable stock exchange of one share of Common Stock for the twenty (20) trading days immediately prior to the first day of the Performance Period; Ending Stock Price shall mean the average closing price (rounded to nearest cent $xx.xx) on the applicable stock exchange of one share of stock for the last twenty (20) trading days of the Performance Period; Change in Stock Price shall mean the difference between the Beginning Stock Price and the Ending Stock Price; and Dividends Paid shall mean the total of all dividends (unrounded) on one (1) share of stock with Dividend Payable Dates during the Performance Period. Following the TSR determination, the Company’s Percentile Rank shall be determined as follows:</w:t>
      </w:r>
    </w:p>
    <w:p>
      <w:pPr>
        <w:spacing w:after="0" w:line="206"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 xml:space="preserve">Percentile Rank shall be determined by listing from highest TSR to lowest TSR each company in the Peer Index (excluding the Company) as described on </w:t>
      </w:r>
      <w:r>
        <w:rPr>
          <w:rFonts w:ascii="Arial" w:cs="Arial" w:eastAsia="Arial" w:hAnsi="Arial"/>
          <w:sz w:val="18"/>
          <w:szCs w:val="18"/>
          <w:u w:val="single" w:color="auto"/>
          <w:color w:val="auto"/>
        </w:rPr>
        <w:t>Appendix B</w:t>
      </w:r>
      <w:r>
        <w:rPr>
          <w:rFonts w:ascii="Arial" w:cs="Arial" w:eastAsia="Arial" w:hAnsi="Arial"/>
          <w:sz w:val="18"/>
          <w:szCs w:val="18"/>
          <w:color w:val="auto"/>
        </w:rPr>
        <w:t>. The top company would have a one hundred percentile (100%) rank and the bottom company would have a zero percentile (0.0%) rank. Each company in between would be one hundred divided by n minus one (100/(n-1)) (rounded to nearest basis point - x.xx%) above the company below it, where “n” is the total number of companies in the Peer Index. The Company percentile rank would then be interpolated based on the Company TSR, resulting in the Company’s Relative TSR.</w:t>
      </w:r>
    </w:p>
    <w:p>
      <w:pPr>
        <w:spacing w:after="0" w:line="192" w:lineRule="exact"/>
        <w:rPr>
          <w:sz w:val="20"/>
          <w:szCs w:val="20"/>
          <w:color w:val="auto"/>
        </w:rPr>
      </w:pPr>
    </w:p>
    <w:p>
      <w:pPr>
        <w:ind w:right="280" w:firstLine="648"/>
        <w:spacing w:after="0" w:line="291" w:lineRule="auto"/>
        <w:rPr>
          <w:sz w:val="20"/>
          <w:szCs w:val="20"/>
          <w:color w:val="auto"/>
        </w:rPr>
      </w:pPr>
      <w:r>
        <w:rPr>
          <w:rFonts w:ascii="Arial" w:cs="Arial" w:eastAsia="Arial" w:hAnsi="Arial"/>
          <w:sz w:val="18"/>
          <w:szCs w:val="18"/>
          <w:color w:val="auto"/>
        </w:rPr>
        <w:t>If the Company’s or any Peer Index company’s stock splits (or if there are other similar subdivisions, consolidations or changes in such company’s stock or capitalization), such company’s TSR performance will be proportionately adjusted for the stock split or other change so as not to give an advantage or disadvantage to such company by comparison to the other Peer Index companies.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Average EPS as Adjusted Calculation</w:t>
      </w:r>
    </w:p>
    <w:p>
      <w:pPr>
        <w:spacing w:after="0" w:line="249" w:lineRule="exact"/>
        <w:rPr>
          <w:sz w:val="20"/>
          <w:szCs w:val="20"/>
          <w:color w:val="auto"/>
        </w:rPr>
      </w:pPr>
    </w:p>
    <w:p>
      <w:pPr>
        <w:ind w:right="260" w:firstLine="648"/>
        <w:spacing w:after="0" w:line="269" w:lineRule="auto"/>
        <w:rPr>
          <w:sz w:val="20"/>
          <w:szCs w:val="20"/>
          <w:color w:val="auto"/>
        </w:rPr>
      </w:pPr>
      <w:r>
        <w:rPr>
          <w:rFonts w:ascii="Arial" w:cs="Arial" w:eastAsia="Arial" w:hAnsi="Arial"/>
          <w:sz w:val="19"/>
          <w:szCs w:val="19"/>
          <w:color w:val="auto"/>
        </w:rPr>
        <w:t>Average EPS as Adjusted is defined as diluted earnings per share calculated in accordance with GAAP, adjusted for material, non-recurring events that are approved by the Company’s Audit Committee (such as impairment charges, one-time tax events, changes to accounting rules, etc.). No adjustment shall be made to normalize the impact of extreme weather.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20" w:top="771" w:right="35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b w:val="1"/>
          <w:bCs w:val="1"/>
          <w:u w:val="single" w:color="auto"/>
          <w:color w:val="auto"/>
        </w:rPr>
        <w:t>Average Cost to Serve Calculation</w:t>
      </w:r>
    </w:p>
    <w:p>
      <w:pPr>
        <w:spacing w:after="0" w:line="235"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Average Cost to Serve is defined as non-fuel operations and maintenance (O&amp;M) expense divided by gross margin calculated in accordance with GAAP, adjusted for material, non-recurring events that are approved by the Company’s Audit Committee (such as impairment charges, one-time tax events, changes to accounting rules, etc.). No adjustment shall be made to normalize the impact of extreme weather.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180"/>
          </w:cols>
          <w:pgMar w:left="320" w:top="765" w:right="39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b w:val="1"/>
          <w:bCs w:val="1"/>
          <w:color w:val="auto"/>
        </w:rPr>
        <w:t>Appendix B</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Companies Included in EEI Index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 September 30, 2020, Excluding Black Hills Corporation</w:t>
      </w:r>
    </w:p>
    <w:p>
      <w:pPr>
        <w:spacing w:after="0" w:line="200" w:lineRule="exact"/>
        <w:rPr>
          <w:sz w:val="20"/>
          <w:szCs w:val="20"/>
          <w:color w:val="auto"/>
        </w:rPr>
      </w:pPr>
    </w:p>
    <w:p>
      <w:pPr>
        <w:spacing w:after="0" w:line="270" w:lineRule="exact"/>
        <w:rPr>
          <w:sz w:val="20"/>
          <w:szCs w:val="20"/>
          <w:color w:val="auto"/>
        </w:rPr>
      </w:pPr>
    </w:p>
    <w:p>
      <w:pPr>
        <w:ind w:right="320"/>
        <w:spacing w:after="0" w:line="259" w:lineRule="auto"/>
        <w:rPr>
          <w:sz w:val="20"/>
          <w:szCs w:val="20"/>
          <w:color w:val="auto"/>
        </w:rPr>
      </w:pPr>
      <w:r>
        <w:rPr>
          <w:rFonts w:ascii="Arial" w:cs="Arial" w:eastAsia="Arial" w:hAnsi="Arial"/>
          <w:sz w:val="19"/>
          <w:szCs w:val="19"/>
          <w:color w:val="auto"/>
        </w:rPr>
        <w:t>The peer group for Relative TSR performance purposes consists of all companies comprising the EEI Index. Throughout the performance period, companies may be added or dropped from the index due to mergers or other activities. At the end of the performance period, new companies that are added to the index are included in the rankings as if they had been in the ranking from the beginning, provided there is sufficient trading history to include them in the final calculation. When a company is dropped from the index, everything related to the company is excluded as if it were never in the index. Companies included in the EEI Index at the beginning of the Performance Period excluding Black Hills Corporation, are listed below:</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ALLETE, Inc.</w:t>
            </w:r>
          </w:p>
        </w:tc>
        <w:tc>
          <w:tcPr>
            <w:tcW w:w="1500" w:type="dxa"/>
            <w:vAlign w:val="bottom"/>
          </w:tcPr>
          <w:p>
            <w:pPr>
              <w:ind w:left="700"/>
              <w:spacing w:after="0"/>
              <w:rPr>
                <w:sz w:val="20"/>
                <w:szCs w:val="20"/>
                <w:color w:val="auto"/>
              </w:rPr>
            </w:pPr>
            <w:r>
              <w:rPr>
                <w:rFonts w:ascii="Arial" w:cs="Arial" w:eastAsia="Arial" w:hAnsi="Arial"/>
                <w:sz w:val="20"/>
                <w:szCs w:val="20"/>
                <w:color w:val="auto"/>
              </w:rPr>
              <w:t>ALE</w:t>
            </w:r>
          </w:p>
        </w:tc>
        <w:tc>
          <w:tcPr>
            <w:tcW w:w="3780" w:type="dxa"/>
            <w:vAlign w:val="bottom"/>
          </w:tcPr>
          <w:p>
            <w:pPr>
              <w:ind w:left="240"/>
              <w:spacing w:after="0"/>
              <w:rPr>
                <w:sz w:val="20"/>
                <w:szCs w:val="20"/>
                <w:color w:val="auto"/>
              </w:rPr>
            </w:pPr>
            <w:r>
              <w:rPr>
                <w:rFonts w:ascii="Arial" w:cs="Arial" w:eastAsia="Arial" w:hAnsi="Arial"/>
                <w:sz w:val="20"/>
                <w:szCs w:val="20"/>
                <w:color w:val="auto"/>
              </w:rPr>
              <w:t>IdaCorp, Inc.</w:t>
            </w:r>
          </w:p>
        </w:tc>
        <w:tc>
          <w:tcPr>
            <w:tcW w:w="1160" w:type="dxa"/>
            <w:vAlign w:val="bottom"/>
          </w:tcPr>
          <w:p>
            <w:pPr>
              <w:ind w:left="600"/>
              <w:spacing w:after="0"/>
              <w:rPr>
                <w:sz w:val="20"/>
                <w:szCs w:val="20"/>
                <w:color w:val="auto"/>
              </w:rPr>
            </w:pPr>
            <w:r>
              <w:rPr>
                <w:rFonts w:ascii="Arial" w:cs="Arial" w:eastAsia="Arial" w:hAnsi="Arial"/>
                <w:sz w:val="20"/>
                <w:szCs w:val="20"/>
                <w:color w:val="auto"/>
              </w:rPr>
              <w:t>IDA</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Alliant Energy Corporation</w:t>
            </w:r>
          </w:p>
        </w:tc>
        <w:tc>
          <w:tcPr>
            <w:tcW w:w="1500" w:type="dxa"/>
            <w:vAlign w:val="bottom"/>
          </w:tcPr>
          <w:p>
            <w:pPr>
              <w:ind w:left="700"/>
              <w:spacing w:after="0"/>
              <w:rPr>
                <w:sz w:val="20"/>
                <w:szCs w:val="20"/>
                <w:color w:val="auto"/>
              </w:rPr>
            </w:pPr>
            <w:r>
              <w:rPr>
                <w:rFonts w:ascii="Arial" w:cs="Arial" w:eastAsia="Arial" w:hAnsi="Arial"/>
                <w:sz w:val="20"/>
                <w:szCs w:val="20"/>
                <w:color w:val="auto"/>
              </w:rPr>
              <w:t>LNT</w:t>
            </w:r>
          </w:p>
        </w:tc>
        <w:tc>
          <w:tcPr>
            <w:tcW w:w="3780" w:type="dxa"/>
            <w:vAlign w:val="bottom"/>
          </w:tcPr>
          <w:p>
            <w:pPr>
              <w:ind w:left="240"/>
              <w:spacing w:after="0"/>
              <w:rPr>
                <w:sz w:val="20"/>
                <w:szCs w:val="20"/>
                <w:color w:val="auto"/>
              </w:rPr>
            </w:pPr>
            <w:r>
              <w:rPr>
                <w:rFonts w:ascii="Arial" w:cs="Arial" w:eastAsia="Arial" w:hAnsi="Arial"/>
                <w:sz w:val="20"/>
                <w:szCs w:val="20"/>
                <w:color w:val="auto"/>
              </w:rPr>
              <w:t>MDU Resources Group, Inc.</w:t>
            </w:r>
          </w:p>
        </w:tc>
        <w:tc>
          <w:tcPr>
            <w:tcW w:w="1160" w:type="dxa"/>
            <w:vAlign w:val="bottom"/>
          </w:tcPr>
          <w:p>
            <w:pPr>
              <w:ind w:left="600"/>
              <w:spacing w:after="0"/>
              <w:rPr>
                <w:sz w:val="20"/>
                <w:szCs w:val="20"/>
                <w:color w:val="auto"/>
              </w:rPr>
            </w:pPr>
            <w:r>
              <w:rPr>
                <w:rFonts w:ascii="Arial" w:cs="Arial" w:eastAsia="Arial" w:hAnsi="Arial"/>
                <w:sz w:val="20"/>
                <w:szCs w:val="20"/>
                <w:color w:val="auto"/>
              </w:rPr>
              <w:t>MDU</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Ameren Corporation</w:t>
            </w:r>
          </w:p>
        </w:tc>
        <w:tc>
          <w:tcPr>
            <w:tcW w:w="1500" w:type="dxa"/>
            <w:vAlign w:val="bottom"/>
          </w:tcPr>
          <w:p>
            <w:pPr>
              <w:ind w:left="700"/>
              <w:spacing w:after="0"/>
              <w:rPr>
                <w:sz w:val="20"/>
                <w:szCs w:val="20"/>
                <w:color w:val="auto"/>
              </w:rPr>
            </w:pPr>
            <w:r>
              <w:rPr>
                <w:rFonts w:ascii="Arial" w:cs="Arial" w:eastAsia="Arial" w:hAnsi="Arial"/>
                <w:sz w:val="20"/>
                <w:szCs w:val="20"/>
                <w:color w:val="auto"/>
              </w:rPr>
              <w:t>AEE</w:t>
            </w:r>
          </w:p>
        </w:tc>
        <w:tc>
          <w:tcPr>
            <w:tcW w:w="3780" w:type="dxa"/>
            <w:vAlign w:val="bottom"/>
          </w:tcPr>
          <w:p>
            <w:pPr>
              <w:ind w:left="240"/>
              <w:spacing w:after="0"/>
              <w:rPr>
                <w:sz w:val="20"/>
                <w:szCs w:val="20"/>
                <w:color w:val="auto"/>
              </w:rPr>
            </w:pPr>
            <w:r>
              <w:rPr>
                <w:rFonts w:ascii="Arial" w:cs="Arial" w:eastAsia="Arial" w:hAnsi="Arial"/>
                <w:sz w:val="20"/>
                <w:szCs w:val="20"/>
                <w:color w:val="auto"/>
              </w:rPr>
              <w:t>MGE Energy, Inc.</w:t>
            </w:r>
          </w:p>
        </w:tc>
        <w:tc>
          <w:tcPr>
            <w:tcW w:w="1160" w:type="dxa"/>
            <w:vAlign w:val="bottom"/>
          </w:tcPr>
          <w:p>
            <w:pPr>
              <w:ind w:left="600"/>
              <w:spacing w:after="0"/>
              <w:rPr>
                <w:sz w:val="20"/>
                <w:szCs w:val="20"/>
                <w:color w:val="auto"/>
              </w:rPr>
            </w:pPr>
            <w:r>
              <w:rPr>
                <w:rFonts w:ascii="Arial" w:cs="Arial" w:eastAsia="Arial" w:hAnsi="Arial"/>
                <w:sz w:val="20"/>
                <w:szCs w:val="20"/>
                <w:color w:val="auto"/>
                <w:w w:val="91"/>
              </w:rPr>
              <w:t>MGEE</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American Electric Power Company, Inc.</w:t>
            </w:r>
          </w:p>
        </w:tc>
        <w:tc>
          <w:tcPr>
            <w:tcW w:w="1500" w:type="dxa"/>
            <w:vAlign w:val="bottom"/>
          </w:tcPr>
          <w:p>
            <w:pPr>
              <w:ind w:left="700"/>
              <w:spacing w:after="0"/>
              <w:rPr>
                <w:sz w:val="20"/>
                <w:szCs w:val="20"/>
                <w:color w:val="auto"/>
              </w:rPr>
            </w:pPr>
            <w:r>
              <w:rPr>
                <w:rFonts w:ascii="Arial" w:cs="Arial" w:eastAsia="Arial" w:hAnsi="Arial"/>
                <w:sz w:val="20"/>
                <w:szCs w:val="20"/>
                <w:color w:val="auto"/>
              </w:rPr>
              <w:t>AEP</w:t>
            </w:r>
          </w:p>
        </w:tc>
        <w:tc>
          <w:tcPr>
            <w:tcW w:w="3780" w:type="dxa"/>
            <w:vAlign w:val="bottom"/>
          </w:tcPr>
          <w:p>
            <w:pPr>
              <w:ind w:left="240"/>
              <w:spacing w:after="0"/>
              <w:rPr>
                <w:sz w:val="20"/>
                <w:szCs w:val="20"/>
                <w:color w:val="auto"/>
              </w:rPr>
            </w:pPr>
            <w:r>
              <w:rPr>
                <w:rFonts w:ascii="Arial" w:cs="Arial" w:eastAsia="Arial" w:hAnsi="Arial"/>
                <w:sz w:val="20"/>
                <w:szCs w:val="20"/>
                <w:color w:val="auto"/>
              </w:rPr>
              <w:t>NextEra Energy, Inc.</w:t>
            </w:r>
          </w:p>
        </w:tc>
        <w:tc>
          <w:tcPr>
            <w:tcW w:w="1160" w:type="dxa"/>
            <w:vAlign w:val="bottom"/>
          </w:tcPr>
          <w:p>
            <w:pPr>
              <w:ind w:left="600"/>
              <w:spacing w:after="0"/>
              <w:rPr>
                <w:sz w:val="20"/>
                <w:szCs w:val="20"/>
                <w:color w:val="auto"/>
              </w:rPr>
            </w:pPr>
            <w:r>
              <w:rPr>
                <w:rFonts w:ascii="Arial" w:cs="Arial" w:eastAsia="Arial" w:hAnsi="Arial"/>
                <w:sz w:val="20"/>
                <w:szCs w:val="20"/>
                <w:color w:val="auto"/>
              </w:rPr>
              <w:t>NEE</w:t>
            </w:r>
          </w:p>
        </w:tc>
      </w:tr>
      <w:tr>
        <w:trPr>
          <w:trHeight w:val="284"/>
        </w:trPr>
        <w:tc>
          <w:tcPr>
            <w:tcW w:w="3920" w:type="dxa"/>
            <w:vAlign w:val="bottom"/>
          </w:tcPr>
          <w:p>
            <w:pPr>
              <w:spacing w:after="0"/>
              <w:rPr>
                <w:sz w:val="20"/>
                <w:szCs w:val="20"/>
                <w:color w:val="auto"/>
              </w:rPr>
            </w:pPr>
            <w:r>
              <w:rPr>
                <w:rFonts w:ascii="Arial" w:cs="Arial" w:eastAsia="Arial" w:hAnsi="Arial"/>
                <w:sz w:val="20"/>
                <w:szCs w:val="20"/>
                <w:color w:val="auto"/>
              </w:rPr>
              <w:t>Avangrid, Inc.</w:t>
            </w:r>
          </w:p>
        </w:tc>
        <w:tc>
          <w:tcPr>
            <w:tcW w:w="1500" w:type="dxa"/>
            <w:vAlign w:val="bottom"/>
          </w:tcPr>
          <w:p>
            <w:pPr>
              <w:ind w:left="700"/>
              <w:spacing w:after="0"/>
              <w:rPr>
                <w:sz w:val="20"/>
                <w:szCs w:val="20"/>
                <w:color w:val="auto"/>
              </w:rPr>
            </w:pPr>
            <w:r>
              <w:rPr>
                <w:rFonts w:ascii="Arial" w:cs="Arial" w:eastAsia="Arial" w:hAnsi="Arial"/>
                <w:sz w:val="20"/>
                <w:szCs w:val="20"/>
                <w:color w:val="auto"/>
              </w:rPr>
              <w:t>AGR</w:t>
            </w:r>
          </w:p>
        </w:tc>
        <w:tc>
          <w:tcPr>
            <w:tcW w:w="3780" w:type="dxa"/>
            <w:vAlign w:val="bottom"/>
          </w:tcPr>
          <w:p>
            <w:pPr>
              <w:ind w:left="240"/>
              <w:spacing w:after="0"/>
              <w:rPr>
                <w:sz w:val="20"/>
                <w:szCs w:val="20"/>
                <w:color w:val="auto"/>
              </w:rPr>
            </w:pPr>
            <w:r>
              <w:rPr>
                <w:rFonts w:ascii="Arial" w:cs="Arial" w:eastAsia="Arial" w:hAnsi="Arial"/>
                <w:sz w:val="20"/>
                <w:szCs w:val="20"/>
                <w:color w:val="auto"/>
              </w:rPr>
              <w:t>NiSource Inc.</w:t>
            </w:r>
          </w:p>
        </w:tc>
        <w:tc>
          <w:tcPr>
            <w:tcW w:w="1160" w:type="dxa"/>
            <w:vAlign w:val="bottom"/>
          </w:tcPr>
          <w:p>
            <w:pPr>
              <w:ind w:left="600"/>
              <w:spacing w:after="0"/>
              <w:rPr>
                <w:sz w:val="20"/>
                <w:szCs w:val="20"/>
                <w:color w:val="auto"/>
              </w:rPr>
            </w:pPr>
            <w:r>
              <w:rPr>
                <w:rFonts w:ascii="Arial" w:cs="Arial" w:eastAsia="Arial" w:hAnsi="Arial"/>
                <w:sz w:val="20"/>
                <w:szCs w:val="20"/>
                <w:color w:val="auto"/>
              </w:rPr>
              <w:t>NI</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Avista Corporation</w:t>
            </w:r>
          </w:p>
        </w:tc>
        <w:tc>
          <w:tcPr>
            <w:tcW w:w="1500" w:type="dxa"/>
            <w:vAlign w:val="bottom"/>
          </w:tcPr>
          <w:p>
            <w:pPr>
              <w:ind w:left="700"/>
              <w:spacing w:after="0"/>
              <w:rPr>
                <w:sz w:val="20"/>
                <w:szCs w:val="20"/>
                <w:color w:val="auto"/>
              </w:rPr>
            </w:pPr>
            <w:r>
              <w:rPr>
                <w:rFonts w:ascii="Arial" w:cs="Arial" w:eastAsia="Arial" w:hAnsi="Arial"/>
                <w:sz w:val="20"/>
                <w:szCs w:val="20"/>
                <w:color w:val="auto"/>
              </w:rPr>
              <w:t>AVA</w:t>
            </w:r>
          </w:p>
        </w:tc>
        <w:tc>
          <w:tcPr>
            <w:tcW w:w="3780" w:type="dxa"/>
            <w:vAlign w:val="bottom"/>
          </w:tcPr>
          <w:p>
            <w:pPr>
              <w:ind w:left="240"/>
              <w:spacing w:after="0"/>
              <w:rPr>
                <w:sz w:val="20"/>
                <w:szCs w:val="20"/>
                <w:color w:val="auto"/>
              </w:rPr>
            </w:pPr>
            <w:r>
              <w:rPr>
                <w:rFonts w:ascii="Arial" w:cs="Arial" w:eastAsia="Arial" w:hAnsi="Arial"/>
                <w:sz w:val="20"/>
                <w:szCs w:val="20"/>
                <w:color w:val="auto"/>
              </w:rPr>
              <w:t>NorthWestern Corporation</w:t>
            </w:r>
          </w:p>
        </w:tc>
        <w:tc>
          <w:tcPr>
            <w:tcW w:w="1160" w:type="dxa"/>
            <w:vAlign w:val="bottom"/>
          </w:tcPr>
          <w:p>
            <w:pPr>
              <w:ind w:left="600"/>
              <w:spacing w:after="0"/>
              <w:rPr>
                <w:sz w:val="20"/>
                <w:szCs w:val="20"/>
                <w:color w:val="auto"/>
              </w:rPr>
            </w:pPr>
            <w:r>
              <w:rPr>
                <w:rFonts w:ascii="Arial" w:cs="Arial" w:eastAsia="Arial" w:hAnsi="Arial"/>
                <w:sz w:val="20"/>
                <w:szCs w:val="20"/>
                <w:color w:val="auto"/>
              </w:rPr>
              <w:t>NWE</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CenterPoint Energy, Inc.</w:t>
            </w:r>
          </w:p>
        </w:tc>
        <w:tc>
          <w:tcPr>
            <w:tcW w:w="1500" w:type="dxa"/>
            <w:vAlign w:val="bottom"/>
          </w:tcPr>
          <w:p>
            <w:pPr>
              <w:ind w:left="700"/>
              <w:spacing w:after="0"/>
              <w:rPr>
                <w:sz w:val="20"/>
                <w:szCs w:val="20"/>
                <w:color w:val="auto"/>
              </w:rPr>
            </w:pPr>
            <w:r>
              <w:rPr>
                <w:rFonts w:ascii="Arial" w:cs="Arial" w:eastAsia="Arial" w:hAnsi="Arial"/>
                <w:sz w:val="20"/>
                <w:szCs w:val="20"/>
                <w:color w:val="auto"/>
              </w:rPr>
              <w:t>CNP</w:t>
            </w:r>
          </w:p>
        </w:tc>
        <w:tc>
          <w:tcPr>
            <w:tcW w:w="3780" w:type="dxa"/>
            <w:vAlign w:val="bottom"/>
          </w:tcPr>
          <w:p>
            <w:pPr>
              <w:ind w:left="240"/>
              <w:spacing w:after="0"/>
              <w:rPr>
                <w:sz w:val="20"/>
                <w:szCs w:val="20"/>
                <w:color w:val="auto"/>
              </w:rPr>
            </w:pPr>
            <w:r>
              <w:rPr>
                <w:rFonts w:ascii="Arial" w:cs="Arial" w:eastAsia="Arial" w:hAnsi="Arial"/>
                <w:sz w:val="20"/>
                <w:szCs w:val="20"/>
                <w:color w:val="auto"/>
              </w:rPr>
              <w:t>OGE Energy Corp.</w:t>
            </w:r>
          </w:p>
        </w:tc>
        <w:tc>
          <w:tcPr>
            <w:tcW w:w="1160" w:type="dxa"/>
            <w:vAlign w:val="bottom"/>
          </w:tcPr>
          <w:p>
            <w:pPr>
              <w:ind w:left="600"/>
              <w:spacing w:after="0"/>
              <w:rPr>
                <w:sz w:val="20"/>
                <w:szCs w:val="20"/>
                <w:color w:val="auto"/>
              </w:rPr>
            </w:pPr>
            <w:r>
              <w:rPr>
                <w:rFonts w:ascii="Arial" w:cs="Arial" w:eastAsia="Arial" w:hAnsi="Arial"/>
                <w:sz w:val="20"/>
                <w:szCs w:val="20"/>
                <w:color w:val="auto"/>
              </w:rPr>
              <w:t>OGE</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CMS Energy Corporation</w:t>
            </w:r>
          </w:p>
        </w:tc>
        <w:tc>
          <w:tcPr>
            <w:tcW w:w="1500" w:type="dxa"/>
            <w:vAlign w:val="bottom"/>
          </w:tcPr>
          <w:p>
            <w:pPr>
              <w:ind w:left="700"/>
              <w:spacing w:after="0"/>
              <w:rPr>
                <w:sz w:val="20"/>
                <w:szCs w:val="20"/>
                <w:color w:val="auto"/>
              </w:rPr>
            </w:pPr>
            <w:r>
              <w:rPr>
                <w:rFonts w:ascii="Arial" w:cs="Arial" w:eastAsia="Arial" w:hAnsi="Arial"/>
                <w:sz w:val="20"/>
                <w:szCs w:val="20"/>
                <w:color w:val="auto"/>
              </w:rPr>
              <w:t>CMS</w:t>
            </w:r>
          </w:p>
        </w:tc>
        <w:tc>
          <w:tcPr>
            <w:tcW w:w="3780" w:type="dxa"/>
            <w:vAlign w:val="bottom"/>
          </w:tcPr>
          <w:p>
            <w:pPr>
              <w:ind w:left="240"/>
              <w:spacing w:after="0"/>
              <w:rPr>
                <w:sz w:val="20"/>
                <w:szCs w:val="20"/>
                <w:color w:val="auto"/>
              </w:rPr>
            </w:pPr>
            <w:r>
              <w:rPr>
                <w:rFonts w:ascii="Arial" w:cs="Arial" w:eastAsia="Arial" w:hAnsi="Arial"/>
                <w:sz w:val="20"/>
                <w:szCs w:val="20"/>
                <w:color w:val="auto"/>
              </w:rPr>
              <w:t>Otter Tail Corporation</w:t>
            </w:r>
          </w:p>
        </w:tc>
        <w:tc>
          <w:tcPr>
            <w:tcW w:w="1160" w:type="dxa"/>
            <w:vAlign w:val="bottom"/>
          </w:tcPr>
          <w:p>
            <w:pPr>
              <w:ind w:left="600"/>
              <w:spacing w:after="0"/>
              <w:rPr>
                <w:sz w:val="20"/>
                <w:szCs w:val="20"/>
                <w:color w:val="auto"/>
              </w:rPr>
            </w:pPr>
            <w:r>
              <w:rPr>
                <w:rFonts w:ascii="Arial" w:cs="Arial" w:eastAsia="Arial" w:hAnsi="Arial"/>
                <w:sz w:val="20"/>
                <w:szCs w:val="20"/>
                <w:color w:val="auto"/>
                <w:w w:val="99"/>
              </w:rPr>
              <w:t>OTTR</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Consolidated Edison, Inc.</w:t>
            </w:r>
          </w:p>
        </w:tc>
        <w:tc>
          <w:tcPr>
            <w:tcW w:w="1500" w:type="dxa"/>
            <w:vAlign w:val="bottom"/>
          </w:tcPr>
          <w:p>
            <w:pPr>
              <w:ind w:left="700"/>
              <w:spacing w:after="0"/>
              <w:rPr>
                <w:sz w:val="20"/>
                <w:szCs w:val="20"/>
                <w:color w:val="auto"/>
              </w:rPr>
            </w:pPr>
            <w:r>
              <w:rPr>
                <w:rFonts w:ascii="Arial" w:cs="Arial" w:eastAsia="Arial" w:hAnsi="Arial"/>
                <w:sz w:val="20"/>
                <w:szCs w:val="20"/>
                <w:color w:val="auto"/>
              </w:rPr>
              <w:t>ED</w:t>
            </w:r>
          </w:p>
        </w:tc>
        <w:tc>
          <w:tcPr>
            <w:tcW w:w="3780" w:type="dxa"/>
            <w:vAlign w:val="bottom"/>
          </w:tcPr>
          <w:p>
            <w:pPr>
              <w:ind w:left="240"/>
              <w:spacing w:after="0"/>
              <w:rPr>
                <w:sz w:val="20"/>
                <w:szCs w:val="20"/>
                <w:color w:val="auto"/>
              </w:rPr>
            </w:pPr>
            <w:r>
              <w:rPr>
                <w:rFonts w:ascii="Arial" w:cs="Arial" w:eastAsia="Arial" w:hAnsi="Arial"/>
                <w:sz w:val="20"/>
                <w:szCs w:val="20"/>
                <w:color w:val="auto"/>
              </w:rPr>
              <w:t>PG&amp;E Corporation</w:t>
            </w:r>
          </w:p>
        </w:tc>
        <w:tc>
          <w:tcPr>
            <w:tcW w:w="1160" w:type="dxa"/>
            <w:vAlign w:val="bottom"/>
          </w:tcPr>
          <w:p>
            <w:pPr>
              <w:ind w:left="600"/>
              <w:spacing w:after="0"/>
              <w:rPr>
                <w:sz w:val="20"/>
                <w:szCs w:val="20"/>
                <w:color w:val="auto"/>
              </w:rPr>
            </w:pPr>
            <w:r>
              <w:rPr>
                <w:rFonts w:ascii="Arial" w:cs="Arial" w:eastAsia="Arial" w:hAnsi="Arial"/>
                <w:sz w:val="20"/>
                <w:szCs w:val="20"/>
                <w:color w:val="auto"/>
              </w:rPr>
              <w:t>PCG</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Dominion Energy, Inc.</w:t>
            </w:r>
          </w:p>
        </w:tc>
        <w:tc>
          <w:tcPr>
            <w:tcW w:w="1500" w:type="dxa"/>
            <w:vAlign w:val="bottom"/>
          </w:tcPr>
          <w:p>
            <w:pPr>
              <w:ind w:left="700"/>
              <w:spacing w:after="0"/>
              <w:rPr>
                <w:sz w:val="20"/>
                <w:szCs w:val="20"/>
                <w:color w:val="auto"/>
              </w:rPr>
            </w:pPr>
            <w:r>
              <w:rPr>
                <w:rFonts w:ascii="Arial" w:cs="Arial" w:eastAsia="Arial" w:hAnsi="Arial"/>
                <w:sz w:val="20"/>
                <w:szCs w:val="20"/>
                <w:color w:val="auto"/>
              </w:rPr>
              <w:t>D</w:t>
            </w:r>
          </w:p>
        </w:tc>
        <w:tc>
          <w:tcPr>
            <w:tcW w:w="3780" w:type="dxa"/>
            <w:vAlign w:val="bottom"/>
          </w:tcPr>
          <w:p>
            <w:pPr>
              <w:ind w:left="240"/>
              <w:spacing w:after="0"/>
              <w:rPr>
                <w:sz w:val="20"/>
                <w:szCs w:val="20"/>
                <w:color w:val="auto"/>
              </w:rPr>
            </w:pPr>
            <w:r>
              <w:rPr>
                <w:rFonts w:ascii="Arial" w:cs="Arial" w:eastAsia="Arial" w:hAnsi="Arial"/>
                <w:sz w:val="20"/>
                <w:szCs w:val="20"/>
                <w:color w:val="auto"/>
              </w:rPr>
              <w:t>Pinnacle West Capital Corporation</w:t>
            </w:r>
          </w:p>
        </w:tc>
        <w:tc>
          <w:tcPr>
            <w:tcW w:w="1160" w:type="dxa"/>
            <w:vAlign w:val="bottom"/>
          </w:tcPr>
          <w:p>
            <w:pPr>
              <w:ind w:left="600"/>
              <w:spacing w:after="0"/>
              <w:rPr>
                <w:sz w:val="20"/>
                <w:szCs w:val="20"/>
                <w:color w:val="auto"/>
              </w:rPr>
            </w:pPr>
            <w:r>
              <w:rPr>
                <w:rFonts w:ascii="Arial" w:cs="Arial" w:eastAsia="Arial" w:hAnsi="Arial"/>
                <w:sz w:val="20"/>
                <w:szCs w:val="20"/>
                <w:color w:val="auto"/>
              </w:rPr>
              <w:t>PNW</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DTE Energy Company</w:t>
            </w:r>
          </w:p>
        </w:tc>
        <w:tc>
          <w:tcPr>
            <w:tcW w:w="1500" w:type="dxa"/>
            <w:vAlign w:val="bottom"/>
          </w:tcPr>
          <w:p>
            <w:pPr>
              <w:ind w:left="700"/>
              <w:spacing w:after="0"/>
              <w:rPr>
                <w:sz w:val="20"/>
                <w:szCs w:val="20"/>
                <w:color w:val="auto"/>
              </w:rPr>
            </w:pPr>
            <w:r>
              <w:rPr>
                <w:rFonts w:ascii="Arial" w:cs="Arial" w:eastAsia="Arial" w:hAnsi="Arial"/>
                <w:sz w:val="20"/>
                <w:szCs w:val="20"/>
                <w:color w:val="auto"/>
              </w:rPr>
              <w:t>DTE</w:t>
            </w:r>
          </w:p>
        </w:tc>
        <w:tc>
          <w:tcPr>
            <w:tcW w:w="3780" w:type="dxa"/>
            <w:vAlign w:val="bottom"/>
          </w:tcPr>
          <w:p>
            <w:pPr>
              <w:ind w:left="240"/>
              <w:spacing w:after="0"/>
              <w:rPr>
                <w:sz w:val="20"/>
                <w:szCs w:val="20"/>
                <w:color w:val="auto"/>
              </w:rPr>
            </w:pPr>
            <w:r>
              <w:rPr>
                <w:rFonts w:ascii="Arial" w:cs="Arial" w:eastAsia="Arial" w:hAnsi="Arial"/>
                <w:sz w:val="20"/>
                <w:szCs w:val="20"/>
                <w:color w:val="auto"/>
              </w:rPr>
              <w:t>PNM Resources, Inc.</w:t>
            </w:r>
          </w:p>
        </w:tc>
        <w:tc>
          <w:tcPr>
            <w:tcW w:w="1160" w:type="dxa"/>
            <w:vAlign w:val="bottom"/>
          </w:tcPr>
          <w:p>
            <w:pPr>
              <w:ind w:left="600"/>
              <w:spacing w:after="0"/>
              <w:rPr>
                <w:sz w:val="20"/>
                <w:szCs w:val="20"/>
                <w:color w:val="auto"/>
              </w:rPr>
            </w:pPr>
            <w:r>
              <w:rPr>
                <w:rFonts w:ascii="Arial" w:cs="Arial" w:eastAsia="Arial" w:hAnsi="Arial"/>
                <w:sz w:val="20"/>
                <w:szCs w:val="20"/>
                <w:color w:val="auto"/>
              </w:rPr>
              <w:t>PNM</w:t>
            </w:r>
          </w:p>
        </w:tc>
      </w:tr>
      <w:tr>
        <w:trPr>
          <w:trHeight w:val="284"/>
        </w:trPr>
        <w:tc>
          <w:tcPr>
            <w:tcW w:w="3920" w:type="dxa"/>
            <w:vAlign w:val="bottom"/>
          </w:tcPr>
          <w:p>
            <w:pPr>
              <w:spacing w:after="0"/>
              <w:rPr>
                <w:sz w:val="20"/>
                <w:szCs w:val="20"/>
                <w:color w:val="auto"/>
              </w:rPr>
            </w:pPr>
            <w:r>
              <w:rPr>
                <w:rFonts w:ascii="Arial" w:cs="Arial" w:eastAsia="Arial" w:hAnsi="Arial"/>
                <w:sz w:val="20"/>
                <w:szCs w:val="20"/>
                <w:color w:val="auto"/>
              </w:rPr>
              <w:t>Duke Energy Corporation</w:t>
            </w:r>
          </w:p>
        </w:tc>
        <w:tc>
          <w:tcPr>
            <w:tcW w:w="1500" w:type="dxa"/>
            <w:vAlign w:val="bottom"/>
          </w:tcPr>
          <w:p>
            <w:pPr>
              <w:ind w:left="700"/>
              <w:spacing w:after="0"/>
              <w:rPr>
                <w:sz w:val="20"/>
                <w:szCs w:val="20"/>
                <w:color w:val="auto"/>
              </w:rPr>
            </w:pPr>
            <w:r>
              <w:rPr>
                <w:rFonts w:ascii="Arial" w:cs="Arial" w:eastAsia="Arial" w:hAnsi="Arial"/>
                <w:sz w:val="20"/>
                <w:szCs w:val="20"/>
                <w:color w:val="auto"/>
              </w:rPr>
              <w:t>DUK</w:t>
            </w:r>
          </w:p>
        </w:tc>
        <w:tc>
          <w:tcPr>
            <w:tcW w:w="3780" w:type="dxa"/>
            <w:vAlign w:val="bottom"/>
          </w:tcPr>
          <w:p>
            <w:pPr>
              <w:ind w:left="240"/>
              <w:spacing w:after="0"/>
              <w:rPr>
                <w:sz w:val="20"/>
                <w:szCs w:val="20"/>
                <w:color w:val="auto"/>
              </w:rPr>
            </w:pPr>
            <w:r>
              <w:rPr>
                <w:rFonts w:ascii="Arial" w:cs="Arial" w:eastAsia="Arial" w:hAnsi="Arial"/>
                <w:sz w:val="20"/>
                <w:szCs w:val="20"/>
                <w:color w:val="auto"/>
              </w:rPr>
              <w:t>Portland General Electric Company</w:t>
            </w:r>
          </w:p>
        </w:tc>
        <w:tc>
          <w:tcPr>
            <w:tcW w:w="1160" w:type="dxa"/>
            <w:vAlign w:val="bottom"/>
          </w:tcPr>
          <w:p>
            <w:pPr>
              <w:ind w:left="600"/>
              <w:spacing w:after="0"/>
              <w:rPr>
                <w:sz w:val="20"/>
                <w:szCs w:val="20"/>
                <w:color w:val="auto"/>
              </w:rPr>
            </w:pPr>
            <w:r>
              <w:rPr>
                <w:rFonts w:ascii="Arial" w:cs="Arial" w:eastAsia="Arial" w:hAnsi="Arial"/>
                <w:sz w:val="20"/>
                <w:szCs w:val="20"/>
                <w:color w:val="auto"/>
              </w:rPr>
              <w:t>POR</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Edison International</w:t>
            </w:r>
          </w:p>
        </w:tc>
        <w:tc>
          <w:tcPr>
            <w:tcW w:w="1500" w:type="dxa"/>
            <w:vAlign w:val="bottom"/>
          </w:tcPr>
          <w:p>
            <w:pPr>
              <w:ind w:left="700"/>
              <w:spacing w:after="0"/>
              <w:rPr>
                <w:sz w:val="20"/>
                <w:szCs w:val="20"/>
                <w:color w:val="auto"/>
              </w:rPr>
            </w:pPr>
            <w:r>
              <w:rPr>
                <w:rFonts w:ascii="Arial" w:cs="Arial" w:eastAsia="Arial" w:hAnsi="Arial"/>
                <w:sz w:val="20"/>
                <w:szCs w:val="20"/>
                <w:color w:val="auto"/>
              </w:rPr>
              <w:t>EIX</w:t>
            </w:r>
          </w:p>
        </w:tc>
        <w:tc>
          <w:tcPr>
            <w:tcW w:w="3780" w:type="dxa"/>
            <w:vAlign w:val="bottom"/>
          </w:tcPr>
          <w:p>
            <w:pPr>
              <w:ind w:left="240"/>
              <w:spacing w:after="0"/>
              <w:rPr>
                <w:sz w:val="20"/>
                <w:szCs w:val="20"/>
                <w:color w:val="auto"/>
              </w:rPr>
            </w:pPr>
            <w:r>
              <w:rPr>
                <w:rFonts w:ascii="Arial" w:cs="Arial" w:eastAsia="Arial" w:hAnsi="Arial"/>
                <w:sz w:val="20"/>
                <w:szCs w:val="20"/>
                <w:color w:val="auto"/>
              </w:rPr>
              <w:t>PPL Corporation</w:t>
            </w:r>
          </w:p>
        </w:tc>
        <w:tc>
          <w:tcPr>
            <w:tcW w:w="1160" w:type="dxa"/>
            <w:vAlign w:val="bottom"/>
          </w:tcPr>
          <w:p>
            <w:pPr>
              <w:ind w:left="600"/>
              <w:spacing w:after="0"/>
              <w:rPr>
                <w:sz w:val="20"/>
                <w:szCs w:val="20"/>
                <w:color w:val="auto"/>
              </w:rPr>
            </w:pPr>
            <w:r>
              <w:rPr>
                <w:rFonts w:ascii="Arial" w:cs="Arial" w:eastAsia="Arial" w:hAnsi="Arial"/>
                <w:sz w:val="20"/>
                <w:szCs w:val="20"/>
                <w:color w:val="auto"/>
              </w:rPr>
              <w:t>PPL</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El Paso Electric Company</w:t>
            </w:r>
          </w:p>
        </w:tc>
        <w:tc>
          <w:tcPr>
            <w:tcW w:w="1500" w:type="dxa"/>
            <w:vAlign w:val="bottom"/>
          </w:tcPr>
          <w:p>
            <w:pPr>
              <w:ind w:left="700"/>
              <w:spacing w:after="0"/>
              <w:rPr>
                <w:sz w:val="20"/>
                <w:szCs w:val="20"/>
                <w:color w:val="auto"/>
              </w:rPr>
            </w:pPr>
            <w:r>
              <w:rPr>
                <w:rFonts w:ascii="Arial" w:cs="Arial" w:eastAsia="Arial" w:hAnsi="Arial"/>
                <w:sz w:val="20"/>
                <w:szCs w:val="20"/>
                <w:color w:val="auto"/>
              </w:rPr>
              <w:t>EE</w:t>
            </w:r>
          </w:p>
        </w:tc>
        <w:tc>
          <w:tcPr>
            <w:tcW w:w="3780" w:type="dxa"/>
            <w:vAlign w:val="bottom"/>
          </w:tcPr>
          <w:p>
            <w:pPr>
              <w:ind w:left="240"/>
              <w:spacing w:after="0"/>
              <w:rPr>
                <w:sz w:val="20"/>
                <w:szCs w:val="20"/>
                <w:color w:val="auto"/>
              </w:rPr>
            </w:pPr>
            <w:r>
              <w:rPr>
                <w:rFonts w:ascii="Arial" w:cs="Arial" w:eastAsia="Arial" w:hAnsi="Arial"/>
                <w:sz w:val="20"/>
                <w:szCs w:val="20"/>
                <w:color w:val="auto"/>
              </w:rPr>
              <w:t>Public Service Enterprise Group Inc.</w:t>
            </w:r>
          </w:p>
        </w:tc>
        <w:tc>
          <w:tcPr>
            <w:tcW w:w="1160" w:type="dxa"/>
            <w:vAlign w:val="bottom"/>
          </w:tcPr>
          <w:p>
            <w:pPr>
              <w:ind w:left="600"/>
              <w:spacing w:after="0"/>
              <w:rPr>
                <w:sz w:val="20"/>
                <w:szCs w:val="20"/>
                <w:color w:val="auto"/>
              </w:rPr>
            </w:pPr>
            <w:r>
              <w:rPr>
                <w:rFonts w:ascii="Arial" w:cs="Arial" w:eastAsia="Arial" w:hAnsi="Arial"/>
                <w:sz w:val="20"/>
                <w:szCs w:val="20"/>
                <w:color w:val="auto"/>
              </w:rPr>
              <w:t>PEG</w:t>
            </w:r>
          </w:p>
        </w:tc>
      </w:tr>
      <w:tr>
        <w:trPr>
          <w:trHeight w:val="284"/>
        </w:trPr>
        <w:tc>
          <w:tcPr>
            <w:tcW w:w="3920" w:type="dxa"/>
            <w:vAlign w:val="bottom"/>
          </w:tcPr>
          <w:p>
            <w:pPr>
              <w:spacing w:after="0"/>
              <w:rPr>
                <w:sz w:val="20"/>
                <w:szCs w:val="20"/>
                <w:color w:val="auto"/>
              </w:rPr>
            </w:pPr>
            <w:r>
              <w:rPr>
                <w:rFonts w:ascii="Arial" w:cs="Arial" w:eastAsia="Arial" w:hAnsi="Arial"/>
                <w:sz w:val="20"/>
                <w:szCs w:val="20"/>
                <w:color w:val="auto"/>
              </w:rPr>
              <w:t>Entergy Corporation</w:t>
            </w:r>
          </w:p>
        </w:tc>
        <w:tc>
          <w:tcPr>
            <w:tcW w:w="1500" w:type="dxa"/>
            <w:vAlign w:val="bottom"/>
          </w:tcPr>
          <w:p>
            <w:pPr>
              <w:ind w:left="700"/>
              <w:spacing w:after="0"/>
              <w:rPr>
                <w:sz w:val="20"/>
                <w:szCs w:val="20"/>
                <w:color w:val="auto"/>
              </w:rPr>
            </w:pPr>
            <w:r>
              <w:rPr>
                <w:rFonts w:ascii="Arial" w:cs="Arial" w:eastAsia="Arial" w:hAnsi="Arial"/>
                <w:sz w:val="20"/>
                <w:szCs w:val="20"/>
                <w:color w:val="auto"/>
              </w:rPr>
              <w:t>ETR</w:t>
            </w:r>
          </w:p>
        </w:tc>
        <w:tc>
          <w:tcPr>
            <w:tcW w:w="3780" w:type="dxa"/>
            <w:vAlign w:val="bottom"/>
          </w:tcPr>
          <w:p>
            <w:pPr>
              <w:ind w:left="240"/>
              <w:spacing w:after="0"/>
              <w:rPr>
                <w:sz w:val="20"/>
                <w:szCs w:val="20"/>
                <w:color w:val="auto"/>
              </w:rPr>
            </w:pPr>
            <w:r>
              <w:rPr>
                <w:rFonts w:ascii="Arial" w:cs="Arial" w:eastAsia="Arial" w:hAnsi="Arial"/>
                <w:sz w:val="20"/>
                <w:szCs w:val="20"/>
                <w:color w:val="auto"/>
              </w:rPr>
              <w:t>Sempra Energy</w:t>
            </w:r>
          </w:p>
        </w:tc>
        <w:tc>
          <w:tcPr>
            <w:tcW w:w="1160" w:type="dxa"/>
            <w:vAlign w:val="bottom"/>
          </w:tcPr>
          <w:p>
            <w:pPr>
              <w:ind w:left="600"/>
              <w:spacing w:after="0"/>
              <w:rPr>
                <w:sz w:val="20"/>
                <w:szCs w:val="20"/>
                <w:color w:val="auto"/>
              </w:rPr>
            </w:pPr>
            <w:r>
              <w:rPr>
                <w:rFonts w:ascii="Arial" w:cs="Arial" w:eastAsia="Arial" w:hAnsi="Arial"/>
                <w:sz w:val="20"/>
                <w:szCs w:val="20"/>
                <w:color w:val="auto"/>
              </w:rPr>
              <w:t>SRE</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Evergy, Inc.</w:t>
            </w:r>
          </w:p>
        </w:tc>
        <w:tc>
          <w:tcPr>
            <w:tcW w:w="1500" w:type="dxa"/>
            <w:vAlign w:val="bottom"/>
          </w:tcPr>
          <w:p>
            <w:pPr>
              <w:ind w:left="700"/>
              <w:spacing w:after="0"/>
              <w:rPr>
                <w:sz w:val="20"/>
                <w:szCs w:val="20"/>
                <w:color w:val="auto"/>
              </w:rPr>
            </w:pPr>
            <w:r>
              <w:rPr>
                <w:rFonts w:ascii="Arial" w:cs="Arial" w:eastAsia="Arial" w:hAnsi="Arial"/>
                <w:sz w:val="20"/>
                <w:szCs w:val="20"/>
                <w:color w:val="auto"/>
              </w:rPr>
              <w:t>EVRG</w:t>
            </w:r>
          </w:p>
        </w:tc>
        <w:tc>
          <w:tcPr>
            <w:tcW w:w="3780" w:type="dxa"/>
            <w:vAlign w:val="bottom"/>
          </w:tcPr>
          <w:p>
            <w:pPr>
              <w:ind w:left="240"/>
              <w:spacing w:after="0"/>
              <w:rPr>
                <w:sz w:val="20"/>
                <w:szCs w:val="20"/>
                <w:color w:val="auto"/>
              </w:rPr>
            </w:pPr>
            <w:r>
              <w:rPr>
                <w:rFonts w:ascii="Arial" w:cs="Arial" w:eastAsia="Arial" w:hAnsi="Arial"/>
                <w:sz w:val="20"/>
                <w:szCs w:val="20"/>
                <w:color w:val="auto"/>
              </w:rPr>
              <w:t>The Southern Company</w:t>
            </w:r>
          </w:p>
        </w:tc>
        <w:tc>
          <w:tcPr>
            <w:tcW w:w="1160" w:type="dxa"/>
            <w:vAlign w:val="bottom"/>
          </w:tcPr>
          <w:p>
            <w:pPr>
              <w:ind w:left="600"/>
              <w:spacing w:after="0"/>
              <w:rPr>
                <w:sz w:val="20"/>
                <w:szCs w:val="20"/>
                <w:color w:val="auto"/>
              </w:rPr>
            </w:pPr>
            <w:r>
              <w:rPr>
                <w:rFonts w:ascii="Arial" w:cs="Arial" w:eastAsia="Arial" w:hAnsi="Arial"/>
                <w:sz w:val="20"/>
                <w:szCs w:val="20"/>
                <w:color w:val="auto"/>
              </w:rPr>
              <w:t>SO</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Eversource Energy</w:t>
            </w:r>
          </w:p>
        </w:tc>
        <w:tc>
          <w:tcPr>
            <w:tcW w:w="1500" w:type="dxa"/>
            <w:vAlign w:val="bottom"/>
          </w:tcPr>
          <w:p>
            <w:pPr>
              <w:ind w:left="700"/>
              <w:spacing w:after="0"/>
              <w:rPr>
                <w:sz w:val="20"/>
                <w:szCs w:val="20"/>
                <w:color w:val="auto"/>
              </w:rPr>
            </w:pPr>
            <w:r>
              <w:rPr>
                <w:rFonts w:ascii="Arial" w:cs="Arial" w:eastAsia="Arial" w:hAnsi="Arial"/>
                <w:sz w:val="20"/>
                <w:szCs w:val="20"/>
                <w:color w:val="auto"/>
              </w:rPr>
              <w:t>ES</w:t>
            </w:r>
          </w:p>
        </w:tc>
        <w:tc>
          <w:tcPr>
            <w:tcW w:w="3780" w:type="dxa"/>
            <w:vAlign w:val="bottom"/>
          </w:tcPr>
          <w:p>
            <w:pPr>
              <w:ind w:left="240"/>
              <w:spacing w:after="0"/>
              <w:rPr>
                <w:sz w:val="20"/>
                <w:szCs w:val="20"/>
                <w:color w:val="auto"/>
              </w:rPr>
            </w:pPr>
            <w:r>
              <w:rPr>
                <w:rFonts w:ascii="Arial" w:cs="Arial" w:eastAsia="Arial" w:hAnsi="Arial"/>
                <w:sz w:val="20"/>
                <w:szCs w:val="20"/>
                <w:color w:val="auto"/>
              </w:rPr>
              <w:t>Unitil Corporation</w:t>
            </w:r>
          </w:p>
        </w:tc>
        <w:tc>
          <w:tcPr>
            <w:tcW w:w="1160" w:type="dxa"/>
            <w:vAlign w:val="bottom"/>
          </w:tcPr>
          <w:p>
            <w:pPr>
              <w:ind w:left="600"/>
              <w:spacing w:after="0"/>
              <w:rPr>
                <w:sz w:val="20"/>
                <w:szCs w:val="20"/>
                <w:color w:val="auto"/>
              </w:rPr>
            </w:pPr>
            <w:r>
              <w:rPr>
                <w:rFonts w:ascii="Arial" w:cs="Arial" w:eastAsia="Arial" w:hAnsi="Arial"/>
                <w:sz w:val="20"/>
                <w:szCs w:val="20"/>
                <w:color w:val="auto"/>
              </w:rPr>
              <w:t>UTL</w:t>
            </w:r>
          </w:p>
        </w:tc>
      </w:tr>
      <w:tr>
        <w:trPr>
          <w:trHeight w:val="284"/>
        </w:trPr>
        <w:tc>
          <w:tcPr>
            <w:tcW w:w="3920" w:type="dxa"/>
            <w:vAlign w:val="bottom"/>
          </w:tcPr>
          <w:p>
            <w:pPr>
              <w:spacing w:after="0"/>
              <w:rPr>
                <w:sz w:val="20"/>
                <w:szCs w:val="20"/>
                <w:color w:val="auto"/>
              </w:rPr>
            </w:pPr>
            <w:r>
              <w:rPr>
                <w:rFonts w:ascii="Arial" w:cs="Arial" w:eastAsia="Arial" w:hAnsi="Arial"/>
                <w:sz w:val="20"/>
                <w:szCs w:val="20"/>
                <w:color w:val="auto"/>
              </w:rPr>
              <w:t>Exelon Corporation</w:t>
            </w:r>
          </w:p>
        </w:tc>
        <w:tc>
          <w:tcPr>
            <w:tcW w:w="1500" w:type="dxa"/>
            <w:vAlign w:val="bottom"/>
          </w:tcPr>
          <w:p>
            <w:pPr>
              <w:ind w:left="700"/>
              <w:spacing w:after="0"/>
              <w:rPr>
                <w:sz w:val="20"/>
                <w:szCs w:val="20"/>
                <w:color w:val="auto"/>
              </w:rPr>
            </w:pPr>
            <w:r>
              <w:rPr>
                <w:rFonts w:ascii="Arial" w:cs="Arial" w:eastAsia="Arial" w:hAnsi="Arial"/>
                <w:sz w:val="20"/>
                <w:szCs w:val="20"/>
                <w:color w:val="auto"/>
              </w:rPr>
              <w:t>EXC</w:t>
            </w:r>
          </w:p>
        </w:tc>
        <w:tc>
          <w:tcPr>
            <w:tcW w:w="3780" w:type="dxa"/>
            <w:vAlign w:val="bottom"/>
          </w:tcPr>
          <w:p>
            <w:pPr>
              <w:ind w:left="240"/>
              <w:spacing w:after="0"/>
              <w:rPr>
                <w:sz w:val="20"/>
                <w:szCs w:val="20"/>
                <w:color w:val="auto"/>
              </w:rPr>
            </w:pPr>
            <w:r>
              <w:rPr>
                <w:rFonts w:ascii="Arial" w:cs="Arial" w:eastAsia="Arial" w:hAnsi="Arial"/>
                <w:sz w:val="20"/>
                <w:szCs w:val="20"/>
                <w:color w:val="auto"/>
              </w:rPr>
              <w:t>WEC Energy Group, Inc.</w:t>
            </w:r>
          </w:p>
        </w:tc>
        <w:tc>
          <w:tcPr>
            <w:tcW w:w="1160" w:type="dxa"/>
            <w:vAlign w:val="bottom"/>
          </w:tcPr>
          <w:p>
            <w:pPr>
              <w:ind w:left="600"/>
              <w:spacing w:after="0"/>
              <w:rPr>
                <w:sz w:val="20"/>
                <w:szCs w:val="20"/>
                <w:color w:val="auto"/>
              </w:rPr>
            </w:pPr>
            <w:r>
              <w:rPr>
                <w:rFonts w:ascii="Arial" w:cs="Arial" w:eastAsia="Arial" w:hAnsi="Arial"/>
                <w:sz w:val="20"/>
                <w:szCs w:val="20"/>
                <w:color w:val="auto"/>
              </w:rPr>
              <w:t>WEC</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FirstEnergy Corp.</w:t>
            </w:r>
          </w:p>
        </w:tc>
        <w:tc>
          <w:tcPr>
            <w:tcW w:w="1500" w:type="dxa"/>
            <w:vAlign w:val="bottom"/>
          </w:tcPr>
          <w:p>
            <w:pPr>
              <w:ind w:left="700"/>
              <w:spacing w:after="0"/>
              <w:rPr>
                <w:sz w:val="20"/>
                <w:szCs w:val="20"/>
                <w:color w:val="auto"/>
              </w:rPr>
            </w:pPr>
            <w:r>
              <w:rPr>
                <w:rFonts w:ascii="Arial" w:cs="Arial" w:eastAsia="Arial" w:hAnsi="Arial"/>
                <w:sz w:val="20"/>
                <w:szCs w:val="20"/>
                <w:color w:val="auto"/>
              </w:rPr>
              <w:t>FE</w:t>
            </w:r>
          </w:p>
        </w:tc>
        <w:tc>
          <w:tcPr>
            <w:tcW w:w="3780" w:type="dxa"/>
            <w:vAlign w:val="bottom"/>
          </w:tcPr>
          <w:p>
            <w:pPr>
              <w:ind w:left="240"/>
              <w:spacing w:after="0"/>
              <w:rPr>
                <w:sz w:val="20"/>
                <w:szCs w:val="20"/>
                <w:color w:val="auto"/>
              </w:rPr>
            </w:pPr>
            <w:r>
              <w:rPr>
                <w:rFonts w:ascii="Arial" w:cs="Arial" w:eastAsia="Arial" w:hAnsi="Arial"/>
                <w:sz w:val="20"/>
                <w:szCs w:val="20"/>
                <w:color w:val="auto"/>
              </w:rPr>
              <w:t>Xcel Energy Inc.</w:t>
            </w:r>
          </w:p>
        </w:tc>
        <w:tc>
          <w:tcPr>
            <w:tcW w:w="1160" w:type="dxa"/>
            <w:vAlign w:val="bottom"/>
          </w:tcPr>
          <w:p>
            <w:pPr>
              <w:ind w:left="600"/>
              <w:spacing w:after="0"/>
              <w:rPr>
                <w:sz w:val="20"/>
                <w:szCs w:val="20"/>
                <w:color w:val="auto"/>
              </w:rPr>
            </w:pPr>
            <w:r>
              <w:rPr>
                <w:rFonts w:ascii="Arial" w:cs="Arial" w:eastAsia="Arial" w:hAnsi="Arial"/>
                <w:sz w:val="20"/>
                <w:szCs w:val="20"/>
                <w:color w:val="auto"/>
              </w:rPr>
              <w:t>XEL</w:t>
            </w:r>
          </w:p>
        </w:tc>
      </w:tr>
      <w:tr>
        <w:trPr>
          <w:trHeight w:val="283"/>
        </w:trPr>
        <w:tc>
          <w:tcPr>
            <w:tcW w:w="3920" w:type="dxa"/>
            <w:vAlign w:val="bottom"/>
          </w:tcPr>
          <w:p>
            <w:pPr>
              <w:spacing w:after="0"/>
              <w:rPr>
                <w:sz w:val="20"/>
                <w:szCs w:val="20"/>
                <w:color w:val="auto"/>
              </w:rPr>
            </w:pPr>
            <w:r>
              <w:rPr>
                <w:rFonts w:ascii="Arial" w:cs="Arial" w:eastAsia="Arial" w:hAnsi="Arial"/>
                <w:sz w:val="20"/>
                <w:szCs w:val="20"/>
                <w:color w:val="auto"/>
              </w:rPr>
              <w:t>Hawaiian Electric Industries, Inc.</w:t>
            </w:r>
          </w:p>
        </w:tc>
        <w:tc>
          <w:tcPr>
            <w:tcW w:w="1500" w:type="dxa"/>
            <w:vAlign w:val="bottom"/>
          </w:tcPr>
          <w:p>
            <w:pPr>
              <w:ind w:left="700"/>
              <w:spacing w:after="0"/>
              <w:rPr>
                <w:sz w:val="20"/>
                <w:szCs w:val="20"/>
                <w:color w:val="auto"/>
              </w:rPr>
            </w:pPr>
            <w:r>
              <w:rPr>
                <w:rFonts w:ascii="Arial" w:cs="Arial" w:eastAsia="Arial" w:hAnsi="Arial"/>
                <w:sz w:val="20"/>
                <w:szCs w:val="20"/>
                <w:color w:val="auto"/>
              </w:rPr>
              <w:t>HE</w:t>
            </w:r>
          </w:p>
        </w:tc>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246"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6"/>
          <w:szCs w:val="16"/>
          <w:b w:val="1"/>
          <w:bCs w:val="1"/>
          <w:color w:val="auto"/>
        </w:rPr>
        <w:t>Exhibit 21</w:t>
      </w:r>
    </w:p>
    <w:p>
      <w:pPr>
        <w:spacing w:after="0" w:line="25" w:lineRule="exact"/>
        <w:rPr>
          <w:sz w:val="20"/>
          <w:szCs w:val="20"/>
          <w:color w:val="auto"/>
        </w:rPr>
      </w:pPr>
    </w:p>
    <w:p>
      <w:pPr>
        <w:jc w:val="center"/>
        <w:ind w:right="717"/>
        <w:spacing w:after="0"/>
        <w:rPr>
          <w:sz w:val="20"/>
          <w:szCs w:val="20"/>
          <w:color w:val="auto"/>
        </w:rPr>
      </w:pPr>
      <w:r>
        <w:rPr>
          <w:rFonts w:ascii="Arial" w:cs="Arial" w:eastAsia="Arial" w:hAnsi="Arial"/>
          <w:sz w:val="16"/>
          <w:szCs w:val="16"/>
          <w:b w:val="1"/>
          <w:bCs w:val="1"/>
          <w:color w:val="auto"/>
        </w:rPr>
        <w:t>BLACK HILLS CORPORATION SUBSIDIARIES</w:t>
      </w:r>
    </w:p>
    <w:p>
      <w:pPr>
        <w:spacing w:after="0" w:line="5" w:lineRule="exact"/>
        <w:rPr>
          <w:sz w:val="20"/>
          <w:szCs w:val="20"/>
          <w:color w:val="auto"/>
        </w:rPr>
      </w:pPr>
    </w:p>
    <w:p>
      <w:pPr>
        <w:jc w:val="center"/>
        <w:ind w:right="717"/>
        <w:spacing w:after="0"/>
        <w:rPr>
          <w:sz w:val="20"/>
          <w:szCs w:val="20"/>
          <w:color w:val="auto"/>
        </w:rPr>
      </w:pPr>
      <w:r>
        <w:rPr>
          <w:rFonts w:ascii="Arial" w:cs="Arial" w:eastAsia="Arial" w:hAnsi="Arial"/>
          <w:sz w:val="16"/>
          <w:szCs w:val="16"/>
          <w:b w:val="1"/>
          <w:bCs w:val="1"/>
          <w:color w:val="auto"/>
        </w:rPr>
        <w:t>December 31, 2020</w:t>
      </w:r>
    </w:p>
    <w:p>
      <w:pPr>
        <w:spacing w:after="0" w:line="348" w:lineRule="exact"/>
        <w:rPr>
          <w:sz w:val="20"/>
          <w:szCs w:val="20"/>
          <w:color w:val="auto"/>
        </w:rPr>
      </w:pPr>
    </w:p>
    <w:tbl>
      <w:tblPr>
        <w:tblLayout w:type="fixed"/>
        <w:tblInd w:w="253" w:type="dxa"/>
        <w:tblCellMar>
          <w:top w:w="0" w:type="dxa"/>
          <w:left w:w="0" w:type="dxa"/>
          <w:bottom w:w="0" w:type="dxa"/>
          <w:right w:w="0" w:type="dxa"/>
        </w:tblCellMar>
      </w:tblPr>
      <w:tr>
        <w:trPr>
          <w:trHeight w:val="229"/>
        </w:trPr>
        <w:tc>
          <w:tcPr>
            <w:tcW w:w="560" w:type="dxa"/>
            <w:vAlign w:val="bottom"/>
            <w:tcBorders>
              <w:top w:val="single" w:sz="8" w:color="auto"/>
              <w:left w:val="single" w:sz="8" w:color="auto"/>
              <w:bottom w:val="single" w:sz="8" w:color="auto"/>
              <w:right w:val="single" w:sz="8" w:color="auto"/>
            </w:tcBorders>
            <w:shd w:val="clear" w:color="auto" w:fill="CCCCCC"/>
          </w:tcPr>
          <w:p>
            <w:pPr>
              <w:spacing w:after="0"/>
              <w:rPr>
                <w:sz w:val="19"/>
                <w:szCs w:val="19"/>
                <w:color w:val="auto"/>
              </w:rPr>
            </w:pPr>
          </w:p>
        </w:tc>
        <w:tc>
          <w:tcPr>
            <w:tcW w:w="6560" w:type="dxa"/>
            <w:vAlign w:val="bottom"/>
            <w:tcBorders>
              <w:top w:val="single" w:sz="8" w:color="auto"/>
              <w:bottom w:val="single" w:sz="8" w:color="auto"/>
              <w:right w:val="single" w:sz="8" w:color="auto"/>
            </w:tcBorders>
            <w:shd w:val="clear" w:color="auto" w:fill="CCCCCC"/>
          </w:tcPr>
          <w:p>
            <w:pPr>
              <w:ind w:left="2620"/>
              <w:spacing w:after="0"/>
              <w:rPr>
                <w:sz w:val="20"/>
                <w:szCs w:val="20"/>
                <w:color w:val="auto"/>
              </w:rPr>
            </w:pPr>
            <w:r>
              <w:rPr>
                <w:rFonts w:ascii="Arial" w:cs="Arial" w:eastAsia="Arial" w:hAnsi="Arial"/>
                <w:sz w:val="16"/>
                <w:szCs w:val="16"/>
                <w:b w:val="1"/>
                <w:bCs w:val="1"/>
                <w:color w:val="auto"/>
              </w:rPr>
              <w:t>Subsidiary Name</w:t>
            </w:r>
          </w:p>
        </w:tc>
        <w:tc>
          <w:tcPr>
            <w:tcW w:w="2180" w:type="dxa"/>
            <w:vAlign w:val="bottom"/>
            <w:tcBorders>
              <w:top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6"/>
                <w:szCs w:val="16"/>
                <w:b w:val="1"/>
                <w:bCs w:val="1"/>
                <w:color w:val="auto"/>
              </w:rPr>
              <w:t>State of Origin</w:t>
            </w:r>
          </w:p>
        </w:tc>
      </w:tr>
      <w:tr>
        <w:trPr>
          <w:trHeight w:val="207"/>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Colorado Electric,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Colorado Gas,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Colorado</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Colorado IPP,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Colorado Wind,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5.</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Electric Generation,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6.</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Energy Arkansas,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Arkansas</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7.</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Energy Services Company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Colorado</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8.</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Exploration and Production,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9.</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Inc.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11.</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Distribution,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12.</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Holdings,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13.</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Parent Holdings II, Inc.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14.</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Gas Resources,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Colorado</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15.</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Hills/Iowa Gas Utility Company,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16.</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Hills/Kansas Gas Utility Company,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Kansas</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17.</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Hills/Nebraska Gas Utility Company,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18.</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Non-regulated Holdings,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19.</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Plateau Production,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20.</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Power,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21.</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Service Company,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22.</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Shoshone Pipeline,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23.</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Utility Holdings, Inc.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24.</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Wyoming,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25.</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Black Hills Wyoming Gas,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26.</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Cheyenne Light, Fuel and Power Company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Wyoming</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27.</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Mallon Oil Company, Sucursal Costa Rica</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Costa Rica</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28.</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N780BH,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Dakota</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29.</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Northern Iowa Windpower,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r>
        <w:trPr>
          <w:trHeight w:val="209"/>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30.</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Rocky Mountain Natural Gas LLC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Colorado</w:t>
            </w:r>
          </w:p>
        </w:tc>
      </w:tr>
      <w:tr>
        <w:trPr>
          <w:trHeight w:val="210"/>
        </w:trPr>
        <w:tc>
          <w:tcPr>
            <w:tcW w:w="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31.</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Wyodak Resources Development Corp.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Delaware</w:t>
            </w:r>
          </w:p>
        </w:tc>
      </w:tr>
    </w:tbl>
    <w:p>
      <w:pPr>
        <w:spacing w:after="0" w:line="306" w:lineRule="exact"/>
        <w:rPr>
          <w:sz w:val="20"/>
          <w:szCs w:val="20"/>
          <w:color w:val="auto"/>
        </w:rPr>
      </w:pPr>
    </w:p>
    <w:p>
      <w:pPr>
        <w:ind w:left="103" w:hanging="103"/>
        <w:spacing w:after="0"/>
        <w:tabs>
          <w:tab w:leader="none" w:pos="10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doing business as </w:t>
      </w:r>
      <w:r>
        <w:rPr>
          <w:rFonts w:ascii="Arial" w:cs="Arial" w:eastAsia="Arial" w:hAnsi="Arial"/>
          <w:sz w:val="16"/>
          <w:szCs w:val="16"/>
          <w:b w:val="1"/>
          <w:bCs w:val="1"/>
          <w:color w:val="auto"/>
        </w:rPr>
        <w:t>Black Hills Energy</w:t>
      </w:r>
    </w:p>
    <w:p>
      <w:pPr>
        <w:sectPr>
          <w:pgSz w:w="11900" w:h="16838" w:orient="portrait"/>
          <w:cols w:equalWidth="0" w:num="1">
            <w:col w:w="10503"/>
          </w:cols>
          <w:pgMar w:left="1057" w:top="770"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6"/>
          <w:szCs w:val="16"/>
          <w:b w:val="1"/>
          <w:bCs w:val="1"/>
          <w:color w:val="auto"/>
        </w:rPr>
        <w:t>Exhibit 23.1</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4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We consent to the incorporation by reference in Registration Statement Nos. 333-240320 and 333-240319 on Form S-3 and Registration Statement Nos. 333-170451, 333-217679, 333-170448, 333-170452, and 333-203714 on Form S-8 of our reports dated February 26, 2021, relating to the consolidated financial statements of Black Hills Corporation and subsidiaries (the “Company”), and the effectiveness of the Company’s internal control over financial reporting, appearing in this Annual Report on Form 10-K of Black Hills Corporation for the year ended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40"/>
          </w:cols>
          <w:pgMar w:left="320" w:top="891"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6"/>
          <w:szCs w:val="16"/>
          <w:b w:val="1"/>
          <w:bCs w:val="1"/>
          <w:color w:val="auto"/>
        </w:rPr>
        <w:t>Exhibit 31.1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40" w:lineRule="exact"/>
        <w:rPr>
          <w:sz w:val="20"/>
          <w:szCs w:val="20"/>
          <w:color w:val="auto"/>
        </w:rPr>
      </w:pPr>
    </w:p>
    <w:p>
      <w:pPr>
        <w:ind w:left="800" w:hanging="774"/>
        <w:spacing w:after="0"/>
        <w:tabs>
          <w:tab w:leader="none" w:pos="8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Date: February 26, 2021</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10795</wp:posOffset>
            </wp:positionV>
            <wp:extent cx="23742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6"/>
          <w:szCs w:val="16"/>
          <w:b w:val="1"/>
          <w:bCs w:val="1"/>
          <w:color w:val="auto"/>
        </w:rPr>
        <w:t>Exhibit 31.2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Richard W. Kinzley, certify that:</w:t>
      </w:r>
    </w:p>
    <w:p>
      <w:pPr>
        <w:spacing w:after="0" w:line="140" w:lineRule="exact"/>
        <w:rPr>
          <w:sz w:val="20"/>
          <w:szCs w:val="20"/>
          <w:color w:val="auto"/>
        </w:rPr>
      </w:pPr>
    </w:p>
    <w:p>
      <w:pPr>
        <w:ind w:left="800" w:hanging="774"/>
        <w:spacing w:after="0"/>
        <w:tabs>
          <w:tab w:leader="none" w:pos="8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Date: February 26, 2021</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10795</wp:posOffset>
            </wp:positionV>
            <wp:extent cx="2837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6"/>
          <w:szCs w:val="16"/>
          <w:b w:val="1"/>
          <w:bCs w:val="1"/>
          <w:color w:val="auto"/>
        </w:rPr>
        <w:t>Exhibit 32.1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2020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01" w:lineRule="exact"/>
        <w:rPr>
          <w:sz w:val="20"/>
          <w:szCs w:val="20"/>
          <w:color w:val="auto"/>
        </w:rPr>
      </w:pPr>
    </w:p>
    <w:p>
      <w:pPr>
        <w:ind w:left="1600" w:hanging="791"/>
        <w:spacing w:after="0"/>
        <w:tabs>
          <w:tab w:leader="none" w:pos="16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Date: February 26, 2021</w:t>
      </w:r>
    </w:p>
    <w:p>
      <w:pPr>
        <w:spacing w:after="0" w:line="30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10795</wp:posOffset>
            </wp:positionV>
            <wp:extent cx="23742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6"/>
          <w:szCs w:val="16"/>
          <w:b w:val="1"/>
          <w:bCs w:val="1"/>
          <w:color w:val="auto"/>
        </w:rPr>
        <w:t>Exhibit 32.2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00"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2020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01" w:lineRule="exact"/>
        <w:rPr>
          <w:sz w:val="20"/>
          <w:szCs w:val="20"/>
          <w:color w:val="auto"/>
        </w:rPr>
      </w:pPr>
    </w:p>
    <w:p>
      <w:pPr>
        <w:ind w:left="1600" w:hanging="791"/>
        <w:spacing w:after="0"/>
        <w:tabs>
          <w:tab w:leader="none" w:pos="16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26, 2021</w:t>
      </w:r>
    </w:p>
    <w:p>
      <w:pPr>
        <w:spacing w:after="0" w:line="30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10795</wp:posOffset>
            </wp:positionV>
            <wp:extent cx="28460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6"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6"/>
          <w:szCs w:val="16"/>
          <w:b w:val="1"/>
          <w:bCs w:val="1"/>
          <w:color w:val="auto"/>
        </w:rPr>
        <w:t>Exhibit 95</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20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twelve month period ended December 31, 2020.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235" w:lineRule="exact"/>
        <w:rPr>
          <w:sz w:val="20"/>
          <w:szCs w:val="20"/>
          <w:color w:val="auto"/>
        </w:rPr>
      </w:pPr>
    </w:p>
    <w:p>
      <w:pPr>
        <w:ind w:left="660" w:right="100" w:hanging="328"/>
        <w:spacing w:after="0" w:line="260" w:lineRule="auto"/>
        <w:tabs>
          <w:tab w:leader="none" w:pos="64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Total number of orders issued under section 104(b) of the Mine Act;</w:t>
      </w:r>
    </w:p>
    <w:p>
      <w:pPr>
        <w:spacing w:after="0" w:line="248" w:lineRule="exact"/>
        <w:rPr>
          <w:rFonts w:ascii="Arial" w:cs="Arial" w:eastAsia="Arial" w:hAnsi="Arial"/>
          <w:sz w:val="16"/>
          <w:szCs w:val="16"/>
          <w:color w:val="auto"/>
        </w:rPr>
      </w:pPr>
    </w:p>
    <w:p>
      <w:pPr>
        <w:ind w:left="660" w:right="360" w:hanging="328"/>
        <w:spacing w:after="0" w:line="260" w:lineRule="auto"/>
        <w:tabs>
          <w:tab w:leader="none" w:pos="64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Total number of imminent danger orders issued under section 107(a) of the Mine Act;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Total dollar value of proposed assessments from MSHA under the Mine Act.</w:t>
      </w:r>
    </w:p>
    <w:p>
      <w:pPr>
        <w:spacing w:after="0" w:line="2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table below sets forth the total number of citations and/or orders issued by MSHA to WRDC under the indicated provisions of the Mine Act, together with the total dollar value of proposed MSHA assessments received during the twelve months ended December 31, 2020 and legal actions pending before the Federal Mine Safety and Health Review Commission, together with the Administrative Law Judges thereof, for WRDC, our only mining complex. All citations were abated within 24 hours of issue.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Mine Act Section</w:t>
            </w:r>
          </w:p>
        </w:tc>
        <w:tc>
          <w:tcPr>
            <w:tcW w:w="6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Mine Act</w:t>
            </w:r>
          </w:p>
        </w:tc>
        <w:tc>
          <w:tcPr>
            <w:tcW w:w="9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Received Notice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104 S&amp;S Citations</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Mine/MSHA</w:t>
            </w: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issued during</w:t>
            </w:r>
          </w:p>
        </w:tc>
        <w:tc>
          <w:tcPr>
            <w:tcW w:w="680" w:type="dxa"/>
            <w:vAlign w:val="bottom"/>
            <w:vMerge w:val="continue"/>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Section</w:t>
            </w:r>
          </w:p>
        </w:tc>
        <w:tc>
          <w:tcPr>
            <w:tcW w:w="920" w:type="dxa"/>
            <w:vAlign w:val="bottom"/>
            <w:vMerge w:val="continue"/>
          </w:tcPr>
          <w:p>
            <w:pPr>
              <w:spacing w:after="0"/>
              <w:rPr>
                <w:sz w:val="10"/>
                <w:szCs w:val="10"/>
                <w:color w:val="auto"/>
              </w:rPr>
            </w:pPr>
          </w:p>
        </w:tc>
        <w:tc>
          <w:tcPr>
            <w:tcW w:w="204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w w:val="97"/>
              </w:rPr>
              <w:t>Section 107(a) Total Dollar Value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Number of</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Potential to</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Pending as</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twelve months</w:t>
            </w:r>
          </w:p>
        </w:tc>
        <w:tc>
          <w:tcPr>
            <w:tcW w:w="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104(d)</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Section 110(b)</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Imminent</w:t>
            </w:r>
          </w:p>
        </w:tc>
        <w:tc>
          <w:tcPr>
            <w:tcW w:w="200" w:type="dxa"/>
            <w:vAlign w:val="bottom"/>
          </w:tcPr>
          <w:p>
            <w:pPr>
              <w:spacing w:after="0"/>
              <w:rPr>
                <w:sz w:val="10"/>
                <w:szCs w:val="10"/>
                <w:color w:val="auto"/>
              </w:rPr>
            </w:pPr>
          </w:p>
        </w:tc>
        <w:tc>
          <w:tcPr>
            <w:tcW w:w="1020" w:type="dxa"/>
            <w:vAlign w:val="bottom"/>
          </w:tcPr>
          <w:p>
            <w:pPr>
              <w:jc w:val="center"/>
              <w:ind w:right="97"/>
              <w:spacing w:after="0" w:line="122" w:lineRule="exact"/>
              <w:rPr>
                <w:sz w:val="20"/>
                <w:szCs w:val="20"/>
                <w:color w:val="auto"/>
              </w:rPr>
            </w:pPr>
            <w:r>
              <w:rPr>
                <w:rFonts w:ascii="Arial" w:cs="Arial" w:eastAsia="Arial" w:hAnsi="Arial"/>
                <w:sz w:val="13"/>
                <w:szCs w:val="13"/>
                <w:b w:val="1"/>
                <w:bCs w:val="1"/>
                <w:color w:val="auto"/>
                <w:w w:val="97"/>
              </w:rPr>
              <w:t>of Proposed</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Mining</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Have Pattern</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Last Day</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Initiated</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67"/>
        </w:trPr>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Identification</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ended</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104(b)</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Citations and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820" w:type="dxa"/>
            <w:vAlign w:val="bottom"/>
          </w:tcPr>
          <w:p>
            <w:pPr>
              <w:jc w:val="center"/>
              <w:ind w:left="17"/>
              <w:spacing w:after="0"/>
              <w:rPr>
                <w:sz w:val="20"/>
                <w:szCs w:val="20"/>
                <w:color w:val="auto"/>
              </w:rPr>
            </w:pPr>
            <w:r>
              <w:rPr>
                <w:rFonts w:ascii="Arial" w:cs="Arial" w:eastAsia="Arial" w:hAnsi="Arial"/>
                <w:sz w:val="13"/>
                <w:szCs w:val="13"/>
                <w:b w:val="1"/>
                <w:bCs w:val="1"/>
                <w:color w:val="auto"/>
                <w:w w:val="93"/>
              </w:rPr>
              <w:t>Danger</w:t>
            </w:r>
          </w:p>
        </w:tc>
        <w:tc>
          <w:tcPr>
            <w:tcW w:w="200" w:type="dxa"/>
            <w:vAlign w:val="bottom"/>
          </w:tcPr>
          <w:p>
            <w:pPr>
              <w:spacing w:after="0"/>
              <w:rPr>
                <w:sz w:val="14"/>
                <w:szCs w:val="14"/>
                <w:color w:val="auto"/>
              </w:rPr>
            </w:pPr>
          </w:p>
        </w:tc>
        <w:tc>
          <w:tcPr>
            <w:tcW w:w="1020" w:type="dxa"/>
            <w:vAlign w:val="bottom"/>
          </w:tcPr>
          <w:p>
            <w:pPr>
              <w:jc w:val="center"/>
              <w:ind w:right="97"/>
              <w:spacing w:after="0"/>
              <w:rPr>
                <w:sz w:val="20"/>
                <w:szCs w:val="20"/>
                <w:color w:val="auto"/>
              </w:rPr>
            </w:pPr>
            <w:r>
              <w:rPr>
                <w:rFonts w:ascii="Arial" w:cs="Arial" w:eastAsia="Arial" w:hAnsi="Arial"/>
                <w:sz w:val="13"/>
                <w:szCs w:val="13"/>
                <w:b w:val="1"/>
                <w:bCs w:val="1"/>
                <w:color w:val="auto"/>
                <w:w w:val="99"/>
              </w:rPr>
              <w:t>MSHA</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7"/>
              </w:rPr>
              <w:t>Related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Under Section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168"/>
        </w:trPr>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December 31</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Orders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8"/>
              </w:rPr>
              <w:t>Orders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Violations</w:t>
            </w:r>
          </w:p>
        </w:tc>
        <w:tc>
          <w:tcPr>
            <w:tcW w:w="820" w:type="dxa"/>
            <w:vAlign w:val="bottom"/>
          </w:tcPr>
          <w:p>
            <w:pPr>
              <w:jc w:val="center"/>
              <w:ind w:left="17"/>
              <w:spacing w:after="0"/>
              <w:rPr>
                <w:sz w:val="20"/>
                <w:szCs w:val="20"/>
                <w:color w:val="auto"/>
              </w:rPr>
            </w:pPr>
            <w:r>
              <w:rPr>
                <w:rFonts w:ascii="Arial" w:cs="Arial" w:eastAsia="Arial" w:hAnsi="Arial"/>
                <w:sz w:val="13"/>
                <w:szCs w:val="13"/>
                <w:b w:val="1"/>
                <w:bCs w:val="1"/>
                <w:color w:val="auto"/>
                <w:w w:val="98"/>
              </w:rPr>
              <w:t>Orders</w:t>
            </w:r>
          </w:p>
        </w:tc>
        <w:tc>
          <w:tcPr>
            <w:tcW w:w="200" w:type="dxa"/>
            <w:vAlign w:val="bottom"/>
          </w:tcPr>
          <w:p>
            <w:pPr>
              <w:spacing w:after="0"/>
              <w:rPr>
                <w:sz w:val="14"/>
                <w:szCs w:val="14"/>
                <w:color w:val="auto"/>
              </w:rPr>
            </w:pPr>
          </w:p>
        </w:tc>
        <w:tc>
          <w:tcPr>
            <w:tcW w:w="10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Assessments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Fatalities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104(e)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Period</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Period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Period</w:t>
            </w:r>
          </w:p>
        </w:tc>
        <w:tc>
          <w:tcPr>
            <w:tcW w:w="0" w:type="dxa"/>
            <w:vAlign w:val="bottom"/>
          </w:tcPr>
          <w:p>
            <w:pPr>
              <w:spacing w:after="0"/>
              <w:rPr>
                <w:sz w:val="1"/>
                <w:szCs w:val="1"/>
                <w:color w:val="auto"/>
              </w:rPr>
            </w:pPr>
          </w:p>
        </w:tc>
      </w:tr>
      <w:tr>
        <w:trPr>
          <w:trHeight w:val="185"/>
        </w:trPr>
        <w:tc>
          <w:tcPr>
            <w:tcW w:w="1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(a)</w:t>
            </w: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(yes/no)</w:t>
            </w: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1120" w:type="dxa"/>
            <w:vAlign w:val="bottom"/>
          </w:tcPr>
          <w:p>
            <w:pPr>
              <w:ind w:left="20"/>
              <w:spacing w:after="0" w:line="129" w:lineRule="exact"/>
              <w:rPr>
                <w:sz w:val="20"/>
                <w:szCs w:val="20"/>
                <w:color w:val="auto"/>
              </w:rPr>
            </w:pPr>
            <w:r>
              <w:rPr>
                <w:rFonts w:ascii="Arial" w:cs="Arial" w:eastAsia="Arial" w:hAnsi="Arial"/>
                <w:sz w:val="13"/>
                <w:szCs w:val="13"/>
                <w:color w:val="auto"/>
                <w:w w:val="98"/>
              </w:rPr>
              <w:t>Wyodak Coal Mine</w:t>
            </w:r>
          </w:p>
        </w:tc>
        <w:tc>
          <w:tcPr>
            <w:tcW w:w="1220" w:type="dxa"/>
            <w:vAlign w:val="bottom"/>
            <w:vMerge w:val="restart"/>
          </w:tcPr>
          <w:p>
            <w:pPr>
              <w:jc w:val="right"/>
              <w:ind w:right="517"/>
              <w:spacing w:after="0"/>
              <w:rPr>
                <w:sz w:val="20"/>
                <w:szCs w:val="20"/>
                <w:color w:val="auto"/>
              </w:rPr>
            </w:pPr>
            <w:r>
              <w:rPr>
                <w:rFonts w:ascii="Arial" w:cs="Arial" w:eastAsia="Arial" w:hAnsi="Arial"/>
                <w:sz w:val="13"/>
                <w:szCs w:val="13"/>
                <w:color w:val="auto"/>
              </w:rPr>
              <w:t>1</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37"/>
              <w:spacing w:after="0"/>
              <w:rPr>
                <w:sz w:val="20"/>
                <w:szCs w:val="20"/>
                <w:color w:val="auto"/>
              </w:rPr>
            </w:pPr>
            <w:r>
              <w:rPr>
                <w:rFonts w:ascii="Arial" w:cs="Arial" w:eastAsia="Arial" w:hAnsi="Arial"/>
                <w:sz w:val="13"/>
                <w:szCs w:val="13"/>
                <w:color w:val="auto"/>
              </w:rPr>
              <w:t>1,765</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2"/>
        </w:trPr>
        <w:tc>
          <w:tcPr>
            <w:tcW w:w="1120" w:type="dxa"/>
            <w:vAlign w:val="bottom"/>
          </w:tcPr>
          <w:p>
            <w:pPr>
              <w:ind w:left="20"/>
              <w:spacing w:after="0"/>
              <w:rPr>
                <w:sz w:val="20"/>
                <w:szCs w:val="20"/>
                <w:color w:val="auto"/>
              </w:rPr>
            </w:pPr>
            <w:r>
              <w:rPr>
                <w:rFonts w:ascii="Arial" w:cs="Arial" w:eastAsia="Arial" w:hAnsi="Arial"/>
                <w:sz w:val="13"/>
                <w:szCs w:val="13"/>
                <w:color w:val="auto"/>
              </w:rPr>
              <w:t>- 4800083</w:t>
            </w:r>
          </w:p>
        </w:tc>
        <w:tc>
          <w:tcPr>
            <w:tcW w:w="12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1" w:lineRule="exact"/>
        <w:rPr>
          <w:sz w:val="20"/>
          <w:szCs w:val="20"/>
          <w:color w:val="auto"/>
        </w:rPr>
      </w:pPr>
    </w:p>
    <w:p>
      <w:pPr>
        <w:ind w:left="340" w:right="260" w:hanging="332"/>
        <w:spacing w:after="0" w:line="249" w:lineRule="auto"/>
        <w:tabs>
          <w:tab w:leader="none" w:pos="349"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1)"/>
      <w:numFmt w:val="lowerLetter"/>
      <w:start w:val="1"/>
    </w:lvl>
  </w:abstractNum>
  <w:abstractNum w:abstractNumId="3">
    <w:nsid w:val="60B6DF70"/>
    <w:multiLevelType w:val="hybridMultilevel"/>
    <w:lvl w:ilvl="0">
      <w:lvlJc w:val="left"/>
      <w:lvlText w:val="(%1)"/>
      <w:numFmt w:val="lowerLetter"/>
      <w:start w:val="1"/>
    </w:lvl>
  </w:abstractNum>
  <w:abstractNum w:abstractNumId="4">
    <w:nsid w:val="6A5EE64"/>
    <w:multiLevelType w:val="hybridMultilevel"/>
    <w:lvl w:ilvl="0">
      <w:lvlJc w:val="left"/>
      <w:lvlText w:val="(%1)"/>
      <w:numFmt w:val="lowerLetter"/>
      <w:start w:val="1"/>
    </w:lvl>
  </w:abstractNum>
  <w:abstractNum w:abstractNumId="5">
    <w:nsid w:val="14330624"/>
    <w:multiLevelType w:val="hybridMultilevel"/>
    <w:lvl w:ilvl="0">
      <w:lvlJc w:val="left"/>
      <w:lvlText w:val="(%1)"/>
      <w:numFmt w:val="lowerLetter"/>
      <w:start w:val="1"/>
    </w:lvl>
  </w:abstractNum>
  <w:abstractNum w:abstractNumId="6">
    <w:nsid w:val="7FFFCA11"/>
    <w:multiLevelType w:val="hybridMultilevel"/>
    <w:lvl w:ilvl="0">
      <w:lvlJc w:val="left"/>
      <w:lvlText w:val="(%1)"/>
      <w:numFmt w:val="lowerLetter"/>
      <w:start w:val="1"/>
    </w:lvl>
  </w:abstractNum>
  <w:abstractNum w:abstractNumId="7">
    <w:nsid w:val="1A27709E"/>
    <w:multiLevelType w:val="hybridMultilevel"/>
    <w:lvl w:ilvl="0">
      <w:lvlJc w:val="left"/>
      <w:lvlText w:val="(%1)"/>
      <w:numFmt w:val="lowerLetter"/>
      <w:start w:val="1"/>
    </w:lvl>
  </w:abstractNum>
  <w:abstractNum w:abstractNumId="8">
    <w:nsid w:val="71EA1109"/>
    <w:multiLevelType w:val="hybridMultilevel"/>
    <w:lvl w:ilvl="0">
      <w:lvlJc w:val="left"/>
      <w:lvlText w:val="(%1)"/>
      <w:numFmt w:val="lowerLetter"/>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1)"/>
      <w:numFmt w:val="lowerLetter"/>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1)"/>
      <w:numFmt w:val="lowerLetter"/>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1)"/>
      <w:numFmt w:val="lowerLetter"/>
      <w:start w:val="1"/>
    </w:lvl>
  </w:abstractNum>
  <w:abstractNum w:abstractNumId="20">
    <w:nsid w:val="74DE0EE3"/>
    <w:multiLevelType w:val="hybridMultilevel"/>
    <w:lvl w:ilvl="0">
      <w:lvlJc w:val="left"/>
      <w:lvlText w:val="(%1)"/>
      <w:numFmt w:val="lowerLetter"/>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1)"/>
      <w:numFmt w:val="lowerLetter"/>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1)"/>
      <w:numFmt w:val="lowerLetter"/>
      <w:start w:val="1"/>
    </w:lvl>
  </w:abstractNum>
  <w:abstractNum w:abstractNumId="30">
    <w:nsid w:val="26F324BA"/>
    <w:multiLevelType w:val="hybridMultilevel"/>
    <w:lvl w:ilvl="0">
      <w:lvlJc w:val="left"/>
      <w:lvlText w:val="(%1)"/>
      <w:numFmt w:val="lowerLetter"/>
      <w:start w:val="1"/>
    </w:lvl>
  </w:abstractNum>
  <w:abstractNum w:abstractNumId="31">
    <w:nsid w:val="7F01579B"/>
    <w:multiLevelType w:val="hybridMultilevel"/>
    <w:lvl w:ilvl="0">
      <w:lvlJc w:val="left"/>
      <w:lvlText w:val="(%1)"/>
      <w:numFmt w:val="lowerLetter"/>
      <w:start w:val="1"/>
    </w:lvl>
  </w:abstractNum>
  <w:abstractNum w:abstractNumId="32">
    <w:nsid w:val="49DA307D"/>
    <w:multiLevelType w:val="hybridMultilevel"/>
    <w:lvl w:ilvl="0">
      <w:lvlJc w:val="left"/>
      <w:lvlText w:val="(%1)"/>
      <w:numFmt w:val="lowerLetter"/>
      <w:start w:val="1"/>
    </w:lvl>
  </w:abstractNum>
  <w:abstractNum w:abstractNumId="33">
    <w:nsid w:val="7055A5F5"/>
    <w:multiLevelType w:val="hybridMultilevel"/>
    <w:lvl w:ilvl="0">
      <w:lvlJc w:val="left"/>
      <w:lvlText w:val="(%1)"/>
      <w:numFmt w:val="lowerLetter"/>
      <w:start w:val="1"/>
    </w:lvl>
  </w:abstractNum>
  <w:abstractNum w:abstractNumId="34">
    <w:nsid w:val="5FB8370B"/>
    <w:multiLevelType w:val="hybridMultilevel"/>
    <w:lvl w:ilvl="0">
      <w:lvlJc w:val="left"/>
      <w:lvlText w:val="(%1)"/>
      <w:numFmt w:val="lowerLetter"/>
      <w:start w:val="1"/>
    </w:lvl>
  </w:abstractNum>
  <w:abstractNum w:abstractNumId="35">
    <w:nsid w:val="50801EE1"/>
    <w:multiLevelType w:val="hybridMultilevel"/>
    <w:lvl w:ilvl="0">
      <w:lvlJc w:val="left"/>
      <w:lvlText w:val="(%1)"/>
      <w:numFmt w:val="lowerLetter"/>
      <w:start w:val="1"/>
    </w:lvl>
  </w:abstractNum>
  <w:abstractNum w:abstractNumId="36">
    <w:nsid w:val="488AC1A"/>
    <w:multiLevelType w:val="hybridMultilevel"/>
    <w:lvl w:ilvl="0">
      <w:lvlJc w:val="left"/>
      <w:lvlText w:val="(%1)"/>
      <w:numFmt w:val="lowerLetter"/>
      <w:start w:val="1"/>
    </w:lvl>
  </w:abstractNum>
  <w:abstractNum w:abstractNumId="37">
    <w:nsid w:val="5FB8011C"/>
    <w:multiLevelType w:val="hybridMultilevel"/>
    <w:lvl w:ilvl="0">
      <w:lvlJc w:val="left"/>
      <w:lvlText w:val="(%1)"/>
      <w:numFmt w:val="lowerLetter"/>
      <w:start w:val="1"/>
    </w:lvl>
  </w:abstractNum>
  <w:abstractNum w:abstractNumId="38">
    <w:nsid w:val="6AA78F7F"/>
    <w:multiLevelType w:val="hybridMultilevel"/>
    <w:lvl w:ilvl="0">
      <w:lvlJc w:val="left"/>
      <w:lvlText w:val="(%1)"/>
      <w:numFmt w:val="lowerLetter"/>
      <w:start w:val="1"/>
    </w:lvl>
  </w:abstractNum>
  <w:abstractNum w:abstractNumId="39">
    <w:nsid w:val="7672BD23"/>
    <w:multiLevelType w:val="hybridMultilevel"/>
    <w:lvl w:ilvl="0">
      <w:lvlJc w:val="left"/>
      <w:lvlText w:val="•"/>
      <w:numFmt w:val="bullet"/>
      <w:start w:val="1"/>
    </w:lvl>
    <w:lvl w:ilvl="1">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1)"/>
      <w:numFmt w:val="lowerLetter"/>
      <w:start w:val="1"/>
    </w:lvl>
  </w:abstractNum>
  <w:abstractNum w:abstractNumId="43">
    <w:nsid w:val="5F3534A4"/>
    <w:multiLevelType w:val="hybridMultilevel"/>
    <w:lvl w:ilvl="0">
      <w:lvlJc w:val="left"/>
      <w:lvlText w:val="(%1)"/>
      <w:numFmt w:val="lowerLetter"/>
      <w:start w:val="1"/>
    </w:lvl>
  </w:abstractNum>
  <w:abstractNum w:abstractNumId="44">
    <w:nsid w:val="73A1821B"/>
    <w:multiLevelType w:val="hybridMultilevel"/>
    <w:lvl w:ilvl="0">
      <w:lvlJc w:val="left"/>
      <w:lvlText w:val="(%1)"/>
      <w:numFmt w:val="lowerLetter"/>
      <w:start w:val="1"/>
    </w:lvl>
  </w:abstractNum>
  <w:abstractNum w:abstractNumId="45">
    <w:nsid w:val="7DE67713"/>
    <w:multiLevelType w:val="hybridMultilevel"/>
    <w:lvl w:ilvl="0">
      <w:lvlJc w:val="left"/>
      <w:lvlText w:val="(%1)"/>
      <w:numFmt w:val="lowerLetter"/>
      <w:start w:val="1"/>
    </w:lvl>
  </w:abstractNum>
  <w:abstractNum w:abstractNumId="46">
    <w:nsid w:val="555C55B5"/>
    <w:multiLevelType w:val="hybridMultilevel"/>
    <w:lvl w:ilvl="0">
      <w:lvlJc w:val="left"/>
      <w:lvlText w:val="(%1)"/>
      <w:numFmt w:val="lowerLetter"/>
      <w:start w:val="1"/>
    </w:lvl>
  </w:abstractNum>
  <w:abstractNum w:abstractNumId="47">
    <w:nsid w:val="3FA62ACA"/>
    <w:multiLevelType w:val="hybridMultilevel"/>
    <w:lvl w:ilvl="0">
      <w:lvlJc w:val="left"/>
      <w:lvlText w:val="•"/>
      <w:numFmt w:val="bullet"/>
      <w:start w:val="1"/>
    </w:lvl>
  </w:abstractNum>
  <w:abstractNum w:abstractNumId="48">
    <w:nsid w:val="14FCE74E"/>
    <w:multiLevelType w:val="hybridMultilevel"/>
    <w:lvl w:ilvl="0">
      <w:lvlJc w:val="left"/>
      <w:lvlText w:val="•"/>
      <w:numFmt w:val="bullet"/>
      <w:start w:val="1"/>
    </w:lvl>
  </w:abstractNum>
  <w:abstractNum w:abstractNumId="49">
    <w:nsid w:val="6A3DD3E8"/>
    <w:multiLevelType w:val="hybridMultilevel"/>
    <w:lvl w:ilvl="0">
      <w:lvlJc w:val="left"/>
      <w:lvlText w:val="(%1)"/>
      <w:numFmt w:val="decimal"/>
      <w:start w:val="1"/>
    </w:lvl>
  </w:abstractNum>
  <w:abstractNum w:abstractNumId="50">
    <w:nsid w:val="71C91298"/>
    <w:multiLevelType w:val="hybridMultilevel"/>
    <w:lvl w:ilvl="0">
      <w:lvlJc w:val="left"/>
      <w:lvlText w:val="(%1)"/>
      <w:numFmt w:val="lowerLetter"/>
      <w:start w:val="1"/>
    </w:lvl>
  </w:abstractNum>
  <w:abstractNum w:abstractNumId="51">
    <w:nsid w:val="9DAF632"/>
    <w:multiLevelType w:val="hybridMultilevel"/>
    <w:lvl w:ilvl="0">
      <w:lvlJc w:val="left"/>
      <w:lvlText w:val="(%1)"/>
      <w:numFmt w:val="lowerLetter"/>
      <w:start w:val="1"/>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1)"/>
      <w:numFmt w:val="lowerLetter"/>
      <w:start w:val="1"/>
    </w:lvl>
  </w:abstractNum>
  <w:abstractNum w:abstractNumId="54">
    <w:nsid w:val="5092CA79"/>
    <w:multiLevelType w:val="hybridMultilevel"/>
    <w:lvl w:ilvl="0">
      <w:lvlJc w:val="left"/>
      <w:lvlText w:val="(%1)"/>
      <w:numFmt w:val="decimal"/>
      <w:start w:val="3"/>
    </w:lvl>
  </w:abstractNum>
  <w:abstractNum w:abstractNumId="55">
    <w:nsid w:val="1D545C4D"/>
    <w:multiLevelType w:val="hybridMultilevel"/>
    <w:lvl w:ilvl="0">
      <w:lvlJc w:val="left"/>
      <w:lvlText w:val="(%1)"/>
      <w:numFmt w:val="lowerLetter"/>
      <w:start w:val="1"/>
    </w:lvl>
  </w:abstractNum>
  <w:abstractNum w:abstractNumId="56">
    <w:nsid w:val="59ADEA3D"/>
    <w:multiLevelType w:val="hybridMultilevel"/>
    <w:lvl w:ilvl="0">
      <w:lvlJc w:val="left"/>
      <w:lvlText w:val="(%1)"/>
      <w:numFmt w:val="lowerLetter"/>
      <w:start w:val="1"/>
    </w:lvl>
  </w:abstractNum>
  <w:abstractNum w:abstractNumId="57">
    <w:nsid w:val="288F1A34"/>
    <w:multiLevelType w:val="hybridMultilevel"/>
    <w:lvl w:ilvl="0">
      <w:lvlJc w:val="left"/>
      <w:lvlText w:val="•"/>
      <w:numFmt w:val="bullet"/>
      <w:start w:val="1"/>
    </w:lvl>
  </w:abstractNum>
  <w:abstractNum w:abstractNumId="58">
    <w:nsid w:val="2A155DBC"/>
    <w:multiLevelType w:val="hybridMultilevel"/>
    <w:lvl w:ilvl="0">
      <w:lvlJc w:val="left"/>
      <w:lvlText w:val="•"/>
      <w:numFmt w:val="bullet"/>
      <w:start w:val="1"/>
    </w:lvl>
  </w:abstractNum>
  <w:abstractNum w:abstractNumId="59">
    <w:nsid w:val="1D9F6E5F"/>
    <w:multiLevelType w:val="hybridMultilevel"/>
    <w:lvl w:ilvl="0">
      <w:lvlJc w:val="left"/>
      <w:lvlText w:val="(%1)"/>
      <w:numFmt w:val="decimal"/>
      <w:start w:val="4"/>
    </w:lvl>
  </w:abstractNum>
  <w:abstractNum w:abstractNumId="60">
    <w:nsid w:val="97E1B4E"/>
    <w:multiLevelType w:val="hybridMultilevel"/>
    <w:lvl w:ilvl="0">
      <w:lvlJc w:val="left"/>
      <w:lvlText w:val="•"/>
      <w:numFmt w:val="bullet"/>
      <w:start w:val="1"/>
    </w:lvl>
  </w:abstractNum>
  <w:abstractNum w:abstractNumId="61">
    <w:nsid w:val="51088277"/>
    <w:multiLevelType w:val="hybridMultilevel"/>
    <w:lvl w:ilvl="0">
      <w:lvlJc w:val="left"/>
      <w:lvlText w:val="(%1)"/>
      <w:numFmt w:val="decimal"/>
      <w:start w:val="5"/>
    </w:lvl>
  </w:abstractNum>
  <w:abstractNum w:abstractNumId="62">
    <w:nsid w:val="1CA0C5FA"/>
    <w:multiLevelType w:val="hybridMultilevel"/>
    <w:lvl w:ilvl="0">
      <w:lvlJc w:val="left"/>
      <w:lvlText w:val="(%1)"/>
      <w:numFmt w:val="lowerLetter"/>
      <w:start w:val="1"/>
    </w:lvl>
  </w:abstractNum>
  <w:abstractNum w:abstractNumId="63">
    <w:nsid w:val="53584BCB"/>
    <w:multiLevelType w:val="hybridMultilevel"/>
    <w:lvl w:ilvl="0">
      <w:lvlJc w:val="left"/>
      <w:lvlText w:val="(%1)"/>
      <w:numFmt w:val="lowerLetter"/>
      <w:start w:val="1"/>
    </w:lvl>
  </w:abstractNum>
  <w:abstractNum w:abstractNumId="64">
    <w:nsid w:val="415E286C"/>
    <w:multiLevelType w:val="hybridMultilevel"/>
    <w:lvl w:ilvl="0">
      <w:lvlJc w:val="left"/>
      <w:lvlText w:val="(%1)"/>
      <w:numFmt w:val="decimal"/>
      <w:start w:val="6"/>
    </w:lvl>
  </w:abstractNum>
  <w:abstractNum w:abstractNumId="65">
    <w:nsid w:val="7C58FD05"/>
    <w:multiLevelType w:val="hybridMultilevel"/>
    <w:lvl w:ilvl="0">
      <w:lvlJc w:val="left"/>
      <w:lvlText w:val="(%1)"/>
      <w:numFmt w:val="decimal"/>
      <w:start w:val="7"/>
    </w:lvl>
  </w:abstractNum>
  <w:abstractNum w:abstractNumId="66">
    <w:nsid w:val="23D86AAC"/>
    <w:multiLevelType w:val="hybridMultilevel"/>
    <w:lvl w:ilvl="0">
      <w:lvlJc w:val="left"/>
      <w:lvlText w:val="(%1)"/>
      <w:numFmt w:val="lowerLetter"/>
      <w:start w:val="1"/>
    </w:lvl>
  </w:abstractNum>
  <w:abstractNum w:abstractNumId="67">
    <w:nsid w:val="45E6D486"/>
    <w:multiLevelType w:val="hybridMultilevel"/>
    <w:lvl w:ilvl="0">
      <w:lvlJc w:val="left"/>
      <w:lvlText w:val="(%1)"/>
      <w:numFmt w:val="decimal"/>
      <w:start w:val="8"/>
    </w:lvl>
  </w:abstractNum>
  <w:abstractNum w:abstractNumId="68">
    <w:nsid w:val="5C10FE21"/>
    <w:multiLevelType w:val="hybridMultilevel"/>
    <w:lvl w:ilvl="0">
      <w:lvlJc w:val="left"/>
      <w:lvlText w:val="(%1)"/>
      <w:numFmt w:val="lowerLetter"/>
      <w:start w:val="1"/>
    </w:lvl>
  </w:abstractNum>
  <w:abstractNum w:abstractNumId="69">
    <w:nsid w:val="E7FFA2B"/>
    <w:multiLevelType w:val="hybridMultilevel"/>
    <w:lvl w:ilvl="0">
      <w:lvlJc w:val="left"/>
      <w:lvlText w:val="(%1)"/>
      <w:numFmt w:val="lowerLetter"/>
      <w:start w:val="1"/>
    </w:lvl>
  </w:abstractNum>
  <w:abstractNum w:abstractNumId="70">
    <w:nsid w:val="3C5991AA"/>
    <w:multiLevelType w:val="hybridMultilevel"/>
    <w:lvl w:ilvl="0">
      <w:lvlJc w:val="left"/>
      <w:lvlText w:val="•"/>
      <w:numFmt w:val="bullet"/>
      <w:start w:val="1"/>
    </w:lvl>
  </w:abstractNum>
  <w:abstractNum w:abstractNumId="71">
    <w:nsid w:val="4BD8591A"/>
    <w:multiLevelType w:val="hybridMultilevel"/>
    <w:lvl w:ilvl="0">
      <w:lvlJc w:val="left"/>
      <w:lvlText w:val="(%1)"/>
      <w:numFmt w:val="decimal"/>
      <w:start w:val="9"/>
    </w:lvl>
    <w:lvl w:ilvl="1">
      <w:lvlJc w:val="left"/>
      <w:lvlText w:val="•"/>
      <w:numFmt w:val="bullet"/>
      <w:start w:val="1"/>
    </w:lvl>
  </w:abstractNum>
  <w:abstractNum w:abstractNumId="72">
    <w:nsid w:val="78DF6A55"/>
    <w:multiLevelType w:val="hybridMultilevel"/>
    <w:lvl w:ilvl="0">
      <w:lvlJc w:val="left"/>
      <w:lvlText w:val="(%1)"/>
      <w:numFmt w:val="decimal"/>
      <w:start w:val="11"/>
    </w:lvl>
  </w:abstractNum>
  <w:abstractNum w:abstractNumId="73">
    <w:nsid w:val="39B7AAA2"/>
    <w:multiLevelType w:val="hybridMultilevel"/>
    <w:lvl w:ilvl="0">
      <w:lvlJc w:val="left"/>
      <w:lvlText w:val="•"/>
      <w:numFmt w:val="bullet"/>
      <w:start w:val="1"/>
    </w:lvl>
  </w:abstractNum>
  <w:abstractNum w:abstractNumId="74">
    <w:nsid w:val="2B0D8DBE"/>
    <w:multiLevelType w:val="hybridMultilevel"/>
    <w:lvl w:ilvl="0">
      <w:lvlJc w:val="left"/>
      <w:lvlText w:val="(%1)"/>
      <w:numFmt w:val="lowerLetter"/>
      <w:start w:val="1"/>
    </w:lvl>
  </w:abstractNum>
  <w:abstractNum w:abstractNumId="75">
    <w:nsid w:val="6C80EC70"/>
    <w:multiLevelType w:val="hybridMultilevel"/>
    <w:lvl w:ilvl="0">
      <w:lvlJc w:val="left"/>
      <w:lvlText w:val="(%1)"/>
      <w:numFmt w:val="decimal"/>
      <w:start w:val="12"/>
    </w:lvl>
  </w:abstractNum>
  <w:abstractNum w:abstractNumId="76">
    <w:nsid w:val="379E21B5"/>
    <w:multiLevelType w:val="hybridMultilevel"/>
    <w:lvl w:ilvl="0">
      <w:lvlJc w:val="left"/>
      <w:lvlText w:val="(%1)"/>
      <w:numFmt w:val="lowerLetter"/>
      <w:start w:val="1"/>
    </w:lvl>
  </w:abstractNum>
  <w:abstractNum w:abstractNumId="77">
    <w:nsid w:val="69E373"/>
    <w:multiLevelType w:val="hybridMultilevel"/>
    <w:lvl w:ilvl="0">
      <w:lvlJc w:val="left"/>
      <w:lvlText w:val="(%1)"/>
      <w:numFmt w:val="lowerLetter"/>
      <w:start w:val="1"/>
    </w:lvl>
  </w:abstractNum>
  <w:abstractNum w:abstractNumId="78">
    <w:nsid w:val="2C27173B"/>
    <w:multiLevelType w:val="hybridMultilevel"/>
    <w:lvl w:ilvl="0">
      <w:lvlJc w:val="left"/>
      <w:lvlText w:val="(%1)"/>
      <w:numFmt w:val="lowerLetter"/>
      <w:start w:val="1"/>
    </w:lvl>
  </w:abstractNum>
  <w:abstractNum w:abstractNumId="79">
    <w:nsid w:val="4C9B0904"/>
    <w:multiLevelType w:val="hybridMultilevel"/>
    <w:lvl w:ilvl="0">
      <w:lvlJc w:val="left"/>
      <w:lvlText w:val="(%1)"/>
      <w:numFmt w:val="decimal"/>
      <w:start w:val="13"/>
    </w:lvl>
  </w:abstractNum>
  <w:abstractNum w:abstractNumId="80">
    <w:nsid w:val="6AA7B75C"/>
    <w:multiLevelType w:val="hybridMultilevel"/>
    <w:lvl w:ilvl="0">
      <w:lvlJc w:val="left"/>
      <w:lvlText w:val="(%1)"/>
      <w:numFmt w:val="decimal"/>
      <w:start w:val="14"/>
    </w:lvl>
  </w:abstractNum>
  <w:abstractNum w:abstractNumId="81">
    <w:nsid w:val="1DF029D3"/>
    <w:multiLevelType w:val="hybridMultilevel"/>
    <w:lvl w:ilvl="0">
      <w:lvlJc w:val="left"/>
      <w:lvlText w:val="(%1)"/>
      <w:numFmt w:val="decimal"/>
      <w:start w:val="15"/>
    </w:lvl>
  </w:abstractNum>
  <w:abstractNum w:abstractNumId="82">
    <w:nsid w:val="5675FF36"/>
    <w:multiLevelType w:val="hybridMultilevel"/>
    <w:lvl w:ilvl="0">
      <w:lvlJc w:val="left"/>
      <w:lvlText w:val="(%1)"/>
      <w:numFmt w:val="lowerLetter"/>
      <w:start w:val="1"/>
    </w:lvl>
  </w:abstractNum>
  <w:abstractNum w:abstractNumId="83">
    <w:nsid w:val="3DD15094"/>
    <w:multiLevelType w:val="hybridMultilevel"/>
    <w:lvl w:ilvl="0">
      <w:lvlJc w:val="left"/>
      <w:lvlText w:val="(%1)"/>
      <w:numFmt w:val="lowerLetter"/>
      <w:start w:val="1"/>
    </w:lvl>
  </w:abstractNum>
  <w:abstractNum w:abstractNumId="84">
    <w:nsid w:val="3DB012B3"/>
    <w:multiLevelType w:val="hybridMultilevel"/>
    <w:lvl w:ilvl="0">
      <w:lvlJc w:val="left"/>
      <w:lvlText w:val="(%1)"/>
      <w:numFmt w:val="lowerLetter"/>
      <w:start w:val="1"/>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1"/>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decimal"/>
      <w:start w:val="17"/>
    </w:lvl>
  </w:abstractNum>
  <w:abstractNum w:abstractNumId="89">
    <w:nsid w:val="53B0A9E"/>
    <w:multiLevelType w:val="hybridMultilevel"/>
    <w:lvl w:ilvl="0">
      <w:lvlJc w:val="left"/>
      <w:lvlText w:val="(%1)"/>
      <w:numFmt w:val="lowerLetter"/>
      <w:start w:val="1"/>
    </w:lvl>
  </w:abstractNum>
  <w:abstractNum w:abstractNumId="90">
    <w:nsid w:val="34FD6B4F"/>
    <w:multiLevelType w:val="hybridMultilevel"/>
    <w:lvl w:ilvl="0">
      <w:lvlJc w:val="left"/>
      <w:lvlText w:val="(%1)"/>
      <w:numFmt w:val="lowerLetter"/>
      <w:start w:val="1"/>
    </w:lvl>
  </w:abstractNum>
  <w:abstractNum w:abstractNumId="91">
    <w:nsid w:val="5915FF32"/>
    <w:multiLevelType w:val="hybridMultilevel"/>
    <w:lvl w:ilvl="0">
      <w:lvlJc w:val="left"/>
      <w:lvlText w:val="(%1)"/>
      <w:numFmt w:val="decimal"/>
      <w:start w:val="18"/>
    </w:lvl>
  </w:abstractNum>
  <w:abstractNum w:abstractNumId="92">
    <w:nsid w:val="56438D15"/>
    <w:multiLevelType w:val="hybridMultilevel"/>
    <w:lvl w:ilvl="0">
      <w:lvlJc w:val="left"/>
      <w:lvlText w:val="(%1)"/>
      <w:numFmt w:val="lowerLetter"/>
      <w:start w:val="1"/>
    </w:lvl>
  </w:abstractNum>
  <w:abstractNum w:abstractNumId="93">
    <w:nsid w:val="519E3149"/>
    <w:multiLevelType w:val="hybridMultilevel"/>
    <w:lvl w:ilvl="0">
      <w:lvlJc w:val="left"/>
      <w:lvlText w:val="(%1)"/>
      <w:numFmt w:val="decimal"/>
      <w:start w:val="19"/>
    </w:lvl>
  </w:abstractNum>
  <w:abstractNum w:abstractNumId="94">
    <w:nsid w:val="2C6E4AFD"/>
    <w:multiLevelType w:val="hybridMultilevel"/>
    <w:lvl w:ilvl="0">
      <w:lvlJc w:val="left"/>
      <w:lvlText w:val="(%1)"/>
      <w:numFmt w:val="decimal"/>
      <w:start w:val="1"/>
    </w:lvl>
  </w:abstractNum>
  <w:abstractNum w:abstractNumId="95">
    <w:nsid w:val="17A1B582"/>
    <w:multiLevelType w:val="hybridMultilevel"/>
    <w:lvl w:ilvl="0">
      <w:lvlJc w:val="left"/>
      <w:lvlText w:val="(%1)"/>
      <w:numFmt w:val="lowerLetter"/>
      <w:start w:val="1"/>
    </w:lvl>
  </w:abstractNum>
  <w:abstractNum w:abstractNumId="96">
    <w:nsid w:val="4DF72E4E"/>
    <w:multiLevelType w:val="hybridMultilevel"/>
    <w:lvl w:ilvl="0">
      <w:lvlJc w:val="left"/>
      <w:lvlText w:val="%1."/>
      <w:numFmt w:val="decimal"/>
      <w:start w:val="1"/>
    </w:lvl>
  </w:abstractNum>
  <w:abstractNum w:abstractNumId="97">
    <w:nsid w:val="5046B5A9"/>
    <w:multiLevelType w:val="hybridMultilevel"/>
    <w:lvl w:ilvl="0">
      <w:lvlJc w:val="left"/>
      <w:lvlText w:val="%1."/>
      <w:numFmt w:val="decimal"/>
      <w:start w:val="2"/>
    </w:lvl>
  </w:abstractNum>
  <w:abstractNum w:abstractNumId="98">
    <w:nsid w:val="5D888A08"/>
    <w:multiLevelType w:val="hybridMultilevel"/>
    <w:lvl w:ilvl="0">
      <w:lvlJc w:val="left"/>
      <w:lvlText w:val="%1."/>
      <w:numFmt w:val="decimal"/>
      <w:start w:val="3"/>
    </w:lvl>
  </w:abstractNum>
  <w:abstractNum w:abstractNumId="99">
    <w:nsid w:val="2A082C70"/>
    <w:multiLevelType w:val="hybridMultilevel"/>
    <w:lvl w:ilvl="0">
      <w:lvlJc w:val="left"/>
      <w:lvlText w:val="(%1)"/>
      <w:numFmt w:val="lowerLetter"/>
      <w:start w:val="1"/>
    </w:lvl>
  </w:abstractNum>
  <w:abstractNum w:abstractNumId="100">
    <w:nsid w:val="5EC6AFD4"/>
    <w:multiLevelType w:val="hybridMultilevel"/>
    <w:lvl w:ilvl="0">
      <w:lvlJc w:val="left"/>
      <w:lvlText w:val="(%1)"/>
      <w:numFmt w:val="lowerLetter"/>
      <w:start w:val="3"/>
    </w:lvl>
  </w:abstractNum>
  <w:abstractNum w:abstractNumId="101">
    <w:nsid w:val="19E21BB2"/>
    <w:multiLevelType w:val="hybridMultilevel"/>
    <w:lvl w:ilvl="0">
      <w:lvlJc w:val="left"/>
      <w:lvlText w:val="(%1)"/>
      <w:numFmt w:val="lowerLetter"/>
      <w:start w:val="1"/>
    </w:lvl>
  </w:abstractNum>
  <w:abstractNum w:abstractNumId="102">
    <w:nsid w:val="75E0858A"/>
    <w:multiLevelType w:val="hybridMultilevel"/>
    <w:lvl w:ilvl="0">
      <w:lvlJc w:val="left"/>
      <w:lvlText w:val="(%1)"/>
      <w:numFmt w:val="lowerLetter"/>
      <w:start w:val="1"/>
    </w:lvl>
  </w:abstractNum>
  <w:abstractNum w:abstractNumId="103">
    <w:nsid w:val="57A61A29"/>
    <w:multiLevelType w:val="hybridMultilevel"/>
    <w:lvl w:ilvl="0">
      <w:lvlJc w:val="left"/>
      <w:lvlText w:val="(%1)"/>
      <w:numFmt w:val="lowerLetter"/>
      <w:start w:val="1"/>
    </w:lvl>
  </w:abstractNum>
  <w:abstractNum w:abstractNumId="104">
    <w:nsid w:val="5399C654"/>
    <w:multiLevelType w:val="hybridMultilevel"/>
    <w:lvl w:ilvl="0">
      <w:lvlJc w:val="left"/>
      <w:lvlText w:val="(%1)"/>
      <w:numFmt w:val="lowerLetter"/>
      <w:start w:val="1"/>
    </w:lvl>
  </w:abstractNum>
  <w:abstractNum w:abstractNumId="105">
    <w:nsid w:val="20EE1348"/>
    <w:multiLevelType w:val="hybridMultilevel"/>
    <w:lvl w:ilvl="0">
      <w:lvlJc w:val="left"/>
      <w:lvlText w:val="(%1)"/>
      <w:numFmt w:val="lowerLetter"/>
      <w:start w:val="21"/>
    </w:lvl>
  </w:abstractNum>
  <w:abstractNum w:abstractNumId="106">
    <w:nsid w:val="4427069A"/>
    <w:multiLevelType w:val="hybridMultilevel"/>
    <w:lvl w:ilvl="0">
      <w:lvlJc w:val="left"/>
      <w:lvlText w:val="(%1)"/>
      <w:numFmt w:val="lowerLetter"/>
      <w:start w:val="1"/>
    </w:lvl>
  </w:abstractNum>
  <w:abstractNum w:abstractNumId="107">
    <w:nsid w:val="B37E80A"/>
    <w:multiLevelType w:val="hybridMultilevel"/>
    <w:lvl w:ilvl="0">
      <w:lvlJc w:val="left"/>
      <w:lvlText w:val="(%1)"/>
      <w:numFmt w:val="lowerLetter"/>
      <w:start w:val="1"/>
    </w:lvl>
  </w:abstractNum>
  <w:abstractNum w:abstractNumId="108">
    <w:nsid w:val="2157F6BC"/>
    <w:multiLevelType w:val="hybridMultilevel"/>
    <w:lvl w:ilvl="0">
      <w:lvlJc w:val="left"/>
      <w:lvlText w:val="(%1)"/>
      <w:numFmt w:val="lowerLetter"/>
      <w:start w:val="1"/>
    </w:lvl>
  </w:abstractNum>
  <w:abstractNum w:abstractNumId="109">
    <w:nsid w:val="704E1DD5"/>
    <w:multiLevelType w:val="hybridMultilevel"/>
    <w:lvl w:ilvl="0">
      <w:lvlJc w:val="left"/>
      <w:lvlText w:val="(%1)"/>
      <w:numFmt w:val="lowerLetter"/>
      <w:start w:val="1"/>
    </w:lvl>
  </w:abstractNum>
  <w:abstractNum w:abstractNumId="110">
    <w:nsid w:val="57D2F10E"/>
    <w:multiLevelType w:val="hybridMultilevel"/>
    <w:lvl w:ilvl="0">
      <w:lvlJc w:val="left"/>
      <w:lvlText w:val="%1."/>
      <w:numFmt w:val="decimal"/>
      <w:start w:val="1"/>
    </w:lvl>
  </w:abstractNum>
  <w:abstractNum w:abstractNumId="111">
    <w:nsid w:val="BFFAE18"/>
    <w:multiLevelType w:val="hybridMultilevel"/>
    <w:lvl w:ilvl="0">
      <w:lvlJc w:val="left"/>
      <w:lvlText w:val="%1."/>
      <w:numFmt w:val="decimal"/>
      <w:start w:val="3"/>
    </w:lvl>
  </w:abstractNum>
  <w:abstractNum w:abstractNumId="112">
    <w:nsid w:val="E3E47A8"/>
    <w:multiLevelType w:val="hybridMultilevel"/>
    <w:lvl w:ilvl="0">
      <w:lvlJc w:val="left"/>
      <w:lvlText w:val="%1."/>
      <w:numFmt w:val="decimal"/>
      <w:start w:val="4"/>
    </w:lvl>
  </w:abstractNum>
  <w:abstractNum w:abstractNumId="113">
    <w:nsid w:val="2E48F044"/>
    <w:multiLevelType w:val="hybridMultilevel"/>
    <w:lvl w:ilvl="0">
      <w:lvlJc w:val="left"/>
      <w:lvlText w:val="%1."/>
      <w:numFmt w:val="decimal"/>
      <w:start w:val="5"/>
    </w:lvl>
  </w:abstractNum>
  <w:abstractNum w:abstractNumId="114">
    <w:nsid w:val="49D0FEAC"/>
    <w:multiLevelType w:val="hybridMultilevel"/>
    <w:lvl w:ilvl="0">
      <w:lvlJc w:val="left"/>
      <w:lvlText w:val="%1."/>
      <w:numFmt w:val="decimal"/>
      <w:start w:val="6"/>
    </w:lvl>
    <w:lvl w:ilvl="1">
      <w:lvlJc w:val="left"/>
      <w:lvlText w:val="(%2)"/>
      <w:numFmt w:val="lowerLetter"/>
      <w:start w:val="1"/>
    </w:lvl>
  </w:abstractNum>
  <w:abstractNum w:abstractNumId="115">
    <w:nsid w:val="4BEE5A5B"/>
    <w:multiLevelType w:val="hybridMultilevel"/>
    <w:lvl w:ilvl="0">
      <w:lvlJc w:val="left"/>
      <w:lvlText w:val="(%1)"/>
      <w:numFmt w:val="lowerLetter"/>
      <w:start w:val="2"/>
    </w:lvl>
  </w:abstractNum>
  <w:abstractNum w:abstractNumId="116">
    <w:nsid w:val="5551B9F3"/>
    <w:multiLevelType w:val="hybridMultilevel"/>
    <w:lvl w:ilvl="0">
      <w:lvlJc w:val="left"/>
      <w:lvlText w:val="(%1)"/>
      <w:numFmt w:val="lowerLetter"/>
      <w:start w:val="6"/>
    </w:lvl>
  </w:abstractNum>
  <w:abstractNum w:abstractNumId="117">
    <w:nsid w:val="24F6AB8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118">
    <w:nsid w:val="634C574C"/>
    <w:multiLevelType w:val="hybridMultilevel"/>
    <w:lvl w:ilvl="0">
      <w:lvlJc w:val="left"/>
      <w:lvlText w:val="%1"/>
      <w:numFmt w:val="lowerLetter"/>
      <w:start w:val="1"/>
    </w:lvl>
    <w:lvl w:ilvl="1">
      <w:lvlJc w:val="left"/>
      <w:lvlText w:val="(%2)"/>
      <w:numFmt w:val="lowerRoman"/>
      <w:start w:val="4"/>
    </w:lvl>
  </w:abstractNum>
  <w:abstractNum w:abstractNumId="119">
    <w:nsid w:val="24E99DD7"/>
    <w:multiLevelType w:val="hybridMultilevel"/>
    <w:lvl w:ilvl="0">
      <w:lvlJc w:val="left"/>
      <w:lvlText w:val="(%1)"/>
      <w:numFmt w:val="lowerLetter"/>
      <w:start w:val="3"/>
    </w:lvl>
    <w:lvl w:ilvl="1">
      <w:lvlJc w:val="left"/>
      <w:lvlText w:val="(%2)"/>
      <w:numFmt w:val="lowerRoman"/>
      <w:start w:val="1"/>
    </w:lvl>
  </w:abstractNum>
  <w:abstractNum w:abstractNumId="120">
    <w:nsid w:val="2A31B62D"/>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21"/>
    </w:lvl>
  </w:abstractNum>
  <w:abstractNum w:abstractNumId="121">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3"/>
    </w:lvl>
  </w:abstractNum>
  <w:abstractNum w:abstractNumId="122">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123">
    <w:nsid w:val="754342"/>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124">
    <w:nsid w:val="69E7F3E5"/>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25">
    <w:nsid w:val="2A6DE806"/>
    <w:multiLevelType w:val="hybridMultilevel"/>
    <w:lvl w:ilvl="0">
      <w:lvlJc w:val="left"/>
      <w:lvlText w:val="%1."/>
      <w:numFmt w:val="decimal"/>
      <w:start w:val="12"/>
    </w:lvl>
  </w:abstractNum>
  <w:abstractNum w:abstractNumId="126">
    <w:nsid w:val="1816F8C4"/>
    <w:multiLevelType w:val="hybridMultilevel"/>
    <w:lvl w:ilvl="0">
      <w:lvlJc w:val="left"/>
      <w:lvlText w:val="%1."/>
      <w:numFmt w:val="decimal"/>
      <w:start w:val="14"/>
    </w:lvl>
  </w:abstractNum>
  <w:abstractNum w:abstractNumId="127">
    <w:nsid w:val="37DF2233"/>
    <w:multiLevelType w:val="hybridMultilevel"/>
    <w:lvl w:ilvl="0">
      <w:lvlJc w:val="left"/>
      <w:lvlText w:val="%1."/>
      <w:numFmt w:val="decimal"/>
      <w:start w:val="16"/>
    </w:lvl>
  </w:abstractNum>
  <w:abstractNum w:abstractNumId="128">
    <w:nsid w:val="7AB49DAF"/>
    <w:multiLevelType w:val="hybridMultilevel"/>
    <w:lvl w:ilvl="0">
      <w:lvlJc w:val="left"/>
      <w:lvlText w:val="(%1)"/>
      <w:numFmt w:val="lowerLetter"/>
      <w:start w:val="1"/>
    </w:lvl>
  </w:abstractNum>
  <w:abstractNum w:abstractNumId="129">
    <w:nsid w:val="759F82CD"/>
    <w:multiLevelType w:val="hybridMultilevel"/>
    <w:lvl w:ilvl="0">
      <w:lvlJc w:val="left"/>
      <w:lvlText w:val="(%1)"/>
      <w:numFmt w:val="lowerLetter"/>
      <w:start w:val="3"/>
    </w:lvl>
  </w:abstractNum>
  <w:abstractNum w:abstractNumId="130">
    <w:nsid w:val="61E74EA3"/>
    <w:multiLevelType w:val="hybridMultilevel"/>
    <w:lvl w:ilvl="0">
      <w:lvlJc w:val="left"/>
      <w:lvlText w:val="(%1)"/>
      <w:numFmt w:val="lowerLetter"/>
      <w:start w:val="1"/>
    </w:lvl>
  </w:abstractNum>
  <w:abstractNum w:abstractNumId="131">
    <w:nsid w:val="597B4D8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132">
    <w:nsid w:val="F819E7F"/>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33">
    <w:nsid w:val="57C7D42D"/>
    <w:multiLevelType w:val="hybridMultilevel"/>
    <w:lvl w:ilvl="0">
      <w:lvlJc w:val="left"/>
      <w:lvlText w:val="(%1)"/>
      <w:numFmt w:val="lowerLetter"/>
      <w:start w:val="4"/>
    </w:lvl>
  </w:abstractNum>
  <w:abstractNum w:abstractNumId="134">
    <w:nsid w:val="312167AD"/>
    <w:multiLevelType w:val="hybridMultilevel"/>
    <w:lvl w:ilvl="0">
      <w:lvlJc w:val="left"/>
      <w:lvlText w:val="(%1)"/>
      <w:numFmt w:val="lowerLetter"/>
      <w:start w:val="9"/>
    </w:lvl>
    <w:lvl w:ilvl="1">
      <w:lvlJc w:val="left"/>
      <w:lvlText w:val="(%2)"/>
      <w:numFmt w:val="lowerLetter"/>
      <w:start w:val="21"/>
    </w:lvl>
  </w:abstractNum>
  <w:abstractNum w:abstractNumId="135">
    <w:nsid w:val="631B64D4"/>
    <w:multiLevelType w:val="hybridMultilevel"/>
    <w:lvl w:ilvl="0">
      <w:lvlJc w:val="left"/>
      <w:lvlText w:val="%1"/>
      <w:numFmt w:val="lowerLetter"/>
      <w:start w:val="1"/>
    </w:lvl>
    <w:lvl w:ilvl="1">
      <w:lvlJc w:val="left"/>
      <w:lvlText w:val="(%2)"/>
      <w:numFmt w:val="lowerLetter"/>
      <w:start w:val="35"/>
    </w:lvl>
  </w:abstractNum>
  <w:abstractNum w:abstractNumId="136">
    <w:nsid w:val="78B5E776"/>
    <w:multiLevelType w:val="hybridMultilevel"/>
    <w:lvl w:ilvl="0">
      <w:lvlJc w:val="left"/>
      <w:lvlText w:val="(%1)"/>
      <w:numFmt w:val="lowerLetter"/>
      <w:start w:val="6"/>
    </w:lvl>
    <w:lvl w:ilvl="1">
      <w:lvlJc w:val="left"/>
      <w:lvlText w:val="%2"/>
      <w:numFmt w:val="lowerLetter"/>
      <w:start w:val="1"/>
    </w:lvl>
  </w:abstractNum>
  <w:abstractNum w:abstractNumId="137">
    <w:nsid w:val="75486E47"/>
    <w:multiLevelType w:val="hybridMultilevel"/>
    <w:lvl w:ilvl="0">
      <w:lvlJc w:val="left"/>
      <w:lvlText w:val="1"/>
      <w:numFmt w:val="bullet"/>
      <w:start w:val="1"/>
    </w:lvl>
  </w:abstractNum>
  <w:abstractNum w:abstractNumId="138">
    <w:nsid w:val="6E534CDE"/>
    <w:multiLevelType w:val="hybridMultilevel"/>
    <w:lvl w:ilvl="0">
      <w:lvlJc w:val="left"/>
      <w:lvlText w:val="(%1)"/>
      <w:numFmt w:val="lowerLetter"/>
      <w:start w:val="1"/>
    </w:lvl>
  </w:abstractNum>
  <w:abstractNum w:abstractNumId="139">
    <w:nsid w:val="1A0DDE32"/>
    <w:multiLevelType w:val="hybridMultilevel"/>
    <w:lvl w:ilvl="0">
      <w:lvlJc w:val="left"/>
      <w:lvlText w:val="(%1)"/>
      <w:numFmt w:val="lowerLetter"/>
      <w:start w:val="2"/>
    </w:lvl>
  </w:abstractNum>
  <w:abstractNum w:abstractNumId="140">
    <w:nsid w:val="65968C1C"/>
    <w:multiLevelType w:val="hybridMultilevel"/>
    <w:lvl w:ilvl="0">
      <w:lvlJc w:val="left"/>
      <w:lvlText w:val="(%1)"/>
      <w:numFmt w:val="lowerLetter"/>
      <w:start w:val="1"/>
    </w:lvl>
    <w:lvl w:ilvl="1">
      <w:lvlJc w:val="left"/>
      <w:lvlText w:val="(%2)"/>
      <w:numFmt w:val="lowerRoman"/>
      <w:start w:val="1"/>
    </w:lvl>
  </w:abstractNum>
  <w:abstractNum w:abstractNumId="141">
    <w:nsid w:val="46263DEC"/>
    <w:multiLevelType w:val="hybridMultilevel"/>
    <w:lvl w:ilvl="0">
      <w:lvlJc w:val="left"/>
      <w:lvlText w:val="(%1)"/>
      <w:numFmt w:val="lowerLetter"/>
      <w:start w:val="61"/>
    </w:lvl>
    <w:lvl w:ilvl="1">
      <w:lvlJc w:val="left"/>
      <w:lvlText w:val="(%2)"/>
      <w:numFmt w:val="lowerLetter"/>
      <w:start w:val="24"/>
    </w:lvl>
  </w:abstractNum>
  <w:abstractNum w:abstractNumId="142">
    <w:nsid w:val="260D8C4A"/>
    <w:multiLevelType w:val="hybridMultilevel"/>
    <w:lvl w:ilvl="0">
      <w:lvlJc w:val="left"/>
      <w:lvlText w:val="%1"/>
      <w:numFmt w:val="lowerLetter"/>
      <w:start w:val="1"/>
    </w:lvl>
    <w:lvl w:ilvl="1">
      <w:lvlJc w:val="left"/>
      <w:lvlText w:val="(%2)"/>
      <w:numFmt w:val="lowerRoman"/>
      <w:start w:val="4"/>
    </w:lvl>
  </w:abstractNum>
  <w:abstractNum w:abstractNumId="143">
    <w:nsid w:val="73D4D3C4"/>
    <w:multiLevelType w:val="hybridMultilevel"/>
    <w:lvl w:ilvl="0">
      <w:lvlJc w:val="left"/>
      <w:lvlText w:val="(%1)"/>
      <w:numFmt w:val="lowerLetter"/>
      <w:start w:val="3"/>
    </w:lvl>
    <w:lvl w:ilvl="1">
      <w:lvlJc w:val="left"/>
      <w:lvlText w:val="(%2)"/>
      <w:numFmt w:val="lowerRoman"/>
      <w:start w:val="1"/>
    </w:lvl>
  </w:abstractNum>
  <w:abstractNum w:abstractNumId="144">
    <w:nsid w:val="746F2E30"/>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21"/>
    </w:lvl>
  </w:abstractNum>
  <w:abstractNum w:abstractNumId="145">
    <w:nsid w:val="6FDE8AF6"/>
    <w:multiLevelType w:val="hybridMultilevel"/>
    <w:lvl w:ilvl="0">
      <w:lvlJc w:val="left"/>
      <w:lvlText w:val="%1"/>
      <w:numFmt w:val="lowerLetter"/>
      <w:start w:val="1"/>
    </w:lvl>
    <w:lvl w:ilvl="1">
      <w:lvlJc w:val="left"/>
      <w:lvlText w:val="(%2)"/>
      <w:numFmt w:val="lowerLetter"/>
      <w:start w:val="23"/>
    </w:lvl>
  </w:abstractNum>
  <w:abstractNum w:abstractNumId="146">
    <w:nsid w:val="3FC32E20"/>
    <w:multiLevelType w:val="hybridMultilevel"/>
    <w:lvl w:ilvl="0">
      <w:lvlJc w:val="left"/>
      <w:lvlText w:val="(%1)"/>
      <w:numFmt w:val="lowerLetter"/>
      <w:start w:val="35"/>
    </w:lvl>
    <w:lvl w:ilvl="1">
      <w:lvlJc w:val="left"/>
      <w:lvlText w:val="%2"/>
      <w:numFmt w:val="lowerLetter"/>
      <w:start w:val="1"/>
    </w:lvl>
  </w:abstractNum>
  <w:abstractNum w:abstractNumId="147">
    <w:nsid w:val="49C0E823"/>
    <w:multiLevelType w:val="hybridMultilevel"/>
    <w:lvl w:ilvl="0">
      <w:lvlJc w:val="left"/>
      <w:lvlText w:val="(%1)"/>
      <w:numFmt w:val="lowerLetter"/>
      <w:start w:val="6"/>
    </w:lvl>
  </w:abstractNum>
  <w:abstractNum w:abstractNumId="148">
    <w:nsid w:val="14D53685"/>
    <w:multiLevelType w:val="hybridMultilevel"/>
    <w:lvl w:ilvl="0">
      <w:lvlJc w:val="left"/>
      <w:lvlText w:val="(%1)"/>
      <w:numFmt w:val="lowerLetter"/>
      <w:start w:val="1"/>
    </w:lvl>
  </w:abstractNum>
  <w:abstractNum w:abstractNumId="149">
    <w:nsid w:val="230F856C"/>
    <w:multiLevelType w:val="hybridMultilevel"/>
    <w:lvl w:ilvl="0">
      <w:lvlJc w:val="left"/>
      <w:lvlText w:val="(%1)"/>
      <w:numFmt w:val="lowerLetter"/>
      <w:start w:val="6"/>
    </w:lvl>
  </w:abstractNum>
  <w:abstractNum w:abstractNumId="150">
    <w:nsid w:val="6EAA85FB"/>
    <w:multiLevelType w:val="hybridMultilevel"/>
    <w:lvl w:ilvl="0">
      <w:lvlJc w:val="left"/>
      <w:lvlText w:val="•"/>
      <w:numFmt w:val="bullet"/>
      <w:start w:val="1"/>
    </w:lvl>
  </w:abstractNum>
  <w:abstractNum w:abstractNumId="151">
    <w:nsid w:val="3F06ECB2"/>
    <w:multiLevelType w:val="hybridMultilevel"/>
    <w:lvl w:ilvl="0">
      <w:lvlJc w:val="left"/>
      <w:lvlText w:val="*"/>
      <w:numFmt w:val="bullet"/>
      <w:start w:val="1"/>
    </w:lvl>
  </w:abstractNum>
  <w:abstractNum w:abstractNumId="152">
    <w:nsid w:val="3B594807"/>
    <w:multiLevelType w:val="hybridMultilevel"/>
    <w:lvl w:ilvl="0">
      <w:lvlJc w:val="left"/>
      <w:lvlText w:val="%1."/>
      <w:numFmt w:val="decimal"/>
      <w:start w:val="1"/>
    </w:lvl>
    <w:lvl w:ilvl="1">
      <w:lvlJc w:val="left"/>
      <w:lvlText w:val="%2)"/>
      <w:numFmt w:val="lowerLetter"/>
      <w:start w:val="1"/>
    </w:lvl>
  </w:abstractNum>
  <w:abstractNum w:abstractNumId="153">
    <w:nsid w:val="6CAA2304"/>
    <w:multiLevelType w:val="hybridMultilevel"/>
    <w:lvl w:ilvl="0">
      <w:lvlJc w:val="left"/>
      <w:lvlText w:val="%1."/>
      <w:numFmt w:val="decimal"/>
      <w:start w:val="1"/>
    </w:lvl>
    <w:lvl w:ilvl="1">
      <w:lvlJc w:val="left"/>
      <w:lvlText w:val="%2)"/>
      <w:numFmt w:val="lowerLetter"/>
      <w:start w:val="1"/>
    </w:lvl>
  </w:abstractNum>
  <w:abstractNum w:abstractNumId="154">
    <w:nsid w:val="3F7C2FF4"/>
    <w:multiLevelType w:val="hybridMultilevel"/>
    <w:lvl w:ilvl="0">
      <w:lvlJc w:val="left"/>
      <w:lvlText w:val="(%1)"/>
      <w:numFmt w:val="decimal"/>
      <w:start w:val="1"/>
    </w:lvl>
  </w:abstractNum>
  <w:abstractNum w:abstractNumId="155">
    <w:nsid w:val="25413BEC"/>
    <w:multiLevelType w:val="hybridMultilevel"/>
    <w:lvl w:ilvl="0">
      <w:lvlJc w:val="left"/>
      <w:lvlText w:val="(%1)"/>
      <w:numFmt w:val="decimal"/>
      <w:start w:val="1"/>
    </w:lvl>
  </w:abstractNum>
  <w:abstractNum w:abstractNumId="156">
    <w:nsid w:val="17180B0B"/>
    <w:multiLevelType w:val="hybridMultilevel"/>
    <w:lvl w:ilvl="0">
      <w:lvlJc w:val="left"/>
      <w:lvlText w:val="•"/>
      <w:numFmt w:val="bullet"/>
      <w:start w:val="1"/>
    </w:lvl>
  </w:abstractNum>
  <w:abstractNum w:abstractNumId="157">
    <w:nsid w:val="579328B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3" Type="http://schemas.openxmlformats.org/officeDocument/2006/relationships/image" Target="media/image162.png"/><Relationship Id="rId209"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233" Type="http://schemas.openxmlformats.org/officeDocument/2006/relationships/image" Target="media/image168.png"/><Relationship Id="rId234" Type="http://schemas.openxmlformats.org/officeDocument/2006/relationships/image" Target="media/image169.png"/><Relationship Id="rId235" Type="http://schemas.openxmlformats.org/officeDocument/2006/relationships/image" Target="media/image170.png"/><Relationship Id="rId236" Type="http://schemas.openxmlformats.org/officeDocument/2006/relationships/image" Target="media/image171.png"/><Relationship Id="rId237" Type="http://schemas.openxmlformats.org/officeDocument/2006/relationships/image" Target="media/image172.png"/><Relationship Id="rId238" Type="http://schemas.openxmlformats.org/officeDocument/2006/relationships/image" Target="media/image173.png"/><Relationship Id="rId239" Type="http://schemas.openxmlformats.org/officeDocument/2006/relationships/image" Target="media/image174.png"/><Relationship Id="rId240" Type="http://schemas.openxmlformats.org/officeDocument/2006/relationships/image" Target="media/image175.png"/><Relationship Id="rId241" Type="http://schemas.openxmlformats.org/officeDocument/2006/relationships/image" Target="media/image176.png"/><Relationship Id="rId242" Type="http://schemas.openxmlformats.org/officeDocument/2006/relationships/image" Target="media/image177.png"/><Relationship Id="rId243" Type="http://schemas.openxmlformats.org/officeDocument/2006/relationships/image" Target="media/image178.png"/><Relationship Id="rId244" Type="http://schemas.openxmlformats.org/officeDocument/2006/relationships/image" Target="media/image179.png"/><Relationship Id="rId169" Type="http://schemas.openxmlformats.org/officeDocument/2006/relationships/hyperlink" Target="http://www.sec.gov/Archives/edgar/data/1130464/000113046415000133/ex21purchaseandsaleagr.htm" TargetMode="External"/><Relationship Id="rId170" Type="http://schemas.openxmlformats.org/officeDocument/2006/relationships/hyperlink" Target="http://www.sec.gov/Archives/edgar/data/1130464/000113046416000176/bkhex-221stamdpurchasesale.htm" TargetMode="External"/><Relationship Id="rId171" Type="http://schemas.openxmlformats.org/officeDocument/2006/relationships/hyperlink" Target="http://www.sec.gov/Archives/edgar/data/1130464/000113046415000133/ex22optionagreement.htm" TargetMode="External"/><Relationship Id="rId172" Type="http://schemas.openxmlformats.org/officeDocument/2006/relationships/hyperlink" Target="http://www.sec.gov/Archives/edgar/data/1130464/000113046418000007/bhcamendedarticles.htm" TargetMode="External"/><Relationship Id="rId173" Type="http://schemas.openxmlformats.org/officeDocument/2006/relationships/hyperlink" Target="http://www.sec.gov/Archives/edgar/data/1130464/000113046417000016/bkhexh3-amdrestatedbylawso.htm" TargetMode="External"/><Relationship Id="rId174" Type="http://schemas.openxmlformats.org/officeDocument/2006/relationships/hyperlink" Target="http://www.sec.gov/Archives/edgar/data/1130464/000113046403000214/ex4-1_10q603.htm" TargetMode="External"/><Relationship Id="rId175" Type="http://schemas.openxmlformats.org/officeDocument/2006/relationships/hyperlink" Target="http://www.sec.gov/Archives/edgar/data/1130464/000113046403000214/ex4-2_10q603.htm" TargetMode="External"/><Relationship Id="rId176" Type="http://schemas.openxmlformats.org/officeDocument/2006/relationships/hyperlink" Target="http://www.sec.gov/Archives/edgar/data/1130464/000110465909032244/a09-13238_3ex4.htm" TargetMode="External"/><Relationship Id="rId177" Type="http://schemas.openxmlformats.org/officeDocument/2006/relationships/hyperlink" Target="http://www.sec.gov/Archives/edgar/data/1130464/000110465910038202/a10-11184_5ex4.htm" TargetMode="External"/><Relationship Id="rId178" Type="http://schemas.openxmlformats.org/officeDocument/2006/relationships/hyperlink" Target="http://www.sec.gov/Archives/edgar/data/1130464/000110465913085420/a13-24110_4ex4.htm" TargetMode="External"/><Relationship Id="rId179" Type="http://schemas.openxmlformats.org/officeDocument/2006/relationships/hyperlink" Target="http://www.sec.gov/Archives/edgar/data/1130464/000110465916089656/a16-1059_4ex4d1.htm" TargetMode="External"/><Relationship Id="rId180" Type="http://schemas.openxmlformats.org/officeDocument/2006/relationships/hyperlink" Target="http://www.sec.gov/Archives/edgar/data/1130464/000110465916140657/a16-17027_1ex4d1.htm" TargetMode="External"/><Relationship Id="rId181" Type="http://schemas.openxmlformats.org/officeDocument/2006/relationships/hyperlink" Target="http://www.sec.gov/Archives/edgar/data/1130464/000110465918052602/a18-18564_4ex4d2.htm" TargetMode="External"/><Relationship Id="rId182" Type="http://schemas.openxmlformats.org/officeDocument/2006/relationships/hyperlink" Target="http://www.sec.gov/Archives/edgar/data/1130464/000141057819001533/tv530573_ex4-1.htm" TargetMode="External"/><Relationship Id="rId184" Type="http://schemas.openxmlformats.org/officeDocument/2006/relationships/hyperlink" Target="https://www.sec.gov/Archives/edgar/data/1130464/000110465920074172/tm2022285d4_ex4-1.htm" TargetMode="External"/><Relationship Id="rId185" Type="http://schemas.openxmlformats.org/officeDocument/2006/relationships/hyperlink" Target="http://www.sec.gov/Archives/edgar/data/12400/000104746909009108/a2195001zex-4_19.htm" TargetMode="External"/><Relationship Id="rId186" Type="http://schemas.openxmlformats.org/officeDocument/2006/relationships/hyperlink" Target="http://www.sec.gov/Archives/edgar/data/12400/000104746909009108/a2195001zex-4_20.htm" TargetMode="External"/><Relationship Id="rId187" Type="http://schemas.openxmlformats.org/officeDocument/2006/relationships/hyperlink" Target="http://www.sec.gov/Archives/edgar/data/12400/000110465909060487/a09-31821_7ex4d21.htm" TargetMode="External"/><Relationship Id="rId188" Type="http://schemas.openxmlformats.org/officeDocument/2006/relationships/hyperlink" Target="http://www.sec.gov/Archives/edgar/data/12400/000113046414000164/ex_10-1thirdsuppindentureb.htm" TargetMode="External"/><Relationship Id="rId189" Type="http://schemas.openxmlformats.org/officeDocument/2006/relationships/hyperlink" Target="http://www.sec.gov/Archives/edgar/data/12400/000113046414000164/ex_10-2restatedindenture.htm" TargetMode="External"/><Relationship Id="rId190" Type="http://schemas.openxmlformats.org/officeDocument/2006/relationships/hyperlink" Target="http://www.sec.gov/Archives/edgar/data/12400/000113046414000164/ex_10-3clfpfirstsupplement.htm" TargetMode="External"/><Relationship Id="rId191" Type="http://schemas.openxmlformats.org/officeDocument/2006/relationships/hyperlink" Target="http://www.sec.gov/Archives/edgar/data/12400/000113046414000164/ex_10-4clfpsupplementalind.htm" TargetMode="External"/><Relationship Id="rId192" Type="http://schemas.openxmlformats.org/officeDocument/2006/relationships/hyperlink" Target="http://www.sec.gov/Archives/edgar/data/1130464/000001240001000024/0000012400-01-000024-0002.txt" TargetMode="External"/><Relationship Id="rId193" Type="http://schemas.openxmlformats.org/officeDocument/2006/relationships/hyperlink" Target="https://www.sec.gov/Archives/edgar/data/1130464/000113046420000006/bkhex-45descriptionofs.htm" TargetMode="External"/><Relationship Id="rId194" Type="http://schemas.openxmlformats.org/officeDocument/2006/relationships/hyperlink" Target="http://www.sec.gov/Archives/edgar/data/1130464/000113046402000010/ex10_11.txt" TargetMode="External"/><Relationship Id="rId195" Type="http://schemas.openxmlformats.org/officeDocument/2006/relationships/hyperlink" Target="http://www.sec.gov/Archives/edgar/data/1130464/000113046403000054/ex_amendpension10k.htm" TargetMode="External"/><Relationship Id="rId196" Type="http://schemas.openxmlformats.org/officeDocument/2006/relationships/hyperlink" Target="http://www.sec.gov/Archives/edgar/data/1130464/000113046409000099/ex10-2_pepamendment.htm" TargetMode="External"/><Relationship Id="rId197" Type="http://schemas.openxmlformats.org/officeDocument/2006/relationships/hyperlink" Target="http://www.sec.gov/Archives/edgar/data/1130464/000113046409000099/ex10-3_2005pepplan.htm" TargetMode="External"/><Relationship Id="rId198" Type="http://schemas.openxmlformats.org/officeDocument/2006/relationships/hyperlink" Target="http://www.sec.gov/Archives/edgar/data/1130464/000113046409000099/ex10-5_restorationplan.htm" TargetMode="External"/><Relationship Id="rId199" Type="http://schemas.openxmlformats.org/officeDocument/2006/relationships/hyperlink" Target="http://www.sec.gov/Archives/edgar/data/1130464/000113046411000066/exhibit102.htm" TargetMode="External"/><Relationship Id="rId200" Type="http://schemas.openxmlformats.org/officeDocument/2006/relationships/hyperlink" Target="http://www.sec.gov/Archives/edgar/data/1130464/000113046411000027/exhibit104.htm" TargetMode="External"/><Relationship Id="rId201" Type="http://schemas.openxmlformats.org/officeDocument/2006/relationships/hyperlink" Target="http://www.sec.gov/Archives/edgar/data/1130464/000113046419000012/bkhex-105firstamendmentton.htm" TargetMode="External"/><Relationship Id="rId202" Type="http://schemas.openxmlformats.org/officeDocument/2006/relationships/hyperlink" Target="http://www.sec.gov/Archives/edgar/data/1130464/000113046419000012/bkhex-106bhcpostx2018nqdcp.htm" TargetMode="External"/><Relationship Id="rId203" Type="http://schemas.openxmlformats.org/officeDocument/2006/relationships/hyperlink" Target="http://www.sec.gov/Archives/edgar/data/1130464/000110465905016238/a05-6134_1def14a.htm" TargetMode="External"/><Relationship Id="rId204" Type="http://schemas.openxmlformats.org/officeDocument/2006/relationships/hyperlink" Target="http://www.sec.gov/Archives/edgar/data/1130464/000113046409000099/ex10-11_2005omnibusplanamend.htm" TargetMode="External"/><Relationship Id="rId205" Type="http://schemas.openxmlformats.org/officeDocument/2006/relationships/hyperlink" Target="http://www.sec.gov/Archives/edgar/data/1130464/000113046410000055/ex10_omnibusplan-2ndamend.htm" TargetMode="External"/><Relationship Id="rId206" Type="http://schemas.openxmlformats.org/officeDocument/2006/relationships/hyperlink" Target="http://www.sec.gov/Archives/edgar/data/1130464/000113046414000056/bkhex-107122013.htm" TargetMode="External"/><Relationship Id="rId207" Type="http://schemas.openxmlformats.org/officeDocument/2006/relationships/hyperlink" Target="http://www.sec.gov/Archives/edgar/data/1130464/000113046416000176/bkhex-108stockoptionawarda.htm" TargetMode="External"/><Relationship Id="rId208" Type="http://schemas.openxmlformats.org/officeDocument/2006/relationships/hyperlink" Target="http://www.sec.gov/Archives/edgar/data/1130464/000113046416000176/bkhex-1010formofrestricted.htm" TargetMode="External"/><Relationship Id="rId210" Type="http://schemas.openxmlformats.org/officeDocument/2006/relationships/hyperlink" Target="http://www.sec.gov/Archives/edgar/data/1130464/000113046416000176/bkhex-1012formofrestricted.htm" TargetMode="External"/><Relationship Id="rId211" Type="http://schemas.openxmlformats.org/officeDocument/2006/relationships/hyperlink" Target="http://www.sec.gov/Archives/edgar/data/1130464/000113046416000199/bkhex-106pspawardagr2015om.htm" TargetMode="External"/><Relationship Id="rId212" Type="http://schemas.openxmlformats.org/officeDocument/2006/relationships/hyperlink" Target="https://www.sec.gov/Archives/edgar/data/1130464/000113046420000006/bkhex-1012performances.htm" TargetMode="External"/><Relationship Id="rId213" Type="http://schemas.openxmlformats.org/officeDocument/2006/relationships/hyperlink" Target="http://www.sec.gov/Archives/edgar/data/1130464/000113046416000199/bkhex-107formofstipawardag.htm" TargetMode="External"/><Relationship Id="rId214" Type="http://schemas.openxmlformats.org/officeDocument/2006/relationships/hyperlink" Target="http://www.sec.gov/Archives/edgar/data/1130464/000113046404000296/ex10-5sep3_8k.htm" TargetMode="External"/><Relationship Id="rId215" Type="http://schemas.openxmlformats.org/officeDocument/2006/relationships/hyperlink" Target="https://www.sec.gov/Archives/edgar/data/1130464/000113046420000006/bkhex-1015ceocicagreem.htm" TargetMode="External"/><Relationship Id="rId216" Type="http://schemas.openxmlformats.org/officeDocument/2006/relationships/hyperlink" Target="https://www.sec.gov/Archives/edgar/data/1130464/000113046420000006/bkhex-1016corporateoff.htm" TargetMode="External"/><Relationship Id="rId217" Type="http://schemas.openxmlformats.org/officeDocument/2006/relationships/hyperlink" Target="http://www.sec.gov/Archives/edgar/data/1130464/000113046409000099/ex10-23_directorcompplan.htm" TargetMode="External"/><Relationship Id="rId218" Type="http://schemas.openxmlformats.org/officeDocument/2006/relationships/hyperlink" Target="http://www.sec.gov/Archives/edgar/data/1130464/000113046411000027/exhibit1016.htm" TargetMode="External"/><Relationship Id="rId219" Type="http://schemas.openxmlformats.org/officeDocument/2006/relationships/hyperlink" Target="http://www.sec.gov/Archives/edgar/data/1130464/000113046413000071/bkhex-1015122012.htm" TargetMode="External"/><Relationship Id="rId220" Type="http://schemas.openxmlformats.org/officeDocument/2006/relationships/hyperlink" Target="http://www.sec.gov/Archives/edgar/data/1130464/000113046415000083/bkhex-1016122014.htm" TargetMode="External"/><Relationship Id="rId221" Type="http://schemas.openxmlformats.org/officeDocument/2006/relationships/hyperlink" Target="http://www.sec.gov/Archives/edgar/data/1130464/000113046416000217/bkhex-104q32016fourthamddi.htm" TargetMode="External"/><Relationship Id="rId222" Type="http://schemas.openxmlformats.org/officeDocument/2006/relationships/hyperlink" Target="http://www.sec.gov/Archives/edgar/data/1130464/000113046418000014/bkhex-1016directorcompplan.htm" TargetMode="External"/><Relationship Id="rId223" Type="http://schemas.openxmlformats.org/officeDocument/2006/relationships/hyperlink" Target="http://www.sec.gov/Archives/edgar/data/1130464/000113046419000012/bkhex1018bodoutsidedircomp.htm" TargetMode="External"/><Relationship Id="rId224" Type="http://schemas.openxmlformats.org/officeDocument/2006/relationships/hyperlink" Target="http://www.sec.gov/Archives/edgar/data/1130464/000113046416000199/bkhex-108nonxdisclosureand.htm" TargetMode="External"/><Relationship Id="rId225" Type="http://schemas.openxmlformats.org/officeDocument/2006/relationships/hyperlink" Target="https://www.sec.gov/Archives/edgar/data/1130464/000110465920089882/tm2026019d3_ex1-1.htm" TargetMode="External"/><Relationship Id="rId226" Type="http://schemas.openxmlformats.org/officeDocument/2006/relationships/hyperlink" Target="http://www.sec.gov/Archives/edgar/data/1130464/000110465918048322/a18-17931_1ex10d1.htm" TargetMode="External"/><Relationship Id="rId227" Type="http://schemas.openxmlformats.org/officeDocument/2006/relationships/hyperlink" Target="http://www.sec.gov/Archives/edgar/data/1130464/000110465918048322/a18-17931_1ex10d2.htm" TargetMode="External"/><Relationship Id="rId228" Type="http://schemas.openxmlformats.org/officeDocument/2006/relationships/hyperlink" Target="http://www.sec.gov/Archives/edgar/data/1130464/000113046419000025/exhibit101amendmentno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2021-02-26T12:44:21Z</dcterms:created>
  <dcterms:modified xsi:type="dcterms:W3CDTF">2021-02-26T12:44:21Z</dcterms:modified>
</cp:coreProperties>
</file>